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6095" w:type="dxa"/>
        <w:tblInd w:w="3828" w:type="dxa"/>
        <w:tblLayout w:type="autofit"/>
        <w:tblCellMar>
          <w:top w:w="0" w:type="dxa"/>
          <w:left w:w="108" w:type="dxa"/>
          <w:bottom w:w="0" w:type="dxa"/>
          <w:right w:w="108" w:type="dxa"/>
        </w:tblCellMar>
      </w:tblPr>
      <w:tblGrid>
        <w:gridCol w:w="6095"/>
      </w:tblGrid>
      <w:tr w14:paraId="7D7EF578">
        <w:tblPrEx>
          <w:tblCellMar>
            <w:top w:w="0" w:type="dxa"/>
            <w:left w:w="108" w:type="dxa"/>
            <w:bottom w:w="0" w:type="dxa"/>
            <w:right w:w="108" w:type="dxa"/>
          </w:tblCellMar>
        </w:tblPrEx>
        <w:trPr>
          <w:trHeight w:val="1803" w:hRule="atLeast"/>
        </w:trPr>
        <w:tc>
          <w:tcPr>
            <w:tcW w:w="6095" w:type="dxa"/>
            <w:vAlign w:val="center"/>
          </w:tcPr>
          <w:p w14:paraId="08F29FBB">
            <w:pPr>
              <w:spacing w:after="0" w:line="240" w:lineRule="auto"/>
              <w:ind w:hanging="81"/>
              <w:contextualSpacing/>
              <w:rPr>
                <w:szCs w:val="28"/>
                <w:lang w:eastAsia="en-US"/>
              </w:rPr>
            </w:pPr>
            <w:bookmarkStart w:id="0" w:name="_Hlk139293149"/>
            <w:bookmarkEnd w:id="0"/>
            <w:bookmarkStart w:id="1" w:name="_Hlk22205613"/>
            <w:r>
              <w:rPr>
                <w:szCs w:val="28"/>
                <w:lang w:eastAsia="en-US"/>
              </w:rPr>
              <w:t>Приложение 1 к постановлению Администрации</w:t>
            </w:r>
          </w:p>
          <w:p w14:paraId="17FF0427">
            <w:pPr>
              <w:spacing w:after="0" w:line="240" w:lineRule="auto"/>
              <w:ind w:hanging="81"/>
              <w:contextualSpacing/>
              <w:rPr>
                <w:szCs w:val="28"/>
                <w:lang w:eastAsia="en-US"/>
              </w:rPr>
            </w:pPr>
            <w:r>
              <w:rPr>
                <w:szCs w:val="28"/>
                <w:lang w:eastAsia="en-US"/>
              </w:rPr>
              <w:t>сельского поселения Верхнеказымский</w:t>
            </w:r>
          </w:p>
          <w:p w14:paraId="09C7171C">
            <w:pPr>
              <w:spacing w:after="0" w:line="240" w:lineRule="auto"/>
              <w:ind w:hanging="81"/>
              <w:contextualSpacing/>
              <w:rPr>
                <w:rFonts w:hint="default"/>
                <w:bCs/>
                <w:szCs w:val="28"/>
                <w:lang w:val="ru-RU" w:eastAsia="en-US"/>
              </w:rPr>
            </w:pPr>
            <w:r>
              <w:rPr>
                <w:szCs w:val="28"/>
                <w:lang w:eastAsia="en-US"/>
              </w:rPr>
              <w:t xml:space="preserve">№ </w:t>
            </w:r>
            <w:r>
              <w:rPr>
                <w:rFonts w:hint="default"/>
                <w:szCs w:val="28"/>
                <w:lang w:val="ru-RU" w:eastAsia="en-US"/>
              </w:rPr>
              <w:t>133</w:t>
            </w:r>
            <w:r>
              <w:rPr>
                <w:szCs w:val="28"/>
                <w:lang w:eastAsia="en-US"/>
              </w:rPr>
              <w:t xml:space="preserve"> от </w:t>
            </w:r>
            <w:r>
              <w:rPr>
                <w:rFonts w:hint="default"/>
                <w:szCs w:val="28"/>
                <w:lang w:val="ru-RU" w:eastAsia="en-US"/>
              </w:rPr>
              <w:t xml:space="preserve">29 ноября </w:t>
            </w:r>
            <w:r>
              <w:rPr>
                <w:szCs w:val="28"/>
                <w:lang w:eastAsia="en-US"/>
              </w:rPr>
              <w:t>2024 г</w:t>
            </w:r>
            <w:r>
              <w:rPr>
                <w:szCs w:val="28"/>
                <w:lang w:val="ru-RU" w:eastAsia="en-US"/>
              </w:rPr>
              <w:t>ода</w:t>
            </w:r>
            <w:bookmarkStart w:id="873" w:name="_GoBack"/>
            <w:bookmarkEnd w:id="873"/>
          </w:p>
        </w:tc>
      </w:tr>
    </w:tbl>
    <w:p w14:paraId="2AE0193C">
      <w:pPr>
        <w:spacing w:after="0" w:line="240" w:lineRule="auto"/>
        <w:ind w:hanging="35"/>
        <w:contextualSpacing/>
        <w:rPr>
          <w:szCs w:val="28"/>
        </w:rPr>
      </w:pPr>
    </w:p>
    <w:p w14:paraId="49B0491B">
      <w:pPr>
        <w:spacing w:after="0" w:line="240" w:lineRule="auto"/>
        <w:ind w:hanging="35"/>
        <w:contextualSpacing/>
        <w:rPr>
          <w:szCs w:val="28"/>
        </w:rPr>
      </w:pPr>
    </w:p>
    <w:p w14:paraId="29F0EB31">
      <w:pPr>
        <w:spacing w:after="0" w:line="240" w:lineRule="auto"/>
        <w:ind w:hanging="35"/>
        <w:contextualSpacing/>
        <w:rPr>
          <w:szCs w:val="28"/>
        </w:rPr>
      </w:pPr>
    </w:p>
    <w:p w14:paraId="4F948B1A">
      <w:pPr>
        <w:spacing w:after="0" w:line="240" w:lineRule="auto"/>
        <w:ind w:hanging="35"/>
        <w:contextualSpacing/>
        <w:rPr>
          <w:szCs w:val="28"/>
        </w:rPr>
      </w:pPr>
    </w:p>
    <w:p w14:paraId="1108E641">
      <w:pPr>
        <w:spacing w:after="0" w:line="240" w:lineRule="auto"/>
        <w:ind w:hanging="35"/>
        <w:contextualSpacing/>
        <w:rPr>
          <w:szCs w:val="28"/>
        </w:rPr>
      </w:pPr>
    </w:p>
    <w:p w14:paraId="3FEDA949">
      <w:pPr>
        <w:spacing w:after="0" w:line="240" w:lineRule="auto"/>
        <w:ind w:hanging="35"/>
        <w:contextualSpacing/>
        <w:rPr>
          <w:szCs w:val="28"/>
        </w:rPr>
      </w:pPr>
    </w:p>
    <w:p w14:paraId="0BECCB47">
      <w:pPr>
        <w:tabs>
          <w:tab w:val="left" w:pos="0"/>
        </w:tabs>
        <w:spacing w:after="0" w:line="240" w:lineRule="auto"/>
        <w:ind w:hanging="35"/>
        <w:contextualSpacing/>
        <w:jc w:val="center"/>
        <w:rPr>
          <w:bCs/>
          <w:szCs w:val="28"/>
        </w:rPr>
      </w:pPr>
      <w:r>
        <w:rPr>
          <w:bCs/>
          <w:szCs w:val="28"/>
        </w:rPr>
        <w:t>Схема теплоснабжения</w:t>
      </w:r>
    </w:p>
    <w:p w14:paraId="594CA607">
      <w:pPr>
        <w:widowControl w:val="0"/>
        <w:spacing w:after="0" w:line="240" w:lineRule="auto"/>
        <w:ind w:right="-1" w:hanging="35"/>
        <w:contextualSpacing/>
        <w:jc w:val="center"/>
        <w:rPr>
          <w:bCs/>
          <w:szCs w:val="28"/>
        </w:rPr>
      </w:pPr>
      <w:r>
        <w:rPr>
          <w:bCs/>
          <w:szCs w:val="28"/>
        </w:rPr>
        <w:t>сельского поселения Верхнеказымский Белоярского района</w:t>
      </w:r>
    </w:p>
    <w:p w14:paraId="4FD93786">
      <w:pPr>
        <w:widowControl w:val="0"/>
        <w:spacing w:after="0" w:line="240" w:lineRule="auto"/>
        <w:ind w:right="-1" w:hanging="35"/>
        <w:contextualSpacing/>
        <w:jc w:val="center"/>
        <w:rPr>
          <w:bCs/>
          <w:szCs w:val="28"/>
        </w:rPr>
      </w:pPr>
      <w:r>
        <w:rPr>
          <w:bCs/>
          <w:szCs w:val="28"/>
        </w:rPr>
        <w:t>Ханты-Мансийский автономного округа – Югры</w:t>
      </w:r>
    </w:p>
    <w:p w14:paraId="562E7D26">
      <w:pPr>
        <w:widowControl w:val="0"/>
        <w:spacing w:after="0" w:line="240" w:lineRule="auto"/>
        <w:ind w:right="-1" w:hanging="35"/>
        <w:contextualSpacing/>
        <w:jc w:val="center"/>
        <w:rPr>
          <w:bCs/>
          <w:szCs w:val="28"/>
        </w:rPr>
      </w:pPr>
      <w:r>
        <w:rPr>
          <w:bCs/>
          <w:szCs w:val="28"/>
        </w:rPr>
        <w:t>на период до 2029 года</w:t>
      </w:r>
    </w:p>
    <w:p w14:paraId="5FE0C388">
      <w:pPr>
        <w:widowControl w:val="0"/>
        <w:spacing w:after="0" w:line="240" w:lineRule="auto"/>
        <w:ind w:right="-1" w:hanging="35"/>
        <w:contextualSpacing/>
        <w:jc w:val="center"/>
        <w:rPr>
          <w:bCs/>
          <w:szCs w:val="28"/>
        </w:rPr>
      </w:pPr>
      <w:r>
        <w:rPr>
          <w:bCs/>
          <w:szCs w:val="28"/>
        </w:rPr>
        <w:t>(актуализация на 2024 год)</w:t>
      </w:r>
    </w:p>
    <w:p w14:paraId="143AA1B5">
      <w:pPr>
        <w:widowControl w:val="0"/>
        <w:spacing w:after="0" w:line="240" w:lineRule="auto"/>
        <w:ind w:right="-1" w:hanging="35"/>
        <w:contextualSpacing/>
        <w:jc w:val="center"/>
        <w:rPr>
          <w:bCs/>
          <w:szCs w:val="28"/>
        </w:rPr>
      </w:pPr>
    </w:p>
    <w:p w14:paraId="0CFCD0B3">
      <w:pPr>
        <w:widowControl w:val="0"/>
        <w:spacing w:after="0" w:line="240" w:lineRule="auto"/>
        <w:ind w:right="-1" w:firstLine="0"/>
        <w:contextualSpacing/>
        <w:jc w:val="center"/>
        <w:outlineLvl w:val="0"/>
        <w:rPr>
          <w:szCs w:val="28"/>
        </w:rPr>
      </w:pPr>
      <w:bookmarkStart w:id="2" w:name="_Toc134013112"/>
      <w:bookmarkStart w:id="3" w:name="_Toc182813852"/>
      <w:r>
        <w:rPr>
          <w:bCs/>
          <w:szCs w:val="28"/>
        </w:rPr>
        <w:t xml:space="preserve">Книга 2. </w:t>
      </w:r>
      <w:bookmarkEnd w:id="2"/>
      <w:r>
        <w:rPr>
          <w:bCs/>
          <w:szCs w:val="28"/>
        </w:rPr>
        <w:t>Обосновывающие материалы</w:t>
      </w:r>
      <w:bookmarkEnd w:id="3"/>
    </w:p>
    <w:p w14:paraId="08EE49B4">
      <w:pPr>
        <w:pStyle w:val="404"/>
        <w:spacing w:line="240" w:lineRule="auto"/>
        <w:rPr>
          <w:rFonts w:cs="Times New Roman"/>
          <w:sz w:val="28"/>
          <w:szCs w:val="28"/>
        </w:rPr>
      </w:pPr>
    </w:p>
    <w:p w14:paraId="187AB5F2">
      <w:pPr>
        <w:pStyle w:val="404"/>
        <w:spacing w:line="240" w:lineRule="auto"/>
        <w:rPr>
          <w:rFonts w:cs="Times New Roman"/>
          <w:sz w:val="28"/>
          <w:szCs w:val="28"/>
        </w:rPr>
      </w:pPr>
    </w:p>
    <w:p w14:paraId="2CABDBB3">
      <w:pPr>
        <w:tabs>
          <w:tab w:val="left" w:pos="6315"/>
        </w:tabs>
        <w:jc w:val="center"/>
        <w:rPr>
          <w:rFonts w:eastAsia="Calibri"/>
          <w:szCs w:val="28"/>
        </w:rPr>
      </w:pPr>
    </w:p>
    <w:p w14:paraId="59B50817">
      <w:pPr>
        <w:tabs>
          <w:tab w:val="left" w:pos="6315"/>
        </w:tabs>
        <w:jc w:val="center"/>
        <w:rPr>
          <w:rFonts w:eastAsia="Calibri"/>
          <w:szCs w:val="28"/>
        </w:rPr>
      </w:pPr>
    </w:p>
    <w:p w14:paraId="1A75BDEE">
      <w:pPr>
        <w:tabs>
          <w:tab w:val="left" w:pos="6315"/>
        </w:tabs>
        <w:jc w:val="center"/>
        <w:rPr>
          <w:rFonts w:eastAsia="Calibri"/>
          <w:szCs w:val="28"/>
        </w:rPr>
      </w:pPr>
    </w:p>
    <w:p w14:paraId="75A238F5">
      <w:pPr>
        <w:tabs>
          <w:tab w:val="left" w:pos="6315"/>
        </w:tabs>
        <w:jc w:val="center"/>
        <w:rPr>
          <w:rFonts w:eastAsia="Calibri"/>
          <w:szCs w:val="28"/>
        </w:rPr>
      </w:pPr>
    </w:p>
    <w:p w14:paraId="4BEBE071">
      <w:pPr>
        <w:tabs>
          <w:tab w:val="left" w:pos="6315"/>
        </w:tabs>
        <w:jc w:val="center"/>
        <w:rPr>
          <w:rFonts w:eastAsia="Calibri"/>
          <w:szCs w:val="28"/>
        </w:rPr>
      </w:pPr>
    </w:p>
    <w:p w14:paraId="73C4C082">
      <w:pPr>
        <w:tabs>
          <w:tab w:val="left" w:pos="6315"/>
        </w:tabs>
        <w:jc w:val="center"/>
        <w:rPr>
          <w:rFonts w:eastAsia="Calibri"/>
          <w:szCs w:val="28"/>
        </w:rPr>
      </w:pPr>
    </w:p>
    <w:p w14:paraId="3737451C">
      <w:pPr>
        <w:tabs>
          <w:tab w:val="left" w:pos="6315"/>
        </w:tabs>
        <w:jc w:val="center"/>
        <w:rPr>
          <w:rFonts w:eastAsia="Calibri"/>
          <w:szCs w:val="28"/>
        </w:rPr>
      </w:pPr>
    </w:p>
    <w:p w14:paraId="4CE5DFC2">
      <w:pPr>
        <w:tabs>
          <w:tab w:val="left" w:pos="6315"/>
        </w:tabs>
        <w:jc w:val="center"/>
        <w:rPr>
          <w:rFonts w:eastAsia="Calibri"/>
          <w:szCs w:val="28"/>
        </w:rPr>
      </w:pPr>
    </w:p>
    <w:p w14:paraId="0C74D6E2">
      <w:pPr>
        <w:tabs>
          <w:tab w:val="left" w:pos="6315"/>
        </w:tabs>
        <w:jc w:val="center"/>
        <w:rPr>
          <w:rFonts w:eastAsia="Calibri"/>
          <w:szCs w:val="28"/>
        </w:rPr>
      </w:pPr>
    </w:p>
    <w:p w14:paraId="39E7F2F6">
      <w:pPr>
        <w:tabs>
          <w:tab w:val="left" w:pos="6315"/>
        </w:tabs>
        <w:jc w:val="center"/>
        <w:rPr>
          <w:rFonts w:eastAsia="Calibri"/>
          <w:szCs w:val="28"/>
        </w:rPr>
      </w:pPr>
    </w:p>
    <w:p w14:paraId="209A5021">
      <w:pPr>
        <w:tabs>
          <w:tab w:val="left" w:pos="6315"/>
        </w:tabs>
        <w:jc w:val="center"/>
        <w:rPr>
          <w:rFonts w:eastAsia="Calibri"/>
          <w:szCs w:val="28"/>
        </w:rPr>
      </w:pPr>
    </w:p>
    <w:p w14:paraId="1EFF7AB2">
      <w:pPr>
        <w:tabs>
          <w:tab w:val="left" w:pos="6315"/>
        </w:tabs>
        <w:jc w:val="center"/>
        <w:rPr>
          <w:szCs w:val="28"/>
        </w:rPr>
      </w:pPr>
      <w:r>
        <w:rPr>
          <w:rFonts w:eastAsia="Calibri"/>
          <w:szCs w:val="28"/>
        </w:rPr>
        <w:t>2024 г.</w:t>
      </w:r>
      <w:bookmarkEnd w:id="1"/>
    </w:p>
    <w:p w14:paraId="30BF9071">
      <w:pPr>
        <w:rPr>
          <w:sz w:val="24"/>
          <w:szCs w:val="24"/>
        </w:rPr>
        <w:sectPr>
          <w:footerReference r:id="rId5" w:type="default"/>
          <w:pgSz w:w="11907" w:h="16840"/>
          <w:pgMar w:top="1134" w:right="567" w:bottom="1134" w:left="1701" w:header="709" w:footer="709" w:gutter="0"/>
          <w:cols w:space="708" w:num="1"/>
          <w:titlePg/>
          <w:docGrid w:linePitch="381" w:charSpace="0"/>
        </w:sectPr>
      </w:pPr>
    </w:p>
    <w:p w14:paraId="2E646E36">
      <w:pPr>
        <w:keepNext/>
        <w:pageBreakBefore/>
        <w:widowControl w:val="0"/>
        <w:spacing w:before="360"/>
        <w:ind w:firstLine="0"/>
        <w:jc w:val="center"/>
        <w:outlineLvl w:val="0"/>
        <w:rPr>
          <w:sz w:val="24"/>
          <w:szCs w:val="24"/>
        </w:rPr>
      </w:pPr>
      <w:bookmarkStart w:id="4" w:name="_Toc182813853"/>
      <w:r>
        <w:rPr>
          <w:sz w:val="24"/>
          <w:szCs w:val="24"/>
        </w:rPr>
        <w:t>Содержание</w:t>
      </w:r>
      <w:bookmarkEnd w:id="4"/>
    </w:p>
    <w:p w14:paraId="71F05D64">
      <w:pPr>
        <w:tabs>
          <w:tab w:val="left" w:pos="709"/>
        </w:tabs>
        <w:spacing w:after="0" w:line="240" w:lineRule="auto"/>
        <w:ind w:firstLine="0"/>
        <w:contextualSpacing/>
        <w:jc w:val="right"/>
        <w:rPr>
          <w:sz w:val="24"/>
          <w:szCs w:val="24"/>
        </w:rPr>
      </w:pPr>
      <w:r>
        <w:rPr>
          <w:sz w:val="24"/>
          <w:szCs w:val="24"/>
        </w:rPr>
        <w:t>стр.</w:t>
      </w:r>
    </w:p>
    <w:sdt>
      <w:sdtPr>
        <w:rPr>
          <w:rFonts w:ascii="Times New Roman" w:hAnsi="Times New Roman"/>
          <w:b w:val="0"/>
          <w:bCs w:val="0"/>
          <w:caps w:val="0"/>
          <w:color w:val="365F91"/>
          <w:sz w:val="28"/>
          <w:szCs w:val="28"/>
          <w:lang w:eastAsia="en-US"/>
        </w:rPr>
        <w:id w:val="612718497"/>
        <w:docPartObj>
          <w:docPartGallery w:val="Table of Contents"/>
          <w:docPartUnique/>
        </w:docPartObj>
      </w:sdtPr>
      <w:sdtEndPr>
        <w:rPr>
          <w:rFonts w:ascii="Cambria" w:hAnsi="Cambria"/>
          <w:b/>
          <w:bCs/>
          <w:caps w:val="0"/>
          <w:color w:val="365F91"/>
          <w:sz w:val="28"/>
          <w:szCs w:val="28"/>
          <w:lang w:eastAsia="en-US"/>
        </w:rPr>
      </w:sdtEndPr>
      <w:sdtContent>
        <w:p w14:paraId="7DD71239">
          <w:pPr>
            <w:pStyle w:val="60"/>
            <w:tabs>
              <w:tab w:val="left" w:pos="426"/>
              <w:tab w:val="clear" w:pos="9356"/>
            </w:tabs>
            <w:rPr>
              <w:rFonts w:ascii="Times New Roman" w:hAnsi="Times New Roman" w:eastAsiaTheme="minorEastAsia"/>
              <w:b w:val="0"/>
              <w:bCs w:val="0"/>
              <w:caps w:val="0"/>
            </w:rPr>
          </w:pPr>
          <w:bookmarkStart w:id="5" w:name="_Hlk521608135"/>
          <w:bookmarkStart w:id="6" w:name="_Toc524614734"/>
          <w:bookmarkStart w:id="7" w:name="_Toc524614950"/>
          <w:r>
            <w:rPr>
              <w:rFonts w:ascii="Times New Roman" w:hAnsi="Times New Roman"/>
              <w:b w:val="0"/>
              <w:caps w:val="0"/>
            </w:rPr>
            <w:fldChar w:fldCharType="begin"/>
          </w:r>
          <w:r>
            <w:rPr>
              <w:rFonts w:ascii="Times New Roman" w:hAnsi="Times New Roman"/>
              <w:b w:val="0"/>
              <w:caps w:val="0"/>
            </w:rPr>
            <w:instrText xml:space="preserve"> TOC \o "1-3" \h \z \u </w:instrText>
          </w:r>
          <w:r>
            <w:rPr>
              <w:rFonts w:ascii="Times New Roman" w:hAnsi="Times New Roman"/>
              <w:b w:val="0"/>
              <w:caps w:val="0"/>
            </w:rPr>
            <w:fldChar w:fldCharType="separate"/>
          </w:r>
          <w:r>
            <w:fldChar w:fldCharType="begin"/>
          </w:r>
          <w:r>
            <w:instrText xml:space="preserve"> HYPERLINK \l "_Toc182813852" </w:instrText>
          </w:r>
          <w:r>
            <w:fldChar w:fldCharType="separate"/>
          </w:r>
          <w:r>
            <w:rPr>
              <w:rStyle w:val="20"/>
              <w:rFonts w:ascii="Times New Roman" w:hAnsi="Times New Roman"/>
              <w:b w:val="0"/>
              <w:color w:val="auto"/>
            </w:rPr>
            <w:t>Книга 2. Обосновывающие материалы</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_Toc182813852 \h </w:instrText>
          </w:r>
          <w:r>
            <w:rPr>
              <w:rFonts w:ascii="Times New Roman" w:hAnsi="Times New Roman"/>
              <w:b w:val="0"/>
            </w:rPr>
            <w:fldChar w:fldCharType="separate"/>
          </w:r>
          <w:r>
            <w:rPr>
              <w:rFonts w:ascii="Times New Roman" w:hAnsi="Times New Roman"/>
              <w:b w:val="0"/>
            </w:rPr>
            <w:t>1</w:t>
          </w:r>
          <w:r>
            <w:rPr>
              <w:rFonts w:ascii="Times New Roman" w:hAnsi="Times New Roman"/>
              <w:b w:val="0"/>
            </w:rPr>
            <w:fldChar w:fldCharType="end"/>
          </w:r>
          <w:r>
            <w:rPr>
              <w:rFonts w:ascii="Times New Roman" w:hAnsi="Times New Roman"/>
              <w:b w:val="0"/>
            </w:rPr>
            <w:fldChar w:fldCharType="end"/>
          </w:r>
        </w:p>
        <w:p w14:paraId="742E60ED">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"_Toc182813853" </w:instrText>
          </w:r>
          <w:r>
            <w:fldChar w:fldCharType="separate"/>
          </w:r>
          <w:r>
            <w:rPr>
              <w:rStyle w:val="20"/>
              <w:rFonts w:ascii="Times New Roman" w:hAnsi="Times New Roman"/>
              <w:b w:val="0"/>
              <w:color w:val="auto"/>
            </w:rPr>
            <w:t>Содержание</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_Toc182813853 \h </w:instrText>
          </w:r>
          <w:r>
            <w:rPr>
              <w:rFonts w:ascii="Times New Roman" w:hAnsi="Times New Roman"/>
              <w:b w:val="0"/>
            </w:rPr>
            <w:fldChar w:fldCharType="separate"/>
          </w:r>
          <w:r>
            <w:rPr>
              <w:rFonts w:ascii="Times New Roman" w:hAnsi="Times New Roman"/>
              <w:b w:val="0"/>
            </w:rPr>
            <w:t>2</w:t>
          </w:r>
          <w:r>
            <w:rPr>
              <w:rFonts w:ascii="Times New Roman" w:hAnsi="Times New Roman"/>
              <w:b w:val="0"/>
            </w:rPr>
            <w:fldChar w:fldCharType="end"/>
          </w:r>
          <w:r>
            <w:rPr>
              <w:rFonts w:ascii="Times New Roman" w:hAnsi="Times New Roman"/>
              <w:b w:val="0"/>
            </w:rPr>
            <w:fldChar w:fldCharType="end"/>
          </w:r>
        </w:p>
        <w:p w14:paraId="3D0AE00A">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"_Toc182813854" </w:instrText>
          </w:r>
          <w:r>
            <w:fldChar w:fldCharType="separate"/>
          </w:r>
          <w:r>
            <w:rPr>
              <w:rStyle w:val="20"/>
              <w:rFonts w:ascii="Times New Roman" w:hAnsi="Times New Roman"/>
              <w:b w:val="0"/>
              <w:color w:val="auto"/>
            </w:rPr>
            <w:t>Определения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_Toc182813854 \h </w:instrText>
          </w:r>
          <w:r>
            <w:rPr>
              <w:rFonts w:ascii="Times New Roman" w:hAnsi="Times New Roman"/>
              <w:b w:val="0"/>
            </w:rPr>
            <w:fldChar w:fldCharType="separate"/>
          </w:r>
          <w:r>
            <w:rPr>
              <w:rFonts w:ascii="Times New Roman" w:hAnsi="Times New Roman"/>
              <w:b w:val="0"/>
            </w:rPr>
            <w:t>16</w:t>
          </w:r>
          <w:r>
            <w:rPr>
              <w:rFonts w:ascii="Times New Roman" w:hAnsi="Times New Roman"/>
              <w:b w:val="0"/>
            </w:rPr>
            <w:fldChar w:fldCharType="end"/>
          </w:r>
          <w:r>
            <w:rPr>
              <w:rFonts w:ascii="Times New Roman" w:hAnsi="Times New Roman"/>
              <w:b w:val="0"/>
            </w:rPr>
            <w:fldChar w:fldCharType="end"/>
          </w:r>
        </w:p>
        <w:p w14:paraId="1176AC60">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"_Toc182813855" </w:instrText>
          </w:r>
          <w:r>
            <w:fldChar w:fldCharType="separate"/>
          </w:r>
          <w:r>
            <w:rPr>
              <w:rStyle w:val="20"/>
              <w:rFonts w:ascii="Times New Roman" w:hAnsi="Times New Roman"/>
              <w:b w:val="0"/>
              <w:color w:val="auto"/>
            </w:rPr>
            <w:t>Список сокращений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_Toc182813855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14:paraId="0473AB3B">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"_Toc182813856" </w:instrText>
          </w:r>
          <w:r>
            <w:fldChar w:fldCharType="separate"/>
          </w:r>
          <w:r>
            <w:rPr>
              <w:rStyle w:val="20"/>
              <w:rFonts w:ascii="Times New Roman" w:hAnsi="Times New Roman"/>
              <w:b w:val="0"/>
              <w:color w:val="auto"/>
            </w:rPr>
            <w:t>Аннотация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_Toc182813856 \h </w:instrText>
          </w:r>
          <w:r>
            <w:rPr>
              <w:rFonts w:ascii="Times New Roman" w:hAnsi="Times New Roman"/>
              <w:b w:val="0"/>
            </w:rPr>
            <w:fldChar w:fldCharType="separate"/>
          </w:r>
          <w:r>
            <w:rPr>
              <w:rFonts w:ascii="Times New Roman" w:hAnsi="Times New Roman"/>
              <w:b w:val="0"/>
            </w:rPr>
            <w:t>19</w:t>
          </w:r>
          <w:r>
            <w:rPr>
              <w:rFonts w:ascii="Times New Roman" w:hAnsi="Times New Roman"/>
              <w:b w:val="0"/>
            </w:rPr>
            <w:fldChar w:fldCharType="end"/>
          </w:r>
          <w:r>
            <w:rPr>
              <w:rFonts w:ascii="Times New Roman" w:hAnsi="Times New Roman"/>
              <w:b w:val="0"/>
            </w:rPr>
            <w:fldChar w:fldCharType="end"/>
          </w:r>
        </w:p>
        <w:p w14:paraId="3250383D">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"_Toc182813857" </w:instrText>
          </w:r>
          <w:r>
            <w:fldChar w:fldCharType="separate"/>
          </w:r>
          <w:r>
            <w:rPr>
              <w:rStyle w:val="20"/>
              <w:rFonts w:ascii="Times New Roman" w:hAnsi="Times New Roman"/>
              <w:b w:val="0"/>
              <w:color w:val="auto"/>
            </w:rPr>
            <w:t>1</w:t>
          </w:r>
          <w:r>
            <w:rPr>
              <w:rFonts w:ascii="Times New Roman" w:hAnsi="Times New Roman" w:eastAsiaTheme="minorEastAsia"/>
              <w:b w:val="0"/>
              <w:bCs w:val="0"/>
              <w:caps w:val="0"/>
            </w:rPr>
            <w:tab/>
          </w:r>
          <w:r>
            <w:rPr>
              <w:rStyle w:val="20"/>
              <w:rFonts w:ascii="Times New Roman" w:hAnsi="Times New Roman"/>
              <w:b w:val="0"/>
              <w:color w:val="auto"/>
            </w:rPr>
            <w:t>Глава 1. Существующее положение в сфере производства, передачи и потребления тепловой энергии для целей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_Toc182813857 \h </w:instrText>
          </w:r>
          <w:r>
            <w:rPr>
              <w:rFonts w:ascii="Times New Roman" w:hAnsi="Times New Roman"/>
              <w:b w:val="0"/>
            </w:rPr>
            <w:fldChar w:fldCharType="separate"/>
          </w:r>
          <w:r>
            <w:rPr>
              <w:rFonts w:ascii="Times New Roman" w:hAnsi="Times New Roman"/>
              <w:b w:val="0"/>
            </w:rPr>
            <w:t>22</w:t>
          </w:r>
          <w:r>
            <w:rPr>
              <w:rFonts w:ascii="Times New Roman" w:hAnsi="Times New Roman"/>
              <w:b w:val="0"/>
            </w:rPr>
            <w:fldChar w:fldCharType="end"/>
          </w:r>
          <w:r>
            <w:rPr>
              <w:rFonts w:ascii="Times New Roman" w:hAnsi="Times New Roman"/>
              <w:b w:val="0"/>
            </w:rPr>
            <w:fldChar w:fldCharType="end"/>
          </w:r>
        </w:p>
        <w:p w14:paraId="72E91DC0">
          <w:pPr>
            <w:pStyle w:val="66"/>
            <w:rPr>
              <w:rFonts w:eastAsiaTheme="minorEastAsia"/>
            </w:rPr>
          </w:pPr>
          <w:r>
            <w:fldChar w:fldCharType="begin"/>
          </w:r>
          <w:r>
            <w:instrText xml:space="preserve"> HYPERLINK \l "_Toc182813858" </w:instrText>
          </w:r>
          <w:r>
            <w:fldChar w:fldCharType="separate"/>
          </w:r>
          <w:r>
            <w:rPr>
              <w:rStyle w:val="20"/>
              <w:color w:val="auto"/>
            </w:rPr>
            <w:t>1.1</w:t>
          </w:r>
          <w:r>
            <w:rPr>
              <w:rFonts w:eastAsiaTheme="minorEastAsia"/>
            </w:rPr>
            <w:tab/>
          </w:r>
          <w:r>
            <w:rPr>
              <w:rStyle w:val="20"/>
              <w:color w:val="auto"/>
            </w:rPr>
            <w:t>Часть 1. Функциональная структура теплоснабжения</w:t>
          </w:r>
          <w:r>
            <w:tab/>
          </w:r>
          <w:r>
            <w:fldChar w:fldCharType="begin"/>
          </w:r>
          <w:r>
            <w:instrText xml:space="preserve"> PAGEREF _Toc182813858 \h </w:instrText>
          </w:r>
          <w:r>
            <w:fldChar w:fldCharType="separate"/>
          </w:r>
          <w:r>
            <w:t>22</w:t>
          </w:r>
          <w:r>
            <w:fldChar w:fldCharType="end"/>
          </w:r>
          <w:r>
            <w:fldChar w:fldCharType="end"/>
          </w:r>
        </w:p>
        <w:p w14:paraId="40C33D1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"_Toc182813859" </w:instrText>
          </w:r>
          <w:r>
            <w:fldChar w:fldCharType="separate"/>
          </w:r>
          <w:r>
            <w:rPr>
              <w:rStyle w:val="20"/>
              <w:rFonts w:ascii="Times New Roman" w:hAnsi="Times New Roman" w:cs="Times New Roman"/>
              <w:color w:val="auto"/>
              <w:sz w:val="24"/>
              <w:szCs w:val="24"/>
            </w:rPr>
            <w:t>1.1.1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_Toc182813859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307B0F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"_Toc182813860" </w:instrText>
          </w:r>
          <w:r>
            <w:fldChar w:fldCharType="separate"/>
          </w:r>
          <w:r>
            <w:rPr>
              <w:rStyle w:val="20"/>
              <w:rFonts w:ascii="Times New Roman" w:hAnsi="Times New Roman" w:cs="Times New Roman"/>
              <w:color w:val="auto"/>
              <w:sz w:val="24"/>
              <w:szCs w:val="24"/>
            </w:rPr>
            <w:t>1.1.2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Зоны действия производственных котельных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_Toc182813860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B39A9F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"_Toc182813861" </w:instrText>
          </w:r>
          <w:r>
            <w:fldChar w:fldCharType="separate"/>
          </w:r>
          <w:r>
            <w:rPr>
              <w:rStyle w:val="20"/>
              <w:rFonts w:ascii="Times New Roman" w:hAnsi="Times New Roman" w:cs="Times New Roman"/>
              <w:color w:val="auto"/>
              <w:sz w:val="24"/>
              <w:szCs w:val="24"/>
            </w:rPr>
            <w:t>1.1.3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зон действия индивидуального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_Toc182813861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2F5047F">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"_Toc182813862" </w:instrText>
          </w:r>
          <w:r>
            <w:fldChar w:fldCharType="separate"/>
          </w:r>
          <w:r>
            <w:rPr>
              <w:rStyle w:val="20"/>
              <w:rFonts w:ascii="Times New Roman" w:hAnsi="Times New Roman" w:cs="Times New Roman"/>
              <w:color w:val="auto"/>
              <w:sz w:val="24"/>
              <w:szCs w:val="24"/>
            </w:rPr>
            <w:t>1.1.4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_Toc182813862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7B927AA">
          <w:pPr>
            <w:pStyle w:val="66"/>
            <w:rPr>
              <w:rFonts w:eastAsiaTheme="minorEastAsia"/>
            </w:rPr>
          </w:pPr>
          <w:r>
            <w:fldChar w:fldCharType="begin"/>
          </w:r>
          <w:r>
            <w:instrText xml:space="preserve"> HYPERLINK \l "_Toc182813863" </w:instrText>
          </w:r>
          <w:r>
            <w:fldChar w:fldCharType="separate"/>
          </w:r>
          <w:r>
            <w:rPr>
              <w:rStyle w:val="20"/>
              <w:color w:val="auto"/>
            </w:rPr>
            <w:t>1.2</w:t>
          </w:r>
          <w:r>
            <w:rPr>
              <w:rFonts w:eastAsiaTheme="minorEastAsia"/>
            </w:rPr>
            <w:tab/>
          </w:r>
          <w:r>
            <w:rPr>
              <w:rStyle w:val="20"/>
              <w:color w:val="auto"/>
            </w:rPr>
            <w:t>Часть 2. Источники тепловой энергии</w:t>
          </w:r>
          <w:r>
            <w:tab/>
          </w:r>
          <w:r>
            <w:fldChar w:fldCharType="begin"/>
          </w:r>
          <w:r>
            <w:instrText xml:space="preserve"> PAGEREF _Toc182813863 \h </w:instrText>
          </w:r>
          <w:r>
            <w:fldChar w:fldCharType="separate"/>
          </w:r>
          <w:r>
            <w:t>26</w:t>
          </w:r>
          <w:r>
            <w:fldChar w:fldCharType="end"/>
          </w:r>
          <w:r>
            <w:fldChar w:fldCharType="end"/>
          </w:r>
        </w:p>
        <w:p w14:paraId="583FEF3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"_Toc182813864" </w:instrText>
          </w:r>
          <w:r>
            <w:fldChar w:fldCharType="separate"/>
          </w:r>
          <w:r>
            <w:rPr>
              <w:rStyle w:val="20"/>
              <w:rFonts w:ascii="Times New Roman" w:hAnsi="Times New Roman" w:cs="Times New Roman"/>
              <w:color w:val="auto"/>
              <w:sz w:val="24"/>
              <w:szCs w:val="24"/>
            </w:rPr>
            <w:t>1.2.1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Структура и технические характеристики основного оборудования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_Toc182813864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FD51DE">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"_Toc182813865" </w:instrText>
          </w:r>
          <w:r>
            <w:fldChar w:fldCharType="separate"/>
          </w:r>
          <w:r>
            <w:rPr>
              <w:rStyle w:val="20"/>
              <w:rFonts w:ascii="Times New Roman" w:hAnsi="Times New Roman" w:cs="Times New Roman"/>
              <w:color w:val="auto"/>
              <w:sz w:val="24"/>
              <w:szCs w:val="24"/>
            </w:rPr>
            <w:t>1.2.2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_Toc182813865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45FBF5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"_Toc182813866" </w:instrText>
          </w:r>
          <w:r>
            <w:fldChar w:fldCharType="separate"/>
          </w:r>
          <w:r>
            <w:rPr>
              <w:rStyle w:val="20"/>
              <w:rFonts w:ascii="Times New Roman" w:hAnsi="Times New Roman" w:cs="Times New Roman"/>
              <w:color w:val="auto"/>
              <w:sz w:val="24"/>
              <w:szCs w:val="24"/>
            </w:rPr>
            <w:t>1.2.3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Ограничения тепловой мощности и параметры располагаемой тепловой мощности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_Toc182813866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D51A4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"_Toc182813867" </w:instrText>
          </w:r>
          <w:r>
            <w:fldChar w:fldCharType="separate"/>
          </w:r>
          <w:r>
            <w:rPr>
              <w:rStyle w:val="20"/>
              <w:rFonts w:ascii="Times New Roman" w:hAnsi="Times New Roman" w:cs="Times New Roman"/>
              <w:color w:val="auto"/>
              <w:sz w:val="24"/>
              <w:szCs w:val="24"/>
            </w:rPr>
            <w:t>1.2.4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_Toc182813867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3ECAC3">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"_Toc182813868" </w:instrText>
          </w:r>
          <w:r>
            <w:fldChar w:fldCharType="separate"/>
          </w:r>
          <w:r>
            <w:rPr>
              <w:rStyle w:val="20"/>
              <w:rFonts w:ascii="Times New Roman" w:hAnsi="Times New Roman" w:cs="Times New Roman"/>
              <w:color w:val="auto"/>
              <w:sz w:val="24"/>
              <w:szCs w:val="24"/>
            </w:rPr>
            <w:t>1.2.5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_Toc182813868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960FA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"_Toc182813869" </w:instrText>
          </w:r>
          <w:r>
            <w:fldChar w:fldCharType="separate"/>
          </w:r>
          <w:r>
            <w:rPr>
              <w:rStyle w:val="20"/>
              <w:rFonts w:ascii="Times New Roman" w:hAnsi="Times New Roman" w:cs="Times New Roman"/>
              <w:color w:val="auto"/>
              <w:sz w:val="24"/>
              <w:szCs w:val="24"/>
            </w:rPr>
            <w:t>1.2.6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Системы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_Toc182813869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08A521">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"_Toc182813870" </w:instrText>
          </w:r>
          <w:r>
            <w:fldChar w:fldCharType="separate"/>
          </w:r>
          <w:r>
            <w:rPr>
              <w:rStyle w:val="20"/>
              <w:rFonts w:ascii="Times New Roman" w:hAnsi="Times New Roman" w:cs="Times New Roman"/>
              <w:color w:val="auto"/>
              <w:sz w:val="24"/>
              <w:szCs w:val="24"/>
            </w:rPr>
            <w:t>1.2.7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_Toc182813870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5765C77">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"_Toc182813871" </w:instrText>
          </w:r>
          <w:r>
            <w:fldChar w:fldCharType="separate"/>
          </w:r>
          <w:r>
            <w:rPr>
              <w:rStyle w:val="20"/>
              <w:rFonts w:ascii="Times New Roman" w:hAnsi="Times New Roman" w:cs="Times New Roman"/>
              <w:color w:val="auto"/>
              <w:sz w:val="24"/>
              <w:szCs w:val="24"/>
            </w:rPr>
            <w:t>1.2.8</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Среднегодовая загрузка оборудования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_Toc182813871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320E6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"_Toc182813872" </w:instrText>
          </w:r>
          <w:r>
            <w:fldChar w:fldCharType="separate"/>
          </w:r>
          <w:r>
            <w:rPr>
              <w:rStyle w:val="20"/>
              <w:rFonts w:ascii="Times New Roman" w:hAnsi="Times New Roman" w:cs="Times New Roman"/>
              <w:color w:val="auto"/>
              <w:sz w:val="24"/>
              <w:szCs w:val="24"/>
            </w:rPr>
            <w:t>1.2.9</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Способы учета тепловой энергии, отпущенной в тепловые сети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_Toc182813872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52F5DE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"_Toc182813873" </w:instrText>
          </w:r>
          <w:r>
            <w:fldChar w:fldCharType="separate"/>
          </w:r>
          <w:r>
            <w:rPr>
              <w:rStyle w:val="20"/>
              <w:rFonts w:ascii="Times New Roman" w:hAnsi="Times New Roman" w:cs="Times New Roman"/>
              <w:color w:val="auto"/>
              <w:sz w:val="24"/>
              <w:szCs w:val="24"/>
            </w:rPr>
            <w:t>1.2.10</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Статистика отказов и восстановлений оборудования источников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_Toc182813873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8879D4">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"_Toc182813874" </w:instrText>
          </w:r>
          <w:r>
            <w:fldChar w:fldCharType="separate"/>
          </w:r>
          <w:r>
            <w:rPr>
              <w:rStyle w:val="20"/>
              <w:rFonts w:ascii="Times New Roman" w:hAnsi="Times New Roman" w:cs="Times New Roman"/>
              <w:color w:val="auto"/>
              <w:sz w:val="24"/>
              <w:szCs w:val="24"/>
            </w:rPr>
            <w:t>1.2.11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Предписания надзорных органов по запрещению дальнейшей эксплуатации источников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_Toc182813874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9E85DD9">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"_Toc182813875" </w:instrText>
          </w:r>
          <w:r>
            <w:fldChar w:fldCharType="separate"/>
          </w:r>
          <w:r>
            <w:rPr>
              <w:rStyle w:val="20"/>
              <w:rFonts w:ascii="Times New Roman" w:hAnsi="Times New Roman" w:cs="Times New Roman"/>
              <w:color w:val="auto"/>
              <w:sz w:val="24"/>
              <w:szCs w:val="24"/>
            </w:rPr>
            <w:t>1.2.12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_Toc182813875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D9E854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"_Toc182813876" </w:instrText>
          </w:r>
          <w:r>
            <w:fldChar w:fldCharType="separate"/>
          </w:r>
          <w:r>
            <w:rPr>
              <w:rStyle w:val="20"/>
              <w:rFonts w:ascii="Times New Roman" w:hAnsi="Times New Roman" w:cs="Times New Roman"/>
              <w:color w:val="auto"/>
              <w:sz w:val="24"/>
              <w:szCs w:val="24"/>
            </w:rPr>
            <w:t>1.2.13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_Toc182813876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204B09">
          <w:pPr>
            <w:pStyle w:val="66"/>
            <w:rPr>
              <w:rFonts w:eastAsiaTheme="minorEastAsia"/>
            </w:rPr>
          </w:pPr>
          <w:r>
            <w:fldChar w:fldCharType="begin"/>
          </w:r>
          <w:r>
            <w:instrText xml:space="preserve"> HYPERLINK \l "_Toc182813877" </w:instrText>
          </w:r>
          <w:r>
            <w:fldChar w:fldCharType="separate"/>
          </w:r>
          <w:r>
            <w:rPr>
              <w:rStyle w:val="20"/>
              <w:color w:val="auto"/>
            </w:rPr>
            <w:t>1.3</w:t>
          </w:r>
          <w:r>
            <w:rPr>
              <w:rFonts w:eastAsiaTheme="minorEastAsia"/>
            </w:rPr>
            <w:tab/>
          </w:r>
          <w:r>
            <w:rPr>
              <w:rStyle w:val="20"/>
              <w:color w:val="auto"/>
            </w:rPr>
            <w:t>Часть 3. Тепловые сети, сооружения на них</w:t>
          </w:r>
          <w:r>
            <w:tab/>
          </w:r>
          <w:r>
            <w:fldChar w:fldCharType="begin"/>
          </w:r>
          <w:r>
            <w:instrText xml:space="preserve"> PAGEREF _Toc182813877 \h </w:instrText>
          </w:r>
          <w:r>
            <w:fldChar w:fldCharType="separate"/>
          </w:r>
          <w:r>
            <w:t>38</w:t>
          </w:r>
          <w:r>
            <w:fldChar w:fldCharType="end"/>
          </w:r>
          <w:r>
            <w:fldChar w:fldCharType="end"/>
          </w:r>
        </w:p>
        <w:p w14:paraId="23A6ECA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"_Toc182813878" </w:instrText>
          </w:r>
          <w:r>
            <w:fldChar w:fldCharType="separate"/>
          </w:r>
          <w:r>
            <w:rPr>
              <w:rStyle w:val="20"/>
              <w:rFonts w:ascii="Times New Roman" w:hAnsi="Times New Roman" w:cs="Times New Roman"/>
              <w:color w:val="auto"/>
              <w:sz w:val="24"/>
              <w:szCs w:val="24"/>
            </w:rPr>
            <w:t>1.3.1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_Toc182813878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E00CD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"_Toc182813879" </w:instrText>
          </w:r>
          <w:r>
            <w:fldChar w:fldCharType="separate"/>
          </w:r>
          <w:r>
            <w:rPr>
              <w:rStyle w:val="20"/>
              <w:rFonts w:ascii="Times New Roman" w:hAnsi="Times New Roman" w:cs="Times New Roman"/>
              <w:color w:val="auto"/>
              <w:sz w:val="24"/>
              <w:szCs w:val="24"/>
            </w:rPr>
            <w:t>1.3.2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Карты (схемы) тепловых сетей в зонах действия источников тепловой энергии в электронной форме и (или) на бумажном носителе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_Toc182813879 \h </w:instrText>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0C8C4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"_Toc182813880" </w:instrText>
          </w:r>
          <w:r>
            <w:fldChar w:fldCharType="separate"/>
          </w:r>
          <w:r>
            <w:rPr>
              <w:rStyle w:val="20"/>
              <w:rFonts w:ascii="Times New Roman" w:hAnsi="Times New Roman" w:cs="Times New Roman"/>
              <w:color w:val="auto"/>
              <w:sz w:val="24"/>
              <w:szCs w:val="24"/>
            </w:rPr>
            <w:t>1.3.3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_Toc182813880 \h </w:instrText>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2766C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"_Toc182813881" </w:instrText>
          </w:r>
          <w:r>
            <w:fldChar w:fldCharType="separate"/>
          </w:r>
          <w:r>
            <w:rPr>
              <w:rStyle w:val="20"/>
              <w:rFonts w:ascii="Times New Roman" w:hAnsi="Times New Roman" w:cs="Times New Roman"/>
              <w:color w:val="auto"/>
              <w:sz w:val="24"/>
              <w:szCs w:val="24"/>
            </w:rPr>
            <w:t>1.3.4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типов и количества секционирующей и регулирующей арматуры на тепловых сетях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_Toc182813881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4E235F">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"_Toc182813882" </w:instrText>
          </w:r>
          <w:r>
            <w:fldChar w:fldCharType="separate"/>
          </w:r>
          <w:r>
            <w:rPr>
              <w:rStyle w:val="20"/>
              <w:rFonts w:ascii="Times New Roman" w:hAnsi="Times New Roman" w:cs="Times New Roman"/>
              <w:color w:val="auto"/>
              <w:sz w:val="24"/>
              <w:szCs w:val="24"/>
            </w:rPr>
            <w:t>1.3.5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типов и строительных особенностей тепловых пунктов, тепловых камер и павильонов</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_Toc182813882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8405AE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"_Toc182813883" </w:instrText>
          </w:r>
          <w:r>
            <w:fldChar w:fldCharType="separate"/>
          </w:r>
          <w:r>
            <w:rPr>
              <w:rStyle w:val="20"/>
              <w:rFonts w:ascii="Times New Roman" w:hAnsi="Times New Roman" w:cs="Times New Roman"/>
              <w:color w:val="auto"/>
              <w:sz w:val="24"/>
              <w:szCs w:val="24"/>
            </w:rPr>
            <w:t>1.3.6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графиков регулирования отпуска тепловой энергии в тепловые сети с анализом их обоснованности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_Toc182813883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77F3E4">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"_Toc182813884" </w:instrText>
          </w:r>
          <w:r>
            <w:fldChar w:fldCharType="separate"/>
          </w:r>
          <w:r>
            <w:rPr>
              <w:rStyle w:val="20"/>
              <w:rFonts w:ascii="Times New Roman" w:hAnsi="Times New Roman" w:cs="Times New Roman"/>
              <w:color w:val="auto"/>
              <w:sz w:val="24"/>
              <w:szCs w:val="24"/>
            </w:rPr>
            <w:t>1.3.7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_Toc182813884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109AAF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"_Toc182813885" </w:instrText>
          </w:r>
          <w:r>
            <w:fldChar w:fldCharType="separate"/>
          </w:r>
          <w:r>
            <w:rPr>
              <w:rStyle w:val="20"/>
              <w:rFonts w:ascii="Times New Roman" w:hAnsi="Times New Roman" w:cs="Times New Roman"/>
              <w:color w:val="auto"/>
              <w:sz w:val="24"/>
              <w:szCs w:val="24"/>
            </w:rPr>
            <w:t>1.3.8</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Гидравлические режимы и пьезометрические графики тепловых сетей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_Toc182813885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562D11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"_Toc182813886" </w:instrText>
          </w:r>
          <w:r>
            <w:fldChar w:fldCharType="separate"/>
          </w:r>
          <w:r>
            <w:rPr>
              <w:rStyle w:val="20"/>
              <w:rFonts w:ascii="Times New Roman" w:hAnsi="Times New Roman" w:cs="Times New Roman"/>
              <w:color w:val="auto"/>
              <w:sz w:val="24"/>
              <w:szCs w:val="24"/>
            </w:rPr>
            <w:t>1.3.9</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Статистика отказов тепловых сетей (аварий, инцидентов) за последние 5 лет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_Toc182813886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4DAA8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"_Toc182813887" </w:instrText>
          </w:r>
          <w:r>
            <w:fldChar w:fldCharType="separate"/>
          </w:r>
          <w:r>
            <w:rPr>
              <w:rStyle w:val="20"/>
              <w:rFonts w:ascii="Times New Roman" w:hAnsi="Times New Roman" w:cs="Times New Roman"/>
              <w:color w:val="auto"/>
              <w:sz w:val="24"/>
              <w:szCs w:val="24"/>
            </w:rPr>
            <w:t>1.3.10</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_Toc182813887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F4FF72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"_Toc182813888" </w:instrText>
          </w:r>
          <w:r>
            <w:fldChar w:fldCharType="separate"/>
          </w:r>
          <w:r>
            <w:rPr>
              <w:rStyle w:val="20"/>
              <w:rFonts w:ascii="Times New Roman" w:hAnsi="Times New Roman" w:cs="Times New Roman"/>
              <w:color w:val="auto"/>
              <w:sz w:val="24"/>
              <w:szCs w:val="24"/>
            </w:rPr>
            <w:t>1.3.11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процедур диагностики состояния тепловых сетей и планирования капитальных (текущих) ремонтов</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_Toc182813888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BC3C3E">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"_Toc182813889" </w:instrText>
          </w:r>
          <w:r>
            <w:fldChar w:fldCharType="separate"/>
          </w:r>
          <w:r>
            <w:rPr>
              <w:rStyle w:val="20"/>
              <w:rFonts w:ascii="Times New Roman" w:hAnsi="Times New Roman" w:cs="Times New Roman"/>
              <w:color w:val="auto"/>
              <w:sz w:val="24"/>
              <w:szCs w:val="24"/>
            </w:rPr>
            <w:t>1.3.12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_Toc182813889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51A8D3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"_Toc182813890" </w:instrText>
          </w:r>
          <w:r>
            <w:fldChar w:fldCharType="separate"/>
          </w:r>
          <w:r>
            <w:rPr>
              <w:rStyle w:val="20"/>
              <w:rFonts w:ascii="Times New Roman" w:hAnsi="Times New Roman" w:cs="Times New Roman"/>
              <w:color w:val="auto"/>
              <w:sz w:val="24"/>
              <w:szCs w:val="24"/>
            </w:rPr>
            <w:t>1.3.13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_Toc182813890 \h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CFBCA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"_Toc182813891" </w:instrText>
          </w:r>
          <w:r>
            <w:fldChar w:fldCharType="separate"/>
          </w:r>
          <w:r>
            <w:rPr>
              <w:rStyle w:val="20"/>
              <w:rFonts w:ascii="Times New Roman" w:hAnsi="Times New Roman" w:cs="Times New Roman"/>
              <w:color w:val="auto"/>
              <w:sz w:val="24"/>
              <w:szCs w:val="24"/>
            </w:rPr>
            <w:t>1.3.14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_Toc182813891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D80F8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"_Toc182813892" </w:instrText>
          </w:r>
          <w:r>
            <w:fldChar w:fldCharType="separate"/>
          </w:r>
          <w:r>
            <w:rPr>
              <w:rStyle w:val="20"/>
              <w:rFonts w:ascii="Times New Roman" w:hAnsi="Times New Roman" w:cs="Times New Roman"/>
              <w:color w:val="auto"/>
              <w:sz w:val="24"/>
              <w:szCs w:val="24"/>
            </w:rPr>
            <w:t>1.3.15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Предписания надзорных органов по запрещению дальнейшей эксплуатации участков тепловой сети и результаты их исполнения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_Toc182813892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E75D54">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"_Toc182813893" </w:instrText>
          </w:r>
          <w:r>
            <w:fldChar w:fldCharType="separate"/>
          </w:r>
          <w:r>
            <w:rPr>
              <w:rStyle w:val="20"/>
              <w:rFonts w:ascii="Times New Roman" w:hAnsi="Times New Roman" w:cs="Times New Roman"/>
              <w:color w:val="auto"/>
              <w:sz w:val="24"/>
              <w:szCs w:val="24"/>
            </w:rPr>
            <w:t>1.3.16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_Toc182813893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C036DE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"_Toc182813894" </w:instrText>
          </w:r>
          <w:r>
            <w:fldChar w:fldCharType="separate"/>
          </w:r>
          <w:r>
            <w:rPr>
              <w:rStyle w:val="20"/>
              <w:rFonts w:ascii="Times New Roman" w:hAnsi="Times New Roman" w:cs="Times New Roman"/>
              <w:color w:val="auto"/>
              <w:sz w:val="24"/>
              <w:szCs w:val="24"/>
            </w:rPr>
            <w:t>1.3.17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_Toc182813894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1A6ECC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"_Toc182813895" </w:instrText>
          </w:r>
          <w:r>
            <w:fldChar w:fldCharType="separate"/>
          </w:r>
          <w:r>
            <w:rPr>
              <w:rStyle w:val="20"/>
              <w:rFonts w:ascii="Times New Roman" w:hAnsi="Times New Roman" w:cs="Times New Roman"/>
              <w:color w:val="auto"/>
              <w:sz w:val="24"/>
              <w:szCs w:val="24"/>
            </w:rPr>
            <w:t>1.3.18</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_Toc182813895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CC8A6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"_Toc182813896" </w:instrText>
          </w:r>
          <w:r>
            <w:fldChar w:fldCharType="separate"/>
          </w:r>
          <w:r>
            <w:rPr>
              <w:rStyle w:val="20"/>
              <w:rFonts w:ascii="Times New Roman" w:hAnsi="Times New Roman" w:cs="Times New Roman"/>
              <w:color w:val="auto"/>
              <w:sz w:val="24"/>
              <w:szCs w:val="24"/>
            </w:rPr>
            <w:t>1.3.19</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Уровень автоматизации и обслуживания центральных тепловых пунктов, насосных станций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_Toc182813896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105F19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"_Toc182813897" </w:instrText>
          </w:r>
          <w:r>
            <w:fldChar w:fldCharType="separate"/>
          </w:r>
          <w:r>
            <w:rPr>
              <w:rStyle w:val="20"/>
              <w:rFonts w:ascii="Times New Roman" w:hAnsi="Times New Roman" w:cs="Times New Roman"/>
              <w:color w:val="auto"/>
              <w:sz w:val="24"/>
              <w:szCs w:val="24"/>
            </w:rPr>
            <w:t>1.3.20</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Сведения о наличии защиты тепловых сетей от превышения давления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_Toc182813897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D2DB3C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"_Toc182813898" </w:instrText>
          </w:r>
          <w:r>
            <w:fldChar w:fldCharType="separate"/>
          </w:r>
          <w:r>
            <w:rPr>
              <w:rStyle w:val="20"/>
              <w:rFonts w:ascii="Times New Roman" w:hAnsi="Times New Roman" w:cs="Times New Roman"/>
              <w:color w:val="auto"/>
              <w:sz w:val="24"/>
              <w:szCs w:val="24"/>
            </w:rPr>
            <w:t>1.3.21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Перечень выявленных бесхозяйных тепловых сетей и обоснование выбора организации, уполномоченной на их эксплуатацию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_Toc182813898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031CF04">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"_Toc182813899" </w:instrText>
          </w:r>
          <w:r>
            <w:fldChar w:fldCharType="separate"/>
          </w:r>
          <w:r>
            <w:rPr>
              <w:rStyle w:val="20"/>
              <w:rFonts w:ascii="Times New Roman" w:hAnsi="Times New Roman" w:cs="Times New Roman"/>
              <w:color w:val="auto"/>
              <w:sz w:val="24"/>
              <w:szCs w:val="24"/>
            </w:rPr>
            <w:t>1.3.22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Данные энергетических характеристик тепловых сетей (при их наличии)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_Toc182813899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52916E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"_Toc182813900" </w:instrText>
          </w:r>
          <w:r>
            <w:fldChar w:fldCharType="separate"/>
          </w:r>
          <w:r>
            <w:rPr>
              <w:rStyle w:val="20"/>
              <w:rFonts w:ascii="Times New Roman" w:hAnsi="Times New Roman" w:cs="Times New Roman"/>
              <w:color w:val="auto"/>
              <w:sz w:val="24"/>
              <w:szCs w:val="24"/>
            </w:rPr>
            <w:t>1.3.23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_Toc182813900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AFF0233">
          <w:pPr>
            <w:pStyle w:val="66"/>
            <w:rPr>
              <w:rFonts w:eastAsiaTheme="minorEastAsia"/>
            </w:rPr>
          </w:pPr>
          <w:r>
            <w:fldChar w:fldCharType="begin"/>
          </w:r>
          <w:r>
            <w:instrText xml:space="preserve"> HYPERLINK \l "_Toc182813901" </w:instrText>
          </w:r>
          <w:r>
            <w:fldChar w:fldCharType="separate"/>
          </w:r>
          <w:r>
            <w:rPr>
              <w:rStyle w:val="20"/>
              <w:color w:val="auto"/>
            </w:rPr>
            <w:t>1.4</w:t>
          </w:r>
          <w:r>
            <w:rPr>
              <w:rFonts w:eastAsiaTheme="minorEastAsia"/>
            </w:rPr>
            <w:tab/>
          </w:r>
          <w:r>
            <w:rPr>
              <w:rStyle w:val="20"/>
              <w:color w:val="auto"/>
            </w:rPr>
            <w:t>Часть 4. Зоны действия источников тепловой энергии</w:t>
          </w:r>
          <w:r>
            <w:tab/>
          </w:r>
          <w:r>
            <w:fldChar w:fldCharType="begin"/>
          </w:r>
          <w:r>
            <w:instrText xml:space="preserve"> PAGEREF _Toc182813901 \h </w:instrText>
          </w:r>
          <w:r>
            <w:fldChar w:fldCharType="separate"/>
          </w:r>
          <w:r>
            <w:t>62</w:t>
          </w:r>
          <w:r>
            <w:fldChar w:fldCharType="end"/>
          </w:r>
          <w:r>
            <w:fldChar w:fldCharType="end"/>
          </w:r>
        </w:p>
        <w:p w14:paraId="1F1E50A9">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"_Toc182813902" </w:instrText>
          </w:r>
          <w:r>
            <w:fldChar w:fldCharType="separate"/>
          </w:r>
          <w:r>
            <w:rPr>
              <w:rStyle w:val="20"/>
              <w:rFonts w:ascii="Times New Roman" w:hAnsi="Times New Roman" w:cs="Times New Roman"/>
              <w:color w:val="auto"/>
              <w:sz w:val="24"/>
              <w:szCs w:val="24"/>
            </w:rPr>
            <w:t>1.4.1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электрической и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_Toc182813902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1F9B15E">
          <w:pPr>
            <w:pStyle w:val="66"/>
            <w:rPr>
              <w:rFonts w:eastAsiaTheme="minorEastAsia"/>
            </w:rPr>
          </w:pPr>
          <w:r>
            <w:fldChar w:fldCharType="begin"/>
          </w:r>
          <w:r>
            <w:instrText xml:space="preserve"> HYPERLINK \l "_Toc182813903" </w:instrText>
          </w:r>
          <w:r>
            <w:fldChar w:fldCharType="separate"/>
          </w:r>
          <w:r>
            <w:rPr>
              <w:rStyle w:val="20"/>
              <w:color w:val="auto"/>
            </w:rPr>
            <w:t>1.5</w:t>
          </w:r>
          <w:r>
            <w:rPr>
              <w:rFonts w:eastAsiaTheme="minorEastAsia"/>
            </w:rPr>
            <w:tab/>
          </w:r>
          <w:r>
            <w:rPr>
              <w:rStyle w:val="20"/>
              <w:color w:val="auto"/>
            </w:rPr>
            <w:t>Часть 5. Тепловые нагрузки потребителей тепловой энергии, групп потребителей тепловой энергии в зонах действия источников тепловой энергии</w:t>
          </w:r>
          <w:r>
            <w:tab/>
          </w:r>
          <w:r>
            <w:fldChar w:fldCharType="begin"/>
          </w:r>
          <w:r>
            <w:instrText xml:space="preserve"> PAGEREF _Toc182813903 \h </w:instrText>
          </w:r>
          <w:r>
            <w:fldChar w:fldCharType="separate"/>
          </w:r>
          <w:r>
            <w:t>65</w:t>
          </w:r>
          <w:r>
            <w:fldChar w:fldCharType="end"/>
          </w:r>
          <w:r>
            <w:fldChar w:fldCharType="end"/>
          </w:r>
        </w:p>
        <w:p w14:paraId="322B0F2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"_Toc182813904" </w:instrText>
          </w:r>
          <w:r>
            <w:fldChar w:fldCharType="separate"/>
          </w:r>
          <w:r>
            <w:rPr>
              <w:rStyle w:val="20"/>
              <w:rFonts w:ascii="Times New Roman" w:hAnsi="Times New Roman" w:cs="Times New Roman"/>
              <w:color w:val="auto"/>
              <w:sz w:val="24"/>
              <w:szCs w:val="24"/>
            </w:rPr>
            <w:t>1.5.1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_Toc182813904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C3B04E">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"_Toc182813905" </w:instrText>
          </w:r>
          <w:r>
            <w:fldChar w:fldCharType="separate"/>
          </w:r>
          <w:r>
            <w:rPr>
              <w:rStyle w:val="20"/>
              <w:rFonts w:ascii="Times New Roman" w:hAnsi="Times New Roman" w:cs="Times New Roman"/>
              <w:color w:val="auto"/>
              <w:sz w:val="24"/>
              <w:szCs w:val="24"/>
            </w:rPr>
            <w:t>1.5.2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значений расчетных тепловых нагрузок на коллекторах источников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_Toc182813905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AC3131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"_Toc182813906" </w:instrText>
          </w:r>
          <w:r>
            <w:fldChar w:fldCharType="separate"/>
          </w:r>
          <w:r>
            <w:rPr>
              <w:rStyle w:val="20"/>
              <w:rFonts w:ascii="Times New Roman" w:hAnsi="Times New Roman" w:cs="Times New Roman"/>
              <w:color w:val="auto"/>
              <w:sz w:val="24"/>
              <w:szCs w:val="24"/>
            </w:rPr>
            <w:t>1.5.3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_Toc182813906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62F5C3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"_Toc182813907" </w:instrText>
          </w:r>
          <w:r>
            <w:fldChar w:fldCharType="separate"/>
          </w:r>
          <w:r>
            <w:rPr>
              <w:rStyle w:val="20"/>
              <w:rFonts w:ascii="Times New Roman" w:hAnsi="Times New Roman" w:cs="Times New Roman"/>
              <w:color w:val="auto"/>
              <w:sz w:val="24"/>
              <w:szCs w:val="24"/>
            </w:rPr>
            <w:t>1.5.4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_Toc182813907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3612CF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"_Toc182813908" </w:instrText>
          </w:r>
          <w:r>
            <w:fldChar w:fldCharType="separate"/>
          </w:r>
          <w:r>
            <w:rPr>
              <w:rStyle w:val="20"/>
              <w:rFonts w:ascii="Times New Roman" w:hAnsi="Times New Roman" w:cs="Times New Roman"/>
              <w:color w:val="auto"/>
              <w:sz w:val="24"/>
              <w:szCs w:val="24"/>
            </w:rPr>
            <w:t>1.5.5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существующих нормативов потребления тепловой энергии для населения на отопление и горячее водоснабжение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_Toc182813908 \h </w:instrText>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EB7E3A9">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"_Toc182813909" </w:instrText>
          </w:r>
          <w:r>
            <w:fldChar w:fldCharType="separate"/>
          </w:r>
          <w:r>
            <w:rPr>
              <w:rStyle w:val="20"/>
              <w:rFonts w:ascii="Times New Roman" w:hAnsi="Times New Roman" w:cs="Times New Roman"/>
              <w:color w:val="auto"/>
              <w:sz w:val="24"/>
              <w:szCs w:val="24"/>
            </w:rPr>
            <w:t>1.5.6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Сравнение величины договорной и расчетной тепловой нагрузки по зоне действия каждого источника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_Toc182813909 \h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A0DB8A3">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"_Toc182813910" </w:instrText>
          </w:r>
          <w:r>
            <w:fldChar w:fldCharType="separate"/>
          </w:r>
          <w:r>
            <w:rPr>
              <w:rStyle w:val="20"/>
              <w:rFonts w:ascii="Times New Roman" w:hAnsi="Times New Roman" w:cs="Times New Roman"/>
              <w:color w:val="auto"/>
              <w:sz w:val="24"/>
              <w:szCs w:val="24"/>
            </w:rPr>
            <w:t>1.5.7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_Toc182813910 \h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1CAEDF">
          <w:pPr>
            <w:pStyle w:val="66"/>
            <w:rPr>
              <w:rFonts w:eastAsiaTheme="minorEastAsia"/>
            </w:rPr>
          </w:pPr>
          <w:r>
            <w:fldChar w:fldCharType="begin"/>
          </w:r>
          <w:r>
            <w:instrText xml:space="preserve"> HYPERLINK \l "_Toc182813911" </w:instrText>
          </w:r>
          <w:r>
            <w:fldChar w:fldCharType="separate"/>
          </w:r>
          <w:r>
            <w:rPr>
              <w:rStyle w:val="20"/>
              <w:color w:val="auto"/>
            </w:rPr>
            <w:t>1.6</w:t>
          </w:r>
          <w:r>
            <w:rPr>
              <w:rFonts w:eastAsiaTheme="minorEastAsia"/>
            </w:rPr>
            <w:tab/>
          </w:r>
          <w:r>
            <w:rPr>
              <w:rStyle w:val="20"/>
              <w:color w:val="auto"/>
            </w:rPr>
            <w:t>Часть 6. Балансы тепловой мощности и тепловой нагрузки в зонах действия источников тепловой энергии</w:t>
          </w:r>
          <w:r>
            <w:tab/>
          </w:r>
          <w:r>
            <w:fldChar w:fldCharType="begin"/>
          </w:r>
          <w:r>
            <w:instrText xml:space="preserve"> PAGEREF _Toc182813911 \h </w:instrText>
          </w:r>
          <w:r>
            <w:fldChar w:fldCharType="separate"/>
          </w:r>
          <w:r>
            <w:t>71</w:t>
          </w:r>
          <w:r>
            <w:fldChar w:fldCharType="end"/>
          </w:r>
          <w:r>
            <w:fldChar w:fldCharType="end"/>
          </w:r>
        </w:p>
        <w:p w14:paraId="1449A633">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"_Toc182813912" </w:instrText>
          </w:r>
          <w:r>
            <w:fldChar w:fldCharType="separate"/>
          </w:r>
          <w:r>
            <w:rPr>
              <w:rStyle w:val="20"/>
              <w:rFonts w:ascii="Times New Roman" w:hAnsi="Times New Roman" w:cs="Times New Roman"/>
              <w:color w:val="auto"/>
              <w:sz w:val="24"/>
              <w:szCs w:val="24"/>
            </w:rPr>
            <w:t>1.6.1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_Toc182813912 \h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14997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"_Toc182813913" </w:instrText>
          </w:r>
          <w:r>
            <w:fldChar w:fldCharType="separate"/>
          </w:r>
          <w:r>
            <w:rPr>
              <w:rStyle w:val="20"/>
              <w:rFonts w:ascii="Times New Roman" w:hAnsi="Times New Roman" w:cs="Times New Roman"/>
              <w:color w:val="auto"/>
              <w:sz w:val="24"/>
              <w:szCs w:val="24"/>
            </w:rPr>
            <w:t>1.6.2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_Toc182813913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B389F8">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"_Toc182813914" </w:instrText>
          </w:r>
          <w:r>
            <w:fldChar w:fldCharType="separate"/>
          </w:r>
          <w:r>
            <w:rPr>
              <w:rStyle w:val="20"/>
              <w:rFonts w:ascii="Times New Roman" w:hAnsi="Times New Roman" w:cs="Times New Roman"/>
              <w:color w:val="auto"/>
              <w:sz w:val="24"/>
              <w:szCs w:val="24"/>
            </w:rPr>
            <w:t>1.6.3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_Toc182813914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1142E0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"_Toc182813915" </w:instrText>
          </w:r>
          <w:r>
            <w:fldChar w:fldCharType="separate"/>
          </w:r>
          <w:r>
            <w:rPr>
              <w:rStyle w:val="20"/>
              <w:rFonts w:ascii="Times New Roman" w:hAnsi="Times New Roman" w:cs="Times New Roman"/>
              <w:color w:val="auto"/>
              <w:sz w:val="24"/>
              <w:szCs w:val="24"/>
            </w:rPr>
            <w:t>1.6.4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причины возникновения дефицитов тепловой мощности и последствий влияния дефицитов на качество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_Toc182813915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D450863">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"_Toc182813916" </w:instrText>
          </w:r>
          <w:r>
            <w:fldChar w:fldCharType="separate"/>
          </w:r>
          <w:r>
            <w:rPr>
              <w:rStyle w:val="20"/>
              <w:rFonts w:ascii="Times New Roman" w:hAnsi="Times New Roman" w:cs="Times New Roman"/>
              <w:color w:val="auto"/>
              <w:sz w:val="24"/>
              <w:szCs w:val="24"/>
            </w:rPr>
            <w:t>1.6.5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_Toc182813916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DD2ED5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"_Toc182813917" </w:instrText>
          </w:r>
          <w:r>
            <w:fldChar w:fldCharType="separate"/>
          </w:r>
          <w:r>
            <w:rPr>
              <w:rStyle w:val="20"/>
              <w:rFonts w:ascii="Times New Roman" w:hAnsi="Times New Roman" w:cs="Times New Roman"/>
              <w:color w:val="auto"/>
              <w:sz w:val="24"/>
              <w:szCs w:val="24"/>
            </w:rPr>
            <w:t>1.6.6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_Toc182813917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DACD910">
          <w:pPr>
            <w:pStyle w:val="66"/>
            <w:rPr>
              <w:rFonts w:eastAsiaTheme="minorEastAsia"/>
            </w:rPr>
          </w:pPr>
          <w:r>
            <w:fldChar w:fldCharType="begin"/>
          </w:r>
          <w:r>
            <w:instrText xml:space="preserve"> HYPERLINK \l "_Toc182813918" </w:instrText>
          </w:r>
          <w:r>
            <w:fldChar w:fldCharType="separate"/>
          </w:r>
          <w:r>
            <w:rPr>
              <w:rStyle w:val="20"/>
              <w:color w:val="auto"/>
            </w:rPr>
            <w:t>1.7</w:t>
          </w:r>
          <w:r>
            <w:rPr>
              <w:rFonts w:eastAsiaTheme="minorEastAsia"/>
            </w:rPr>
            <w:tab/>
          </w:r>
          <w:r>
            <w:rPr>
              <w:rStyle w:val="20"/>
              <w:color w:val="auto"/>
            </w:rPr>
            <w:t>Часть 7. Балансы теплоносителя</w:t>
          </w:r>
          <w:r>
            <w:tab/>
          </w:r>
          <w:r>
            <w:fldChar w:fldCharType="begin"/>
          </w:r>
          <w:r>
            <w:instrText xml:space="preserve"> PAGEREF _Toc182813918 \h </w:instrText>
          </w:r>
          <w:r>
            <w:fldChar w:fldCharType="separate"/>
          </w:r>
          <w:r>
            <w:t>74</w:t>
          </w:r>
          <w:r>
            <w:fldChar w:fldCharType="end"/>
          </w:r>
          <w:r>
            <w:fldChar w:fldCharType="end"/>
          </w:r>
        </w:p>
        <w:p w14:paraId="2C45720E">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"_Toc182813919" </w:instrText>
          </w:r>
          <w:r>
            <w:fldChar w:fldCharType="separate"/>
          </w:r>
          <w:r>
            <w:rPr>
              <w:rStyle w:val="20"/>
              <w:rFonts w:ascii="Times New Roman" w:hAnsi="Times New Roman" w:cs="Times New Roman"/>
              <w:color w:val="auto"/>
              <w:sz w:val="24"/>
              <w:szCs w:val="24"/>
            </w:rPr>
            <w:t>1.7.1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Pr>
              <w:rStyle w:val="20"/>
              <w:rFonts w:ascii="Times New Roman" w:hAnsi="Times New Roman" w:cs="Times New Roman"/>
              <w:color w:val="auto"/>
              <w:sz w:val="24"/>
              <w:szCs w:val="24"/>
              <w:shd w:val="clear" w:color="auto" w:fill="FFFFFF" w:themeFill="background1"/>
            </w:rPr>
            <w:t>в перспективных зонах</w:t>
          </w:r>
          <w:r>
            <w:rPr>
              <w:rStyle w:val="20"/>
              <w:rFonts w:ascii="Times New Roman" w:hAnsi="Times New Roman" w:cs="Times New Roman"/>
              <w:color w:val="auto"/>
              <w:sz w:val="24"/>
              <w:szCs w:val="24"/>
            </w:rPr>
            <w:t xml:space="preserve"> действия систем теплоснабжения и источников тепловой энергии, в том числе работающих на единую тепловую сеть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_Toc182813919 \h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EEB8B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"_Toc182813920" </w:instrText>
          </w:r>
          <w:r>
            <w:fldChar w:fldCharType="separate"/>
          </w:r>
          <w:r>
            <w:rPr>
              <w:rStyle w:val="20"/>
              <w:rFonts w:ascii="Times New Roman" w:hAnsi="Times New Roman" w:cs="Times New Roman"/>
              <w:color w:val="auto"/>
              <w:sz w:val="24"/>
              <w:szCs w:val="24"/>
            </w:rPr>
            <w:t>1.7.2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_Toc182813920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8ED02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"_Toc182813921" </w:instrText>
          </w:r>
          <w:r>
            <w:fldChar w:fldCharType="separate"/>
          </w:r>
          <w:r>
            <w:rPr>
              <w:rStyle w:val="20"/>
              <w:rFonts w:ascii="Times New Roman" w:hAnsi="Times New Roman" w:cs="Times New Roman"/>
              <w:color w:val="auto"/>
              <w:sz w:val="24"/>
              <w:szCs w:val="24"/>
            </w:rPr>
            <w:t>1.7.3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разработке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_Toc182813921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024262">
          <w:pPr>
            <w:pStyle w:val="66"/>
            <w:rPr>
              <w:rFonts w:eastAsiaTheme="minorEastAsia"/>
            </w:rPr>
          </w:pPr>
          <w:r>
            <w:fldChar w:fldCharType="begin"/>
          </w:r>
          <w:r>
            <w:instrText xml:space="preserve"> HYPERLINK \l "_Toc182813922" </w:instrText>
          </w:r>
          <w:r>
            <w:fldChar w:fldCharType="separate"/>
          </w:r>
          <w:r>
            <w:rPr>
              <w:rStyle w:val="20"/>
              <w:color w:val="auto"/>
            </w:rPr>
            <w:t>1.8</w:t>
          </w:r>
          <w:r>
            <w:rPr>
              <w:rFonts w:eastAsiaTheme="minorEastAsia"/>
            </w:rPr>
            <w:tab/>
          </w:r>
          <w:r>
            <w:rPr>
              <w:rStyle w:val="20"/>
              <w:color w:val="auto"/>
            </w:rPr>
            <w:t>Часть 8. Топливные балансы источников тепловой энергии и система обеспечения топливом</w:t>
          </w:r>
          <w:r>
            <w:tab/>
          </w:r>
          <w:r>
            <w:tab/>
          </w:r>
          <w:r>
            <w:fldChar w:fldCharType="begin"/>
          </w:r>
          <w:r>
            <w:instrText xml:space="preserve"> PAGEREF _Toc182813922 \h </w:instrText>
          </w:r>
          <w:r>
            <w:fldChar w:fldCharType="separate"/>
          </w:r>
          <w:r>
            <w:t>76</w:t>
          </w:r>
          <w:r>
            <w:fldChar w:fldCharType="end"/>
          </w:r>
          <w:r>
            <w:fldChar w:fldCharType="end"/>
          </w:r>
        </w:p>
        <w:p w14:paraId="776B85D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"_Toc182813923" </w:instrText>
          </w:r>
          <w:r>
            <w:fldChar w:fldCharType="separate"/>
          </w:r>
          <w:r>
            <w:rPr>
              <w:rStyle w:val="20"/>
              <w:rFonts w:ascii="Times New Roman" w:hAnsi="Times New Roman" w:cs="Times New Roman"/>
              <w:color w:val="auto"/>
              <w:sz w:val="24"/>
              <w:szCs w:val="24"/>
            </w:rPr>
            <w:t>1.8.1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видов и количество используемого основного топлива для каждого источника тепловой энергии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_Toc182813923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8094A7">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"_Toc182813924" </w:instrText>
          </w:r>
          <w:r>
            <w:fldChar w:fldCharType="separate"/>
          </w:r>
          <w:r>
            <w:rPr>
              <w:rStyle w:val="20"/>
              <w:rFonts w:ascii="Times New Roman" w:hAnsi="Times New Roman" w:cs="Times New Roman"/>
              <w:color w:val="auto"/>
              <w:sz w:val="24"/>
              <w:szCs w:val="24"/>
            </w:rPr>
            <w:t>1.8.2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видов резервного и аварийного топлива и возможности их обеспечения в соответствии с нормативными требованиями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_Toc182813924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253045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"_Toc182813925" </w:instrText>
          </w:r>
          <w:r>
            <w:fldChar w:fldCharType="separate"/>
          </w:r>
          <w:r>
            <w:rPr>
              <w:rStyle w:val="20"/>
              <w:rFonts w:ascii="Times New Roman" w:hAnsi="Times New Roman" w:cs="Times New Roman"/>
              <w:color w:val="auto"/>
              <w:sz w:val="24"/>
              <w:szCs w:val="24"/>
            </w:rPr>
            <w:t>1.8.3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особенностей характеристик топлив в зависимости от мест поставки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_Toc182813925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7E35284">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"_Toc182813926" </w:instrText>
          </w:r>
          <w:r>
            <w:fldChar w:fldCharType="separate"/>
          </w:r>
          <w:r>
            <w:rPr>
              <w:rStyle w:val="20"/>
              <w:rFonts w:ascii="Times New Roman" w:hAnsi="Times New Roman" w:cs="Times New Roman"/>
              <w:color w:val="auto"/>
              <w:sz w:val="24"/>
              <w:szCs w:val="24"/>
            </w:rPr>
            <w:t>1.8.4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использования местных видов топлива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_Toc182813926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D98EAB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"_Toc182813927" </w:instrText>
          </w:r>
          <w:r>
            <w:fldChar w:fldCharType="separate"/>
          </w:r>
          <w:r>
            <w:rPr>
              <w:rStyle w:val="20"/>
              <w:rFonts w:ascii="Times New Roman" w:hAnsi="Times New Roman" w:cs="Times New Roman"/>
              <w:color w:val="auto"/>
              <w:sz w:val="24"/>
              <w:szCs w:val="24"/>
            </w:rPr>
            <w:t>1.8.5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_Toc182813927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F07791">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"_Toc182813928" </w:instrText>
          </w:r>
          <w:r>
            <w:fldChar w:fldCharType="separate"/>
          </w:r>
          <w:r>
            <w:rPr>
              <w:rStyle w:val="20"/>
              <w:rFonts w:ascii="Times New Roman" w:hAnsi="Times New Roman" w:cs="Times New Roman"/>
              <w:color w:val="auto"/>
              <w:sz w:val="24"/>
              <w:szCs w:val="24"/>
            </w:rPr>
            <w:t>1.8.6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преобладающего на территории с.п. Верхнеказымский вида топлива, определяемого по совокупности всех систем теплоснабжения, находящихся на территории с.п. Верхнеказымский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_Toc182813928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292CB1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"_Toc182813929" </w:instrText>
          </w:r>
          <w:r>
            <w:fldChar w:fldCharType="separate"/>
          </w:r>
          <w:r>
            <w:rPr>
              <w:rStyle w:val="20"/>
              <w:rFonts w:ascii="Times New Roman" w:hAnsi="Times New Roman" w:cs="Times New Roman"/>
              <w:color w:val="auto"/>
              <w:sz w:val="24"/>
              <w:szCs w:val="24"/>
            </w:rPr>
            <w:t>1.8.7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приоритетного направления развития топливного баланса на территории с.п. Верхнеказымский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_Toc182813929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72103EF">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"_Toc182813930" </w:instrText>
          </w:r>
          <w:r>
            <w:fldChar w:fldCharType="separate"/>
          </w:r>
          <w:r>
            <w:rPr>
              <w:rStyle w:val="20"/>
              <w:rFonts w:ascii="Times New Roman" w:hAnsi="Times New Roman" w:cs="Times New Roman"/>
              <w:color w:val="auto"/>
              <w:sz w:val="24"/>
              <w:szCs w:val="24"/>
            </w:rPr>
            <w:t>1.8.8</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_Toc182813930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8241D72">
          <w:pPr>
            <w:pStyle w:val="66"/>
            <w:rPr>
              <w:rFonts w:eastAsiaTheme="minorEastAsia"/>
            </w:rPr>
          </w:pPr>
          <w:r>
            <w:fldChar w:fldCharType="begin"/>
          </w:r>
          <w:r>
            <w:instrText xml:space="preserve"> HYPERLINK \l "_Toc182813931" </w:instrText>
          </w:r>
          <w:r>
            <w:fldChar w:fldCharType="separate"/>
          </w:r>
          <w:r>
            <w:rPr>
              <w:rStyle w:val="20"/>
              <w:color w:val="auto"/>
            </w:rPr>
            <w:t>1.9</w:t>
          </w:r>
          <w:r>
            <w:rPr>
              <w:rFonts w:eastAsiaTheme="minorEastAsia"/>
            </w:rPr>
            <w:tab/>
          </w:r>
          <w:r>
            <w:rPr>
              <w:rStyle w:val="20"/>
              <w:color w:val="auto"/>
            </w:rPr>
            <w:t>Часть 9. Надежность теплоснабжения</w:t>
          </w:r>
          <w:r>
            <w:tab/>
          </w:r>
          <w:r>
            <w:fldChar w:fldCharType="begin"/>
          </w:r>
          <w:r>
            <w:instrText xml:space="preserve"> PAGEREF _Toc182813931 \h </w:instrText>
          </w:r>
          <w:r>
            <w:fldChar w:fldCharType="separate"/>
          </w:r>
          <w:r>
            <w:t>78</w:t>
          </w:r>
          <w:r>
            <w:fldChar w:fldCharType="end"/>
          </w:r>
          <w:r>
            <w:fldChar w:fldCharType="end"/>
          </w:r>
        </w:p>
        <w:p w14:paraId="713769E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"_Toc182813932" </w:instrText>
          </w:r>
          <w:r>
            <w:fldChar w:fldCharType="separate"/>
          </w:r>
          <w:r>
            <w:rPr>
              <w:rStyle w:val="20"/>
              <w:rFonts w:ascii="Times New Roman" w:hAnsi="Times New Roman" w:cs="Times New Roman"/>
              <w:color w:val="auto"/>
              <w:sz w:val="24"/>
              <w:szCs w:val="24"/>
            </w:rPr>
            <w:t>1.9.1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 значения показателей, определяемых в соответствии с методическими указаниями по разработке схем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_Toc182813932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0639B27">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"_Toc182813933" </w:instrText>
          </w:r>
          <w:r>
            <w:fldChar w:fldCharType="separate"/>
          </w:r>
          <w:r>
            <w:rPr>
              <w:rStyle w:val="20"/>
              <w:rFonts w:ascii="Times New Roman" w:hAnsi="Times New Roman" w:cs="Times New Roman"/>
              <w:color w:val="auto"/>
              <w:sz w:val="24"/>
              <w:szCs w:val="24"/>
            </w:rPr>
            <w:t>1.9.2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Поток отказов (частоты отказов) участков тепловых сетей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_Toc182813933 \h </w:instrText>
          </w:r>
          <w:r>
            <w:rPr>
              <w:rFonts w:ascii="Times New Roman" w:hAnsi="Times New Roman" w:cs="Times New Roman"/>
              <w:sz w:val="24"/>
              <w:szCs w:val="24"/>
            </w:rPr>
            <w:fldChar w:fldCharType="separate"/>
          </w:r>
          <w:r>
            <w:rPr>
              <w:rFonts w:ascii="Times New Roman" w:hAnsi="Times New Roman" w:cs="Times New Roman"/>
              <w:sz w:val="24"/>
              <w:szCs w:val="24"/>
            </w:rPr>
            <w:t>79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4D09129">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"_Toc182813934" </w:instrText>
          </w:r>
          <w:r>
            <w:fldChar w:fldCharType="separate"/>
          </w:r>
          <w:r>
            <w:rPr>
              <w:rStyle w:val="20"/>
              <w:rFonts w:ascii="Times New Roman" w:hAnsi="Times New Roman" w:cs="Times New Roman"/>
              <w:color w:val="auto"/>
              <w:sz w:val="24"/>
              <w:szCs w:val="24"/>
            </w:rPr>
            <w:t>1.9.3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Частота отключения потребителей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_Toc182813934 \h </w:instrText>
          </w:r>
          <w:r>
            <w:rPr>
              <w:rFonts w:ascii="Times New Roman" w:hAnsi="Times New Roman" w:cs="Times New Roman"/>
              <w:sz w:val="24"/>
              <w:szCs w:val="24"/>
            </w:rPr>
            <w:fldChar w:fldCharType="separate"/>
          </w:r>
          <w:r>
            <w:rPr>
              <w:rFonts w:ascii="Times New Roman" w:hAnsi="Times New Roman" w:cs="Times New Roman"/>
              <w:sz w:val="24"/>
              <w:szCs w:val="24"/>
            </w:rPr>
            <w:t>79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0BD12F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"_Toc182813935" </w:instrText>
          </w:r>
          <w:r>
            <w:fldChar w:fldCharType="separate"/>
          </w:r>
          <w:r>
            <w:rPr>
              <w:rStyle w:val="20"/>
              <w:rFonts w:ascii="Times New Roman" w:hAnsi="Times New Roman" w:cs="Times New Roman"/>
              <w:color w:val="auto"/>
              <w:sz w:val="24"/>
              <w:szCs w:val="24"/>
            </w:rPr>
            <w:t>1.9.4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Поток (частота) и времени восстановления теплоснабжения потребителей после отключений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_Toc182813935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37F979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"_Toc182813936" </w:instrText>
          </w:r>
          <w:r>
            <w:fldChar w:fldCharType="separate"/>
          </w:r>
          <w:r>
            <w:rPr>
              <w:rStyle w:val="20"/>
              <w:rFonts w:ascii="Times New Roman" w:hAnsi="Times New Roman" w:cs="Times New Roman"/>
              <w:color w:val="auto"/>
              <w:sz w:val="24"/>
              <w:szCs w:val="24"/>
            </w:rPr>
            <w:t>1.9.5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Графические материалы (карты-схемы тепловых сетей и зон ненормативной надежности и безопасности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_Toc182813936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1EB85B3">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"_Toc182813937" </w:instrText>
          </w:r>
          <w:r>
            <w:fldChar w:fldCharType="separate"/>
          </w:r>
          <w:r>
            <w:rPr>
              <w:rStyle w:val="20"/>
              <w:rFonts w:ascii="Times New Roman" w:hAnsi="Times New Roman" w:cs="Times New Roman"/>
              <w:color w:val="auto"/>
              <w:sz w:val="24"/>
              <w:szCs w:val="24"/>
            </w:rPr>
            <w:t>1.9.6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электроэнергетических системах России»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_Toc182813937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B9B5F2">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"_Toc182813938" </w:instrText>
          </w:r>
          <w:r>
            <w:fldChar w:fldCharType="separate"/>
          </w:r>
          <w:r>
            <w:rPr>
              <w:rStyle w:val="20"/>
              <w:rFonts w:ascii="Times New Roman" w:hAnsi="Times New Roman" w:cs="Times New Roman"/>
              <w:color w:val="auto"/>
              <w:sz w:val="24"/>
              <w:szCs w:val="24"/>
            </w:rPr>
            <w:t>1.9.7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_Toc182813938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74941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"_Toc182813939" </w:instrText>
          </w:r>
          <w:r>
            <w:fldChar w:fldCharType="separate"/>
          </w:r>
          <w:r>
            <w:rPr>
              <w:rStyle w:val="20"/>
              <w:rFonts w:ascii="Times New Roman" w:hAnsi="Times New Roman" w:cs="Times New Roman"/>
              <w:color w:val="auto"/>
              <w:sz w:val="24"/>
              <w:szCs w:val="24"/>
            </w:rPr>
            <w:t>1.9.8</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_Toc182813939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BBC5ED3">
          <w:pPr>
            <w:pStyle w:val="66"/>
            <w:rPr>
              <w:rFonts w:eastAsiaTheme="minorEastAsia"/>
            </w:rPr>
          </w:pPr>
          <w:r>
            <w:fldChar w:fldCharType="begin"/>
          </w:r>
          <w:r>
            <w:instrText xml:space="preserve"> HYPERLINK \l "_Toc182813940" </w:instrText>
          </w:r>
          <w:r>
            <w:fldChar w:fldCharType="separate"/>
          </w:r>
          <w:r>
            <w:rPr>
              <w:rStyle w:val="20"/>
              <w:color w:val="auto"/>
            </w:rPr>
            <w:t>1.10</w:t>
          </w:r>
          <w:r>
            <w:rPr>
              <w:rFonts w:eastAsiaTheme="minorEastAsia"/>
            </w:rPr>
            <w:tab/>
          </w:r>
          <w:r>
            <w:rPr>
              <w:rStyle w:val="20"/>
              <w:color w:val="auto"/>
            </w:rPr>
            <w:t>Часть 10. Технико-экономические показатели теплоснабжающих и теплосетевых организаций</w:t>
          </w:r>
          <w:r>
            <w:tab/>
          </w:r>
          <w:r>
            <w:tab/>
          </w:r>
          <w:r>
            <w:fldChar w:fldCharType="begin"/>
          </w:r>
          <w:r>
            <w:instrText xml:space="preserve"> PAGEREF _Toc182813940 \h </w:instrText>
          </w:r>
          <w:r>
            <w:fldChar w:fldCharType="separate"/>
          </w:r>
          <w:r>
            <w:t>82</w:t>
          </w:r>
          <w:r>
            <w:fldChar w:fldCharType="end"/>
          </w:r>
          <w:r>
            <w:fldChar w:fldCharType="end"/>
          </w:r>
        </w:p>
        <w:p w14:paraId="1B0EE01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"_Toc182813941" </w:instrText>
          </w:r>
          <w:r>
            <w:fldChar w:fldCharType="separate"/>
          </w:r>
          <w:r>
            <w:rPr>
              <w:rStyle w:val="20"/>
              <w:rFonts w:ascii="Times New Roman" w:hAnsi="Times New Roman" w:cs="Times New Roman"/>
              <w:color w:val="auto"/>
              <w:sz w:val="24"/>
              <w:szCs w:val="24"/>
            </w:rPr>
            <w:t>1.10.1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показателей хозяйственной деятельности теплоснабжающих и теплосетевых организаций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_Toc182813941 \h </w:instrText>
          </w:r>
          <w:r>
            <w:rPr>
              <w:rFonts w:ascii="Times New Roman" w:hAnsi="Times New Roman" w:cs="Times New Roman"/>
              <w:sz w:val="24"/>
              <w:szCs w:val="24"/>
            </w:rPr>
            <w:fldChar w:fldCharType="separate"/>
          </w:r>
          <w:r>
            <w:rPr>
              <w:rFonts w:ascii="Times New Roman" w:hAnsi="Times New Roman" w:cs="Times New Roman"/>
              <w:sz w:val="24"/>
              <w:szCs w:val="24"/>
            </w:rPr>
            <w:t>82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025B2E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"_Toc182813942" </w:instrText>
          </w:r>
          <w:r>
            <w:fldChar w:fldCharType="separate"/>
          </w:r>
          <w:r>
            <w:rPr>
              <w:rStyle w:val="20"/>
              <w:rFonts w:ascii="Times New Roman" w:hAnsi="Times New Roman" w:cs="Times New Roman"/>
              <w:color w:val="auto"/>
              <w:sz w:val="24"/>
              <w:szCs w:val="24"/>
            </w:rPr>
            <w:t>1.10.2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_Toc182813942 \h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7FC7C8">
          <w:pPr>
            <w:pStyle w:val="66"/>
            <w:rPr>
              <w:rFonts w:eastAsiaTheme="minorEastAsia"/>
            </w:rPr>
          </w:pPr>
          <w:r>
            <w:fldChar w:fldCharType="begin"/>
          </w:r>
          <w:r>
            <w:instrText xml:space="preserve"> HYPERLINK \l "_Toc182813943" </w:instrText>
          </w:r>
          <w:r>
            <w:fldChar w:fldCharType="separate"/>
          </w:r>
          <w:r>
            <w:rPr>
              <w:rStyle w:val="20"/>
              <w:color w:val="auto"/>
            </w:rPr>
            <w:t>1.11</w:t>
          </w:r>
          <w:r>
            <w:rPr>
              <w:rFonts w:eastAsiaTheme="minorEastAsia"/>
            </w:rPr>
            <w:tab/>
          </w:r>
          <w:r>
            <w:rPr>
              <w:rStyle w:val="20"/>
              <w:color w:val="auto"/>
            </w:rPr>
            <w:t>Часть 11. Цены (тарифы) в сфере теплоснабжения</w:t>
          </w:r>
          <w:r>
            <w:tab/>
          </w:r>
          <w:r>
            <w:fldChar w:fldCharType="begin"/>
          </w:r>
          <w:r>
            <w:instrText xml:space="preserve"> PAGEREF _Toc182813943 \h </w:instrText>
          </w:r>
          <w:r>
            <w:fldChar w:fldCharType="separate"/>
          </w:r>
          <w:r>
            <w:t>86</w:t>
          </w:r>
          <w:r>
            <w:fldChar w:fldCharType="end"/>
          </w:r>
          <w:r>
            <w:fldChar w:fldCharType="end"/>
          </w:r>
        </w:p>
        <w:p w14:paraId="25C241EE">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"_Toc182813944" </w:instrText>
          </w:r>
          <w:r>
            <w:fldChar w:fldCharType="separate"/>
          </w:r>
          <w:r>
            <w:rPr>
              <w:rStyle w:val="20"/>
              <w:rFonts w:ascii="Times New Roman" w:hAnsi="Times New Roman" w:cs="Times New Roman"/>
              <w:color w:val="auto"/>
              <w:sz w:val="24"/>
              <w:szCs w:val="24"/>
            </w:rPr>
            <w:t>1.11.1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_Toc182813944 \h </w:instrText>
          </w:r>
          <w:r>
            <w:rPr>
              <w:rFonts w:ascii="Times New Roman" w:hAnsi="Times New Roman" w:cs="Times New Roman"/>
              <w:sz w:val="24"/>
              <w:szCs w:val="24"/>
            </w:rPr>
            <w:fldChar w:fldCharType="separate"/>
          </w:r>
          <w:r>
            <w:rPr>
              <w:rFonts w:ascii="Times New Roman" w:hAnsi="Times New Roman" w:cs="Times New Roman"/>
              <w:sz w:val="24"/>
              <w:szCs w:val="24"/>
            </w:rPr>
            <w:t>86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D6F08A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"_Toc182813945" </w:instrText>
          </w:r>
          <w:r>
            <w:fldChar w:fldCharType="separate"/>
          </w:r>
          <w:r>
            <w:rPr>
              <w:rStyle w:val="20"/>
              <w:rFonts w:ascii="Times New Roman" w:hAnsi="Times New Roman" w:cs="Times New Roman"/>
              <w:color w:val="auto"/>
              <w:sz w:val="24"/>
              <w:szCs w:val="24"/>
            </w:rPr>
            <w:t>1.11.2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структуры цен (тарифов), установленных на момент разработки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_Toc182813945 \h </w:instrText>
          </w:r>
          <w:r>
            <w:rPr>
              <w:rFonts w:ascii="Times New Roman" w:hAnsi="Times New Roman" w:cs="Times New Roman"/>
              <w:sz w:val="24"/>
              <w:szCs w:val="24"/>
            </w:rPr>
            <w:fldChar w:fldCharType="separate"/>
          </w:r>
          <w:r>
            <w:rPr>
              <w:rFonts w:ascii="Times New Roman" w:hAnsi="Times New Roman" w:cs="Times New Roman"/>
              <w:sz w:val="24"/>
              <w:szCs w:val="24"/>
            </w:rPr>
            <w:t>86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49056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"_Toc182813946" </w:instrText>
          </w:r>
          <w:r>
            <w:fldChar w:fldCharType="separate"/>
          </w:r>
          <w:r>
            <w:rPr>
              <w:rStyle w:val="20"/>
              <w:rFonts w:ascii="Times New Roman" w:hAnsi="Times New Roman" w:cs="Times New Roman"/>
              <w:color w:val="auto"/>
              <w:sz w:val="24"/>
              <w:szCs w:val="24"/>
            </w:rPr>
            <w:t>1.11.3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платы за подключение к системе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_Toc182813946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0697B7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"_Toc182813947" </w:instrText>
          </w:r>
          <w:r>
            <w:fldChar w:fldCharType="separate"/>
          </w:r>
          <w:r>
            <w:rPr>
              <w:rStyle w:val="20"/>
              <w:rFonts w:ascii="Times New Roman" w:hAnsi="Times New Roman" w:cs="Times New Roman"/>
              <w:color w:val="auto"/>
              <w:sz w:val="24"/>
              <w:szCs w:val="24"/>
            </w:rPr>
            <w:t>1.11.4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платы за услуги по поддержанию резервной тепловой мощности, в том числе для социально значимых категорий потребителей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_Toc182813947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6BE8A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"_Toc182813948" </w:instrText>
          </w:r>
          <w:r>
            <w:fldChar w:fldCharType="separate"/>
          </w:r>
          <w:r>
            <w:rPr>
              <w:rStyle w:val="20"/>
              <w:rFonts w:ascii="Times New Roman" w:hAnsi="Times New Roman" w:cs="Times New Roman"/>
              <w:color w:val="auto"/>
              <w:sz w:val="24"/>
              <w:szCs w:val="24"/>
            </w:rPr>
            <w:t>1.11.5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_Toc182813948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D1850C7">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"_Toc182813949" </w:instrText>
          </w:r>
          <w:r>
            <w:fldChar w:fldCharType="separate"/>
          </w:r>
          <w:r>
            <w:rPr>
              <w:rStyle w:val="20"/>
              <w:rFonts w:ascii="Times New Roman" w:hAnsi="Times New Roman" w:cs="Times New Roman"/>
              <w:color w:val="auto"/>
              <w:sz w:val="24"/>
              <w:szCs w:val="24"/>
            </w:rPr>
            <w:t>1.11.6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_Toc182813949 \h </w:instrText>
          </w:r>
          <w:r>
            <w:rPr>
              <w:rFonts w:ascii="Times New Roman" w:hAnsi="Times New Roman" w:cs="Times New Roman"/>
              <w:sz w:val="24"/>
              <w:szCs w:val="24"/>
            </w:rPr>
            <w:fldChar w:fldCharType="separate"/>
          </w:r>
          <w:r>
            <w:rPr>
              <w:rFonts w:ascii="Times New Roman" w:hAnsi="Times New Roman" w:cs="Times New Roman"/>
              <w:sz w:val="24"/>
              <w:szCs w:val="24"/>
            </w:rPr>
            <w:t>88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8372E6">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"_Toc182813950" </w:instrText>
          </w:r>
          <w:r>
            <w:fldChar w:fldCharType="separate"/>
          </w:r>
          <w:r>
            <w:rPr>
              <w:rStyle w:val="20"/>
              <w:rFonts w:ascii="Times New Roman" w:hAnsi="Times New Roman" w:cs="Times New Roman"/>
              <w:color w:val="auto"/>
              <w:sz w:val="24"/>
              <w:szCs w:val="24"/>
            </w:rPr>
            <w:t>1.11.7</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_Toc182813950 \h </w:instrText>
          </w:r>
          <w:r>
            <w:rPr>
              <w:rFonts w:ascii="Times New Roman" w:hAnsi="Times New Roman" w:cs="Times New Roman"/>
              <w:sz w:val="24"/>
              <w:szCs w:val="24"/>
            </w:rPr>
            <w:fldChar w:fldCharType="separate"/>
          </w:r>
          <w:r>
            <w:rPr>
              <w:rFonts w:ascii="Times New Roman" w:hAnsi="Times New Roman" w:cs="Times New Roman"/>
              <w:sz w:val="24"/>
              <w:szCs w:val="24"/>
            </w:rPr>
            <w:t>88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73E55A">
          <w:pPr>
            <w:pStyle w:val="66"/>
            <w:rPr>
              <w:rFonts w:eastAsiaTheme="minorEastAsia"/>
            </w:rPr>
          </w:pPr>
          <w:r>
            <w:fldChar w:fldCharType="begin"/>
          </w:r>
          <w:r>
            <w:instrText xml:space="preserve"> HYPERLINK \l "_Toc182813951" </w:instrText>
          </w:r>
          <w:r>
            <w:fldChar w:fldCharType="separate"/>
          </w:r>
          <w:r>
            <w:rPr>
              <w:rStyle w:val="20"/>
              <w:color w:val="auto"/>
            </w:rPr>
            <w:t>1.12</w:t>
          </w:r>
          <w:r>
            <w:rPr>
              <w:rFonts w:eastAsiaTheme="minorEastAsia"/>
            </w:rPr>
            <w:tab/>
          </w:r>
          <w:r>
            <w:rPr>
              <w:rStyle w:val="20"/>
              <w:color w:val="auto"/>
            </w:rPr>
            <w:t>Часть 12. Описание существующих технических и технологических проблем в системах теплоснабжения на территории с.п. Верхнеказымский</w:t>
          </w:r>
          <w:r>
            <w:tab/>
          </w:r>
          <w:r>
            <w:fldChar w:fldCharType="begin"/>
          </w:r>
          <w:r>
            <w:instrText xml:space="preserve"> PAGEREF _Toc182813951 \h </w:instrText>
          </w:r>
          <w:r>
            <w:fldChar w:fldCharType="separate"/>
          </w:r>
          <w:r>
            <w:t>89</w:t>
          </w:r>
          <w:r>
            <w:fldChar w:fldCharType="end"/>
          </w:r>
          <w:r>
            <w:fldChar w:fldCharType="end"/>
          </w:r>
        </w:p>
        <w:p w14:paraId="5CC25B27">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"_Toc182813952" </w:instrText>
          </w:r>
          <w:r>
            <w:fldChar w:fldCharType="separate"/>
          </w:r>
          <w:r>
            <w:rPr>
              <w:rStyle w:val="20"/>
              <w:rFonts w:ascii="Times New Roman" w:hAnsi="Times New Roman" w:cs="Times New Roman"/>
              <w:color w:val="auto"/>
              <w:sz w:val="24"/>
              <w:szCs w:val="24"/>
            </w:rPr>
            <w:t>1.12.1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_Toc182813952 \h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F8D1C4">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"_Toc182813953" </w:instrText>
          </w:r>
          <w:r>
            <w:fldChar w:fldCharType="separate"/>
          </w:r>
          <w:r>
            <w:rPr>
              <w:rStyle w:val="20"/>
              <w:rFonts w:ascii="Times New Roman" w:hAnsi="Times New Roman" w:cs="Times New Roman"/>
              <w:color w:val="auto"/>
              <w:sz w:val="24"/>
              <w:szCs w:val="24"/>
            </w:rPr>
            <w:t>1.12.2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существующих проблем организации надежного теплоснабжения на территории с.п. Верхнеказымский (перечень причин, приводящих к снижению надежности теплоснабжения, включая проблемы в работе теплопотребляющих установок потребителей)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_Toc182813953 \h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D99B158">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"_Toc182813954" </w:instrText>
          </w:r>
          <w:r>
            <w:fldChar w:fldCharType="separate"/>
          </w:r>
          <w:r>
            <w:rPr>
              <w:rStyle w:val="20"/>
              <w:rFonts w:ascii="Times New Roman" w:hAnsi="Times New Roman" w:cs="Times New Roman"/>
              <w:color w:val="auto"/>
              <w:sz w:val="24"/>
              <w:szCs w:val="24"/>
            </w:rPr>
            <w:t>1.12.3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существующих проблем развития систем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_Toc182813954 \h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1AEA4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"_Toc182813955" </w:instrText>
          </w:r>
          <w:r>
            <w:fldChar w:fldCharType="separate"/>
          </w:r>
          <w:r>
            <w:rPr>
              <w:rStyle w:val="20"/>
              <w:rFonts w:ascii="Times New Roman" w:hAnsi="Times New Roman" w:cs="Times New Roman"/>
              <w:color w:val="auto"/>
              <w:sz w:val="24"/>
              <w:szCs w:val="24"/>
            </w:rPr>
            <w:t>1.12.4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существующих проблем надежного и эффективного снабжения топливом действующих систем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_Toc182813955 \h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68CF16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"_Toc182813956" </w:instrText>
          </w:r>
          <w:r>
            <w:fldChar w:fldCharType="separate"/>
          </w:r>
          <w:r>
            <w:rPr>
              <w:rStyle w:val="20"/>
              <w:rFonts w:ascii="Times New Roman" w:hAnsi="Times New Roman" w:cs="Times New Roman"/>
              <w:color w:val="auto"/>
              <w:sz w:val="24"/>
              <w:szCs w:val="24"/>
            </w:rPr>
            <w:t>1.12.5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Анализ предписаний надзорных органов об устранении нарушений, влияющих на безопасность и надежность системы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_Toc182813956 \h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CA4061">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"_Toc182813957" </w:instrText>
          </w:r>
          <w:r>
            <w:fldChar w:fldCharType="separate"/>
          </w:r>
          <w:r>
            <w:rPr>
              <w:rStyle w:val="20"/>
              <w:rFonts w:ascii="Times New Roman" w:hAnsi="Times New Roman" w:cs="Times New Roman"/>
              <w:color w:val="auto"/>
              <w:sz w:val="24"/>
              <w:szCs w:val="24"/>
            </w:rPr>
            <w:t>1.12.6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разработке схемы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_Toc182813957 \h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7A06A5">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"_Toc182813958" </w:instrText>
          </w:r>
          <w:r>
            <w:fldChar w:fldCharType="separate"/>
          </w:r>
          <w:r>
            <w:rPr>
              <w:rStyle w:val="20"/>
              <w:rFonts w:ascii="Times New Roman" w:hAnsi="Times New Roman"/>
              <w:b w:val="0"/>
              <w:color w:val="auto"/>
            </w:rPr>
            <w:t>2</w:t>
          </w:r>
          <w:r>
            <w:rPr>
              <w:rFonts w:ascii="Times New Roman" w:hAnsi="Times New Roman" w:eastAsiaTheme="minorEastAsia"/>
              <w:b w:val="0"/>
              <w:bCs w:val="0"/>
              <w:caps w:val="0"/>
            </w:rPr>
            <w:tab/>
          </w:r>
          <w:r>
            <w:rPr>
              <w:rStyle w:val="20"/>
              <w:rFonts w:ascii="Times New Roman" w:hAnsi="Times New Roman"/>
              <w:b w:val="0"/>
              <w:color w:val="auto"/>
            </w:rPr>
            <w:t>Глава 2. Существующее и перспективное потребление тепловой энергии на цели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_Toc182813958 \h </w:instrText>
          </w:r>
          <w:r>
            <w:rPr>
              <w:rFonts w:ascii="Times New Roman" w:hAnsi="Times New Roman"/>
              <w:b w:val="0"/>
            </w:rPr>
            <w:fldChar w:fldCharType="separate"/>
          </w:r>
          <w:r>
            <w:rPr>
              <w:rFonts w:ascii="Times New Roman" w:hAnsi="Times New Roman"/>
              <w:b w:val="0"/>
            </w:rPr>
            <w:t>91</w:t>
          </w:r>
          <w:r>
            <w:rPr>
              <w:rFonts w:ascii="Times New Roman" w:hAnsi="Times New Roman"/>
              <w:b w:val="0"/>
            </w:rPr>
            <w:fldChar w:fldCharType="end"/>
          </w:r>
          <w:r>
            <w:rPr>
              <w:rFonts w:ascii="Times New Roman" w:hAnsi="Times New Roman"/>
              <w:b w:val="0"/>
            </w:rPr>
            <w:fldChar w:fldCharType="end"/>
          </w:r>
        </w:p>
        <w:p w14:paraId="3F710E4C">
          <w:pPr>
            <w:pStyle w:val="66"/>
            <w:rPr>
              <w:rFonts w:eastAsiaTheme="minorEastAsia"/>
            </w:rPr>
          </w:pPr>
          <w:r>
            <w:fldChar w:fldCharType="begin"/>
          </w:r>
          <w:r>
            <w:instrText xml:space="preserve"> HYPERLINK \l "_Toc182813959" </w:instrText>
          </w:r>
          <w:r>
            <w:fldChar w:fldCharType="separate"/>
          </w:r>
          <w:r>
            <w:rPr>
              <w:rStyle w:val="20"/>
              <w:color w:val="auto"/>
            </w:rPr>
            <w:t>2.1</w:t>
          </w:r>
          <w:r>
            <w:rPr>
              <w:rFonts w:eastAsiaTheme="minorEastAsia"/>
            </w:rPr>
            <w:tab/>
          </w:r>
          <w:r>
            <w:rPr>
              <w:rStyle w:val="20"/>
              <w:color w:val="auto"/>
            </w:rPr>
            <w:t>Данные базового уровня потребления тепловой энергии на цели теплоснабжения</w:t>
          </w:r>
          <w:r>
            <w:tab/>
          </w:r>
          <w:r>
            <w:fldChar w:fldCharType="begin"/>
          </w:r>
          <w:r>
            <w:instrText xml:space="preserve"> PAGEREF _Toc182813959 \h </w:instrText>
          </w:r>
          <w:r>
            <w:fldChar w:fldCharType="separate"/>
          </w:r>
          <w:r>
            <w:t>91</w:t>
          </w:r>
          <w:r>
            <w:fldChar w:fldCharType="end"/>
          </w:r>
          <w:r>
            <w:fldChar w:fldCharType="end"/>
          </w:r>
        </w:p>
        <w:p w14:paraId="0B590383">
          <w:pPr>
            <w:pStyle w:val="66"/>
            <w:rPr>
              <w:rFonts w:eastAsiaTheme="minorEastAsia"/>
            </w:rPr>
          </w:pPr>
          <w:r>
            <w:fldChar w:fldCharType="begin"/>
          </w:r>
          <w:r>
            <w:instrText xml:space="preserve"> HYPERLINK \l "_Toc182813960" </w:instrText>
          </w:r>
          <w:r>
            <w:fldChar w:fldCharType="separate"/>
          </w:r>
          <w:r>
            <w:rPr>
              <w:rStyle w:val="20"/>
              <w:color w:val="auto"/>
            </w:rPr>
            <w:t>2.2</w:t>
          </w:r>
          <w:r>
            <w:rPr>
              <w:rFonts w:eastAsiaTheme="minorEastAsia"/>
            </w:rPr>
            <w:tab/>
          </w:r>
          <w:r>
            <w:rPr>
              <w:rStyle w:val="20"/>
              <w:color w:val="auto"/>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tab/>
          </w:r>
          <w:r>
            <w:tab/>
          </w:r>
          <w:r>
            <w:tab/>
          </w:r>
          <w:r>
            <w:fldChar w:fldCharType="begin"/>
          </w:r>
          <w:r>
            <w:instrText xml:space="preserve"> PAGEREF _Toc182813960 \h </w:instrText>
          </w:r>
          <w:r>
            <w:fldChar w:fldCharType="separate"/>
          </w:r>
          <w:r>
            <w:t>94</w:t>
          </w:r>
          <w:r>
            <w:fldChar w:fldCharType="end"/>
          </w:r>
          <w:r>
            <w:fldChar w:fldCharType="end"/>
          </w:r>
        </w:p>
        <w:p w14:paraId="0062932A">
          <w:pPr>
            <w:pStyle w:val="66"/>
            <w:rPr>
              <w:rFonts w:eastAsiaTheme="minorEastAsia"/>
            </w:rPr>
          </w:pPr>
          <w:r>
            <w:fldChar w:fldCharType="begin"/>
          </w:r>
          <w:r>
            <w:instrText xml:space="preserve"> HYPERLINK \l "_Toc182813961" </w:instrText>
          </w:r>
          <w:r>
            <w:fldChar w:fldCharType="separate"/>
          </w:r>
          <w:r>
            <w:rPr>
              <w:rStyle w:val="20"/>
              <w:color w:val="auto"/>
            </w:rPr>
            <w:t>2.3</w:t>
          </w:r>
          <w:r>
            <w:rPr>
              <w:rFonts w:eastAsiaTheme="minorEastAsia"/>
            </w:rPr>
            <w:tab/>
          </w:r>
          <w:r>
            <w:rPr>
              <w:rStyle w:val="20"/>
              <w:color w:val="auto"/>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tab/>
          </w:r>
          <w:r>
            <w:fldChar w:fldCharType="begin"/>
          </w:r>
          <w:r>
            <w:instrText xml:space="preserve"> PAGEREF _Toc182813961 \h </w:instrText>
          </w:r>
          <w:r>
            <w:fldChar w:fldCharType="separate"/>
          </w:r>
          <w:r>
            <w:t>95</w:t>
          </w:r>
          <w:r>
            <w:fldChar w:fldCharType="end"/>
          </w:r>
          <w:r>
            <w:fldChar w:fldCharType="end"/>
          </w:r>
        </w:p>
        <w:p w14:paraId="06DDBA75">
          <w:pPr>
            <w:pStyle w:val="66"/>
            <w:rPr>
              <w:rFonts w:eastAsiaTheme="minorEastAsia"/>
            </w:rPr>
          </w:pPr>
          <w:r>
            <w:fldChar w:fldCharType="begin"/>
          </w:r>
          <w:r>
            <w:instrText xml:space="preserve"> HYPERLINK \l "_Toc182813962" </w:instrText>
          </w:r>
          <w:r>
            <w:fldChar w:fldCharType="separate"/>
          </w:r>
          <w:r>
            <w:rPr>
              <w:rStyle w:val="20"/>
              <w:color w:val="auto"/>
            </w:rPr>
            <w:t>2.4</w:t>
          </w:r>
          <w:r>
            <w:rPr>
              <w:rFonts w:eastAsiaTheme="minorEastAsia"/>
            </w:rPr>
            <w:tab/>
          </w:r>
          <w:r>
            <w:rPr>
              <w:rStyle w:val="20"/>
              <w:color w:val="auto"/>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_Toc182813962 \h </w:instrText>
          </w:r>
          <w:r>
            <w:fldChar w:fldCharType="separate"/>
          </w:r>
          <w:r>
            <w:t>100</w:t>
          </w:r>
          <w:r>
            <w:fldChar w:fldCharType="end"/>
          </w:r>
          <w:r>
            <w:fldChar w:fldCharType="end"/>
          </w:r>
        </w:p>
        <w:p w14:paraId="6A8B2D3C">
          <w:pPr>
            <w:pStyle w:val="66"/>
            <w:rPr>
              <w:rFonts w:eastAsiaTheme="minorEastAsia"/>
            </w:rPr>
          </w:pPr>
          <w:r>
            <w:fldChar w:fldCharType="begin"/>
          </w:r>
          <w:r>
            <w:instrText xml:space="preserve"> HYPERLINK \l "_Toc182813963" </w:instrText>
          </w:r>
          <w:r>
            <w:fldChar w:fldCharType="separate"/>
          </w:r>
          <w:r>
            <w:rPr>
              <w:rStyle w:val="20"/>
              <w:color w:val="auto"/>
            </w:rPr>
            <w:t>2.5</w:t>
          </w:r>
          <w:r>
            <w:rPr>
              <w:rFonts w:eastAsiaTheme="minorEastAsia"/>
            </w:rPr>
            <w:tab/>
          </w:r>
          <w:r>
            <w:rPr>
              <w:rStyle w:val="20"/>
              <w:color w:val="auto"/>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tab/>
          </w:r>
          <w:r>
            <w:tab/>
          </w:r>
          <w:r>
            <w:tab/>
          </w:r>
          <w:r>
            <w:fldChar w:fldCharType="begin"/>
          </w:r>
          <w:r>
            <w:instrText xml:space="preserve"> PAGEREF _Toc182813963 \h </w:instrText>
          </w:r>
          <w:r>
            <w:fldChar w:fldCharType="separate"/>
          </w:r>
          <w:r>
            <w:t>101</w:t>
          </w:r>
          <w:r>
            <w:fldChar w:fldCharType="end"/>
          </w:r>
          <w:r>
            <w:fldChar w:fldCharType="end"/>
          </w:r>
        </w:p>
        <w:p w14:paraId="53A335E5">
          <w:pPr>
            <w:pStyle w:val="66"/>
            <w:rPr>
              <w:rFonts w:eastAsiaTheme="minorEastAsia"/>
            </w:rPr>
          </w:pPr>
          <w:r>
            <w:fldChar w:fldCharType="begin"/>
          </w:r>
          <w:r>
            <w:instrText xml:space="preserve"> HYPERLINK \l "_Toc182813964" </w:instrText>
          </w:r>
          <w:r>
            <w:fldChar w:fldCharType="separate"/>
          </w:r>
          <w:r>
            <w:rPr>
              <w:rStyle w:val="20"/>
              <w:color w:val="auto"/>
            </w:rPr>
            <w:t>2.6</w:t>
          </w:r>
          <w:r>
            <w:rPr>
              <w:rFonts w:eastAsiaTheme="minorEastAsia"/>
            </w:rPr>
            <w:tab/>
          </w:r>
          <w:r>
            <w:rPr>
              <w:rStyle w:val="20"/>
              <w:color w:val="auto"/>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_Toc182813964 \h </w:instrText>
          </w:r>
          <w:r>
            <w:fldChar w:fldCharType="separate"/>
          </w:r>
          <w:r>
            <w:t>101</w:t>
          </w:r>
          <w:r>
            <w:fldChar w:fldCharType="end"/>
          </w:r>
          <w:r>
            <w:fldChar w:fldCharType="end"/>
          </w:r>
        </w:p>
        <w:p w14:paraId="3E3B53C8">
          <w:pPr>
            <w:pStyle w:val="66"/>
            <w:rPr>
              <w:rFonts w:eastAsiaTheme="minorEastAsia"/>
            </w:rPr>
          </w:pPr>
          <w:r>
            <w:fldChar w:fldCharType="begin"/>
          </w:r>
          <w:r>
            <w:instrText xml:space="preserve"> HYPERLINK \l "_Toc182813965" </w:instrText>
          </w:r>
          <w:r>
            <w:fldChar w:fldCharType="separate"/>
          </w:r>
          <w:r>
            <w:rPr>
              <w:rStyle w:val="20"/>
              <w:color w:val="auto"/>
            </w:rPr>
            <w:t>2.7</w:t>
          </w:r>
          <w:r>
            <w:rPr>
              <w:rFonts w:eastAsiaTheme="minorEastAsia"/>
            </w:rPr>
            <w:tab/>
          </w:r>
          <w:r>
            <w:rPr>
              <w:rStyle w:val="20"/>
              <w:color w:val="auto"/>
            </w:rPr>
            <w:t>Описание изменений показателей существующего и перспективного потребления тепловой энергии на цели теплоснабжения</w:t>
          </w:r>
          <w:r>
            <w:tab/>
          </w:r>
          <w:r>
            <w:fldChar w:fldCharType="begin"/>
          </w:r>
          <w:r>
            <w:instrText xml:space="preserve"> PAGEREF _Toc182813965 \h </w:instrText>
          </w:r>
          <w:r>
            <w:fldChar w:fldCharType="separate"/>
          </w:r>
          <w:r>
            <w:t>101</w:t>
          </w:r>
          <w:r>
            <w:fldChar w:fldCharType="end"/>
          </w:r>
          <w:r>
            <w:fldChar w:fldCharType="end"/>
          </w:r>
        </w:p>
        <w:p w14:paraId="35839A4A">
          <w:pPr>
            <w:pStyle w:val="66"/>
            <w:rPr>
              <w:rFonts w:eastAsiaTheme="minorEastAsia"/>
            </w:rPr>
          </w:pPr>
          <w:r>
            <w:fldChar w:fldCharType="begin"/>
          </w:r>
          <w:r>
            <w:instrText xml:space="preserve"> HYPERLINK \l "_Toc182813966" </w:instrText>
          </w:r>
          <w:r>
            <w:fldChar w:fldCharType="separate"/>
          </w:r>
          <w:r>
            <w:rPr>
              <w:rStyle w:val="20"/>
              <w:color w:val="auto"/>
            </w:rPr>
            <w:t>2.8</w:t>
          </w:r>
          <w:r>
            <w:rPr>
              <w:rFonts w:eastAsiaTheme="minorEastAsia"/>
            </w:rPr>
            <w:tab/>
          </w:r>
          <w:r>
            <w:rPr>
              <w:rStyle w:val="20"/>
              <w:color w:val="auto"/>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tab/>
          </w:r>
          <w:r>
            <w:fldChar w:fldCharType="begin"/>
          </w:r>
          <w:r>
            <w:instrText xml:space="preserve"> PAGEREF _Toc182813966 \h </w:instrText>
          </w:r>
          <w:r>
            <w:fldChar w:fldCharType="separate"/>
          </w:r>
          <w:r>
            <w:t>101</w:t>
          </w:r>
          <w:r>
            <w:fldChar w:fldCharType="end"/>
          </w:r>
          <w:r>
            <w:fldChar w:fldCharType="end"/>
          </w:r>
        </w:p>
        <w:p w14:paraId="68749281">
          <w:pPr>
            <w:pStyle w:val="66"/>
            <w:rPr>
              <w:rFonts w:eastAsiaTheme="minorEastAsia"/>
            </w:rPr>
          </w:pPr>
          <w:r>
            <w:fldChar w:fldCharType="begin"/>
          </w:r>
          <w:r>
            <w:instrText xml:space="preserve"> HYPERLINK \l "_Toc182813967" </w:instrText>
          </w:r>
          <w:r>
            <w:fldChar w:fldCharType="separate"/>
          </w:r>
          <w:r>
            <w:rPr>
              <w:rStyle w:val="20"/>
              <w:color w:val="auto"/>
            </w:rPr>
            <w:t>2.9</w:t>
          </w:r>
          <w:r>
            <w:rPr>
              <w:rFonts w:eastAsiaTheme="minorEastAsia"/>
            </w:rPr>
            <w:tab/>
          </w:r>
          <w:r>
            <w:rPr>
              <w:rStyle w:val="20"/>
              <w:color w:val="auto"/>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tab/>
          </w:r>
          <w:r>
            <w:fldChar w:fldCharType="begin"/>
          </w:r>
          <w:r>
            <w:instrText xml:space="preserve"> PAGEREF _Toc182813967 \h </w:instrText>
          </w:r>
          <w:r>
            <w:fldChar w:fldCharType="separate"/>
          </w:r>
          <w:r>
            <w:t>101</w:t>
          </w:r>
          <w:r>
            <w:fldChar w:fldCharType="end"/>
          </w:r>
          <w:r>
            <w:fldChar w:fldCharType="end"/>
          </w:r>
        </w:p>
        <w:p w14:paraId="4978635E">
          <w:pPr>
            <w:pStyle w:val="66"/>
            <w:rPr>
              <w:rFonts w:eastAsiaTheme="minorEastAsia"/>
            </w:rPr>
          </w:pPr>
          <w:r>
            <w:fldChar w:fldCharType="begin"/>
          </w:r>
          <w:r>
            <w:instrText xml:space="preserve"> HYPERLINK \l "_Toc182813968" </w:instrText>
          </w:r>
          <w:r>
            <w:fldChar w:fldCharType="separate"/>
          </w:r>
          <w:r>
            <w:rPr>
              <w:rStyle w:val="20"/>
              <w:color w:val="auto"/>
            </w:rPr>
            <w:t>2.10</w:t>
          </w:r>
          <w:r>
            <w:rPr>
              <w:rFonts w:eastAsiaTheme="minorEastAsia"/>
            </w:rPr>
            <w:tab/>
          </w:r>
          <w:r>
            <w:rPr>
              <w:rStyle w:val="20"/>
              <w:color w:val="auto"/>
            </w:rPr>
            <w:t>Расчетная тепловая нагрузка на коллекторах источников тепловой энергии</w:t>
          </w:r>
          <w:r>
            <w:tab/>
          </w:r>
          <w:r>
            <w:fldChar w:fldCharType="begin"/>
          </w:r>
          <w:r>
            <w:instrText xml:space="preserve"> PAGEREF _Toc182813968 \h </w:instrText>
          </w:r>
          <w:r>
            <w:fldChar w:fldCharType="separate"/>
          </w:r>
          <w:r>
            <w:t>101</w:t>
          </w:r>
          <w:r>
            <w:fldChar w:fldCharType="end"/>
          </w:r>
          <w:r>
            <w:fldChar w:fldCharType="end"/>
          </w:r>
        </w:p>
        <w:p w14:paraId="076ADF86">
          <w:pPr>
            <w:pStyle w:val="66"/>
            <w:rPr>
              <w:rFonts w:eastAsiaTheme="minorEastAsia"/>
            </w:rPr>
          </w:pPr>
          <w:r>
            <w:fldChar w:fldCharType="begin"/>
          </w:r>
          <w:r>
            <w:instrText xml:space="preserve"> HYPERLINK \l "_Toc182813969" </w:instrText>
          </w:r>
          <w:r>
            <w:fldChar w:fldCharType="separate"/>
          </w:r>
          <w:r>
            <w:rPr>
              <w:rStyle w:val="20"/>
              <w:color w:val="auto"/>
            </w:rPr>
            <w:t>2.11</w:t>
          </w:r>
          <w:r>
            <w:rPr>
              <w:rFonts w:eastAsiaTheme="minorEastAsia"/>
            </w:rPr>
            <w:tab/>
          </w:r>
          <w:r>
            <w:rPr>
              <w:rStyle w:val="20"/>
              <w:color w:val="auto"/>
            </w:rPr>
            <w:t>Фактические расходы теплоносителя в отопительный и летний периоды</w:t>
          </w:r>
          <w:r>
            <w:tab/>
          </w:r>
          <w:r>
            <w:fldChar w:fldCharType="begin"/>
          </w:r>
          <w:r>
            <w:instrText xml:space="preserve"> PAGEREF _Toc182813969 \h </w:instrText>
          </w:r>
          <w:r>
            <w:fldChar w:fldCharType="separate"/>
          </w:r>
          <w:r>
            <w:t>102</w:t>
          </w:r>
          <w:r>
            <w:fldChar w:fldCharType="end"/>
          </w:r>
          <w:r>
            <w:fldChar w:fldCharType="end"/>
          </w:r>
        </w:p>
        <w:p w14:paraId="65B2C7B4">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"_Toc182813970" </w:instrText>
          </w:r>
          <w:r>
            <w:fldChar w:fldCharType="separate"/>
          </w:r>
          <w:r>
            <w:rPr>
              <w:rStyle w:val="20"/>
              <w:rFonts w:ascii="Times New Roman" w:hAnsi="Times New Roman"/>
              <w:b w:val="0"/>
              <w:color w:val="auto"/>
            </w:rPr>
            <w:t>3</w:t>
          </w:r>
          <w:r>
            <w:rPr>
              <w:rFonts w:ascii="Times New Roman" w:hAnsi="Times New Roman" w:eastAsiaTheme="minorEastAsia"/>
              <w:b w:val="0"/>
              <w:bCs w:val="0"/>
              <w:caps w:val="0"/>
            </w:rPr>
            <w:tab/>
          </w:r>
          <w:r>
            <w:rPr>
              <w:rStyle w:val="20"/>
              <w:rFonts w:ascii="Times New Roman" w:hAnsi="Times New Roman"/>
              <w:b w:val="0"/>
              <w:color w:val="auto"/>
            </w:rPr>
            <w:t>Глава 3. Электронная модель системы теплоснабжения муниципального образования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_Toc182813970 \h </w:instrText>
          </w:r>
          <w:r>
            <w:rPr>
              <w:rFonts w:ascii="Times New Roman" w:hAnsi="Times New Roman"/>
              <w:b w:val="0"/>
            </w:rPr>
            <w:fldChar w:fldCharType="separate"/>
          </w:r>
          <w:r>
            <w:rPr>
              <w:rFonts w:ascii="Times New Roman" w:hAnsi="Times New Roman"/>
              <w:b w:val="0"/>
            </w:rPr>
            <w:t>103</w:t>
          </w:r>
          <w:r>
            <w:rPr>
              <w:rFonts w:ascii="Times New Roman" w:hAnsi="Times New Roman"/>
              <w:b w:val="0"/>
            </w:rPr>
            <w:fldChar w:fldCharType="end"/>
          </w:r>
          <w:r>
            <w:rPr>
              <w:rFonts w:ascii="Times New Roman" w:hAnsi="Times New Roman"/>
              <w:b w:val="0"/>
            </w:rPr>
            <w:fldChar w:fldCharType="end"/>
          </w:r>
        </w:p>
        <w:p w14:paraId="649BE312">
          <w:pPr>
            <w:pStyle w:val="66"/>
            <w:rPr>
              <w:rFonts w:eastAsiaTheme="minorEastAsia"/>
            </w:rPr>
          </w:pPr>
          <w:r>
            <w:fldChar w:fldCharType="begin"/>
          </w:r>
          <w:r>
            <w:instrText xml:space="preserve"> HYPERLINK \l "_Toc182813971" </w:instrText>
          </w:r>
          <w:r>
            <w:fldChar w:fldCharType="separate"/>
          </w:r>
          <w:r>
            <w:rPr>
              <w:rStyle w:val="20"/>
              <w:color w:val="auto"/>
            </w:rPr>
            <w:t>3.1</w:t>
          </w:r>
          <w:r>
            <w:rPr>
              <w:rFonts w:eastAsiaTheme="minorEastAsia"/>
            </w:rPr>
            <w:tab/>
          </w:r>
          <w:r>
            <w:rPr>
              <w:rStyle w:val="20"/>
              <w:color w:val="auto"/>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tab/>
          </w:r>
          <w:r>
            <w:fldChar w:fldCharType="begin"/>
          </w:r>
          <w:r>
            <w:instrText xml:space="preserve"> PAGEREF _Toc182813971 \h </w:instrText>
          </w:r>
          <w:r>
            <w:fldChar w:fldCharType="separate"/>
          </w:r>
          <w:r>
            <w:t>105</w:t>
          </w:r>
          <w:r>
            <w:fldChar w:fldCharType="end"/>
          </w:r>
          <w:r>
            <w:fldChar w:fldCharType="end"/>
          </w:r>
        </w:p>
        <w:p w14:paraId="4B9C3846">
          <w:pPr>
            <w:pStyle w:val="66"/>
            <w:rPr>
              <w:rFonts w:eastAsiaTheme="minorEastAsia"/>
            </w:rPr>
          </w:pPr>
          <w:r>
            <w:fldChar w:fldCharType="begin"/>
          </w:r>
          <w:r>
            <w:instrText xml:space="preserve"> HYPERLINK \l "_Toc182813972" </w:instrText>
          </w:r>
          <w:r>
            <w:fldChar w:fldCharType="separate"/>
          </w:r>
          <w:r>
            <w:rPr>
              <w:rStyle w:val="20"/>
              <w:color w:val="auto"/>
            </w:rPr>
            <w:t>3.2</w:t>
          </w:r>
          <w:r>
            <w:rPr>
              <w:rFonts w:eastAsiaTheme="minorEastAsia"/>
            </w:rPr>
            <w:tab/>
          </w:r>
          <w:r>
            <w:rPr>
              <w:rStyle w:val="20"/>
              <w:color w:val="auto"/>
            </w:rPr>
            <w:t>Паспортизация объектов системы теплоснабжения</w:t>
          </w:r>
          <w:r>
            <w:tab/>
          </w:r>
          <w:r>
            <w:fldChar w:fldCharType="begin"/>
          </w:r>
          <w:r>
            <w:instrText xml:space="preserve"> PAGEREF _Toc182813972 \h </w:instrText>
          </w:r>
          <w:r>
            <w:fldChar w:fldCharType="separate"/>
          </w:r>
          <w:r>
            <w:t>105</w:t>
          </w:r>
          <w:r>
            <w:fldChar w:fldCharType="end"/>
          </w:r>
          <w:r>
            <w:fldChar w:fldCharType="end"/>
          </w:r>
        </w:p>
        <w:p w14:paraId="28962841">
          <w:pPr>
            <w:pStyle w:val="66"/>
            <w:rPr>
              <w:rFonts w:eastAsiaTheme="minorEastAsia"/>
            </w:rPr>
          </w:pPr>
          <w:r>
            <w:fldChar w:fldCharType="begin"/>
          </w:r>
          <w:r>
            <w:instrText xml:space="preserve"> HYPERLINK \l "_Toc182813973" </w:instrText>
          </w:r>
          <w:r>
            <w:fldChar w:fldCharType="separate"/>
          </w:r>
          <w:r>
            <w:rPr>
              <w:rStyle w:val="20"/>
              <w:color w:val="auto"/>
            </w:rPr>
            <w:t>3.3</w:t>
          </w:r>
          <w:r>
            <w:rPr>
              <w:rFonts w:eastAsiaTheme="minorEastAsia"/>
            </w:rPr>
            <w:tab/>
          </w:r>
          <w:r>
            <w:rPr>
              <w:rStyle w:val="20"/>
              <w:color w:val="auto"/>
            </w:rPr>
            <w:t>Паспортизация и описание расчетных единиц территориального деления, включая административное</w:t>
          </w:r>
          <w:r>
            <w:tab/>
          </w:r>
          <w:r>
            <w:fldChar w:fldCharType="begin"/>
          </w:r>
          <w:r>
            <w:instrText xml:space="preserve"> PAGEREF _Toc182813973 \h </w:instrText>
          </w:r>
          <w:r>
            <w:fldChar w:fldCharType="separate"/>
          </w:r>
          <w:r>
            <w:t>106</w:t>
          </w:r>
          <w:r>
            <w:fldChar w:fldCharType="end"/>
          </w:r>
          <w:r>
            <w:fldChar w:fldCharType="end"/>
          </w:r>
        </w:p>
        <w:p w14:paraId="1027EA46">
          <w:pPr>
            <w:pStyle w:val="66"/>
            <w:rPr>
              <w:rFonts w:eastAsiaTheme="minorEastAsia"/>
            </w:rPr>
          </w:pPr>
          <w:r>
            <w:fldChar w:fldCharType="begin"/>
          </w:r>
          <w:r>
            <w:instrText xml:space="preserve"> HYPERLINK \l "_Toc182813974" </w:instrText>
          </w:r>
          <w:r>
            <w:fldChar w:fldCharType="separate"/>
          </w:r>
          <w:r>
            <w:rPr>
              <w:rStyle w:val="20"/>
              <w:color w:val="auto"/>
            </w:rPr>
            <w:t>3.4</w:t>
          </w:r>
          <w:r>
            <w:rPr>
              <w:rFonts w:eastAsiaTheme="minorEastAsia"/>
            </w:rPr>
            <w:tab/>
          </w:r>
          <w:r>
            <w:rPr>
              <w:rStyle w:val="20"/>
              <w:color w:val="auto"/>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ab/>
          </w:r>
          <w:r>
            <w:fldChar w:fldCharType="begin"/>
          </w:r>
          <w:r>
            <w:instrText xml:space="preserve"> PAGEREF _Toc182813974 \h </w:instrText>
          </w:r>
          <w:r>
            <w:fldChar w:fldCharType="separate"/>
          </w:r>
          <w:r>
            <w:t>106</w:t>
          </w:r>
          <w:r>
            <w:fldChar w:fldCharType="end"/>
          </w:r>
          <w:r>
            <w:fldChar w:fldCharType="end"/>
          </w:r>
        </w:p>
        <w:p w14:paraId="76A2723C">
          <w:pPr>
            <w:pStyle w:val="66"/>
            <w:rPr>
              <w:rFonts w:eastAsiaTheme="minorEastAsia"/>
            </w:rPr>
          </w:pPr>
          <w:r>
            <w:fldChar w:fldCharType="begin"/>
          </w:r>
          <w:r>
            <w:instrText xml:space="preserve"> HYPERLINK \l "_Toc182813975" </w:instrText>
          </w:r>
          <w:r>
            <w:fldChar w:fldCharType="separate"/>
          </w:r>
          <w:r>
            <w:rPr>
              <w:rStyle w:val="20"/>
              <w:color w:val="auto"/>
            </w:rPr>
            <w:t>3.5</w:t>
          </w:r>
          <w:r>
            <w:rPr>
              <w:rFonts w:eastAsiaTheme="minorEastAsia"/>
            </w:rPr>
            <w:tab/>
          </w:r>
          <w:r>
            <w:rPr>
              <w:rStyle w:val="20"/>
              <w:color w:val="auto"/>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ab/>
          </w:r>
          <w:r>
            <w:fldChar w:fldCharType="begin"/>
          </w:r>
          <w:r>
            <w:instrText xml:space="preserve"> PAGEREF _Toc182813975 \h </w:instrText>
          </w:r>
          <w:r>
            <w:fldChar w:fldCharType="separate"/>
          </w:r>
          <w:r>
            <w:t>106</w:t>
          </w:r>
          <w:r>
            <w:fldChar w:fldCharType="end"/>
          </w:r>
          <w:r>
            <w:fldChar w:fldCharType="end"/>
          </w:r>
        </w:p>
        <w:p w14:paraId="53606B7F">
          <w:pPr>
            <w:pStyle w:val="66"/>
            <w:rPr>
              <w:rFonts w:eastAsiaTheme="minorEastAsia"/>
            </w:rPr>
          </w:pPr>
          <w:r>
            <w:fldChar w:fldCharType="begin"/>
          </w:r>
          <w:r>
            <w:instrText xml:space="preserve"> HYPERLINK \l "_Toc182813976" </w:instrText>
          </w:r>
          <w:r>
            <w:fldChar w:fldCharType="separate"/>
          </w:r>
          <w:r>
            <w:rPr>
              <w:rStyle w:val="20"/>
              <w:color w:val="auto"/>
            </w:rPr>
            <w:t>3.6</w:t>
          </w:r>
          <w:r>
            <w:rPr>
              <w:rFonts w:eastAsiaTheme="minorEastAsia"/>
            </w:rPr>
            <w:tab/>
          </w:r>
          <w:r>
            <w:rPr>
              <w:rStyle w:val="20"/>
              <w:color w:val="auto"/>
            </w:rPr>
            <w:t>Расчет балансов тепловой энергии по источникам тепловой энергии и по территориальному признаку</w:t>
          </w:r>
          <w:r>
            <w:tab/>
          </w:r>
          <w:r>
            <w:fldChar w:fldCharType="begin"/>
          </w:r>
          <w:r>
            <w:instrText xml:space="preserve"> PAGEREF _Toc182813976 \h </w:instrText>
          </w:r>
          <w:r>
            <w:fldChar w:fldCharType="separate"/>
          </w:r>
          <w:r>
            <w:t>106</w:t>
          </w:r>
          <w:r>
            <w:fldChar w:fldCharType="end"/>
          </w:r>
          <w:r>
            <w:fldChar w:fldCharType="end"/>
          </w:r>
        </w:p>
        <w:p w14:paraId="1AA830F9">
          <w:pPr>
            <w:pStyle w:val="66"/>
            <w:rPr>
              <w:rFonts w:eastAsiaTheme="minorEastAsia"/>
            </w:rPr>
          </w:pPr>
          <w:r>
            <w:fldChar w:fldCharType="begin"/>
          </w:r>
          <w:r>
            <w:instrText xml:space="preserve"> HYPERLINK \l "_Toc182813977" </w:instrText>
          </w:r>
          <w:r>
            <w:fldChar w:fldCharType="separate"/>
          </w:r>
          <w:r>
            <w:rPr>
              <w:rStyle w:val="20"/>
              <w:color w:val="auto"/>
            </w:rPr>
            <w:t>3.7</w:t>
          </w:r>
          <w:r>
            <w:rPr>
              <w:rFonts w:eastAsiaTheme="minorEastAsia"/>
            </w:rPr>
            <w:tab/>
          </w:r>
          <w:r>
            <w:rPr>
              <w:rStyle w:val="20"/>
              <w:color w:val="auto"/>
            </w:rPr>
            <w:t>Расчет потерь тепловой энергии через изоляцию и с утечками теплоносителя</w:t>
          </w:r>
          <w:r>
            <w:tab/>
          </w:r>
          <w:r>
            <w:fldChar w:fldCharType="begin"/>
          </w:r>
          <w:r>
            <w:instrText xml:space="preserve"> PAGEREF _Toc182813977 \h </w:instrText>
          </w:r>
          <w:r>
            <w:fldChar w:fldCharType="separate"/>
          </w:r>
          <w:r>
            <w:t>106</w:t>
          </w:r>
          <w:r>
            <w:fldChar w:fldCharType="end"/>
          </w:r>
          <w:r>
            <w:fldChar w:fldCharType="end"/>
          </w:r>
        </w:p>
        <w:p w14:paraId="3330DA0F">
          <w:pPr>
            <w:pStyle w:val="66"/>
            <w:rPr>
              <w:rFonts w:eastAsiaTheme="minorEastAsia"/>
            </w:rPr>
          </w:pPr>
          <w:r>
            <w:fldChar w:fldCharType="begin"/>
          </w:r>
          <w:r>
            <w:instrText xml:space="preserve"> HYPERLINK \l "_Toc182813978" </w:instrText>
          </w:r>
          <w:r>
            <w:fldChar w:fldCharType="separate"/>
          </w:r>
          <w:r>
            <w:rPr>
              <w:rStyle w:val="20"/>
              <w:color w:val="auto"/>
            </w:rPr>
            <w:t>3.8</w:t>
          </w:r>
          <w:r>
            <w:rPr>
              <w:rFonts w:eastAsiaTheme="minorEastAsia"/>
            </w:rPr>
            <w:tab/>
          </w:r>
          <w:r>
            <w:rPr>
              <w:rStyle w:val="20"/>
              <w:color w:val="auto"/>
            </w:rPr>
            <w:t>Расчет показателей надежности теплоснабжения</w:t>
          </w:r>
          <w:r>
            <w:tab/>
          </w:r>
          <w:r>
            <w:fldChar w:fldCharType="begin"/>
          </w:r>
          <w:r>
            <w:instrText xml:space="preserve"> PAGEREF _Toc182813978 \h </w:instrText>
          </w:r>
          <w:r>
            <w:fldChar w:fldCharType="separate"/>
          </w:r>
          <w:r>
            <w:t>107</w:t>
          </w:r>
          <w:r>
            <w:fldChar w:fldCharType="end"/>
          </w:r>
          <w:r>
            <w:fldChar w:fldCharType="end"/>
          </w:r>
        </w:p>
        <w:p w14:paraId="2FF6C626">
          <w:pPr>
            <w:pStyle w:val="66"/>
            <w:rPr>
              <w:rFonts w:eastAsiaTheme="minorEastAsia"/>
            </w:rPr>
          </w:pPr>
          <w:r>
            <w:fldChar w:fldCharType="begin"/>
          </w:r>
          <w:r>
            <w:instrText xml:space="preserve"> HYPERLINK \l "_Toc182813979" </w:instrText>
          </w:r>
          <w:r>
            <w:fldChar w:fldCharType="separate"/>
          </w:r>
          <w:r>
            <w:rPr>
              <w:rStyle w:val="20"/>
              <w:color w:val="auto"/>
            </w:rPr>
            <w:t>3.9</w:t>
          </w:r>
          <w:r>
            <w:rPr>
              <w:rFonts w:eastAsiaTheme="minorEastAsia"/>
            </w:rPr>
            <w:tab/>
          </w:r>
          <w:r>
            <w:rPr>
              <w:rStyle w:val="20"/>
              <w:color w:val="auto"/>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tab/>
          </w:r>
          <w:r>
            <w:fldChar w:fldCharType="begin"/>
          </w:r>
          <w:r>
            <w:instrText xml:space="preserve"> PAGEREF _Toc182813979 \h </w:instrText>
          </w:r>
          <w:r>
            <w:fldChar w:fldCharType="separate"/>
          </w:r>
          <w:r>
            <w:t>107</w:t>
          </w:r>
          <w:r>
            <w:fldChar w:fldCharType="end"/>
          </w:r>
          <w:r>
            <w:fldChar w:fldCharType="end"/>
          </w:r>
        </w:p>
        <w:p w14:paraId="1490D948">
          <w:pPr>
            <w:pStyle w:val="66"/>
            <w:rPr>
              <w:rFonts w:eastAsiaTheme="minorEastAsia"/>
            </w:rPr>
          </w:pPr>
          <w:r>
            <w:fldChar w:fldCharType="begin"/>
          </w:r>
          <w:r>
            <w:instrText xml:space="preserve"> HYPERLINK \l "_Toc182813980" </w:instrText>
          </w:r>
          <w:r>
            <w:fldChar w:fldCharType="separate"/>
          </w:r>
          <w:r>
            <w:rPr>
              <w:rStyle w:val="20"/>
              <w:color w:val="auto"/>
            </w:rPr>
            <w:t>3.10</w:t>
          </w:r>
          <w:r>
            <w:rPr>
              <w:rFonts w:eastAsiaTheme="minorEastAsia"/>
            </w:rPr>
            <w:tab/>
          </w:r>
          <w:r>
            <w:rPr>
              <w:rStyle w:val="20"/>
              <w:color w:val="auto"/>
            </w:rPr>
            <w:t>Сравнительные пьезометрические графики для разработки и анализа сценариев перспективного развития тепловых сетей</w:t>
          </w:r>
          <w:r>
            <w:tab/>
          </w:r>
          <w:r>
            <w:fldChar w:fldCharType="begin"/>
          </w:r>
          <w:r>
            <w:instrText xml:space="preserve"> PAGEREF _Toc182813980 \h </w:instrText>
          </w:r>
          <w:r>
            <w:fldChar w:fldCharType="separate"/>
          </w:r>
          <w:r>
            <w:t>107</w:t>
          </w:r>
          <w:r>
            <w:fldChar w:fldCharType="end"/>
          </w:r>
          <w:r>
            <w:fldChar w:fldCharType="end"/>
          </w:r>
        </w:p>
        <w:p w14:paraId="150AAB41">
          <w:pPr>
            <w:pStyle w:val="66"/>
            <w:rPr>
              <w:rFonts w:eastAsiaTheme="minorEastAsia"/>
            </w:rPr>
          </w:pPr>
          <w:r>
            <w:fldChar w:fldCharType="begin"/>
          </w:r>
          <w:r>
            <w:instrText xml:space="preserve"> HYPERLINK \l "_Toc182813981" </w:instrText>
          </w:r>
          <w:r>
            <w:fldChar w:fldCharType="separate"/>
          </w:r>
          <w:r>
            <w:rPr>
              <w:rStyle w:val="20"/>
              <w:color w:val="auto"/>
            </w:rPr>
            <w:t>3.11</w:t>
          </w:r>
          <w:r>
            <w:rPr>
              <w:rFonts w:eastAsiaTheme="minorEastAsia"/>
            </w:rPr>
            <w:tab/>
          </w:r>
          <w:r>
            <w:rPr>
              <w:rStyle w:val="20"/>
              <w:color w:val="auto"/>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разработке систем теплоснабжения</w:t>
          </w:r>
          <w:r>
            <w:tab/>
          </w:r>
          <w:r>
            <w:fldChar w:fldCharType="begin"/>
          </w:r>
          <w:r>
            <w:instrText xml:space="preserve"> PAGEREF _Toc182813981 \h </w:instrText>
          </w:r>
          <w:r>
            <w:fldChar w:fldCharType="separate"/>
          </w:r>
          <w:r>
            <w:t>107</w:t>
          </w:r>
          <w:r>
            <w:fldChar w:fldCharType="end"/>
          </w:r>
          <w:r>
            <w:fldChar w:fldCharType="end"/>
          </w:r>
        </w:p>
        <w:p w14:paraId="469636AB">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"_Toc182813982" </w:instrText>
          </w:r>
          <w:r>
            <w:fldChar w:fldCharType="separate"/>
          </w:r>
          <w:r>
            <w:rPr>
              <w:rStyle w:val="20"/>
              <w:rFonts w:ascii="Times New Roman" w:hAnsi="Times New Roman"/>
              <w:b w:val="0"/>
              <w:color w:val="auto"/>
            </w:rPr>
            <w:t>4</w:t>
          </w:r>
          <w:r>
            <w:rPr>
              <w:rFonts w:ascii="Times New Roman" w:hAnsi="Times New Roman" w:eastAsiaTheme="minorEastAsia"/>
              <w:b w:val="0"/>
              <w:bCs w:val="0"/>
              <w:caps w:val="0"/>
            </w:rPr>
            <w:tab/>
          </w:r>
          <w:r>
            <w:rPr>
              <w:rStyle w:val="20"/>
              <w:rFonts w:ascii="Times New Roman" w:hAnsi="Times New Roman"/>
              <w:b w:val="0"/>
              <w:color w:val="auto"/>
            </w:rPr>
            <w:t>Глава 4.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_Toc182813982 \h </w:instrText>
          </w:r>
          <w:r>
            <w:rPr>
              <w:rFonts w:ascii="Times New Roman" w:hAnsi="Times New Roman"/>
              <w:b w:val="0"/>
            </w:rPr>
            <w:fldChar w:fldCharType="separate"/>
          </w:r>
          <w:r>
            <w:rPr>
              <w:rFonts w:ascii="Times New Roman" w:hAnsi="Times New Roman"/>
              <w:b w:val="0"/>
            </w:rPr>
            <w:t>108</w:t>
          </w:r>
          <w:r>
            <w:rPr>
              <w:rFonts w:ascii="Times New Roman" w:hAnsi="Times New Roman"/>
              <w:b w:val="0"/>
            </w:rPr>
            <w:fldChar w:fldCharType="end"/>
          </w:r>
          <w:r>
            <w:rPr>
              <w:rFonts w:ascii="Times New Roman" w:hAnsi="Times New Roman"/>
              <w:b w:val="0"/>
            </w:rPr>
            <w:fldChar w:fldCharType="end"/>
          </w:r>
        </w:p>
        <w:p w14:paraId="3D1A119B">
          <w:pPr>
            <w:pStyle w:val="66"/>
            <w:rPr>
              <w:rFonts w:eastAsiaTheme="minorEastAsia"/>
            </w:rPr>
          </w:pPr>
          <w:r>
            <w:fldChar w:fldCharType="begin"/>
          </w:r>
          <w:r>
            <w:instrText xml:space="preserve"> HYPERLINK \l "_Toc182813983" </w:instrText>
          </w:r>
          <w:r>
            <w:fldChar w:fldCharType="separate"/>
          </w:r>
          <w:r>
            <w:rPr>
              <w:rStyle w:val="20"/>
              <w:color w:val="auto"/>
            </w:rPr>
            <w:t>4.1</w:t>
          </w:r>
          <w:r>
            <w:rPr>
              <w:rFonts w:eastAsiaTheme="minorEastAsia"/>
            </w:rPr>
            <w:tab/>
          </w:r>
          <w:r>
            <w:rPr>
              <w:rStyle w:val="20"/>
              <w:color w:val="auto"/>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tab/>
          </w:r>
          <w:r>
            <w:fldChar w:fldCharType="begin"/>
          </w:r>
          <w:r>
            <w:instrText xml:space="preserve"> PAGEREF _Toc182813983 \h </w:instrText>
          </w:r>
          <w:r>
            <w:fldChar w:fldCharType="separate"/>
          </w:r>
          <w:r>
            <w:t>108</w:t>
          </w:r>
          <w:r>
            <w:fldChar w:fldCharType="end"/>
          </w:r>
          <w:r>
            <w:fldChar w:fldCharType="end"/>
          </w:r>
        </w:p>
        <w:p w14:paraId="376608C2">
          <w:pPr>
            <w:pStyle w:val="66"/>
            <w:rPr>
              <w:rFonts w:eastAsiaTheme="minorEastAsia"/>
            </w:rPr>
          </w:pPr>
          <w:r>
            <w:fldChar w:fldCharType="begin"/>
          </w:r>
          <w:r>
            <w:instrText xml:space="preserve"> HYPERLINK \l "_Toc182813984" </w:instrText>
          </w:r>
          <w:r>
            <w:fldChar w:fldCharType="separate"/>
          </w:r>
          <w:r>
            <w:rPr>
              <w:rStyle w:val="20"/>
              <w:color w:val="auto"/>
            </w:rPr>
            <w:t>4.2</w:t>
          </w:r>
          <w:r>
            <w:rPr>
              <w:rFonts w:eastAsiaTheme="minorEastAsia"/>
            </w:rPr>
            <w:tab/>
          </w:r>
          <w:r>
            <w:rPr>
              <w:rStyle w:val="20"/>
              <w:color w:val="auto"/>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tab/>
          </w:r>
          <w:r>
            <w:fldChar w:fldCharType="begin"/>
          </w:r>
          <w:r>
            <w:instrText xml:space="preserve"> PAGEREF _Toc182813984 \h </w:instrText>
          </w:r>
          <w:r>
            <w:fldChar w:fldCharType="separate"/>
          </w:r>
          <w:r>
            <w:t>111</w:t>
          </w:r>
          <w:r>
            <w:fldChar w:fldCharType="end"/>
          </w:r>
          <w:r>
            <w:fldChar w:fldCharType="end"/>
          </w:r>
        </w:p>
        <w:p w14:paraId="44CF8C7C">
          <w:pPr>
            <w:pStyle w:val="66"/>
            <w:rPr>
              <w:rFonts w:eastAsiaTheme="minorEastAsia"/>
            </w:rPr>
          </w:pPr>
          <w:r>
            <w:fldChar w:fldCharType="begin"/>
          </w:r>
          <w:r>
            <w:instrText xml:space="preserve"> HYPERLINK \l "_Toc182813985" </w:instrText>
          </w:r>
          <w:r>
            <w:fldChar w:fldCharType="separate"/>
          </w:r>
          <w:r>
            <w:rPr>
              <w:rStyle w:val="20"/>
              <w:color w:val="auto"/>
            </w:rPr>
            <w:t>4.3</w:t>
          </w:r>
          <w:r>
            <w:rPr>
              <w:rFonts w:eastAsiaTheme="minorEastAsia"/>
            </w:rPr>
            <w:tab/>
          </w:r>
          <w:r>
            <w:rPr>
              <w:rStyle w:val="20"/>
              <w:color w:val="auto"/>
            </w:rPr>
            <w:t>Выводы о резервах (дефицитах) существующей системы теплоснабжения при обеспечении перспективной тепловой нагрузки потребителей</w:t>
          </w:r>
          <w:r>
            <w:tab/>
          </w:r>
          <w:r>
            <w:fldChar w:fldCharType="begin"/>
          </w:r>
          <w:r>
            <w:instrText xml:space="preserve"> PAGEREF _Toc182813985 \h </w:instrText>
          </w:r>
          <w:r>
            <w:fldChar w:fldCharType="separate"/>
          </w:r>
          <w:r>
            <w:t>111</w:t>
          </w:r>
          <w:r>
            <w:fldChar w:fldCharType="end"/>
          </w:r>
          <w:r>
            <w:fldChar w:fldCharType="end"/>
          </w:r>
        </w:p>
        <w:p w14:paraId="398FC300">
          <w:pPr>
            <w:pStyle w:val="66"/>
            <w:rPr>
              <w:rFonts w:eastAsiaTheme="minorEastAsia"/>
            </w:rPr>
          </w:pPr>
          <w:r>
            <w:fldChar w:fldCharType="begin"/>
          </w:r>
          <w:r>
            <w:instrText xml:space="preserve"> HYPERLINK \l "_Toc182813986" </w:instrText>
          </w:r>
          <w:r>
            <w:fldChar w:fldCharType="separate"/>
          </w:r>
          <w:r>
            <w:rPr>
              <w:rStyle w:val="20"/>
              <w:color w:val="auto"/>
            </w:rPr>
            <w:t>4.4</w:t>
          </w:r>
          <w:r>
            <w:rPr>
              <w:rFonts w:eastAsiaTheme="minorEastAsia"/>
            </w:rPr>
            <w:tab/>
          </w:r>
          <w:r>
            <w:rPr>
              <w:rStyle w:val="20"/>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tab/>
          </w:r>
          <w:r>
            <w:fldChar w:fldCharType="begin"/>
          </w:r>
          <w:r>
            <w:instrText xml:space="preserve"> PAGEREF _Toc182813986 \h </w:instrText>
          </w:r>
          <w:r>
            <w:fldChar w:fldCharType="separate"/>
          </w:r>
          <w:r>
            <w:t>111</w:t>
          </w:r>
          <w:r>
            <w:fldChar w:fldCharType="end"/>
          </w:r>
          <w:r>
            <w:fldChar w:fldCharType="end"/>
          </w:r>
        </w:p>
        <w:p w14:paraId="45CF42A1">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"_Toc182813987" </w:instrText>
          </w:r>
          <w:r>
            <w:fldChar w:fldCharType="separate"/>
          </w:r>
          <w:r>
            <w:rPr>
              <w:rStyle w:val="20"/>
              <w:rFonts w:ascii="Times New Roman" w:hAnsi="Times New Roman"/>
              <w:b w:val="0"/>
              <w:color w:val="auto"/>
            </w:rPr>
            <w:t>5</w:t>
          </w:r>
          <w:r>
            <w:rPr>
              <w:rFonts w:ascii="Times New Roman" w:hAnsi="Times New Roman" w:eastAsiaTheme="minorEastAsia"/>
              <w:b w:val="0"/>
              <w:bCs w:val="0"/>
              <w:caps w:val="0"/>
            </w:rPr>
            <w:tab/>
          </w:r>
          <w:r>
            <w:rPr>
              <w:rStyle w:val="20"/>
              <w:rFonts w:ascii="Times New Roman" w:hAnsi="Times New Roman"/>
              <w:b w:val="0"/>
              <w:color w:val="auto"/>
            </w:rPr>
            <w:t>Глава 5. Мастер-план развития системы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_Toc182813987 \h </w:instrText>
          </w:r>
          <w:r>
            <w:rPr>
              <w:rFonts w:ascii="Times New Roman" w:hAnsi="Times New Roman"/>
              <w:b w:val="0"/>
            </w:rPr>
            <w:fldChar w:fldCharType="separate"/>
          </w:r>
          <w:r>
            <w:rPr>
              <w:rFonts w:ascii="Times New Roman" w:hAnsi="Times New Roman"/>
              <w:b w:val="0"/>
            </w:rPr>
            <w:t>112</w:t>
          </w:r>
          <w:r>
            <w:rPr>
              <w:rFonts w:ascii="Times New Roman" w:hAnsi="Times New Roman"/>
              <w:b w:val="0"/>
            </w:rPr>
            <w:fldChar w:fldCharType="end"/>
          </w:r>
          <w:r>
            <w:rPr>
              <w:rFonts w:ascii="Times New Roman" w:hAnsi="Times New Roman"/>
              <w:b w:val="0"/>
            </w:rPr>
            <w:fldChar w:fldCharType="end"/>
          </w:r>
        </w:p>
        <w:p w14:paraId="7F6852BF">
          <w:pPr>
            <w:pStyle w:val="66"/>
            <w:rPr>
              <w:rFonts w:eastAsiaTheme="minorEastAsia"/>
            </w:rPr>
          </w:pPr>
          <w:r>
            <w:fldChar w:fldCharType="begin"/>
          </w:r>
          <w:r>
            <w:instrText xml:space="preserve"> HYPERLINK \l "_Toc182813988" </w:instrText>
          </w:r>
          <w:r>
            <w:fldChar w:fldCharType="separate"/>
          </w:r>
          <w:r>
            <w:rPr>
              <w:rStyle w:val="20"/>
              <w:color w:val="auto"/>
            </w:rPr>
            <w:t>5.1</w:t>
          </w:r>
          <w:r>
            <w:rPr>
              <w:rFonts w:eastAsiaTheme="minorEastAsia"/>
            </w:rPr>
            <w:tab/>
          </w:r>
          <w:r>
            <w:rPr>
              <w:rStyle w:val="20"/>
              <w:color w:val="auto"/>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tab/>
          </w:r>
          <w:r>
            <w:fldChar w:fldCharType="begin"/>
          </w:r>
          <w:r>
            <w:instrText xml:space="preserve"> PAGEREF _Toc182813988 \h </w:instrText>
          </w:r>
          <w:r>
            <w:fldChar w:fldCharType="separate"/>
          </w:r>
          <w:r>
            <w:t>112</w:t>
          </w:r>
          <w:r>
            <w:fldChar w:fldCharType="end"/>
          </w:r>
          <w:r>
            <w:fldChar w:fldCharType="end"/>
          </w:r>
        </w:p>
        <w:p w14:paraId="1E5E3578">
          <w:pPr>
            <w:pStyle w:val="66"/>
            <w:rPr>
              <w:rFonts w:eastAsiaTheme="minorEastAsia"/>
            </w:rPr>
          </w:pPr>
          <w:r>
            <w:fldChar w:fldCharType="begin"/>
          </w:r>
          <w:r>
            <w:instrText xml:space="preserve"> HYPERLINK \l "_Toc182813989" </w:instrText>
          </w:r>
          <w:r>
            <w:fldChar w:fldCharType="separate"/>
          </w:r>
          <w:r>
            <w:rPr>
              <w:rStyle w:val="20"/>
              <w:color w:val="auto"/>
            </w:rPr>
            <w:t>5.2</w:t>
          </w:r>
          <w:r>
            <w:rPr>
              <w:rFonts w:eastAsiaTheme="minorEastAsia"/>
            </w:rPr>
            <w:tab/>
          </w:r>
          <w:r>
            <w:rPr>
              <w:rStyle w:val="20"/>
              <w:color w:val="auto"/>
            </w:rPr>
            <w:t>Технико-экономическое сравнение вариантов перспективного развития системы теплоснабжения</w:t>
          </w:r>
          <w:r>
            <w:tab/>
          </w:r>
          <w:r>
            <w:fldChar w:fldCharType="begin"/>
          </w:r>
          <w:r>
            <w:instrText xml:space="preserve"> PAGEREF _Toc182813989 \h </w:instrText>
          </w:r>
          <w:r>
            <w:fldChar w:fldCharType="separate"/>
          </w:r>
          <w:r>
            <w:t>113</w:t>
          </w:r>
          <w:r>
            <w:fldChar w:fldCharType="end"/>
          </w:r>
          <w:r>
            <w:fldChar w:fldCharType="end"/>
          </w:r>
        </w:p>
        <w:p w14:paraId="6EF3B660">
          <w:pPr>
            <w:pStyle w:val="66"/>
            <w:rPr>
              <w:rFonts w:eastAsiaTheme="minorEastAsia"/>
            </w:rPr>
          </w:pPr>
          <w:r>
            <w:fldChar w:fldCharType="begin"/>
          </w:r>
          <w:r>
            <w:instrText xml:space="preserve"> HYPERLINK \l "_Toc182813990" </w:instrText>
          </w:r>
          <w:r>
            <w:fldChar w:fldCharType="separate"/>
          </w:r>
          <w:r>
            <w:rPr>
              <w:rStyle w:val="20"/>
              <w:color w:val="auto"/>
            </w:rPr>
            <w:t>5.3</w:t>
          </w:r>
          <w:r>
            <w:rPr>
              <w:rFonts w:eastAsiaTheme="minorEastAsia"/>
            </w:rPr>
            <w:tab/>
          </w:r>
          <w:r>
            <w:rPr>
              <w:rStyle w:val="20"/>
              <w:color w:val="auto"/>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tab/>
          </w:r>
          <w:r>
            <w:fldChar w:fldCharType="begin"/>
          </w:r>
          <w:r>
            <w:instrText xml:space="preserve"> PAGEREF _Toc182813990 \h </w:instrText>
          </w:r>
          <w:r>
            <w:fldChar w:fldCharType="separate"/>
          </w:r>
          <w:r>
            <w:t>113</w:t>
          </w:r>
          <w:r>
            <w:fldChar w:fldCharType="end"/>
          </w:r>
          <w:r>
            <w:fldChar w:fldCharType="end"/>
          </w:r>
        </w:p>
        <w:p w14:paraId="5DD2694B">
          <w:pPr>
            <w:pStyle w:val="66"/>
            <w:rPr>
              <w:rFonts w:eastAsiaTheme="minorEastAsia"/>
            </w:rPr>
          </w:pPr>
          <w:r>
            <w:fldChar w:fldCharType="begin"/>
          </w:r>
          <w:r>
            <w:instrText xml:space="preserve"> HYPERLINK \l "_Toc182813991" </w:instrText>
          </w:r>
          <w:r>
            <w:fldChar w:fldCharType="separate"/>
          </w:r>
          <w:r>
            <w:rPr>
              <w:rStyle w:val="20"/>
              <w:color w:val="auto"/>
            </w:rPr>
            <w:t>5.4</w:t>
          </w:r>
          <w:r>
            <w:rPr>
              <w:rFonts w:eastAsiaTheme="minorEastAsia"/>
            </w:rPr>
            <w:tab/>
          </w:r>
          <w:r>
            <w:rPr>
              <w:rStyle w:val="20"/>
              <w:color w:val="auto"/>
            </w:rPr>
            <w:t>Описание изменений в мастер-плане развития системы теплоснабжения за период, предшествующий актуализации схемы теплоснабжения</w:t>
          </w:r>
          <w:r>
            <w:tab/>
          </w:r>
          <w:r>
            <w:fldChar w:fldCharType="begin"/>
          </w:r>
          <w:r>
            <w:instrText xml:space="preserve"> PAGEREF _Toc182813991 \h </w:instrText>
          </w:r>
          <w:r>
            <w:fldChar w:fldCharType="separate"/>
          </w:r>
          <w:r>
            <w:t>114</w:t>
          </w:r>
          <w:r>
            <w:fldChar w:fldCharType="end"/>
          </w:r>
          <w:r>
            <w:fldChar w:fldCharType="end"/>
          </w:r>
        </w:p>
        <w:p w14:paraId="28FD5844">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"_Toc182813992" </w:instrText>
          </w:r>
          <w:r>
            <w:fldChar w:fldCharType="separate"/>
          </w:r>
          <w:r>
            <w:rPr>
              <w:rStyle w:val="20"/>
              <w:rFonts w:ascii="Times New Roman" w:hAnsi="Times New Roman"/>
              <w:b w:val="0"/>
              <w:color w:val="auto"/>
            </w:rPr>
            <w:t>6</w:t>
          </w:r>
          <w:r>
            <w:rPr>
              <w:rFonts w:ascii="Times New Roman" w:hAnsi="Times New Roman" w:eastAsiaTheme="minorEastAsia"/>
              <w:b w:val="0"/>
              <w:bCs w:val="0"/>
              <w:caps w:val="0"/>
            </w:rPr>
            <w:tab/>
          </w:r>
          <w:r>
            <w:rPr>
              <w:rStyle w:val="20"/>
              <w:rFonts w:ascii="Times New Roman" w:hAnsi="Times New Roman"/>
              <w:b w:val="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_Toc182813992 \h </w:instrText>
          </w:r>
          <w:r>
            <w:rPr>
              <w:rFonts w:ascii="Times New Roman" w:hAnsi="Times New Roman"/>
              <w:b w:val="0"/>
            </w:rPr>
            <w:fldChar w:fldCharType="separate"/>
          </w:r>
          <w:r>
            <w:rPr>
              <w:rFonts w:ascii="Times New Roman" w:hAnsi="Times New Roman"/>
              <w:b w:val="0"/>
            </w:rPr>
            <w:t>115</w:t>
          </w:r>
          <w:r>
            <w:rPr>
              <w:rFonts w:ascii="Times New Roman" w:hAnsi="Times New Roman"/>
              <w:b w:val="0"/>
            </w:rPr>
            <w:fldChar w:fldCharType="end"/>
          </w:r>
          <w:r>
            <w:rPr>
              <w:rFonts w:ascii="Times New Roman" w:hAnsi="Times New Roman"/>
              <w:b w:val="0"/>
            </w:rPr>
            <w:fldChar w:fldCharType="end"/>
          </w:r>
        </w:p>
        <w:p w14:paraId="7327E016">
          <w:pPr>
            <w:pStyle w:val="66"/>
            <w:rPr>
              <w:rFonts w:eastAsiaTheme="minorEastAsia"/>
            </w:rPr>
          </w:pPr>
          <w:r>
            <w:fldChar w:fldCharType="begin"/>
          </w:r>
          <w:r>
            <w:instrText xml:space="preserve"> HYPERLINK \l "_Toc182813993" </w:instrText>
          </w:r>
          <w:r>
            <w:fldChar w:fldCharType="separate"/>
          </w:r>
          <w:r>
            <w:rPr>
              <w:rStyle w:val="20"/>
              <w:color w:val="auto"/>
            </w:rPr>
            <w:t>6.1</w:t>
          </w:r>
          <w:r>
            <w:rPr>
              <w:rFonts w:eastAsiaTheme="minorEastAsia"/>
            </w:rPr>
            <w:tab/>
          </w:r>
          <w:r>
            <w:rPr>
              <w:rStyle w:val="20"/>
              <w:color w:val="auto"/>
            </w:rPr>
            <w:t>Расчетная величина нормативных потерь теплоносителя в тепловых сетях в зонах действия источников тепловой энергии</w:t>
          </w:r>
          <w:r>
            <w:tab/>
          </w:r>
          <w:r>
            <w:fldChar w:fldCharType="begin"/>
          </w:r>
          <w:r>
            <w:instrText xml:space="preserve"> PAGEREF _Toc182813993 \h </w:instrText>
          </w:r>
          <w:r>
            <w:fldChar w:fldCharType="separate"/>
          </w:r>
          <w:r>
            <w:t>115</w:t>
          </w:r>
          <w:r>
            <w:fldChar w:fldCharType="end"/>
          </w:r>
          <w:r>
            <w:fldChar w:fldCharType="end"/>
          </w:r>
        </w:p>
        <w:p w14:paraId="0003CC51">
          <w:pPr>
            <w:pStyle w:val="66"/>
            <w:rPr>
              <w:rFonts w:eastAsiaTheme="minorEastAsia"/>
            </w:rPr>
          </w:pPr>
          <w:r>
            <w:fldChar w:fldCharType="begin"/>
          </w:r>
          <w:r>
            <w:instrText xml:space="preserve"> HYPERLINK \l "_Toc182813994" </w:instrText>
          </w:r>
          <w:r>
            <w:fldChar w:fldCharType="separate"/>
          </w:r>
          <w:r>
            <w:rPr>
              <w:rStyle w:val="20"/>
              <w:color w:val="auto"/>
            </w:rPr>
            <w:t>6.2</w:t>
          </w:r>
          <w:r>
            <w:rPr>
              <w:rFonts w:eastAsiaTheme="minorEastAsia"/>
            </w:rPr>
            <w:tab/>
          </w:r>
          <w:r>
            <w:rPr>
              <w:rStyle w:val="20"/>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tab/>
          </w:r>
          <w:r>
            <w:fldChar w:fldCharType="begin"/>
          </w:r>
          <w:r>
            <w:instrText xml:space="preserve"> PAGEREF _Toc182813994 \h </w:instrText>
          </w:r>
          <w:r>
            <w:fldChar w:fldCharType="separate"/>
          </w:r>
          <w:r>
            <w:t>117</w:t>
          </w:r>
          <w:r>
            <w:fldChar w:fldCharType="end"/>
          </w:r>
          <w:r>
            <w:fldChar w:fldCharType="end"/>
          </w:r>
        </w:p>
        <w:p w14:paraId="3B207B26">
          <w:pPr>
            <w:pStyle w:val="66"/>
            <w:rPr>
              <w:rFonts w:eastAsiaTheme="minorEastAsia"/>
            </w:rPr>
          </w:pPr>
          <w:r>
            <w:fldChar w:fldCharType="begin"/>
          </w:r>
          <w:r>
            <w:instrText xml:space="preserve"> HYPERLINK \l "_Toc182813995" </w:instrText>
          </w:r>
          <w:r>
            <w:fldChar w:fldCharType="separate"/>
          </w:r>
          <w:r>
            <w:rPr>
              <w:rStyle w:val="20"/>
              <w:color w:val="auto"/>
            </w:rPr>
            <w:t>6.3</w:t>
          </w:r>
          <w:r>
            <w:rPr>
              <w:rFonts w:eastAsiaTheme="minorEastAsia"/>
            </w:rPr>
            <w:tab/>
          </w:r>
          <w:r>
            <w:rPr>
              <w:rStyle w:val="20"/>
              <w:color w:val="auto"/>
            </w:rPr>
            <w:t>Сведения о наличии баков-аккумуляторов</w:t>
          </w:r>
          <w:r>
            <w:tab/>
          </w:r>
          <w:r>
            <w:fldChar w:fldCharType="begin"/>
          </w:r>
          <w:r>
            <w:instrText xml:space="preserve"> PAGEREF _Toc182813995 \h </w:instrText>
          </w:r>
          <w:r>
            <w:fldChar w:fldCharType="separate"/>
          </w:r>
          <w:r>
            <w:t>117</w:t>
          </w:r>
          <w:r>
            <w:fldChar w:fldCharType="end"/>
          </w:r>
          <w:r>
            <w:fldChar w:fldCharType="end"/>
          </w:r>
        </w:p>
        <w:p w14:paraId="112D3C5A">
          <w:pPr>
            <w:pStyle w:val="66"/>
            <w:rPr>
              <w:rFonts w:eastAsiaTheme="minorEastAsia"/>
            </w:rPr>
          </w:pPr>
          <w:r>
            <w:fldChar w:fldCharType="begin"/>
          </w:r>
          <w:r>
            <w:instrText xml:space="preserve"> HYPERLINK \l "_Toc182813996" </w:instrText>
          </w:r>
          <w:r>
            <w:fldChar w:fldCharType="separate"/>
          </w:r>
          <w:r>
            <w:rPr>
              <w:rStyle w:val="20"/>
              <w:color w:val="auto"/>
            </w:rPr>
            <w:t>6.4</w:t>
          </w:r>
          <w:r>
            <w:rPr>
              <w:rFonts w:eastAsiaTheme="minorEastAsia"/>
            </w:rPr>
            <w:tab/>
          </w:r>
          <w:r>
            <w:rPr>
              <w:rStyle w:val="20"/>
              <w:color w:val="auto"/>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r>
          <w:r>
            <w:fldChar w:fldCharType="begin"/>
          </w:r>
          <w:r>
            <w:instrText xml:space="preserve"> PAGEREF _Toc182813996 \h </w:instrText>
          </w:r>
          <w:r>
            <w:fldChar w:fldCharType="separate"/>
          </w:r>
          <w:r>
            <w:t>118</w:t>
          </w:r>
          <w:r>
            <w:fldChar w:fldCharType="end"/>
          </w:r>
          <w:r>
            <w:fldChar w:fldCharType="end"/>
          </w:r>
        </w:p>
        <w:p w14:paraId="735FAF41">
          <w:pPr>
            <w:pStyle w:val="66"/>
            <w:rPr>
              <w:rFonts w:eastAsiaTheme="minorEastAsia"/>
            </w:rPr>
          </w:pPr>
          <w:r>
            <w:fldChar w:fldCharType="begin"/>
          </w:r>
          <w:r>
            <w:instrText xml:space="preserve"> HYPERLINK \l "_Toc182813997" </w:instrText>
          </w:r>
          <w:r>
            <w:fldChar w:fldCharType="separate"/>
          </w:r>
          <w:r>
            <w:rPr>
              <w:rStyle w:val="20"/>
              <w:color w:val="auto"/>
            </w:rPr>
            <w:t>6.5</w:t>
          </w:r>
          <w:r>
            <w:rPr>
              <w:rFonts w:eastAsiaTheme="minorEastAsia"/>
            </w:rPr>
            <w:tab/>
          </w:r>
          <w:r>
            <w:rPr>
              <w:rStyle w:val="20"/>
              <w:color w:val="auto"/>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ab/>
          </w:r>
          <w:r>
            <w:fldChar w:fldCharType="begin"/>
          </w:r>
          <w:r>
            <w:instrText xml:space="preserve"> PAGEREF _Toc182813997 \h </w:instrText>
          </w:r>
          <w:r>
            <w:fldChar w:fldCharType="separate"/>
          </w:r>
          <w:r>
            <w:t>118</w:t>
          </w:r>
          <w:r>
            <w:fldChar w:fldCharType="end"/>
          </w:r>
          <w:r>
            <w:fldChar w:fldCharType="end"/>
          </w:r>
        </w:p>
        <w:p w14:paraId="41F35CE2">
          <w:pPr>
            <w:pStyle w:val="66"/>
            <w:rPr>
              <w:rFonts w:eastAsiaTheme="minorEastAsia"/>
            </w:rPr>
          </w:pPr>
          <w:r>
            <w:fldChar w:fldCharType="begin"/>
          </w:r>
          <w:r>
            <w:instrText xml:space="preserve"> HYPERLINK \l "_Toc182813998" </w:instrText>
          </w:r>
          <w:r>
            <w:fldChar w:fldCharType="separate"/>
          </w:r>
          <w:r>
            <w:rPr>
              <w:rStyle w:val="20"/>
              <w:color w:val="auto"/>
            </w:rPr>
            <w:t>6.6</w:t>
          </w:r>
          <w:r>
            <w:rPr>
              <w:rFonts w:eastAsiaTheme="minorEastAsia"/>
            </w:rPr>
            <w:tab/>
          </w:r>
          <w:r>
            <w:rPr>
              <w:rStyle w:val="20"/>
              <w:color w:val="auto"/>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tab/>
          </w:r>
          <w:r>
            <w:fldChar w:fldCharType="begin"/>
          </w:r>
          <w:r>
            <w:instrText xml:space="preserve"> PAGEREF _Toc182813998 \h </w:instrText>
          </w:r>
          <w:r>
            <w:fldChar w:fldCharType="separate"/>
          </w:r>
          <w:r>
            <w:t>119</w:t>
          </w:r>
          <w:r>
            <w:fldChar w:fldCharType="end"/>
          </w:r>
          <w:r>
            <w:fldChar w:fldCharType="end"/>
          </w:r>
        </w:p>
        <w:p w14:paraId="7745FA60">
          <w:pPr>
            <w:pStyle w:val="66"/>
            <w:rPr>
              <w:rFonts w:eastAsiaTheme="minorEastAsia"/>
            </w:rPr>
          </w:pPr>
          <w:r>
            <w:fldChar w:fldCharType="begin"/>
          </w:r>
          <w:r>
            <w:instrText xml:space="preserve"> HYPERLINK \l "_Toc182813999" </w:instrText>
          </w:r>
          <w:r>
            <w:fldChar w:fldCharType="separate"/>
          </w:r>
          <w:r>
            <w:rPr>
              <w:rStyle w:val="20"/>
              <w:color w:val="auto"/>
            </w:rPr>
            <w:t>6.7</w:t>
          </w:r>
          <w:r>
            <w:rPr>
              <w:rFonts w:eastAsiaTheme="minorEastAsia"/>
            </w:rPr>
            <w:tab/>
          </w:r>
          <w:r>
            <w:rPr>
              <w:rStyle w:val="20"/>
              <w:color w:val="auto"/>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tab/>
          </w:r>
          <w:r>
            <w:fldChar w:fldCharType="begin"/>
          </w:r>
          <w:r>
            <w:instrText xml:space="preserve"> PAGEREF _Toc182813999 \h </w:instrText>
          </w:r>
          <w:r>
            <w:fldChar w:fldCharType="separate"/>
          </w:r>
          <w:r>
            <w:t>119</w:t>
          </w:r>
          <w:r>
            <w:fldChar w:fldCharType="end"/>
          </w:r>
          <w:r>
            <w:fldChar w:fldCharType="end"/>
          </w:r>
        </w:p>
        <w:p w14:paraId="2C55EC2E">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"_Toc182814000" </w:instrText>
          </w:r>
          <w:r>
            <w:fldChar w:fldCharType="separate"/>
          </w:r>
          <w:r>
            <w:rPr>
              <w:rStyle w:val="20"/>
              <w:rFonts w:ascii="Times New Roman" w:hAnsi="Times New Roman"/>
              <w:b w:val="0"/>
              <w:color w:val="auto"/>
            </w:rPr>
            <w:t>7</w:t>
          </w:r>
          <w:r>
            <w:rPr>
              <w:rFonts w:ascii="Times New Roman" w:hAnsi="Times New Roman" w:eastAsiaTheme="minorEastAsia"/>
              <w:b w:val="0"/>
              <w:bCs w:val="0"/>
              <w:caps w:val="0"/>
            </w:rPr>
            <w:tab/>
          </w:r>
          <w:r>
            <w:rPr>
              <w:rStyle w:val="20"/>
              <w:rFonts w:ascii="Times New Roman" w:hAnsi="Times New Roman"/>
              <w:b w:val="0"/>
              <w:color w:val="auto"/>
            </w:rPr>
            <w:t>Глава 7. Предложения по строительству, реконструкции, техническому перевооружению и (или) модернизации источников тепловой энергии</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_Toc182814000 \h </w:instrText>
          </w:r>
          <w:r>
            <w:rPr>
              <w:rFonts w:ascii="Times New Roman" w:hAnsi="Times New Roman"/>
              <w:b w:val="0"/>
            </w:rPr>
            <w:fldChar w:fldCharType="separate"/>
          </w:r>
          <w:r>
            <w:rPr>
              <w:rFonts w:ascii="Times New Roman" w:hAnsi="Times New Roman"/>
              <w:b w:val="0"/>
            </w:rPr>
            <w:t>120</w:t>
          </w:r>
          <w:r>
            <w:rPr>
              <w:rFonts w:ascii="Times New Roman" w:hAnsi="Times New Roman"/>
              <w:b w:val="0"/>
            </w:rPr>
            <w:fldChar w:fldCharType="end"/>
          </w:r>
          <w:r>
            <w:rPr>
              <w:rFonts w:ascii="Times New Roman" w:hAnsi="Times New Roman"/>
              <w:b w:val="0"/>
            </w:rPr>
            <w:fldChar w:fldCharType="end"/>
          </w:r>
        </w:p>
        <w:p w14:paraId="47DA2743">
          <w:pPr>
            <w:pStyle w:val="66"/>
            <w:rPr>
              <w:rFonts w:eastAsiaTheme="minorEastAsia"/>
            </w:rPr>
          </w:pPr>
          <w:r>
            <w:fldChar w:fldCharType="begin"/>
          </w:r>
          <w:r>
            <w:instrText xml:space="preserve"> HYPERLINK \l "_Toc182814001" </w:instrText>
          </w:r>
          <w:r>
            <w:fldChar w:fldCharType="separate"/>
          </w:r>
          <w:r>
            <w:rPr>
              <w:rStyle w:val="20"/>
              <w:color w:val="auto"/>
            </w:rPr>
            <w:t>7.1</w:t>
          </w:r>
          <w:r>
            <w:rPr>
              <w:rFonts w:eastAsiaTheme="minorEastAsia"/>
            </w:rPr>
            <w:tab/>
          </w:r>
          <w:r>
            <w:rPr>
              <w:rStyle w:val="20"/>
              <w:color w:val="auto"/>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tab/>
          </w:r>
          <w:r>
            <w:fldChar w:fldCharType="begin"/>
          </w:r>
          <w:r>
            <w:instrText xml:space="preserve"> PAGEREF _Toc182814001 \h </w:instrText>
          </w:r>
          <w:r>
            <w:fldChar w:fldCharType="separate"/>
          </w:r>
          <w:r>
            <w:t>120</w:t>
          </w:r>
          <w:r>
            <w:fldChar w:fldCharType="end"/>
          </w:r>
          <w:r>
            <w:fldChar w:fldCharType="end"/>
          </w:r>
        </w:p>
        <w:p w14:paraId="51F09B5E">
          <w:pPr>
            <w:pStyle w:val="66"/>
            <w:rPr>
              <w:rFonts w:eastAsiaTheme="minorEastAsia"/>
            </w:rPr>
          </w:pPr>
          <w:r>
            <w:fldChar w:fldCharType="begin"/>
          </w:r>
          <w:r>
            <w:instrText xml:space="preserve"> HYPERLINK \l "_Toc182814002" </w:instrText>
          </w:r>
          <w:r>
            <w:fldChar w:fldCharType="separate"/>
          </w:r>
          <w:r>
            <w:rPr>
              <w:rStyle w:val="20"/>
              <w:color w:val="auto"/>
            </w:rPr>
            <w:t>7.2</w:t>
          </w:r>
          <w:r>
            <w:rPr>
              <w:rFonts w:eastAsiaTheme="minorEastAsia"/>
            </w:rPr>
            <w:tab/>
          </w:r>
          <w:r>
            <w:rPr>
              <w:rStyle w:val="20"/>
              <w:color w:val="auto"/>
            </w:rPr>
            <w:t>Описание текущей ситуации, связанной с ранее принятыми в соответствии с законодательством Российской Федерации об электроэнергетических системах России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ab/>
          </w:r>
          <w:r>
            <w:fldChar w:fldCharType="begin"/>
          </w:r>
          <w:r>
            <w:instrText xml:space="preserve"> PAGEREF _Toc182814002 \h </w:instrText>
          </w:r>
          <w:r>
            <w:fldChar w:fldCharType="separate"/>
          </w:r>
          <w:r>
            <w:t>121</w:t>
          </w:r>
          <w:r>
            <w:fldChar w:fldCharType="end"/>
          </w:r>
          <w:r>
            <w:fldChar w:fldCharType="end"/>
          </w:r>
        </w:p>
        <w:p w14:paraId="6741CF4C">
          <w:pPr>
            <w:pStyle w:val="66"/>
            <w:rPr>
              <w:rFonts w:eastAsiaTheme="minorEastAsia"/>
            </w:rPr>
          </w:pPr>
          <w:r>
            <w:fldChar w:fldCharType="begin"/>
          </w:r>
          <w:r>
            <w:instrText xml:space="preserve"> HYPERLINK \l "_Toc182814003" </w:instrText>
          </w:r>
          <w:r>
            <w:fldChar w:fldCharType="separate"/>
          </w:r>
          <w:r>
            <w:rPr>
              <w:rStyle w:val="20"/>
              <w:color w:val="auto"/>
            </w:rPr>
            <w:t>7.3</w:t>
          </w:r>
          <w:r>
            <w:rPr>
              <w:rFonts w:eastAsiaTheme="minorEastAsia"/>
            </w:rPr>
            <w:tab/>
          </w:r>
          <w:r>
            <w:rPr>
              <w:rStyle w:val="20"/>
              <w:color w:val="auto"/>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ab/>
          </w:r>
          <w:r>
            <w:fldChar w:fldCharType="begin"/>
          </w:r>
          <w:r>
            <w:instrText xml:space="preserve"> PAGEREF _Toc182814003 \h </w:instrText>
          </w:r>
          <w:r>
            <w:fldChar w:fldCharType="separate"/>
          </w:r>
          <w:r>
            <w:t>121</w:t>
          </w:r>
          <w:r>
            <w:fldChar w:fldCharType="end"/>
          </w:r>
          <w:r>
            <w:fldChar w:fldCharType="end"/>
          </w:r>
        </w:p>
        <w:p w14:paraId="2AF1064F">
          <w:pPr>
            <w:pStyle w:val="66"/>
            <w:rPr>
              <w:rFonts w:eastAsiaTheme="minorEastAsia"/>
            </w:rPr>
          </w:pPr>
          <w:r>
            <w:fldChar w:fldCharType="begin"/>
          </w:r>
          <w:r>
            <w:instrText xml:space="preserve"> HYPERLINK \l "_Toc182814004" </w:instrText>
          </w:r>
          <w:r>
            <w:fldChar w:fldCharType="separate"/>
          </w:r>
          <w:r>
            <w:rPr>
              <w:rStyle w:val="20"/>
              <w:color w:val="auto"/>
            </w:rPr>
            <w:t>7.4</w:t>
          </w:r>
          <w:r>
            <w:rPr>
              <w:rFonts w:eastAsiaTheme="minorEastAsia"/>
            </w:rPr>
            <w:tab/>
          </w:r>
          <w:r>
            <w:rPr>
              <w:rStyle w:val="20"/>
              <w:color w:val="auto"/>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tab/>
          </w:r>
          <w:r>
            <w:fldChar w:fldCharType="begin"/>
          </w:r>
          <w:r>
            <w:instrText xml:space="preserve"> PAGEREF _Toc182814004 \h </w:instrText>
          </w:r>
          <w:r>
            <w:fldChar w:fldCharType="separate"/>
          </w:r>
          <w:r>
            <w:t>122</w:t>
          </w:r>
          <w:r>
            <w:fldChar w:fldCharType="end"/>
          </w:r>
          <w:r>
            <w:fldChar w:fldCharType="end"/>
          </w:r>
        </w:p>
        <w:p w14:paraId="7B35E013">
          <w:pPr>
            <w:pStyle w:val="66"/>
            <w:rPr>
              <w:rFonts w:eastAsiaTheme="minorEastAsia"/>
            </w:rPr>
          </w:pPr>
          <w:r>
            <w:fldChar w:fldCharType="begin"/>
          </w:r>
          <w:r>
            <w:instrText xml:space="preserve"> HYPERLINK \l "_Toc182814005" </w:instrText>
          </w:r>
          <w:r>
            <w:fldChar w:fldCharType="separate"/>
          </w:r>
          <w:r>
            <w:rPr>
              <w:rStyle w:val="20"/>
              <w:color w:val="auto"/>
            </w:rPr>
            <w:t>7.5</w:t>
          </w:r>
          <w:r>
            <w:rPr>
              <w:rFonts w:eastAsiaTheme="minorEastAsia"/>
            </w:rPr>
            <w:tab/>
          </w:r>
          <w:r>
            <w:rPr>
              <w:rStyle w:val="20"/>
              <w:color w:val="auto"/>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tab/>
          </w:r>
          <w:r>
            <w:fldChar w:fldCharType="begin"/>
          </w:r>
          <w:r>
            <w:instrText xml:space="preserve"> PAGEREF _Toc182814005 \h </w:instrText>
          </w:r>
          <w:r>
            <w:fldChar w:fldCharType="separate"/>
          </w:r>
          <w:r>
            <w:t>122</w:t>
          </w:r>
          <w:r>
            <w:fldChar w:fldCharType="end"/>
          </w:r>
          <w:r>
            <w:fldChar w:fldCharType="end"/>
          </w:r>
        </w:p>
        <w:p w14:paraId="703F0985">
          <w:pPr>
            <w:pStyle w:val="66"/>
            <w:rPr>
              <w:rFonts w:eastAsiaTheme="minorEastAsia"/>
            </w:rPr>
          </w:pPr>
          <w:r>
            <w:fldChar w:fldCharType="begin"/>
          </w:r>
          <w:r>
            <w:instrText xml:space="preserve"> HYPERLINK \l "_Toc182814006" </w:instrText>
          </w:r>
          <w:r>
            <w:fldChar w:fldCharType="separate"/>
          </w:r>
          <w:r>
            <w:rPr>
              <w:rStyle w:val="20"/>
              <w:color w:val="auto"/>
            </w:rPr>
            <w:t>7.6</w:t>
          </w:r>
          <w:r>
            <w:rPr>
              <w:rFonts w:eastAsiaTheme="minorEastAsia"/>
            </w:rPr>
            <w:tab/>
          </w:r>
          <w:r>
            <w:rPr>
              <w:rStyle w:val="20"/>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tab/>
          </w:r>
          <w:r>
            <w:fldChar w:fldCharType="begin"/>
          </w:r>
          <w:r>
            <w:instrText xml:space="preserve"> PAGEREF _Toc182814006 \h </w:instrText>
          </w:r>
          <w:r>
            <w:fldChar w:fldCharType="separate"/>
          </w:r>
          <w:r>
            <w:t>122</w:t>
          </w:r>
          <w:r>
            <w:fldChar w:fldCharType="end"/>
          </w:r>
          <w:r>
            <w:fldChar w:fldCharType="end"/>
          </w:r>
        </w:p>
        <w:p w14:paraId="1A571706">
          <w:pPr>
            <w:pStyle w:val="66"/>
            <w:rPr>
              <w:rFonts w:eastAsiaTheme="minorEastAsia"/>
            </w:rPr>
          </w:pPr>
          <w:r>
            <w:fldChar w:fldCharType="begin"/>
          </w:r>
          <w:r>
            <w:instrText xml:space="preserve"> HYPERLINK \l "_Toc182814007" </w:instrText>
          </w:r>
          <w:r>
            <w:fldChar w:fldCharType="separate"/>
          </w:r>
          <w:r>
            <w:rPr>
              <w:rStyle w:val="20"/>
              <w:color w:val="auto"/>
            </w:rPr>
            <w:t>7.7</w:t>
          </w:r>
          <w:r>
            <w:rPr>
              <w:rFonts w:eastAsiaTheme="minorEastAsia"/>
            </w:rPr>
            <w:tab/>
          </w:r>
          <w:r>
            <w:rPr>
              <w:rStyle w:val="20"/>
              <w:color w:val="auto"/>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tab/>
          </w:r>
          <w:r>
            <w:fldChar w:fldCharType="begin"/>
          </w:r>
          <w:r>
            <w:instrText xml:space="preserve"> PAGEREF _Toc182814007 \h </w:instrText>
          </w:r>
          <w:r>
            <w:fldChar w:fldCharType="separate"/>
          </w:r>
          <w:r>
            <w:t>122</w:t>
          </w:r>
          <w:r>
            <w:fldChar w:fldCharType="end"/>
          </w:r>
          <w:r>
            <w:fldChar w:fldCharType="end"/>
          </w:r>
        </w:p>
        <w:p w14:paraId="61A5030E">
          <w:pPr>
            <w:pStyle w:val="66"/>
            <w:rPr>
              <w:rFonts w:eastAsiaTheme="minorEastAsia"/>
            </w:rPr>
          </w:pPr>
          <w:r>
            <w:fldChar w:fldCharType="begin"/>
          </w:r>
          <w:r>
            <w:instrText xml:space="preserve"> HYPERLINK \l "_Toc182814008" </w:instrText>
          </w:r>
          <w:r>
            <w:fldChar w:fldCharType="separate"/>
          </w:r>
          <w:r>
            <w:rPr>
              <w:rStyle w:val="20"/>
              <w:color w:val="auto"/>
            </w:rPr>
            <w:t>7.8</w:t>
          </w:r>
          <w:r>
            <w:rPr>
              <w:rFonts w:eastAsiaTheme="minorEastAsia"/>
            </w:rPr>
            <w:tab/>
          </w:r>
          <w:r>
            <w:rPr>
              <w:rStyle w:val="20"/>
              <w:color w:val="auto"/>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ab/>
          </w:r>
          <w:r>
            <w:fldChar w:fldCharType="begin"/>
          </w:r>
          <w:r>
            <w:instrText xml:space="preserve"> PAGEREF _Toc182814008 \h </w:instrText>
          </w:r>
          <w:r>
            <w:fldChar w:fldCharType="separate"/>
          </w:r>
          <w:r>
            <w:t>122</w:t>
          </w:r>
          <w:r>
            <w:fldChar w:fldCharType="end"/>
          </w:r>
          <w:r>
            <w:fldChar w:fldCharType="end"/>
          </w:r>
        </w:p>
        <w:p w14:paraId="31A2E74C">
          <w:pPr>
            <w:pStyle w:val="66"/>
            <w:rPr>
              <w:rFonts w:eastAsiaTheme="minorEastAsia"/>
            </w:rPr>
          </w:pPr>
          <w:r>
            <w:fldChar w:fldCharType="begin"/>
          </w:r>
          <w:r>
            <w:instrText xml:space="preserve"> HYPERLINK \l "_Toc182814009" </w:instrText>
          </w:r>
          <w:r>
            <w:fldChar w:fldCharType="separate"/>
          </w:r>
          <w:r>
            <w:rPr>
              <w:rStyle w:val="20"/>
              <w:color w:val="auto"/>
            </w:rPr>
            <w:t>7.9</w:t>
          </w:r>
          <w:r>
            <w:rPr>
              <w:rFonts w:eastAsiaTheme="minorEastAsia"/>
            </w:rPr>
            <w:tab/>
          </w:r>
          <w:r>
            <w:rPr>
              <w:rStyle w:val="20"/>
              <w:color w:val="auto"/>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tab/>
          </w:r>
          <w:r>
            <w:fldChar w:fldCharType="begin"/>
          </w:r>
          <w:r>
            <w:instrText xml:space="preserve"> PAGEREF _Toc182814009 \h </w:instrText>
          </w:r>
          <w:r>
            <w:fldChar w:fldCharType="separate"/>
          </w:r>
          <w:r>
            <w:t>122</w:t>
          </w:r>
          <w:r>
            <w:fldChar w:fldCharType="end"/>
          </w:r>
          <w:r>
            <w:fldChar w:fldCharType="end"/>
          </w:r>
        </w:p>
        <w:p w14:paraId="2E515B5B">
          <w:pPr>
            <w:pStyle w:val="66"/>
            <w:rPr>
              <w:rFonts w:eastAsiaTheme="minorEastAsia"/>
            </w:rPr>
          </w:pPr>
          <w:r>
            <w:fldChar w:fldCharType="begin"/>
          </w:r>
          <w:r>
            <w:instrText xml:space="preserve"> HYPERLINK \l "_Toc182814010" </w:instrText>
          </w:r>
          <w:r>
            <w:fldChar w:fldCharType="separate"/>
          </w:r>
          <w:r>
            <w:rPr>
              <w:rStyle w:val="20"/>
              <w:color w:val="auto"/>
            </w:rPr>
            <w:t>7.10</w:t>
          </w:r>
          <w:r>
            <w:rPr>
              <w:rFonts w:eastAsiaTheme="minorEastAsia"/>
            </w:rPr>
            <w:tab/>
          </w:r>
          <w:r>
            <w:rPr>
              <w:rStyle w:val="20"/>
              <w:color w:val="auto"/>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fldChar w:fldCharType="begin"/>
          </w:r>
          <w:r>
            <w:instrText xml:space="preserve"> PAGEREF _Toc182814010 \h </w:instrText>
          </w:r>
          <w:r>
            <w:fldChar w:fldCharType="separate"/>
          </w:r>
          <w:r>
            <w:t>122</w:t>
          </w:r>
          <w:r>
            <w:fldChar w:fldCharType="end"/>
          </w:r>
          <w:r>
            <w:fldChar w:fldCharType="end"/>
          </w:r>
        </w:p>
        <w:p w14:paraId="79086679">
          <w:pPr>
            <w:pStyle w:val="66"/>
            <w:rPr>
              <w:rFonts w:eastAsiaTheme="minorEastAsia"/>
            </w:rPr>
          </w:pPr>
          <w:r>
            <w:fldChar w:fldCharType="begin"/>
          </w:r>
          <w:r>
            <w:instrText xml:space="preserve"> HYPERLINK \l "_Toc182814011" </w:instrText>
          </w:r>
          <w:r>
            <w:fldChar w:fldCharType="separate"/>
          </w:r>
          <w:r>
            <w:rPr>
              <w:rStyle w:val="20"/>
              <w:color w:val="auto"/>
            </w:rPr>
            <w:t>7.11</w:t>
          </w:r>
          <w:r>
            <w:rPr>
              <w:rFonts w:eastAsiaTheme="minorEastAsia"/>
            </w:rPr>
            <w:tab/>
          </w:r>
          <w:r>
            <w:rPr>
              <w:rStyle w:val="20"/>
              <w:color w:val="auto"/>
            </w:rPr>
            <w:t>Обоснование организации индивидуального теплоснабжения в зонах застройки на территории с.п. Верхнеказымский малоэтажными жилыми зданиями</w:t>
          </w:r>
          <w:r>
            <w:tab/>
          </w:r>
          <w:r>
            <w:fldChar w:fldCharType="begin"/>
          </w:r>
          <w:r>
            <w:instrText xml:space="preserve"> PAGEREF _Toc182814011 \h </w:instrText>
          </w:r>
          <w:r>
            <w:fldChar w:fldCharType="separate"/>
          </w:r>
          <w:r>
            <w:t>123</w:t>
          </w:r>
          <w:r>
            <w:fldChar w:fldCharType="end"/>
          </w:r>
          <w:r>
            <w:fldChar w:fldCharType="end"/>
          </w:r>
        </w:p>
        <w:p w14:paraId="0D53845B">
          <w:pPr>
            <w:pStyle w:val="66"/>
            <w:rPr>
              <w:rFonts w:eastAsiaTheme="minorEastAsia"/>
            </w:rPr>
          </w:pPr>
          <w:r>
            <w:fldChar w:fldCharType="begin"/>
          </w:r>
          <w:r>
            <w:instrText xml:space="preserve"> HYPERLINK \l "_Toc182814012" </w:instrText>
          </w:r>
          <w:r>
            <w:fldChar w:fldCharType="separate"/>
          </w:r>
          <w:r>
            <w:rPr>
              <w:rStyle w:val="20"/>
              <w:color w:val="auto"/>
            </w:rPr>
            <w:t>7.12</w:t>
          </w:r>
          <w:r>
            <w:rPr>
              <w:rFonts w:eastAsiaTheme="minorEastAsia"/>
            </w:rPr>
            <w:tab/>
          </w:r>
          <w:r>
            <w:rPr>
              <w:rStyle w:val="20"/>
              <w:color w:val="auto"/>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на территории с.п. Верхнеказымский</w:t>
          </w:r>
          <w:r>
            <w:tab/>
          </w:r>
          <w:r>
            <w:fldChar w:fldCharType="begin"/>
          </w:r>
          <w:r>
            <w:instrText xml:space="preserve"> PAGEREF _Toc182814012 \h </w:instrText>
          </w:r>
          <w:r>
            <w:fldChar w:fldCharType="separate"/>
          </w:r>
          <w:r>
            <w:t>123</w:t>
          </w:r>
          <w:r>
            <w:fldChar w:fldCharType="end"/>
          </w:r>
          <w:r>
            <w:fldChar w:fldCharType="end"/>
          </w:r>
        </w:p>
        <w:p w14:paraId="1F24F430">
          <w:pPr>
            <w:pStyle w:val="66"/>
            <w:rPr>
              <w:rFonts w:eastAsiaTheme="minorEastAsia"/>
            </w:rPr>
          </w:pPr>
          <w:r>
            <w:fldChar w:fldCharType="begin"/>
          </w:r>
          <w:r>
            <w:instrText xml:space="preserve"> HYPERLINK \l "_Toc182814013" </w:instrText>
          </w:r>
          <w:r>
            <w:fldChar w:fldCharType="separate"/>
          </w:r>
          <w:r>
            <w:rPr>
              <w:rStyle w:val="20"/>
              <w:color w:val="auto"/>
            </w:rPr>
            <w:t>7.13</w:t>
          </w:r>
          <w:r>
            <w:rPr>
              <w:rFonts w:eastAsiaTheme="minorEastAsia"/>
            </w:rPr>
            <w:tab/>
          </w:r>
          <w:r>
            <w:rPr>
              <w:rStyle w:val="20"/>
              <w:color w:val="auto"/>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r>
          <w:r>
            <w:fldChar w:fldCharType="begin"/>
          </w:r>
          <w:r>
            <w:instrText xml:space="preserve"> PAGEREF _Toc182814013 \h </w:instrText>
          </w:r>
          <w:r>
            <w:fldChar w:fldCharType="separate"/>
          </w:r>
          <w:r>
            <w:t>123</w:t>
          </w:r>
          <w:r>
            <w:fldChar w:fldCharType="end"/>
          </w:r>
          <w:r>
            <w:fldChar w:fldCharType="end"/>
          </w:r>
        </w:p>
        <w:p w14:paraId="28060414">
          <w:pPr>
            <w:pStyle w:val="66"/>
            <w:rPr>
              <w:rFonts w:eastAsiaTheme="minorEastAsia"/>
            </w:rPr>
          </w:pPr>
          <w:r>
            <w:fldChar w:fldCharType="begin"/>
          </w:r>
          <w:r>
            <w:instrText xml:space="preserve"> HYPERLINK \l "_Toc182814014" </w:instrText>
          </w:r>
          <w:r>
            <w:fldChar w:fldCharType="separate"/>
          </w:r>
          <w:r>
            <w:rPr>
              <w:rStyle w:val="20"/>
              <w:color w:val="auto"/>
            </w:rPr>
            <w:t>7.14</w:t>
          </w:r>
          <w:r>
            <w:rPr>
              <w:rFonts w:eastAsiaTheme="minorEastAsia"/>
            </w:rPr>
            <w:tab/>
          </w:r>
          <w:r>
            <w:rPr>
              <w:rStyle w:val="20"/>
              <w:color w:val="auto"/>
            </w:rPr>
            <w:t>Обоснование организации теплоснабжения в производственных зонах на территории с.п. Верхнеказымский</w:t>
          </w:r>
          <w:r>
            <w:tab/>
          </w:r>
          <w:r>
            <w:fldChar w:fldCharType="begin"/>
          </w:r>
          <w:r>
            <w:instrText xml:space="preserve"> PAGEREF _Toc182814014 \h </w:instrText>
          </w:r>
          <w:r>
            <w:fldChar w:fldCharType="separate"/>
          </w:r>
          <w:r>
            <w:t>123</w:t>
          </w:r>
          <w:r>
            <w:fldChar w:fldCharType="end"/>
          </w:r>
          <w:r>
            <w:fldChar w:fldCharType="end"/>
          </w:r>
        </w:p>
        <w:p w14:paraId="73C4F8DE">
          <w:pPr>
            <w:pStyle w:val="66"/>
            <w:rPr>
              <w:rFonts w:eastAsiaTheme="minorEastAsia"/>
            </w:rPr>
          </w:pPr>
          <w:r>
            <w:fldChar w:fldCharType="begin"/>
          </w:r>
          <w:r>
            <w:instrText xml:space="preserve"> HYPERLINK \l "_Toc182814015" </w:instrText>
          </w:r>
          <w:r>
            <w:fldChar w:fldCharType="separate"/>
          </w:r>
          <w:r>
            <w:rPr>
              <w:rStyle w:val="20"/>
              <w:color w:val="auto"/>
            </w:rPr>
            <w:t>7.15</w:t>
          </w:r>
          <w:r>
            <w:rPr>
              <w:rFonts w:eastAsiaTheme="minorEastAsia"/>
            </w:rPr>
            <w:tab/>
          </w:r>
          <w:r>
            <w:rPr>
              <w:rStyle w:val="20"/>
              <w:color w:val="auto"/>
            </w:rPr>
            <w:t>Результаты расчетов радиуса эффективного теплоснабжения</w:t>
          </w:r>
          <w:r>
            <w:tab/>
          </w:r>
          <w:r>
            <w:fldChar w:fldCharType="begin"/>
          </w:r>
          <w:r>
            <w:instrText xml:space="preserve"> PAGEREF _Toc182814015 \h </w:instrText>
          </w:r>
          <w:r>
            <w:fldChar w:fldCharType="separate"/>
          </w:r>
          <w:r>
            <w:t>123</w:t>
          </w:r>
          <w:r>
            <w:fldChar w:fldCharType="end"/>
          </w:r>
          <w:r>
            <w:fldChar w:fldCharType="end"/>
          </w:r>
        </w:p>
        <w:p w14:paraId="7FD4423F">
          <w:pPr>
            <w:pStyle w:val="66"/>
            <w:rPr>
              <w:rFonts w:eastAsiaTheme="minorEastAsia"/>
            </w:rPr>
          </w:pPr>
          <w:r>
            <w:fldChar w:fldCharType="begin"/>
          </w:r>
          <w:r>
            <w:instrText xml:space="preserve"> HYPERLINK \l "_Toc182814016" </w:instrText>
          </w:r>
          <w:r>
            <w:fldChar w:fldCharType="separate"/>
          </w:r>
          <w:r>
            <w:rPr>
              <w:rStyle w:val="20"/>
              <w:color w:val="auto"/>
            </w:rPr>
            <w:t>7.16</w:t>
          </w:r>
          <w:r>
            <w:rPr>
              <w:rFonts w:eastAsiaTheme="minorEastAsia"/>
            </w:rPr>
            <w:tab/>
          </w:r>
          <w:r>
            <w:rPr>
              <w:rStyle w:val="20"/>
              <w:color w:val="auto"/>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tab/>
          </w:r>
          <w:r>
            <w:fldChar w:fldCharType="begin"/>
          </w:r>
          <w:r>
            <w:instrText xml:space="preserve"> PAGEREF _Toc182814016 \h </w:instrText>
          </w:r>
          <w:r>
            <w:fldChar w:fldCharType="separate"/>
          </w:r>
          <w:r>
            <w:t>124</w:t>
          </w:r>
          <w:r>
            <w:fldChar w:fldCharType="end"/>
          </w:r>
          <w:r>
            <w:fldChar w:fldCharType="end"/>
          </w:r>
        </w:p>
        <w:p w14:paraId="1F598269">
          <w:pPr>
            <w:pStyle w:val="66"/>
            <w:rPr>
              <w:rFonts w:eastAsiaTheme="minorEastAsia"/>
            </w:rPr>
          </w:pPr>
          <w:r>
            <w:fldChar w:fldCharType="begin"/>
          </w:r>
          <w:r>
            <w:instrText xml:space="preserve"> HYPERLINK \l "_Toc182814017" </w:instrText>
          </w:r>
          <w:r>
            <w:fldChar w:fldCharType="separate"/>
          </w:r>
          <w:r>
            <w:rPr>
              <w:rStyle w:val="20"/>
              <w:color w:val="auto"/>
            </w:rPr>
            <w:t>7.17</w:t>
          </w:r>
          <w:r>
            <w:rPr>
              <w:rFonts w:eastAsiaTheme="minorEastAsia"/>
            </w:rPr>
            <w:tab/>
          </w:r>
          <w:r>
            <w:rPr>
              <w:rStyle w:val="20"/>
              <w:color w:val="auto"/>
            </w:rPr>
            <w:t>Обоснование покрытия перспективной тепловой нагрузки, не обеспеченной тепловой мощностью</w:t>
          </w:r>
          <w:r>
            <w:tab/>
          </w:r>
          <w:r>
            <w:tab/>
          </w:r>
          <w:r>
            <w:fldChar w:fldCharType="begin"/>
          </w:r>
          <w:r>
            <w:instrText xml:space="preserve"> PAGEREF _Toc182814017 \h </w:instrText>
          </w:r>
          <w:r>
            <w:fldChar w:fldCharType="separate"/>
          </w:r>
          <w:r>
            <w:t>124</w:t>
          </w:r>
          <w:r>
            <w:fldChar w:fldCharType="end"/>
          </w:r>
          <w:r>
            <w:fldChar w:fldCharType="end"/>
          </w:r>
        </w:p>
        <w:p w14:paraId="20B172B2">
          <w:pPr>
            <w:pStyle w:val="66"/>
            <w:rPr>
              <w:rFonts w:eastAsiaTheme="minorEastAsia"/>
            </w:rPr>
          </w:pPr>
          <w:r>
            <w:fldChar w:fldCharType="begin"/>
          </w:r>
          <w:r>
            <w:instrText xml:space="preserve"> HYPERLINK \l "_Toc182814018" </w:instrText>
          </w:r>
          <w:r>
            <w:fldChar w:fldCharType="separate"/>
          </w:r>
          <w:r>
            <w:rPr>
              <w:rStyle w:val="20"/>
              <w:color w:val="auto"/>
            </w:rPr>
            <w:t>7.18</w:t>
          </w:r>
          <w:r>
            <w:rPr>
              <w:rFonts w:eastAsiaTheme="minorEastAsia"/>
            </w:rPr>
            <w:tab/>
          </w:r>
          <w:r>
            <w:rPr>
              <w:rStyle w:val="20"/>
              <w:color w:val="auto"/>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tab/>
          </w:r>
          <w:r>
            <w:tab/>
          </w:r>
          <w:r>
            <w:tab/>
          </w:r>
          <w:r>
            <w:fldChar w:fldCharType="begin"/>
          </w:r>
          <w:r>
            <w:instrText xml:space="preserve"> PAGEREF _Toc182814018 \h </w:instrText>
          </w:r>
          <w:r>
            <w:fldChar w:fldCharType="separate"/>
          </w:r>
          <w:r>
            <w:t>125</w:t>
          </w:r>
          <w:r>
            <w:fldChar w:fldCharType="end"/>
          </w:r>
          <w:r>
            <w:fldChar w:fldCharType="end"/>
          </w:r>
        </w:p>
        <w:p w14:paraId="5D19F43B">
          <w:pPr>
            <w:pStyle w:val="66"/>
            <w:rPr>
              <w:rFonts w:eastAsiaTheme="minorEastAsia"/>
            </w:rPr>
          </w:pPr>
          <w:r>
            <w:fldChar w:fldCharType="begin"/>
          </w:r>
          <w:r>
            <w:instrText xml:space="preserve"> HYPERLINK \l "_Toc182814019" </w:instrText>
          </w:r>
          <w:r>
            <w:fldChar w:fldCharType="separate"/>
          </w:r>
          <w:r>
            <w:rPr>
              <w:rStyle w:val="20"/>
              <w:color w:val="auto"/>
            </w:rPr>
            <w:t>7.19</w:t>
          </w:r>
          <w:r>
            <w:rPr>
              <w:rFonts w:eastAsiaTheme="minorEastAsia"/>
            </w:rPr>
            <w:tab/>
          </w:r>
          <w:r>
            <w:rPr>
              <w:rStyle w:val="20"/>
              <w:color w:val="auto"/>
            </w:rPr>
            <w:t>Определение перспективных режимов загрузки источников тепловой энергии по присоединенной нагрузке</w:t>
          </w:r>
          <w:r>
            <w:tab/>
          </w:r>
          <w:r>
            <w:fldChar w:fldCharType="begin"/>
          </w:r>
          <w:r>
            <w:instrText xml:space="preserve"> PAGEREF _Toc182814019 \h </w:instrText>
          </w:r>
          <w:r>
            <w:fldChar w:fldCharType="separate"/>
          </w:r>
          <w:r>
            <w:t>125</w:t>
          </w:r>
          <w:r>
            <w:fldChar w:fldCharType="end"/>
          </w:r>
          <w:r>
            <w:fldChar w:fldCharType="end"/>
          </w:r>
        </w:p>
        <w:p w14:paraId="325C3FA9">
          <w:pPr>
            <w:pStyle w:val="66"/>
            <w:rPr>
              <w:rFonts w:eastAsiaTheme="minorEastAsia"/>
            </w:rPr>
          </w:pPr>
          <w:r>
            <w:fldChar w:fldCharType="begin"/>
          </w:r>
          <w:r>
            <w:instrText xml:space="preserve"> HYPERLINK \l "_Toc182814020" </w:instrText>
          </w:r>
          <w:r>
            <w:fldChar w:fldCharType="separate"/>
          </w:r>
          <w:r>
            <w:rPr>
              <w:rStyle w:val="20"/>
              <w:color w:val="auto"/>
            </w:rPr>
            <w:t>7.20</w:t>
          </w:r>
          <w:r>
            <w:rPr>
              <w:rFonts w:eastAsiaTheme="minorEastAsia"/>
            </w:rPr>
            <w:tab/>
          </w:r>
          <w:r>
            <w:rPr>
              <w:rStyle w:val="20"/>
              <w:color w:val="auto"/>
            </w:rPr>
            <w:t>Определение потребности в топливе и рекомендации по видам используемого топлива</w:t>
          </w:r>
          <w:r>
            <w:tab/>
          </w:r>
          <w:r>
            <w:tab/>
          </w:r>
          <w:r>
            <w:fldChar w:fldCharType="begin"/>
          </w:r>
          <w:r>
            <w:instrText xml:space="preserve"> PAGEREF _Toc182814020 \h </w:instrText>
          </w:r>
          <w:r>
            <w:fldChar w:fldCharType="separate"/>
          </w:r>
          <w:r>
            <w:t>125</w:t>
          </w:r>
          <w:r>
            <w:fldChar w:fldCharType="end"/>
          </w:r>
          <w:r>
            <w:fldChar w:fldCharType="end"/>
          </w:r>
        </w:p>
        <w:p w14:paraId="35B4B4D5">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"_Toc182814021" </w:instrText>
          </w:r>
          <w:r>
            <w:fldChar w:fldCharType="separate"/>
          </w:r>
          <w:r>
            <w:rPr>
              <w:rStyle w:val="20"/>
              <w:rFonts w:ascii="Times New Roman" w:hAnsi="Times New Roman"/>
              <w:b w:val="0"/>
              <w:color w:val="auto"/>
            </w:rPr>
            <w:t>8</w:t>
          </w:r>
          <w:r>
            <w:rPr>
              <w:rFonts w:ascii="Times New Roman" w:hAnsi="Times New Roman" w:eastAsiaTheme="minorEastAsia"/>
              <w:b w:val="0"/>
              <w:bCs w:val="0"/>
              <w:caps w:val="0"/>
            </w:rPr>
            <w:tab/>
          </w:r>
          <w:r>
            <w:rPr>
              <w:rStyle w:val="20"/>
              <w:rFonts w:ascii="Times New Roman" w:hAnsi="Times New Roman"/>
              <w:b w:val="0"/>
              <w:color w:val="auto"/>
            </w:rPr>
            <w:t>Глава 8. Предложения по строительству, реконструкции и (или) модернизации тепловых сетей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_Toc182814021 \h </w:instrText>
          </w:r>
          <w:r>
            <w:rPr>
              <w:rFonts w:ascii="Times New Roman" w:hAnsi="Times New Roman"/>
              <w:b w:val="0"/>
            </w:rPr>
            <w:fldChar w:fldCharType="separate"/>
          </w:r>
          <w:r>
            <w:rPr>
              <w:rFonts w:ascii="Times New Roman" w:hAnsi="Times New Roman"/>
              <w:b w:val="0"/>
            </w:rPr>
            <w:t>127</w:t>
          </w:r>
          <w:r>
            <w:rPr>
              <w:rFonts w:ascii="Times New Roman" w:hAnsi="Times New Roman"/>
              <w:b w:val="0"/>
            </w:rPr>
            <w:fldChar w:fldCharType="end"/>
          </w:r>
          <w:r>
            <w:rPr>
              <w:rFonts w:ascii="Times New Roman" w:hAnsi="Times New Roman"/>
              <w:b w:val="0"/>
            </w:rPr>
            <w:fldChar w:fldCharType="end"/>
          </w:r>
        </w:p>
        <w:p w14:paraId="25048A2A">
          <w:pPr>
            <w:pStyle w:val="66"/>
            <w:rPr>
              <w:rFonts w:eastAsiaTheme="minorEastAsia"/>
            </w:rPr>
          </w:pPr>
          <w:r>
            <w:fldChar w:fldCharType="begin"/>
          </w:r>
          <w:r>
            <w:instrText xml:space="preserve"> HYPERLINK \l "_Toc182814022" </w:instrText>
          </w:r>
          <w:r>
            <w:fldChar w:fldCharType="separate"/>
          </w:r>
          <w:r>
            <w:rPr>
              <w:rStyle w:val="20"/>
              <w:color w:val="auto"/>
            </w:rPr>
            <w:t>8.1</w:t>
          </w:r>
          <w:r>
            <w:rPr>
              <w:rFonts w:eastAsiaTheme="minorEastAsia"/>
            </w:rPr>
            <w:tab/>
          </w:r>
          <w:r>
            <w:rPr>
              <w:rStyle w:val="20"/>
              <w:color w:val="auto"/>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ab/>
          </w:r>
          <w:r>
            <w:tab/>
          </w:r>
          <w:r>
            <w:fldChar w:fldCharType="begin"/>
          </w:r>
          <w:r>
            <w:instrText xml:space="preserve"> PAGEREF _Toc182814022 \h </w:instrText>
          </w:r>
          <w:r>
            <w:fldChar w:fldCharType="separate"/>
          </w:r>
          <w:r>
            <w:t>127</w:t>
          </w:r>
          <w:r>
            <w:fldChar w:fldCharType="end"/>
          </w:r>
          <w:r>
            <w:fldChar w:fldCharType="end"/>
          </w:r>
        </w:p>
        <w:p w14:paraId="6C2C66E2">
          <w:pPr>
            <w:pStyle w:val="66"/>
            <w:rPr>
              <w:rFonts w:eastAsiaTheme="minorEastAsia"/>
            </w:rPr>
          </w:pPr>
          <w:r>
            <w:fldChar w:fldCharType="begin"/>
          </w:r>
          <w:r>
            <w:instrText xml:space="preserve"> HYPERLINK \l "_Toc182814023" </w:instrText>
          </w:r>
          <w:r>
            <w:fldChar w:fldCharType="separate"/>
          </w:r>
          <w:r>
            <w:rPr>
              <w:rStyle w:val="20"/>
              <w:color w:val="auto"/>
            </w:rPr>
            <w:t>8.2</w:t>
          </w:r>
          <w:r>
            <w:rPr>
              <w:rFonts w:eastAsiaTheme="minorEastAsia"/>
            </w:rPr>
            <w:tab/>
          </w:r>
          <w:r>
            <w:rPr>
              <w:rStyle w:val="20"/>
              <w:color w:val="auto"/>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tab/>
          </w:r>
          <w:r>
            <w:fldChar w:fldCharType="begin"/>
          </w:r>
          <w:r>
            <w:instrText xml:space="preserve"> PAGEREF _Toc182814023 \h </w:instrText>
          </w:r>
          <w:r>
            <w:fldChar w:fldCharType="separate"/>
          </w:r>
          <w:r>
            <w:t>127</w:t>
          </w:r>
          <w:r>
            <w:fldChar w:fldCharType="end"/>
          </w:r>
          <w:r>
            <w:fldChar w:fldCharType="end"/>
          </w:r>
        </w:p>
        <w:p w14:paraId="0B24AF4B">
          <w:pPr>
            <w:pStyle w:val="66"/>
            <w:rPr>
              <w:rFonts w:eastAsiaTheme="minorEastAsia"/>
            </w:rPr>
          </w:pPr>
          <w:r>
            <w:fldChar w:fldCharType="begin"/>
          </w:r>
          <w:r>
            <w:instrText xml:space="preserve"> HYPERLINK \l "_Toc182814024" </w:instrText>
          </w:r>
          <w:r>
            <w:fldChar w:fldCharType="separate"/>
          </w:r>
          <w:r>
            <w:rPr>
              <w:rStyle w:val="20"/>
              <w:color w:val="auto"/>
            </w:rPr>
            <w:t>8.3</w:t>
          </w:r>
          <w:r>
            <w:rPr>
              <w:rFonts w:eastAsiaTheme="minorEastAsia"/>
            </w:rPr>
            <w:tab/>
          </w:r>
          <w:r>
            <w:rPr>
              <w:rStyle w:val="20"/>
              <w:color w:val="auto"/>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fldCharType="begin"/>
          </w:r>
          <w:r>
            <w:instrText xml:space="preserve"> PAGEREF _Toc182814024 \h </w:instrText>
          </w:r>
          <w:r>
            <w:fldChar w:fldCharType="separate"/>
          </w:r>
          <w:r>
            <w:t>131</w:t>
          </w:r>
          <w:r>
            <w:fldChar w:fldCharType="end"/>
          </w:r>
          <w:r>
            <w:fldChar w:fldCharType="end"/>
          </w:r>
        </w:p>
        <w:p w14:paraId="154EF9DB">
          <w:pPr>
            <w:pStyle w:val="66"/>
            <w:rPr>
              <w:rFonts w:eastAsiaTheme="minorEastAsia"/>
            </w:rPr>
          </w:pPr>
          <w:r>
            <w:fldChar w:fldCharType="begin"/>
          </w:r>
          <w:r>
            <w:instrText xml:space="preserve"> HYPERLINK \l "_Toc182814025" </w:instrText>
          </w:r>
          <w:r>
            <w:fldChar w:fldCharType="separate"/>
          </w:r>
          <w:r>
            <w:rPr>
              <w:rStyle w:val="20"/>
              <w:color w:val="auto"/>
            </w:rPr>
            <w:t>8.4</w:t>
          </w:r>
          <w:r>
            <w:rPr>
              <w:rFonts w:eastAsiaTheme="minorEastAsia"/>
            </w:rPr>
            <w:tab/>
          </w:r>
          <w:r>
            <w:rPr>
              <w:rStyle w:val="20"/>
              <w:color w:val="auto"/>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fldCharType="begin"/>
          </w:r>
          <w:r>
            <w:instrText xml:space="preserve"> PAGEREF _Toc182814025 \h </w:instrText>
          </w:r>
          <w:r>
            <w:fldChar w:fldCharType="separate"/>
          </w:r>
          <w:r>
            <w:t>131</w:t>
          </w:r>
          <w:r>
            <w:fldChar w:fldCharType="end"/>
          </w:r>
          <w:r>
            <w:fldChar w:fldCharType="end"/>
          </w:r>
        </w:p>
        <w:p w14:paraId="73180ED9">
          <w:pPr>
            <w:pStyle w:val="66"/>
            <w:rPr>
              <w:rFonts w:eastAsiaTheme="minorEastAsia"/>
            </w:rPr>
          </w:pPr>
          <w:r>
            <w:fldChar w:fldCharType="begin"/>
          </w:r>
          <w:r>
            <w:instrText xml:space="preserve"> HYPERLINK \l "_Toc182814026" </w:instrText>
          </w:r>
          <w:r>
            <w:fldChar w:fldCharType="separate"/>
          </w:r>
          <w:r>
            <w:rPr>
              <w:rStyle w:val="20"/>
              <w:color w:val="auto"/>
            </w:rPr>
            <w:t>8.5</w:t>
          </w:r>
          <w:r>
            <w:rPr>
              <w:rFonts w:eastAsiaTheme="minorEastAsia"/>
            </w:rPr>
            <w:tab/>
          </w:r>
          <w:r>
            <w:rPr>
              <w:rStyle w:val="20"/>
              <w:color w:val="auto"/>
            </w:rPr>
            <w:t>Предложения по строительству тепловых сетей для обеспечения нормативной надежности теплоснабжения</w:t>
          </w:r>
          <w:r>
            <w:tab/>
          </w:r>
          <w:r>
            <w:fldChar w:fldCharType="begin"/>
          </w:r>
          <w:r>
            <w:instrText xml:space="preserve"> PAGEREF _Toc182814026 \h </w:instrText>
          </w:r>
          <w:r>
            <w:fldChar w:fldCharType="separate"/>
          </w:r>
          <w:r>
            <w:t>131</w:t>
          </w:r>
          <w:r>
            <w:fldChar w:fldCharType="end"/>
          </w:r>
          <w:r>
            <w:fldChar w:fldCharType="end"/>
          </w:r>
        </w:p>
        <w:p w14:paraId="071406C1">
          <w:pPr>
            <w:pStyle w:val="66"/>
            <w:rPr>
              <w:rFonts w:eastAsiaTheme="minorEastAsia"/>
            </w:rPr>
          </w:pPr>
          <w:r>
            <w:fldChar w:fldCharType="begin"/>
          </w:r>
          <w:r>
            <w:instrText xml:space="preserve"> HYPERLINK \l "_Toc182814027" </w:instrText>
          </w:r>
          <w:r>
            <w:fldChar w:fldCharType="separate"/>
          </w:r>
          <w:r>
            <w:rPr>
              <w:rStyle w:val="20"/>
              <w:color w:val="auto"/>
            </w:rPr>
            <w:t>8.6</w:t>
          </w:r>
          <w:r>
            <w:rPr>
              <w:rFonts w:eastAsiaTheme="minorEastAsia"/>
            </w:rPr>
            <w:tab/>
          </w:r>
          <w:r>
            <w:rPr>
              <w:rStyle w:val="20"/>
              <w:color w:val="auto"/>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tab/>
          </w:r>
          <w:r>
            <w:fldChar w:fldCharType="begin"/>
          </w:r>
          <w:r>
            <w:instrText xml:space="preserve"> PAGEREF _Toc182814027 \h </w:instrText>
          </w:r>
          <w:r>
            <w:fldChar w:fldCharType="separate"/>
          </w:r>
          <w:r>
            <w:t>131</w:t>
          </w:r>
          <w:r>
            <w:fldChar w:fldCharType="end"/>
          </w:r>
          <w:r>
            <w:fldChar w:fldCharType="end"/>
          </w:r>
        </w:p>
        <w:p w14:paraId="5B59FCC5">
          <w:pPr>
            <w:pStyle w:val="66"/>
            <w:rPr>
              <w:rFonts w:eastAsiaTheme="minorEastAsia"/>
            </w:rPr>
          </w:pPr>
          <w:r>
            <w:fldChar w:fldCharType="begin"/>
          </w:r>
          <w:r>
            <w:instrText xml:space="preserve"> HYPERLINK \l "_Toc182814028" </w:instrText>
          </w:r>
          <w:r>
            <w:fldChar w:fldCharType="separate"/>
          </w:r>
          <w:r>
            <w:rPr>
              <w:rStyle w:val="20"/>
              <w:color w:val="auto"/>
            </w:rPr>
            <w:t>8.7</w:t>
          </w:r>
          <w:r>
            <w:rPr>
              <w:rFonts w:eastAsiaTheme="minorEastAsia"/>
            </w:rPr>
            <w:tab/>
          </w:r>
          <w:r>
            <w:rPr>
              <w:rStyle w:val="20"/>
              <w:color w:val="auto"/>
            </w:rPr>
            <w:t>Предложения по реконструкции и (или) модернизации тепловых сетей, подлежащих замене в связи с исчерпанием эксплуатационного ресурса</w:t>
          </w:r>
          <w:r>
            <w:tab/>
          </w:r>
          <w:r>
            <w:fldChar w:fldCharType="begin"/>
          </w:r>
          <w:r>
            <w:instrText xml:space="preserve"> PAGEREF _Toc182814028 \h </w:instrText>
          </w:r>
          <w:r>
            <w:fldChar w:fldCharType="separate"/>
          </w:r>
          <w:r>
            <w:t>131</w:t>
          </w:r>
          <w:r>
            <w:fldChar w:fldCharType="end"/>
          </w:r>
          <w:r>
            <w:fldChar w:fldCharType="end"/>
          </w:r>
        </w:p>
        <w:p w14:paraId="54E606E7">
          <w:pPr>
            <w:pStyle w:val="66"/>
            <w:rPr>
              <w:rFonts w:eastAsiaTheme="minorEastAsia"/>
            </w:rPr>
          </w:pPr>
          <w:r>
            <w:fldChar w:fldCharType="begin"/>
          </w:r>
          <w:r>
            <w:instrText xml:space="preserve"> HYPERLINK \l "_Toc182814029" </w:instrText>
          </w:r>
          <w:r>
            <w:fldChar w:fldCharType="separate"/>
          </w:r>
          <w:r>
            <w:rPr>
              <w:rStyle w:val="20"/>
              <w:color w:val="auto"/>
            </w:rPr>
            <w:t>8.8</w:t>
          </w:r>
          <w:r>
            <w:rPr>
              <w:rFonts w:eastAsiaTheme="minorEastAsia"/>
            </w:rPr>
            <w:tab/>
          </w:r>
          <w:r>
            <w:rPr>
              <w:rStyle w:val="20"/>
              <w:color w:val="auto"/>
            </w:rPr>
            <w:t>Предложения по строительству, реконструкции и (или) модернизации насосных станций</w:t>
          </w:r>
          <w:r>
            <w:tab/>
          </w:r>
          <w:r>
            <w:tab/>
          </w:r>
          <w:r>
            <w:fldChar w:fldCharType="begin"/>
          </w:r>
          <w:r>
            <w:instrText xml:space="preserve"> PAGEREF _Toc182814029 \h </w:instrText>
          </w:r>
          <w:r>
            <w:fldChar w:fldCharType="separate"/>
          </w:r>
          <w:r>
            <w:t>131</w:t>
          </w:r>
          <w:r>
            <w:fldChar w:fldCharType="end"/>
          </w:r>
          <w:r>
            <w:fldChar w:fldCharType="end"/>
          </w:r>
        </w:p>
        <w:p w14:paraId="50395159">
          <w:pPr>
            <w:pStyle w:val="66"/>
            <w:rPr>
              <w:rFonts w:eastAsiaTheme="minorEastAsia"/>
            </w:rPr>
          </w:pPr>
          <w:r>
            <w:fldChar w:fldCharType="begin"/>
          </w:r>
          <w:r>
            <w:instrText xml:space="preserve"> HYPERLINK \l "_Toc182814030" </w:instrText>
          </w:r>
          <w:r>
            <w:fldChar w:fldCharType="separate"/>
          </w:r>
          <w:r>
            <w:rPr>
              <w:rStyle w:val="20"/>
              <w:color w:val="auto"/>
            </w:rPr>
            <w:t>8.9</w:t>
          </w:r>
          <w:r>
            <w:rPr>
              <w:rFonts w:eastAsiaTheme="minorEastAsia"/>
            </w:rPr>
            <w:tab/>
          </w:r>
          <w:r>
            <w:rPr>
              <w:rStyle w:val="20"/>
              <w:color w:val="auto"/>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tab/>
          </w:r>
          <w:r>
            <w:fldChar w:fldCharType="begin"/>
          </w:r>
          <w:r>
            <w:instrText xml:space="preserve"> PAGEREF _Toc182814030 \h </w:instrText>
          </w:r>
          <w:r>
            <w:fldChar w:fldCharType="separate"/>
          </w:r>
          <w:r>
            <w:t>131</w:t>
          </w:r>
          <w:r>
            <w:fldChar w:fldCharType="end"/>
          </w:r>
          <w:r>
            <w:fldChar w:fldCharType="end"/>
          </w:r>
        </w:p>
        <w:p w14:paraId="0207888E">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"_Toc182814031" </w:instrText>
          </w:r>
          <w:r>
            <w:fldChar w:fldCharType="separate"/>
          </w:r>
          <w:r>
            <w:rPr>
              <w:rStyle w:val="20"/>
              <w:rFonts w:ascii="Times New Roman" w:hAnsi="Times New Roman"/>
              <w:b w:val="0"/>
              <w:color w:val="auto"/>
            </w:rPr>
            <w:t>9</w:t>
          </w:r>
          <w:r>
            <w:rPr>
              <w:rFonts w:ascii="Times New Roman" w:hAnsi="Times New Roman" w:eastAsiaTheme="minorEastAsia"/>
              <w:b w:val="0"/>
              <w:bCs w:val="0"/>
              <w:caps w:val="0"/>
            </w:rPr>
            <w:tab/>
          </w:r>
          <w:r>
            <w:rPr>
              <w:rStyle w:val="20"/>
              <w:rFonts w:ascii="Times New Roman" w:hAnsi="Times New Roman"/>
              <w:b w:val="0"/>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_Toc182814031 \h </w:instrText>
          </w:r>
          <w:r>
            <w:rPr>
              <w:rFonts w:ascii="Times New Roman" w:hAnsi="Times New Roman"/>
              <w:b w:val="0"/>
            </w:rPr>
            <w:fldChar w:fldCharType="separate"/>
          </w:r>
          <w:r>
            <w:rPr>
              <w:rFonts w:ascii="Times New Roman" w:hAnsi="Times New Roman"/>
              <w:b w:val="0"/>
            </w:rPr>
            <w:t>133</w:t>
          </w:r>
          <w:r>
            <w:rPr>
              <w:rFonts w:ascii="Times New Roman" w:hAnsi="Times New Roman"/>
              <w:b w:val="0"/>
            </w:rPr>
            <w:fldChar w:fldCharType="end"/>
          </w:r>
          <w:r>
            <w:rPr>
              <w:rFonts w:ascii="Times New Roman" w:hAnsi="Times New Roman"/>
              <w:b w:val="0"/>
            </w:rPr>
            <w:fldChar w:fldCharType="end"/>
          </w:r>
        </w:p>
        <w:p w14:paraId="1C780762">
          <w:pPr>
            <w:pStyle w:val="66"/>
            <w:rPr>
              <w:rFonts w:eastAsiaTheme="minorEastAsia"/>
            </w:rPr>
          </w:pPr>
          <w:r>
            <w:fldChar w:fldCharType="begin"/>
          </w:r>
          <w:r>
            <w:instrText xml:space="preserve"> HYPERLINK \l "_Toc182814032" </w:instrText>
          </w:r>
          <w:r>
            <w:fldChar w:fldCharType="separate"/>
          </w:r>
          <w:r>
            <w:rPr>
              <w:rStyle w:val="20"/>
              <w:color w:val="auto"/>
            </w:rPr>
            <w:t>9.1</w:t>
          </w:r>
          <w:r>
            <w:rPr>
              <w:rFonts w:eastAsiaTheme="minorEastAsia"/>
            </w:rPr>
            <w:tab/>
          </w:r>
          <w:r>
            <w:rPr>
              <w:rStyle w:val="20"/>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tab/>
          </w:r>
          <w:r>
            <w:fldChar w:fldCharType="begin"/>
          </w:r>
          <w:r>
            <w:instrText xml:space="preserve"> PAGEREF _Toc182814032 \h </w:instrText>
          </w:r>
          <w:r>
            <w:fldChar w:fldCharType="separate"/>
          </w:r>
          <w:r>
            <w:t>133</w:t>
          </w:r>
          <w:r>
            <w:fldChar w:fldCharType="end"/>
          </w:r>
          <w:r>
            <w:fldChar w:fldCharType="end"/>
          </w:r>
        </w:p>
        <w:p w14:paraId="0B469A2E">
          <w:pPr>
            <w:pStyle w:val="66"/>
            <w:rPr>
              <w:rFonts w:eastAsiaTheme="minorEastAsia"/>
            </w:rPr>
          </w:pPr>
          <w:r>
            <w:fldChar w:fldCharType="begin"/>
          </w:r>
          <w:r>
            <w:instrText xml:space="preserve"> HYPERLINK \l "_Toc182814033" </w:instrText>
          </w:r>
          <w:r>
            <w:fldChar w:fldCharType="separate"/>
          </w:r>
          <w:r>
            <w:rPr>
              <w:rStyle w:val="20"/>
              <w:color w:val="auto"/>
            </w:rPr>
            <w:t>9.2</w:t>
          </w:r>
          <w:r>
            <w:rPr>
              <w:rFonts w:eastAsiaTheme="minorEastAsia"/>
            </w:rPr>
            <w:tab/>
          </w:r>
          <w:r>
            <w:rPr>
              <w:rStyle w:val="20"/>
              <w:color w:val="auto"/>
            </w:rPr>
            <w:t>Обоснование и пересмотр графика температур теплоносителя и его расхода в открытой системе теплоснабжения (горячего водоснабжения)</w:t>
          </w:r>
          <w:r>
            <w:tab/>
          </w:r>
          <w:r>
            <w:fldChar w:fldCharType="begin"/>
          </w:r>
          <w:r>
            <w:instrText xml:space="preserve"> PAGEREF _Toc182814033 \h </w:instrText>
          </w:r>
          <w:r>
            <w:fldChar w:fldCharType="separate"/>
          </w:r>
          <w:r>
            <w:t>133</w:t>
          </w:r>
          <w:r>
            <w:fldChar w:fldCharType="end"/>
          </w:r>
          <w:r>
            <w:fldChar w:fldCharType="end"/>
          </w:r>
        </w:p>
        <w:p w14:paraId="573FD365">
          <w:pPr>
            <w:pStyle w:val="66"/>
            <w:rPr>
              <w:rFonts w:eastAsiaTheme="minorEastAsia"/>
            </w:rPr>
          </w:pPr>
          <w:r>
            <w:fldChar w:fldCharType="begin"/>
          </w:r>
          <w:r>
            <w:instrText xml:space="preserve"> HYPERLINK \l "_Toc182814034" </w:instrText>
          </w:r>
          <w:r>
            <w:fldChar w:fldCharType="separate"/>
          </w:r>
          <w:r>
            <w:rPr>
              <w:rStyle w:val="20"/>
              <w:color w:val="auto"/>
            </w:rPr>
            <w:t>9.3</w:t>
          </w:r>
          <w:r>
            <w:rPr>
              <w:rFonts w:eastAsiaTheme="minorEastAsia"/>
            </w:rPr>
            <w:tab/>
          </w:r>
          <w:r>
            <w:rPr>
              <w:rStyle w:val="20"/>
              <w:color w:val="auto"/>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tab/>
          </w:r>
          <w:r>
            <w:fldChar w:fldCharType="begin"/>
          </w:r>
          <w:r>
            <w:instrText xml:space="preserve"> PAGEREF _Toc182814034 \h </w:instrText>
          </w:r>
          <w:r>
            <w:fldChar w:fldCharType="separate"/>
          </w:r>
          <w:r>
            <w:t>133</w:t>
          </w:r>
          <w:r>
            <w:fldChar w:fldCharType="end"/>
          </w:r>
          <w:r>
            <w:fldChar w:fldCharType="end"/>
          </w:r>
        </w:p>
        <w:p w14:paraId="25468849">
          <w:pPr>
            <w:pStyle w:val="66"/>
            <w:rPr>
              <w:rFonts w:eastAsiaTheme="minorEastAsia"/>
            </w:rPr>
          </w:pPr>
          <w:r>
            <w:fldChar w:fldCharType="begin"/>
          </w:r>
          <w:r>
            <w:instrText xml:space="preserve"> HYPERLINK \l "_Toc182814035" </w:instrText>
          </w:r>
          <w:r>
            <w:fldChar w:fldCharType="separate"/>
          </w:r>
          <w:r>
            <w:rPr>
              <w:rStyle w:val="20"/>
              <w:color w:val="auto"/>
            </w:rPr>
            <w:t>9.4</w:t>
          </w:r>
          <w:r>
            <w:rPr>
              <w:rFonts w:eastAsiaTheme="minorEastAsia"/>
            </w:rPr>
            <w:tab/>
          </w:r>
          <w:r>
            <w:rPr>
              <w:rStyle w:val="20"/>
              <w:color w:val="auto"/>
            </w:rPr>
            <w:t>Расчет потребности инвестиций для перевода открытой системы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_Toc182814035 \h </w:instrText>
          </w:r>
          <w:r>
            <w:fldChar w:fldCharType="separate"/>
          </w:r>
          <w:r>
            <w:t>134</w:t>
          </w:r>
          <w:r>
            <w:fldChar w:fldCharType="end"/>
          </w:r>
          <w:r>
            <w:fldChar w:fldCharType="end"/>
          </w:r>
        </w:p>
        <w:p w14:paraId="70EBDF63">
          <w:pPr>
            <w:pStyle w:val="66"/>
            <w:rPr>
              <w:rFonts w:eastAsiaTheme="minorEastAsia"/>
            </w:rPr>
          </w:pPr>
          <w:r>
            <w:fldChar w:fldCharType="begin"/>
          </w:r>
          <w:r>
            <w:instrText xml:space="preserve"> HYPERLINK \l "_Toc182814036" </w:instrText>
          </w:r>
          <w:r>
            <w:fldChar w:fldCharType="separate"/>
          </w:r>
          <w:r>
            <w:rPr>
              <w:rStyle w:val="20"/>
              <w:color w:val="auto"/>
            </w:rPr>
            <w:t>9.5</w:t>
          </w:r>
          <w:r>
            <w:rPr>
              <w:rFonts w:eastAsiaTheme="minorEastAsia"/>
            </w:rPr>
            <w:tab/>
          </w:r>
          <w:r>
            <w:rPr>
              <w:rStyle w:val="20"/>
              <w:color w:val="auto"/>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_Toc182814036 \h </w:instrText>
          </w:r>
          <w:r>
            <w:fldChar w:fldCharType="separate"/>
          </w:r>
          <w:r>
            <w:t>134</w:t>
          </w:r>
          <w:r>
            <w:fldChar w:fldCharType="end"/>
          </w:r>
          <w:r>
            <w:fldChar w:fldCharType="end"/>
          </w:r>
        </w:p>
        <w:p w14:paraId="625EC200">
          <w:pPr>
            <w:pStyle w:val="66"/>
            <w:rPr>
              <w:rFonts w:eastAsiaTheme="minorEastAsia"/>
            </w:rPr>
          </w:pPr>
          <w:r>
            <w:fldChar w:fldCharType="begin"/>
          </w:r>
          <w:r>
            <w:instrText xml:space="preserve"> HYPERLINK \l "_Toc182814037" </w:instrText>
          </w:r>
          <w:r>
            <w:fldChar w:fldCharType="separate"/>
          </w:r>
          <w:r>
            <w:rPr>
              <w:rStyle w:val="20"/>
              <w:color w:val="auto"/>
            </w:rPr>
            <w:t>9.6</w:t>
          </w:r>
          <w:r>
            <w:rPr>
              <w:rFonts w:eastAsiaTheme="minorEastAsia"/>
            </w:rPr>
            <w:tab/>
          </w:r>
          <w:r>
            <w:rPr>
              <w:rStyle w:val="20"/>
              <w:color w:val="auto"/>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_Toc182814037 \h </w:instrText>
          </w:r>
          <w:r>
            <w:fldChar w:fldCharType="separate"/>
          </w:r>
          <w:r>
            <w:t>134</w:t>
          </w:r>
          <w:r>
            <w:fldChar w:fldCharType="end"/>
          </w:r>
          <w:r>
            <w:fldChar w:fldCharType="end"/>
          </w:r>
        </w:p>
        <w:p w14:paraId="7693FECA">
          <w:pPr>
            <w:pStyle w:val="66"/>
            <w:rPr>
              <w:rFonts w:eastAsiaTheme="minorEastAsia"/>
            </w:rPr>
          </w:pPr>
          <w:r>
            <w:fldChar w:fldCharType="begin"/>
          </w:r>
          <w:r>
            <w:instrText xml:space="preserve"> HYPERLINK \l "_Toc182814038" </w:instrText>
          </w:r>
          <w:r>
            <w:fldChar w:fldCharType="separate"/>
          </w:r>
          <w:r>
            <w:rPr>
              <w:rStyle w:val="20"/>
              <w:color w:val="auto"/>
            </w:rPr>
            <w:t>9.7</w:t>
          </w:r>
          <w:r>
            <w:rPr>
              <w:rFonts w:eastAsiaTheme="minorEastAsia"/>
            </w:rPr>
            <w:tab/>
          </w:r>
          <w:r>
            <w:rPr>
              <w:rStyle w:val="20"/>
              <w:color w:val="auto"/>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tab/>
          </w:r>
          <w:r>
            <w:tab/>
          </w:r>
          <w:r>
            <w:fldChar w:fldCharType="begin"/>
          </w:r>
          <w:r>
            <w:instrText xml:space="preserve"> PAGEREF _Toc182814038 \h </w:instrText>
          </w:r>
          <w:r>
            <w:fldChar w:fldCharType="separate"/>
          </w:r>
          <w:r>
            <w:t>134</w:t>
          </w:r>
          <w:r>
            <w:fldChar w:fldCharType="end"/>
          </w:r>
          <w:r>
            <w:fldChar w:fldCharType="end"/>
          </w:r>
        </w:p>
        <w:p w14:paraId="5E33ECE3">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"_Toc182814039" </w:instrText>
          </w:r>
          <w:r>
            <w:fldChar w:fldCharType="separate"/>
          </w:r>
          <w:r>
            <w:rPr>
              <w:rStyle w:val="20"/>
              <w:rFonts w:ascii="Times New Roman" w:hAnsi="Times New Roman"/>
              <w:b w:val="0"/>
              <w:color w:val="auto"/>
            </w:rPr>
            <w:t>10</w:t>
          </w:r>
          <w:r>
            <w:rPr>
              <w:rFonts w:ascii="Times New Roman" w:hAnsi="Times New Roman" w:eastAsiaTheme="minorEastAsia"/>
              <w:b w:val="0"/>
              <w:bCs w:val="0"/>
              <w:caps w:val="0"/>
            </w:rPr>
            <w:tab/>
          </w:r>
          <w:r>
            <w:rPr>
              <w:rStyle w:val="20"/>
              <w:rFonts w:ascii="Times New Roman" w:hAnsi="Times New Roman"/>
              <w:b w:val="0"/>
              <w:color w:val="auto"/>
            </w:rPr>
            <w:t>Глава 10. Перспективные топливные балансы</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_Toc182814039 \h </w:instrText>
          </w:r>
          <w:r>
            <w:rPr>
              <w:rFonts w:ascii="Times New Roman" w:hAnsi="Times New Roman"/>
              <w:b w:val="0"/>
            </w:rPr>
            <w:fldChar w:fldCharType="separate"/>
          </w:r>
          <w:r>
            <w:rPr>
              <w:rFonts w:ascii="Times New Roman" w:hAnsi="Times New Roman"/>
              <w:b w:val="0"/>
            </w:rPr>
            <w:t>135</w:t>
          </w:r>
          <w:r>
            <w:rPr>
              <w:rFonts w:ascii="Times New Roman" w:hAnsi="Times New Roman"/>
              <w:b w:val="0"/>
            </w:rPr>
            <w:fldChar w:fldCharType="end"/>
          </w:r>
          <w:r>
            <w:rPr>
              <w:rFonts w:ascii="Times New Roman" w:hAnsi="Times New Roman"/>
              <w:b w:val="0"/>
            </w:rPr>
            <w:fldChar w:fldCharType="end"/>
          </w:r>
        </w:p>
        <w:p w14:paraId="2F186FB0">
          <w:pPr>
            <w:pStyle w:val="66"/>
            <w:rPr>
              <w:rFonts w:eastAsiaTheme="minorEastAsia"/>
            </w:rPr>
          </w:pPr>
          <w:r>
            <w:fldChar w:fldCharType="begin"/>
          </w:r>
          <w:r>
            <w:instrText xml:space="preserve"> HYPERLINK \l "_Toc182814040" </w:instrText>
          </w:r>
          <w:r>
            <w:fldChar w:fldCharType="separate"/>
          </w:r>
          <w:r>
            <w:rPr>
              <w:rStyle w:val="20"/>
              <w:color w:val="auto"/>
            </w:rPr>
            <w:t>10.1</w:t>
          </w:r>
          <w:r>
            <w:rPr>
              <w:rFonts w:eastAsiaTheme="minorEastAsia"/>
            </w:rPr>
            <w:tab/>
          </w:r>
          <w:r>
            <w:rPr>
              <w:rStyle w:val="20"/>
              <w:color w:val="auto"/>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с.п. Верхнеказымский</w:t>
          </w:r>
          <w:r>
            <w:tab/>
          </w:r>
          <w:r>
            <w:fldChar w:fldCharType="begin"/>
          </w:r>
          <w:r>
            <w:instrText xml:space="preserve"> PAGEREF _Toc182814040 \h </w:instrText>
          </w:r>
          <w:r>
            <w:fldChar w:fldCharType="separate"/>
          </w:r>
          <w:r>
            <w:t>135</w:t>
          </w:r>
          <w:r>
            <w:fldChar w:fldCharType="end"/>
          </w:r>
          <w:r>
            <w:fldChar w:fldCharType="end"/>
          </w:r>
        </w:p>
        <w:p w14:paraId="2D564930">
          <w:pPr>
            <w:pStyle w:val="66"/>
            <w:rPr>
              <w:rFonts w:eastAsiaTheme="minorEastAsia"/>
            </w:rPr>
          </w:pPr>
          <w:r>
            <w:fldChar w:fldCharType="begin"/>
          </w:r>
          <w:r>
            <w:instrText xml:space="preserve"> HYPERLINK \l "_Toc182814041" </w:instrText>
          </w:r>
          <w:r>
            <w:fldChar w:fldCharType="separate"/>
          </w:r>
          <w:r>
            <w:rPr>
              <w:rStyle w:val="20"/>
              <w:color w:val="auto"/>
            </w:rPr>
            <w:t>10.2</w:t>
          </w:r>
          <w:r>
            <w:rPr>
              <w:rFonts w:eastAsiaTheme="minorEastAsia"/>
            </w:rPr>
            <w:tab/>
          </w:r>
          <w:r>
            <w:rPr>
              <w:rStyle w:val="20"/>
              <w:color w:val="auto"/>
            </w:rPr>
            <w:t>Результаты расчетов по каждому источнику тепловой энергии нормативных запасов топлива</w:t>
          </w:r>
          <w:r>
            <w:tab/>
          </w:r>
          <w:r>
            <w:tab/>
          </w:r>
          <w:r>
            <w:fldChar w:fldCharType="begin"/>
          </w:r>
          <w:r>
            <w:instrText xml:space="preserve"> PAGEREF _Toc182814041 \h </w:instrText>
          </w:r>
          <w:r>
            <w:fldChar w:fldCharType="separate"/>
          </w:r>
          <w:r>
            <w:t>136</w:t>
          </w:r>
          <w:r>
            <w:fldChar w:fldCharType="end"/>
          </w:r>
          <w:r>
            <w:fldChar w:fldCharType="end"/>
          </w:r>
        </w:p>
        <w:p w14:paraId="76B2FD16">
          <w:pPr>
            <w:pStyle w:val="66"/>
            <w:rPr>
              <w:rFonts w:eastAsiaTheme="minorEastAsia"/>
            </w:rPr>
          </w:pPr>
          <w:r>
            <w:fldChar w:fldCharType="begin"/>
          </w:r>
          <w:r>
            <w:instrText xml:space="preserve"> HYPERLINK \l "_Toc182814042" </w:instrText>
          </w:r>
          <w:r>
            <w:fldChar w:fldCharType="separate"/>
          </w:r>
          <w:r>
            <w:rPr>
              <w:rStyle w:val="20"/>
              <w:color w:val="auto"/>
            </w:rPr>
            <w:t>10.3</w:t>
          </w:r>
          <w:r>
            <w:rPr>
              <w:rFonts w:eastAsiaTheme="minorEastAsia"/>
            </w:rPr>
            <w:tab/>
          </w:r>
          <w:r>
            <w:rPr>
              <w:rStyle w:val="20"/>
              <w:color w:val="auto"/>
            </w:rPr>
            <w:t>Вид топлива, потребляемый источником тепловой энергии, в том числе с использованием возобновляемых источников энергии и местных видов топлива</w:t>
          </w:r>
          <w:r>
            <w:tab/>
          </w:r>
          <w:r>
            <w:fldChar w:fldCharType="begin"/>
          </w:r>
          <w:r>
            <w:instrText xml:space="preserve"> PAGEREF _Toc182814042 \h </w:instrText>
          </w:r>
          <w:r>
            <w:fldChar w:fldCharType="separate"/>
          </w:r>
          <w:r>
            <w:t>136</w:t>
          </w:r>
          <w:r>
            <w:fldChar w:fldCharType="end"/>
          </w:r>
          <w:r>
            <w:fldChar w:fldCharType="end"/>
          </w:r>
        </w:p>
        <w:p w14:paraId="4D678953">
          <w:pPr>
            <w:pStyle w:val="66"/>
            <w:rPr>
              <w:rFonts w:eastAsiaTheme="minorEastAsia"/>
            </w:rPr>
          </w:pPr>
          <w:r>
            <w:fldChar w:fldCharType="begin"/>
          </w:r>
          <w:r>
            <w:instrText xml:space="preserve"> HYPERLINK \l "_Toc182814043" </w:instrText>
          </w:r>
          <w:r>
            <w:fldChar w:fldCharType="separate"/>
          </w:r>
          <w:r>
            <w:rPr>
              <w:rStyle w:val="20"/>
              <w:color w:val="auto"/>
            </w:rPr>
            <w:t>10.4</w:t>
          </w:r>
          <w:r>
            <w:rPr>
              <w:rFonts w:eastAsiaTheme="minorEastAsia"/>
            </w:rPr>
            <w:tab/>
          </w:r>
          <w:r>
            <w:rPr>
              <w:rStyle w:val="20"/>
              <w:color w:val="auto"/>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tab/>
          </w:r>
          <w:r>
            <w:fldChar w:fldCharType="begin"/>
          </w:r>
          <w:r>
            <w:instrText xml:space="preserve"> PAGEREF _Toc182814043 \h </w:instrText>
          </w:r>
          <w:r>
            <w:fldChar w:fldCharType="separate"/>
          </w:r>
          <w:r>
            <w:t>136</w:t>
          </w:r>
          <w:r>
            <w:fldChar w:fldCharType="end"/>
          </w:r>
          <w:r>
            <w:fldChar w:fldCharType="end"/>
          </w:r>
        </w:p>
        <w:p w14:paraId="74D34974">
          <w:pPr>
            <w:pStyle w:val="66"/>
            <w:rPr>
              <w:rFonts w:eastAsiaTheme="minorEastAsia"/>
            </w:rPr>
          </w:pPr>
          <w:r>
            <w:fldChar w:fldCharType="begin"/>
          </w:r>
          <w:r>
            <w:instrText xml:space="preserve"> HYPERLINK \l "_Toc182814044" </w:instrText>
          </w:r>
          <w:r>
            <w:fldChar w:fldCharType="separate"/>
          </w:r>
          <w:r>
            <w:rPr>
              <w:rStyle w:val="20"/>
              <w:color w:val="auto"/>
            </w:rPr>
            <w:t>10.5</w:t>
          </w:r>
          <w:r>
            <w:rPr>
              <w:rFonts w:eastAsiaTheme="minorEastAsia"/>
            </w:rPr>
            <w:tab/>
          </w:r>
          <w:r>
            <w:rPr>
              <w:rStyle w:val="20"/>
              <w:color w:val="auto"/>
            </w:rPr>
            <w:t>Преобладающий на территории с.п. Верхнеказымский вид топлива, определяемый по совокупности всех систем теплоснабжения, находящихся на территории с.п. Верхнеказымский</w:t>
          </w:r>
          <w:r>
            <w:tab/>
          </w:r>
          <w:r>
            <w:fldChar w:fldCharType="begin"/>
          </w:r>
          <w:r>
            <w:instrText xml:space="preserve"> PAGEREF _Toc182814044 \h </w:instrText>
          </w:r>
          <w:r>
            <w:fldChar w:fldCharType="separate"/>
          </w:r>
          <w:r>
            <w:t>136</w:t>
          </w:r>
          <w:r>
            <w:fldChar w:fldCharType="end"/>
          </w:r>
          <w:r>
            <w:fldChar w:fldCharType="end"/>
          </w:r>
        </w:p>
        <w:p w14:paraId="0DF67789">
          <w:pPr>
            <w:pStyle w:val="66"/>
            <w:rPr>
              <w:rFonts w:eastAsiaTheme="minorEastAsia"/>
            </w:rPr>
          </w:pPr>
          <w:r>
            <w:fldChar w:fldCharType="begin"/>
          </w:r>
          <w:r>
            <w:instrText xml:space="preserve"> HYPERLINK \l "_Toc182814045" </w:instrText>
          </w:r>
          <w:r>
            <w:fldChar w:fldCharType="separate"/>
          </w:r>
          <w:r>
            <w:rPr>
              <w:rStyle w:val="20"/>
              <w:color w:val="auto"/>
            </w:rPr>
            <w:t>10.6</w:t>
          </w:r>
          <w:r>
            <w:rPr>
              <w:rFonts w:eastAsiaTheme="minorEastAsia"/>
            </w:rPr>
            <w:tab/>
          </w:r>
          <w:r>
            <w:rPr>
              <w:rStyle w:val="20"/>
              <w:color w:val="auto"/>
            </w:rPr>
            <w:t>Приоритетное направление развития топливного баланса на территории с.п. Верхнеказымский</w:t>
          </w:r>
          <w:r>
            <w:tab/>
          </w:r>
          <w:r>
            <w:fldChar w:fldCharType="begin"/>
          </w:r>
          <w:r>
            <w:instrText xml:space="preserve"> PAGEREF _Toc182814045 \h </w:instrText>
          </w:r>
          <w:r>
            <w:fldChar w:fldCharType="separate"/>
          </w:r>
          <w:r>
            <w:t>136</w:t>
          </w:r>
          <w:r>
            <w:fldChar w:fldCharType="end"/>
          </w:r>
          <w:r>
            <w:fldChar w:fldCharType="end"/>
          </w:r>
        </w:p>
        <w:p w14:paraId="4CEC0C70">
          <w:pPr>
            <w:pStyle w:val="66"/>
            <w:rPr>
              <w:rFonts w:eastAsiaTheme="minorEastAsia"/>
            </w:rPr>
          </w:pPr>
          <w:r>
            <w:fldChar w:fldCharType="begin"/>
          </w:r>
          <w:r>
            <w:instrText xml:space="preserve"> HYPERLINK \l "_Toc182814046" </w:instrText>
          </w:r>
          <w:r>
            <w:fldChar w:fldCharType="separate"/>
          </w:r>
          <w:r>
            <w:rPr>
              <w:rStyle w:val="20"/>
              <w:color w:val="auto"/>
            </w:rPr>
            <w:t>10.7</w:t>
          </w:r>
          <w:r>
            <w:rPr>
              <w:rFonts w:eastAsiaTheme="minorEastAsia"/>
            </w:rPr>
            <w:tab/>
          </w:r>
          <w:r>
            <w:rPr>
              <w:rStyle w:val="20"/>
              <w:color w:val="auto"/>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tab/>
          </w:r>
          <w:r>
            <w:fldChar w:fldCharType="begin"/>
          </w:r>
          <w:r>
            <w:instrText xml:space="preserve"> PAGEREF _Toc182814046 \h </w:instrText>
          </w:r>
          <w:r>
            <w:fldChar w:fldCharType="separate"/>
          </w:r>
          <w:r>
            <w:t>136</w:t>
          </w:r>
          <w:r>
            <w:fldChar w:fldCharType="end"/>
          </w:r>
          <w:r>
            <w:fldChar w:fldCharType="end"/>
          </w:r>
        </w:p>
        <w:p w14:paraId="120A5A1C">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"_Toc182814047" </w:instrText>
          </w:r>
          <w:r>
            <w:fldChar w:fldCharType="separate"/>
          </w:r>
          <w:r>
            <w:rPr>
              <w:rStyle w:val="20"/>
              <w:rFonts w:ascii="Times New Roman" w:hAnsi="Times New Roman"/>
              <w:b w:val="0"/>
              <w:color w:val="auto"/>
            </w:rPr>
            <w:t>11</w:t>
          </w:r>
          <w:r>
            <w:rPr>
              <w:rFonts w:ascii="Times New Roman" w:hAnsi="Times New Roman" w:eastAsiaTheme="minorEastAsia"/>
              <w:b w:val="0"/>
              <w:bCs w:val="0"/>
              <w:caps w:val="0"/>
            </w:rPr>
            <w:tab/>
          </w:r>
          <w:r>
            <w:rPr>
              <w:rStyle w:val="20"/>
              <w:rFonts w:ascii="Times New Roman" w:hAnsi="Times New Roman"/>
              <w:b w:val="0"/>
              <w:color w:val="auto"/>
            </w:rPr>
            <w:t>Глава 11. Оценка надежности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_Toc182814047 \h </w:instrText>
          </w:r>
          <w:r>
            <w:rPr>
              <w:rFonts w:ascii="Times New Roman" w:hAnsi="Times New Roman"/>
              <w:b w:val="0"/>
            </w:rPr>
            <w:fldChar w:fldCharType="separate"/>
          </w:r>
          <w:r>
            <w:rPr>
              <w:rFonts w:ascii="Times New Roman" w:hAnsi="Times New Roman"/>
              <w:b w:val="0"/>
            </w:rPr>
            <w:t>137</w:t>
          </w:r>
          <w:r>
            <w:rPr>
              <w:rFonts w:ascii="Times New Roman" w:hAnsi="Times New Roman"/>
              <w:b w:val="0"/>
            </w:rPr>
            <w:fldChar w:fldCharType="end"/>
          </w:r>
          <w:r>
            <w:rPr>
              <w:rFonts w:ascii="Times New Roman" w:hAnsi="Times New Roman"/>
              <w:b w:val="0"/>
            </w:rPr>
            <w:fldChar w:fldCharType="end"/>
          </w:r>
        </w:p>
        <w:p w14:paraId="5AABC7F4">
          <w:pPr>
            <w:pStyle w:val="66"/>
            <w:rPr>
              <w:rFonts w:eastAsiaTheme="minorEastAsia"/>
            </w:rPr>
          </w:pPr>
          <w:r>
            <w:fldChar w:fldCharType="begin"/>
          </w:r>
          <w:r>
            <w:instrText xml:space="preserve"> HYPERLINK \l "_Toc182814048" </w:instrText>
          </w:r>
          <w:r>
            <w:fldChar w:fldCharType="separate"/>
          </w:r>
          <w:r>
            <w:rPr>
              <w:rStyle w:val="20"/>
              <w:color w:val="auto"/>
            </w:rPr>
            <w:t>11.1</w:t>
          </w:r>
          <w:r>
            <w:rPr>
              <w:rFonts w:eastAsiaTheme="minorEastAsia"/>
            </w:rPr>
            <w:tab/>
          </w:r>
          <w:r>
            <w:rPr>
              <w:rStyle w:val="20"/>
              <w:color w:val="auto"/>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r>
          <w:r>
            <w:fldChar w:fldCharType="begin"/>
          </w:r>
          <w:r>
            <w:instrText xml:space="preserve"> PAGEREF _Toc182814048 \h </w:instrText>
          </w:r>
          <w:r>
            <w:fldChar w:fldCharType="separate"/>
          </w:r>
          <w:r>
            <w:t>137</w:t>
          </w:r>
          <w:r>
            <w:fldChar w:fldCharType="end"/>
          </w:r>
          <w:r>
            <w:fldChar w:fldCharType="end"/>
          </w:r>
        </w:p>
        <w:p w14:paraId="0D8CD719">
          <w:pPr>
            <w:pStyle w:val="66"/>
            <w:rPr>
              <w:rFonts w:eastAsiaTheme="minorEastAsia"/>
            </w:rPr>
          </w:pPr>
          <w:r>
            <w:fldChar w:fldCharType="begin"/>
          </w:r>
          <w:r>
            <w:instrText xml:space="preserve"> HYPERLINK \l "_Toc182814049" </w:instrText>
          </w:r>
          <w:r>
            <w:fldChar w:fldCharType="separate"/>
          </w:r>
          <w:r>
            <w:rPr>
              <w:rStyle w:val="20"/>
              <w:color w:val="auto"/>
            </w:rPr>
            <w:t>11.2</w:t>
          </w:r>
          <w:r>
            <w:rPr>
              <w:rFonts w:eastAsiaTheme="minorEastAsia"/>
            </w:rPr>
            <w:tab/>
          </w:r>
          <w:r>
            <w:rPr>
              <w:rStyle w:val="20"/>
              <w:color w:val="auto"/>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tab/>
          </w:r>
          <w:r>
            <w:fldChar w:fldCharType="begin"/>
          </w:r>
          <w:r>
            <w:instrText xml:space="preserve"> PAGEREF _Toc182814049 \h </w:instrText>
          </w:r>
          <w:r>
            <w:fldChar w:fldCharType="separate"/>
          </w:r>
          <w:r>
            <w:t>137</w:t>
          </w:r>
          <w:r>
            <w:fldChar w:fldCharType="end"/>
          </w:r>
          <w:r>
            <w:fldChar w:fldCharType="end"/>
          </w:r>
        </w:p>
        <w:p w14:paraId="4AEC4251">
          <w:pPr>
            <w:pStyle w:val="66"/>
            <w:rPr>
              <w:rFonts w:eastAsiaTheme="minorEastAsia"/>
            </w:rPr>
          </w:pPr>
          <w:r>
            <w:fldChar w:fldCharType="begin"/>
          </w:r>
          <w:r>
            <w:instrText xml:space="preserve"> HYPERLINK \l "_Toc182814050" </w:instrText>
          </w:r>
          <w:r>
            <w:fldChar w:fldCharType="separate"/>
          </w:r>
          <w:r>
            <w:rPr>
              <w:rStyle w:val="20"/>
              <w:color w:val="auto"/>
            </w:rPr>
            <w:t>11.3</w:t>
          </w:r>
          <w:r>
            <w:rPr>
              <w:rFonts w:eastAsiaTheme="minorEastAsia"/>
            </w:rPr>
            <w:tab/>
          </w:r>
          <w:r>
            <w:rPr>
              <w:rStyle w:val="20"/>
              <w:color w:val="auto"/>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tab/>
          </w:r>
          <w:r>
            <w:fldChar w:fldCharType="begin"/>
          </w:r>
          <w:r>
            <w:instrText xml:space="preserve"> PAGEREF _Toc182814050 \h </w:instrText>
          </w:r>
          <w:r>
            <w:fldChar w:fldCharType="separate"/>
          </w:r>
          <w:r>
            <w:t>137</w:t>
          </w:r>
          <w:r>
            <w:fldChar w:fldCharType="end"/>
          </w:r>
          <w:r>
            <w:fldChar w:fldCharType="end"/>
          </w:r>
        </w:p>
        <w:p w14:paraId="5AD58E0A">
          <w:pPr>
            <w:pStyle w:val="66"/>
            <w:rPr>
              <w:rFonts w:eastAsiaTheme="minorEastAsia"/>
            </w:rPr>
          </w:pPr>
          <w:r>
            <w:fldChar w:fldCharType="begin"/>
          </w:r>
          <w:r>
            <w:instrText xml:space="preserve"> HYPERLINK \l "_Toc182814051" </w:instrText>
          </w:r>
          <w:r>
            <w:fldChar w:fldCharType="separate"/>
          </w:r>
          <w:r>
            <w:rPr>
              <w:rStyle w:val="20"/>
              <w:color w:val="auto"/>
            </w:rPr>
            <w:t>11.4</w:t>
          </w:r>
          <w:r>
            <w:rPr>
              <w:rFonts w:eastAsiaTheme="minorEastAsia"/>
            </w:rPr>
            <w:tab/>
          </w:r>
          <w:r>
            <w:rPr>
              <w:rStyle w:val="20"/>
              <w:color w:val="auto"/>
            </w:rPr>
            <w:t>Результаты оценки коэффициентов готовности теплопроводов к несению тепловой нагрузки</w:t>
          </w:r>
          <w:r>
            <w:tab/>
          </w:r>
          <w:r>
            <w:tab/>
          </w:r>
          <w:r>
            <w:fldChar w:fldCharType="begin"/>
          </w:r>
          <w:r>
            <w:instrText xml:space="preserve"> PAGEREF _Toc182814051 \h </w:instrText>
          </w:r>
          <w:r>
            <w:fldChar w:fldCharType="separate"/>
          </w:r>
          <w:r>
            <w:t>137</w:t>
          </w:r>
          <w:r>
            <w:fldChar w:fldCharType="end"/>
          </w:r>
          <w:r>
            <w:fldChar w:fldCharType="end"/>
          </w:r>
        </w:p>
        <w:p w14:paraId="53BADCC2">
          <w:pPr>
            <w:pStyle w:val="66"/>
            <w:rPr>
              <w:rFonts w:eastAsiaTheme="minorEastAsia"/>
            </w:rPr>
          </w:pPr>
          <w:r>
            <w:fldChar w:fldCharType="begin"/>
          </w:r>
          <w:r>
            <w:instrText xml:space="preserve"> HYPERLINK \l "_Toc182814052" </w:instrText>
          </w:r>
          <w:r>
            <w:fldChar w:fldCharType="separate"/>
          </w:r>
          <w:r>
            <w:rPr>
              <w:rStyle w:val="20"/>
              <w:color w:val="auto"/>
            </w:rPr>
            <w:t>11.5</w:t>
          </w:r>
          <w:r>
            <w:rPr>
              <w:rFonts w:eastAsiaTheme="minorEastAsia"/>
            </w:rPr>
            <w:tab/>
          </w:r>
          <w:r>
            <w:rPr>
              <w:rStyle w:val="20"/>
              <w:color w:val="auto"/>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tab/>
          </w:r>
          <w:r>
            <w:fldChar w:fldCharType="begin"/>
          </w:r>
          <w:r>
            <w:instrText xml:space="preserve"> PAGEREF _Toc182814052 \h </w:instrText>
          </w:r>
          <w:r>
            <w:fldChar w:fldCharType="separate"/>
          </w:r>
          <w:r>
            <w:t>138</w:t>
          </w:r>
          <w:r>
            <w:fldChar w:fldCharType="end"/>
          </w:r>
          <w:r>
            <w:fldChar w:fldCharType="end"/>
          </w:r>
        </w:p>
        <w:p w14:paraId="4C61DEE8">
          <w:pPr>
            <w:pStyle w:val="66"/>
            <w:rPr>
              <w:rFonts w:eastAsiaTheme="minorEastAsia"/>
            </w:rPr>
          </w:pPr>
          <w:r>
            <w:fldChar w:fldCharType="begin"/>
          </w:r>
          <w:r>
            <w:instrText xml:space="preserve"> HYPERLINK \l "_Toc182814053" </w:instrText>
          </w:r>
          <w:r>
            <w:fldChar w:fldCharType="separate"/>
          </w:r>
          <w:r>
            <w:rPr>
              <w:rStyle w:val="20"/>
              <w:color w:val="auto"/>
            </w:rPr>
            <w:t>11.6</w:t>
          </w:r>
          <w:r>
            <w:rPr>
              <w:rFonts w:eastAsiaTheme="minorEastAsia"/>
            </w:rPr>
            <w:tab/>
          </w:r>
          <w:r>
            <w:rPr>
              <w:rStyle w:val="20"/>
              <w:color w:val="auto"/>
            </w:rPr>
            <w:t>Предложения, обеспечивающие надёжность систем теплоснабжения</w:t>
          </w:r>
          <w:r>
            <w:tab/>
          </w:r>
          <w:r>
            <w:fldChar w:fldCharType="begin"/>
          </w:r>
          <w:r>
            <w:instrText xml:space="preserve"> PAGEREF _Toc182814053 \h </w:instrText>
          </w:r>
          <w:r>
            <w:fldChar w:fldCharType="separate"/>
          </w:r>
          <w:r>
            <w:t>138</w:t>
          </w:r>
          <w:r>
            <w:fldChar w:fldCharType="end"/>
          </w:r>
          <w:r>
            <w:fldChar w:fldCharType="end"/>
          </w:r>
        </w:p>
        <w:p w14:paraId="23E5A040">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"_Toc182814054" </w:instrText>
          </w:r>
          <w:r>
            <w:fldChar w:fldCharType="separate"/>
          </w:r>
          <w:r>
            <w:rPr>
              <w:rStyle w:val="20"/>
              <w:rFonts w:ascii="Times New Roman" w:hAnsi="Times New Roman" w:cs="Times New Roman"/>
              <w:color w:val="auto"/>
              <w:sz w:val="24"/>
              <w:szCs w:val="24"/>
            </w:rPr>
            <w:t>11.6.1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_Toc182814054 \h </w:instrText>
          </w:r>
          <w:r>
            <w:rPr>
              <w:rFonts w:ascii="Times New Roman" w:hAnsi="Times New Roman" w:cs="Times New Roman"/>
              <w:sz w:val="24"/>
              <w:szCs w:val="24"/>
            </w:rPr>
            <w:fldChar w:fldCharType="separate"/>
          </w:r>
          <w:r>
            <w:rPr>
              <w:rFonts w:ascii="Times New Roman" w:hAnsi="Times New Roman" w:cs="Times New Roman"/>
              <w:sz w:val="24"/>
              <w:szCs w:val="24"/>
            </w:rPr>
            <w:t>138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26C2A61">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"_Toc182814055" </w:instrText>
          </w:r>
          <w:r>
            <w:fldChar w:fldCharType="separate"/>
          </w:r>
          <w:r>
            <w:rPr>
              <w:rStyle w:val="20"/>
              <w:rFonts w:ascii="Times New Roman" w:hAnsi="Times New Roman" w:cs="Times New Roman"/>
              <w:color w:val="auto"/>
              <w:sz w:val="24"/>
              <w:szCs w:val="24"/>
            </w:rPr>
            <w:t>11.6.2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Установка резервного оборудования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_Toc182814055 \h </w:instrText>
          </w:r>
          <w:r>
            <w:rPr>
              <w:rFonts w:ascii="Times New Roman" w:hAnsi="Times New Roman" w:cs="Times New Roman"/>
              <w:sz w:val="24"/>
              <w:szCs w:val="24"/>
            </w:rPr>
            <w:fldChar w:fldCharType="separate"/>
          </w:r>
          <w:r>
            <w:rPr>
              <w:rFonts w:ascii="Times New Roman" w:hAnsi="Times New Roman" w:cs="Times New Roman"/>
              <w:sz w:val="24"/>
              <w:szCs w:val="24"/>
            </w:rPr>
            <w:t>138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AE52B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"_Toc182814056" </w:instrText>
          </w:r>
          <w:r>
            <w:fldChar w:fldCharType="separate"/>
          </w:r>
          <w:r>
            <w:rPr>
              <w:rStyle w:val="20"/>
              <w:rFonts w:ascii="Times New Roman" w:hAnsi="Times New Roman" w:cs="Times New Roman"/>
              <w:color w:val="auto"/>
              <w:sz w:val="24"/>
              <w:szCs w:val="24"/>
            </w:rPr>
            <w:t>11.6.3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Организация совместной работы нескольких источников тепловой энергии на единую тепловую сеть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_Toc182814056 \h </w:instrText>
          </w:r>
          <w:r>
            <w:rPr>
              <w:rFonts w:ascii="Times New Roman" w:hAnsi="Times New Roman" w:cs="Times New Roman"/>
              <w:sz w:val="24"/>
              <w:szCs w:val="24"/>
            </w:rPr>
            <w:fldChar w:fldCharType="separate"/>
          </w:r>
          <w:r>
            <w:rPr>
              <w:rFonts w:ascii="Times New Roman" w:hAnsi="Times New Roman" w:cs="Times New Roman"/>
              <w:sz w:val="24"/>
              <w:szCs w:val="24"/>
            </w:rPr>
            <w:t>139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319624B">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"_Toc182814057" </w:instrText>
          </w:r>
          <w:r>
            <w:fldChar w:fldCharType="separate"/>
          </w:r>
          <w:r>
            <w:rPr>
              <w:rStyle w:val="20"/>
              <w:rFonts w:ascii="Times New Roman" w:hAnsi="Times New Roman" w:cs="Times New Roman"/>
              <w:color w:val="auto"/>
              <w:sz w:val="24"/>
              <w:szCs w:val="24"/>
            </w:rPr>
            <w:t>11.6.4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Резервирование тепловых сетей смежных районов муниципального образования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_Toc182814057 \h </w:instrText>
          </w:r>
          <w:r>
            <w:rPr>
              <w:rFonts w:ascii="Times New Roman" w:hAnsi="Times New Roman" w:cs="Times New Roman"/>
              <w:sz w:val="24"/>
              <w:szCs w:val="24"/>
            </w:rPr>
            <w:fldChar w:fldCharType="separate"/>
          </w:r>
          <w:r>
            <w:rPr>
              <w:rFonts w:ascii="Times New Roman" w:hAnsi="Times New Roman" w:cs="Times New Roman"/>
              <w:sz w:val="24"/>
              <w:szCs w:val="24"/>
            </w:rPr>
            <w:t>139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213D925">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"_Toc182814058" </w:instrText>
          </w:r>
          <w:r>
            <w:fldChar w:fldCharType="separate"/>
          </w:r>
          <w:r>
            <w:rPr>
              <w:rStyle w:val="20"/>
              <w:rFonts w:ascii="Times New Roman" w:hAnsi="Times New Roman" w:cs="Times New Roman"/>
              <w:color w:val="auto"/>
              <w:sz w:val="24"/>
              <w:szCs w:val="24"/>
            </w:rPr>
            <w:t>11.6.5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Устройство резервных насосных станций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_Toc182814058 \h </w:instrText>
          </w:r>
          <w:r>
            <w:rPr>
              <w:rFonts w:ascii="Times New Roman" w:hAnsi="Times New Roman" w:cs="Times New Roman"/>
              <w:sz w:val="24"/>
              <w:szCs w:val="24"/>
            </w:rPr>
            <w:fldChar w:fldCharType="separate"/>
          </w:r>
          <w:r>
            <w:rPr>
              <w:rFonts w:ascii="Times New Roman" w:hAnsi="Times New Roman" w:cs="Times New Roman"/>
              <w:sz w:val="24"/>
              <w:szCs w:val="24"/>
            </w:rPr>
            <w:t>140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05BFF7">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"_Toc182814059" </w:instrText>
          </w:r>
          <w:r>
            <w:fldChar w:fldCharType="separate"/>
          </w:r>
          <w:r>
            <w:rPr>
              <w:rStyle w:val="20"/>
              <w:rFonts w:ascii="Times New Roman" w:hAnsi="Times New Roman" w:cs="Times New Roman"/>
              <w:color w:val="auto"/>
              <w:sz w:val="24"/>
              <w:szCs w:val="24"/>
            </w:rPr>
            <w:t>11.6.6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Установка баков-аккумуляторов</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_Toc182814059 \h </w:instrText>
          </w:r>
          <w:r>
            <w:rPr>
              <w:rFonts w:ascii="Times New Roman" w:hAnsi="Times New Roman" w:cs="Times New Roman"/>
              <w:sz w:val="24"/>
              <w:szCs w:val="24"/>
            </w:rPr>
            <w:fldChar w:fldCharType="separate"/>
          </w:r>
          <w:r>
            <w:rPr>
              <w:rFonts w:ascii="Times New Roman" w:hAnsi="Times New Roman" w:cs="Times New Roman"/>
              <w:sz w:val="24"/>
              <w:szCs w:val="24"/>
            </w:rPr>
            <w:t>140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432E05E">
          <w:pPr>
            <w:pStyle w:val="66"/>
            <w:rPr>
              <w:rFonts w:eastAsiaTheme="minorEastAsia"/>
            </w:rPr>
          </w:pPr>
          <w:r>
            <w:fldChar w:fldCharType="begin"/>
          </w:r>
          <w:r>
            <w:instrText xml:space="preserve"> HYPERLINK \l "_Toc182814060" </w:instrText>
          </w:r>
          <w:r>
            <w:fldChar w:fldCharType="separate"/>
          </w:r>
          <w:r>
            <w:rPr>
              <w:rStyle w:val="20"/>
              <w:color w:val="auto"/>
            </w:rPr>
            <w:t>11.7.</w:t>
          </w:r>
          <w:r>
            <w:rPr>
              <w:rFonts w:eastAsiaTheme="minorEastAsia"/>
            </w:rPr>
            <w:tab/>
          </w:r>
          <w:r>
            <w:rPr>
              <w:rStyle w:val="20"/>
              <w:color w:val="auto"/>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tab/>
          </w:r>
          <w:r>
            <w:fldChar w:fldCharType="begin"/>
          </w:r>
          <w:r>
            <w:instrText xml:space="preserve"> PAGEREF _Toc182814060 \h </w:instrText>
          </w:r>
          <w:r>
            <w:fldChar w:fldCharType="separate"/>
          </w:r>
          <w:r>
            <w:t>141</w:t>
          </w:r>
          <w:r>
            <w:fldChar w:fldCharType="end"/>
          </w:r>
          <w:r>
            <w:fldChar w:fldCharType="end"/>
          </w:r>
        </w:p>
        <w:p w14:paraId="5F66B748">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"_Toc182814061" </w:instrText>
          </w:r>
          <w:r>
            <w:fldChar w:fldCharType="separate"/>
          </w:r>
          <w:r>
            <w:rPr>
              <w:rStyle w:val="20"/>
              <w:rFonts w:ascii="Times New Roman" w:hAnsi="Times New Roman"/>
              <w:b w:val="0"/>
              <w:color w:val="auto"/>
            </w:rPr>
            <w:t>12</w:t>
          </w:r>
          <w:r>
            <w:rPr>
              <w:rFonts w:ascii="Times New Roman" w:hAnsi="Times New Roman" w:eastAsiaTheme="minorEastAsia"/>
              <w:b w:val="0"/>
              <w:bCs w:val="0"/>
              <w:caps w:val="0"/>
            </w:rPr>
            <w:tab/>
          </w:r>
          <w:r>
            <w:rPr>
              <w:rStyle w:val="20"/>
              <w:rFonts w:ascii="Times New Roman" w:hAnsi="Times New Roman"/>
              <w:b w:val="0"/>
              <w:color w:val="auto"/>
            </w:rPr>
            <w:t>Глава 12. Обоснование инвестиций в строительство, реконструкцию, техническое перевооружение и (или) модернизацию</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_Toc182814061 \h </w:instrText>
          </w:r>
          <w:r>
            <w:rPr>
              <w:rFonts w:ascii="Times New Roman" w:hAnsi="Times New Roman"/>
              <w:b w:val="0"/>
            </w:rPr>
            <w:fldChar w:fldCharType="separate"/>
          </w:r>
          <w:r>
            <w:rPr>
              <w:rFonts w:ascii="Times New Roman" w:hAnsi="Times New Roman"/>
              <w:b w:val="0"/>
            </w:rPr>
            <w:t>142</w:t>
          </w:r>
          <w:r>
            <w:rPr>
              <w:rFonts w:ascii="Times New Roman" w:hAnsi="Times New Roman"/>
              <w:b w:val="0"/>
            </w:rPr>
            <w:fldChar w:fldCharType="end"/>
          </w:r>
          <w:r>
            <w:rPr>
              <w:rFonts w:ascii="Times New Roman" w:hAnsi="Times New Roman"/>
              <w:b w:val="0"/>
            </w:rPr>
            <w:fldChar w:fldCharType="end"/>
          </w:r>
        </w:p>
        <w:p w14:paraId="74499F62">
          <w:pPr>
            <w:pStyle w:val="66"/>
            <w:rPr>
              <w:rFonts w:eastAsiaTheme="minorEastAsia"/>
            </w:rPr>
          </w:pPr>
          <w:r>
            <w:fldChar w:fldCharType="begin"/>
          </w:r>
          <w:r>
            <w:instrText xml:space="preserve"> HYPERLINK \l "_Toc182814062" </w:instrText>
          </w:r>
          <w:r>
            <w:fldChar w:fldCharType="separate"/>
          </w:r>
          <w:r>
            <w:rPr>
              <w:rStyle w:val="20"/>
              <w:color w:val="auto"/>
            </w:rPr>
            <w:t>12.1</w:t>
          </w:r>
          <w:r>
            <w:rPr>
              <w:rFonts w:eastAsiaTheme="minorEastAsia"/>
            </w:rPr>
            <w:tab/>
          </w:r>
          <w:r>
            <w:rPr>
              <w:rStyle w:val="20"/>
              <w:color w:val="auto"/>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fldChar w:fldCharType="begin"/>
          </w:r>
          <w:r>
            <w:instrText xml:space="preserve"> PAGEREF _Toc182814062 \h </w:instrText>
          </w:r>
          <w:r>
            <w:fldChar w:fldCharType="separate"/>
          </w:r>
          <w:r>
            <w:t>142</w:t>
          </w:r>
          <w:r>
            <w:fldChar w:fldCharType="end"/>
          </w:r>
          <w:r>
            <w:fldChar w:fldCharType="end"/>
          </w:r>
        </w:p>
        <w:p w14:paraId="1DCCBEEA">
          <w:pPr>
            <w:pStyle w:val="66"/>
            <w:rPr>
              <w:rFonts w:eastAsiaTheme="minorEastAsia"/>
            </w:rPr>
          </w:pPr>
          <w:r>
            <w:fldChar w:fldCharType="begin"/>
          </w:r>
          <w:r>
            <w:instrText xml:space="preserve"> HYPERLINK \l "_Toc182814063" </w:instrText>
          </w:r>
          <w:r>
            <w:fldChar w:fldCharType="separate"/>
          </w:r>
          <w:r>
            <w:rPr>
              <w:rStyle w:val="20"/>
              <w:color w:val="auto"/>
            </w:rPr>
            <w:t>12.2</w:t>
          </w:r>
          <w:r>
            <w:rPr>
              <w:rFonts w:eastAsiaTheme="minorEastAsia"/>
            </w:rPr>
            <w:tab/>
          </w:r>
          <w:r>
            <w:rPr>
              <w:rStyle w:val="20"/>
              <w:color w:val="auto"/>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fldChar w:fldCharType="begin"/>
          </w:r>
          <w:r>
            <w:instrText xml:space="preserve"> PAGEREF _Toc182814063 \h </w:instrText>
          </w:r>
          <w:r>
            <w:fldChar w:fldCharType="separate"/>
          </w:r>
          <w:r>
            <w:t>146</w:t>
          </w:r>
          <w:r>
            <w:fldChar w:fldCharType="end"/>
          </w:r>
          <w:r>
            <w:fldChar w:fldCharType="end"/>
          </w:r>
        </w:p>
        <w:p w14:paraId="41332273">
          <w:pPr>
            <w:pStyle w:val="66"/>
            <w:rPr>
              <w:rFonts w:eastAsiaTheme="minorEastAsia"/>
            </w:rPr>
          </w:pPr>
          <w:r>
            <w:fldChar w:fldCharType="begin"/>
          </w:r>
          <w:r>
            <w:instrText xml:space="preserve"> HYPERLINK \l "_Toc182814064" </w:instrText>
          </w:r>
          <w:r>
            <w:fldChar w:fldCharType="separate"/>
          </w:r>
          <w:r>
            <w:rPr>
              <w:rStyle w:val="20"/>
              <w:color w:val="auto"/>
            </w:rPr>
            <w:t>12.3</w:t>
          </w:r>
          <w:r>
            <w:rPr>
              <w:rFonts w:eastAsiaTheme="minorEastAsia"/>
            </w:rPr>
            <w:tab/>
          </w:r>
          <w:r>
            <w:rPr>
              <w:rStyle w:val="20"/>
              <w:color w:val="auto"/>
            </w:rPr>
            <w:t>Расчеты экономической эффективности инвестиций</w:t>
          </w:r>
          <w:r>
            <w:tab/>
          </w:r>
          <w:r>
            <w:fldChar w:fldCharType="begin"/>
          </w:r>
          <w:r>
            <w:instrText xml:space="preserve"> PAGEREF _Toc182814064 \h </w:instrText>
          </w:r>
          <w:r>
            <w:fldChar w:fldCharType="separate"/>
          </w:r>
          <w:r>
            <w:t>146</w:t>
          </w:r>
          <w:r>
            <w:fldChar w:fldCharType="end"/>
          </w:r>
          <w:r>
            <w:fldChar w:fldCharType="end"/>
          </w:r>
        </w:p>
        <w:p w14:paraId="4D15AB5B">
          <w:pPr>
            <w:pStyle w:val="66"/>
            <w:rPr>
              <w:rFonts w:eastAsiaTheme="minorEastAsia"/>
            </w:rPr>
          </w:pPr>
          <w:r>
            <w:fldChar w:fldCharType="begin"/>
          </w:r>
          <w:r>
            <w:instrText xml:space="preserve"> HYPERLINK \l "_Toc182814065" </w:instrText>
          </w:r>
          <w:r>
            <w:fldChar w:fldCharType="separate"/>
          </w:r>
          <w:r>
            <w:rPr>
              <w:rStyle w:val="20"/>
              <w:color w:val="auto"/>
            </w:rPr>
            <w:t>12.4</w:t>
          </w:r>
          <w:r>
            <w:rPr>
              <w:rFonts w:eastAsiaTheme="minorEastAsia"/>
            </w:rPr>
            <w:tab/>
          </w:r>
          <w:r>
            <w:rPr>
              <w:rStyle w:val="20"/>
              <w:color w:val="auto"/>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r>
          <w:r>
            <w:fldChar w:fldCharType="begin"/>
          </w:r>
          <w:r>
            <w:instrText xml:space="preserve"> PAGEREF _Toc182814065 \h </w:instrText>
          </w:r>
          <w:r>
            <w:fldChar w:fldCharType="separate"/>
          </w:r>
          <w:r>
            <w:t>147</w:t>
          </w:r>
          <w:r>
            <w:fldChar w:fldCharType="end"/>
          </w:r>
          <w:r>
            <w:fldChar w:fldCharType="end"/>
          </w:r>
        </w:p>
        <w:p w14:paraId="30DE6E56">
          <w:pPr>
            <w:pStyle w:val="66"/>
            <w:rPr>
              <w:rFonts w:eastAsiaTheme="minorEastAsia"/>
            </w:rPr>
          </w:pPr>
          <w:r>
            <w:fldChar w:fldCharType="begin"/>
          </w:r>
          <w:r>
            <w:instrText xml:space="preserve"> HYPERLINK \l "_Toc182814066" </w:instrText>
          </w:r>
          <w:r>
            <w:fldChar w:fldCharType="separate"/>
          </w:r>
          <w:r>
            <w:rPr>
              <w:rStyle w:val="20"/>
              <w:color w:val="auto"/>
            </w:rPr>
            <w:t>12.5</w:t>
          </w:r>
          <w:r>
            <w:rPr>
              <w:rFonts w:eastAsiaTheme="minorEastAsia"/>
            </w:rPr>
            <w:tab/>
          </w:r>
          <w:r>
            <w:rPr>
              <w:rStyle w:val="20"/>
              <w:color w:val="auto"/>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tab/>
          </w:r>
          <w:r>
            <w:fldChar w:fldCharType="begin"/>
          </w:r>
          <w:r>
            <w:instrText xml:space="preserve"> PAGEREF _Toc182814066 \h </w:instrText>
          </w:r>
          <w:r>
            <w:fldChar w:fldCharType="separate"/>
          </w:r>
          <w:r>
            <w:t>149</w:t>
          </w:r>
          <w:r>
            <w:fldChar w:fldCharType="end"/>
          </w:r>
          <w:r>
            <w:fldChar w:fldCharType="end"/>
          </w:r>
        </w:p>
        <w:p w14:paraId="1A673CB1">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"_Toc182814067" </w:instrText>
          </w:r>
          <w:r>
            <w:fldChar w:fldCharType="separate"/>
          </w:r>
          <w:r>
            <w:rPr>
              <w:rStyle w:val="20"/>
              <w:rFonts w:ascii="Times New Roman" w:hAnsi="Times New Roman"/>
              <w:b w:val="0"/>
              <w:color w:val="auto"/>
            </w:rPr>
            <w:t>13</w:t>
          </w:r>
          <w:r>
            <w:rPr>
              <w:rFonts w:ascii="Times New Roman" w:hAnsi="Times New Roman" w:eastAsiaTheme="minorEastAsia"/>
              <w:b w:val="0"/>
              <w:bCs w:val="0"/>
              <w:caps w:val="0"/>
            </w:rPr>
            <w:tab/>
          </w:r>
          <w:r>
            <w:rPr>
              <w:rStyle w:val="20"/>
              <w:rFonts w:ascii="Times New Roman" w:hAnsi="Times New Roman"/>
              <w:b w:val="0"/>
              <w:color w:val="auto"/>
            </w:rPr>
            <w:t>Глава 13. Индикаторы развития систем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_Toc182814067 \h </w:instrText>
          </w:r>
          <w:r>
            <w:rPr>
              <w:rFonts w:ascii="Times New Roman" w:hAnsi="Times New Roman"/>
              <w:b w:val="0"/>
            </w:rPr>
            <w:fldChar w:fldCharType="separate"/>
          </w:r>
          <w:r>
            <w:rPr>
              <w:rFonts w:ascii="Times New Roman" w:hAnsi="Times New Roman"/>
              <w:b w:val="0"/>
            </w:rPr>
            <w:t>150</w:t>
          </w:r>
          <w:r>
            <w:rPr>
              <w:rFonts w:ascii="Times New Roman" w:hAnsi="Times New Roman"/>
              <w:b w:val="0"/>
            </w:rPr>
            <w:fldChar w:fldCharType="end"/>
          </w:r>
          <w:r>
            <w:rPr>
              <w:rFonts w:ascii="Times New Roman" w:hAnsi="Times New Roman"/>
              <w:b w:val="0"/>
            </w:rPr>
            <w:fldChar w:fldCharType="end"/>
          </w:r>
        </w:p>
        <w:p w14:paraId="133AEBAC">
          <w:pPr>
            <w:pStyle w:val="66"/>
            <w:rPr>
              <w:rFonts w:eastAsiaTheme="minorEastAsia"/>
            </w:rPr>
          </w:pPr>
          <w:r>
            <w:fldChar w:fldCharType="begin"/>
          </w:r>
          <w:r>
            <w:instrText xml:space="preserve"> HYPERLINK \l "_Toc182814068" </w:instrText>
          </w:r>
          <w:r>
            <w:fldChar w:fldCharType="separate"/>
          </w:r>
          <w:r>
            <w:rPr>
              <w:rStyle w:val="20"/>
              <w:color w:val="auto"/>
            </w:rPr>
            <w:t>13.1</w:t>
          </w:r>
          <w:r>
            <w:rPr>
              <w:rFonts w:eastAsiaTheme="minorEastAsia"/>
            </w:rPr>
            <w:tab/>
          </w:r>
          <w:r>
            <w:rPr>
              <w:rStyle w:val="20"/>
              <w:color w:val="auto"/>
            </w:rPr>
            <w:t>Количество прекращений подачи тепловой энергии, теплоносителя в результате технологических нарушений на тепловых сетях</w:t>
          </w:r>
          <w:r>
            <w:tab/>
          </w:r>
          <w:r>
            <w:fldChar w:fldCharType="begin"/>
          </w:r>
          <w:r>
            <w:instrText xml:space="preserve"> PAGEREF _Toc182814068 \h </w:instrText>
          </w:r>
          <w:r>
            <w:fldChar w:fldCharType="separate"/>
          </w:r>
          <w:r>
            <w:t>152</w:t>
          </w:r>
          <w:r>
            <w:fldChar w:fldCharType="end"/>
          </w:r>
          <w:r>
            <w:fldChar w:fldCharType="end"/>
          </w:r>
        </w:p>
        <w:p w14:paraId="7A59AF42">
          <w:pPr>
            <w:pStyle w:val="66"/>
            <w:rPr>
              <w:rFonts w:eastAsiaTheme="minorEastAsia"/>
            </w:rPr>
          </w:pPr>
          <w:r>
            <w:fldChar w:fldCharType="begin"/>
          </w:r>
          <w:r>
            <w:instrText xml:space="preserve"> HYPERLINK \l "_Toc182814069" </w:instrText>
          </w:r>
          <w:r>
            <w:fldChar w:fldCharType="separate"/>
          </w:r>
          <w:r>
            <w:rPr>
              <w:rStyle w:val="20"/>
              <w:color w:val="auto"/>
            </w:rPr>
            <w:t>13.2</w:t>
          </w:r>
          <w:r>
            <w:rPr>
              <w:rFonts w:eastAsiaTheme="minorEastAsia"/>
            </w:rPr>
            <w:tab/>
          </w:r>
          <w:r>
            <w:rPr>
              <w:rStyle w:val="20"/>
              <w:color w:val="auto"/>
            </w:rPr>
            <w:t>Количество прекращений подачи тепловой энергии, теплоносителя в результате технологических нарушений на источниках тепловой энергии</w:t>
          </w:r>
          <w:r>
            <w:tab/>
          </w:r>
          <w:r>
            <w:fldChar w:fldCharType="begin"/>
          </w:r>
          <w:r>
            <w:instrText xml:space="preserve"> PAGEREF _Toc182814069 \h </w:instrText>
          </w:r>
          <w:r>
            <w:fldChar w:fldCharType="separate"/>
          </w:r>
          <w:r>
            <w:t>152</w:t>
          </w:r>
          <w:r>
            <w:fldChar w:fldCharType="end"/>
          </w:r>
          <w:r>
            <w:fldChar w:fldCharType="end"/>
          </w:r>
        </w:p>
        <w:p w14:paraId="0C2925CB">
          <w:pPr>
            <w:pStyle w:val="66"/>
            <w:rPr>
              <w:rFonts w:eastAsiaTheme="minorEastAsia"/>
            </w:rPr>
          </w:pPr>
          <w:r>
            <w:fldChar w:fldCharType="begin"/>
          </w:r>
          <w:r>
            <w:instrText xml:space="preserve"> HYPERLINK \l "_Toc182814070" </w:instrText>
          </w:r>
          <w:r>
            <w:fldChar w:fldCharType="separate"/>
          </w:r>
          <w:r>
            <w:rPr>
              <w:rStyle w:val="20"/>
              <w:color w:val="auto"/>
            </w:rPr>
            <w:t>13.3</w:t>
          </w:r>
          <w:r>
            <w:rPr>
              <w:rFonts w:eastAsiaTheme="minorEastAsia"/>
            </w:rPr>
            <w:tab/>
          </w:r>
          <w:r>
            <w:rPr>
              <w:rStyle w:val="20"/>
              <w:color w:val="auto"/>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tab/>
          </w:r>
          <w:r>
            <w:tab/>
          </w:r>
          <w:r>
            <w:fldChar w:fldCharType="begin"/>
          </w:r>
          <w:r>
            <w:instrText xml:space="preserve"> PAGEREF _Toc182814070 \h </w:instrText>
          </w:r>
          <w:r>
            <w:fldChar w:fldCharType="separate"/>
          </w:r>
          <w:r>
            <w:t>152</w:t>
          </w:r>
          <w:r>
            <w:fldChar w:fldCharType="end"/>
          </w:r>
          <w:r>
            <w:fldChar w:fldCharType="end"/>
          </w:r>
        </w:p>
        <w:p w14:paraId="36CFA6BE">
          <w:pPr>
            <w:pStyle w:val="66"/>
            <w:rPr>
              <w:rFonts w:eastAsiaTheme="minorEastAsia"/>
            </w:rPr>
          </w:pPr>
          <w:r>
            <w:fldChar w:fldCharType="begin"/>
          </w:r>
          <w:r>
            <w:instrText xml:space="preserve"> HYPERLINK \l "_Toc182814071" </w:instrText>
          </w:r>
          <w:r>
            <w:fldChar w:fldCharType="separate"/>
          </w:r>
          <w:r>
            <w:rPr>
              <w:rStyle w:val="20"/>
              <w:color w:val="auto"/>
            </w:rPr>
            <w:t>13.4</w:t>
          </w:r>
          <w:r>
            <w:rPr>
              <w:rFonts w:eastAsiaTheme="minorEastAsia"/>
            </w:rPr>
            <w:tab/>
          </w:r>
          <w:r>
            <w:rPr>
              <w:rStyle w:val="20"/>
              <w:color w:val="auto"/>
            </w:rPr>
            <w:t>Отношение величины технологических потерь тепловой энергии, теплоносителя к материальной характеристике тепловой сети</w:t>
          </w:r>
          <w:r>
            <w:tab/>
          </w:r>
          <w:r>
            <w:fldChar w:fldCharType="begin"/>
          </w:r>
          <w:r>
            <w:instrText xml:space="preserve"> PAGEREF _Toc182814071 \h </w:instrText>
          </w:r>
          <w:r>
            <w:fldChar w:fldCharType="separate"/>
          </w:r>
          <w:r>
            <w:t>152</w:t>
          </w:r>
          <w:r>
            <w:fldChar w:fldCharType="end"/>
          </w:r>
          <w:r>
            <w:fldChar w:fldCharType="end"/>
          </w:r>
        </w:p>
        <w:p w14:paraId="6430B320">
          <w:pPr>
            <w:pStyle w:val="66"/>
            <w:rPr>
              <w:rFonts w:eastAsiaTheme="minorEastAsia"/>
            </w:rPr>
          </w:pPr>
          <w:r>
            <w:fldChar w:fldCharType="begin"/>
          </w:r>
          <w:r>
            <w:instrText xml:space="preserve"> HYPERLINK \l "_Toc182814072" </w:instrText>
          </w:r>
          <w:r>
            <w:fldChar w:fldCharType="separate"/>
          </w:r>
          <w:r>
            <w:rPr>
              <w:rStyle w:val="20"/>
              <w:color w:val="auto"/>
            </w:rPr>
            <w:t>13.5</w:t>
          </w:r>
          <w:r>
            <w:rPr>
              <w:rFonts w:eastAsiaTheme="minorEastAsia"/>
            </w:rPr>
            <w:tab/>
          </w:r>
          <w:r>
            <w:rPr>
              <w:rStyle w:val="20"/>
              <w:color w:val="auto"/>
            </w:rPr>
            <w:t>Коэффициент использования установленной тепловой мощности</w:t>
          </w:r>
          <w:r>
            <w:tab/>
          </w:r>
          <w:r>
            <w:fldChar w:fldCharType="begin"/>
          </w:r>
          <w:r>
            <w:instrText xml:space="preserve"> PAGEREF _Toc182814072 \h </w:instrText>
          </w:r>
          <w:r>
            <w:fldChar w:fldCharType="separate"/>
          </w:r>
          <w:r>
            <w:t>152</w:t>
          </w:r>
          <w:r>
            <w:fldChar w:fldCharType="end"/>
          </w:r>
          <w:r>
            <w:fldChar w:fldCharType="end"/>
          </w:r>
        </w:p>
        <w:p w14:paraId="6F9C884A">
          <w:pPr>
            <w:pStyle w:val="66"/>
            <w:rPr>
              <w:rFonts w:eastAsiaTheme="minorEastAsia"/>
            </w:rPr>
          </w:pPr>
          <w:r>
            <w:fldChar w:fldCharType="begin"/>
          </w:r>
          <w:r>
            <w:instrText xml:space="preserve"> HYPERLINK \l "_Toc182814073" </w:instrText>
          </w:r>
          <w:r>
            <w:fldChar w:fldCharType="separate"/>
          </w:r>
          <w:r>
            <w:rPr>
              <w:rStyle w:val="20"/>
              <w:color w:val="auto"/>
            </w:rPr>
            <w:t>13.6</w:t>
          </w:r>
          <w:r>
            <w:rPr>
              <w:rFonts w:eastAsiaTheme="minorEastAsia"/>
            </w:rPr>
            <w:tab/>
          </w:r>
          <w:r>
            <w:rPr>
              <w:rStyle w:val="20"/>
              <w:color w:val="auto"/>
            </w:rPr>
            <w:t>Удельная материальная характеристика тепловых сетей, приведенная к расчетной тепловой нагрузке</w:t>
          </w:r>
          <w:r>
            <w:tab/>
          </w:r>
          <w:r>
            <w:fldChar w:fldCharType="begin"/>
          </w:r>
          <w:r>
            <w:instrText xml:space="preserve"> PAGEREF _Toc182814073 \h </w:instrText>
          </w:r>
          <w:r>
            <w:fldChar w:fldCharType="separate"/>
          </w:r>
          <w:r>
            <w:t>152</w:t>
          </w:r>
          <w:r>
            <w:fldChar w:fldCharType="end"/>
          </w:r>
          <w:r>
            <w:fldChar w:fldCharType="end"/>
          </w:r>
        </w:p>
        <w:p w14:paraId="61CDE516">
          <w:pPr>
            <w:pStyle w:val="66"/>
            <w:rPr>
              <w:rFonts w:eastAsiaTheme="minorEastAsia"/>
            </w:rPr>
          </w:pPr>
          <w:r>
            <w:fldChar w:fldCharType="begin"/>
          </w:r>
          <w:r>
            <w:instrText xml:space="preserve"> HYPERLINK \l "_Toc182814074" </w:instrText>
          </w:r>
          <w:r>
            <w:fldChar w:fldCharType="separate"/>
          </w:r>
          <w:r>
            <w:rPr>
              <w:rStyle w:val="20"/>
              <w:color w:val="auto"/>
            </w:rPr>
            <w:t>13.7</w:t>
          </w:r>
          <w:r>
            <w:rPr>
              <w:rFonts w:eastAsiaTheme="minorEastAsia"/>
            </w:rPr>
            <w:tab/>
          </w:r>
          <w:r>
            <w:rPr>
              <w:rStyle w:val="20"/>
              <w:color w:val="auto"/>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tab/>
          </w:r>
          <w:r>
            <w:fldChar w:fldCharType="begin"/>
          </w:r>
          <w:r>
            <w:instrText xml:space="preserve"> PAGEREF _Toc182814074 \h </w:instrText>
          </w:r>
          <w:r>
            <w:fldChar w:fldCharType="separate"/>
          </w:r>
          <w:r>
            <w:t>152</w:t>
          </w:r>
          <w:r>
            <w:fldChar w:fldCharType="end"/>
          </w:r>
          <w:r>
            <w:fldChar w:fldCharType="end"/>
          </w:r>
        </w:p>
        <w:p w14:paraId="5A38DFE1">
          <w:pPr>
            <w:pStyle w:val="66"/>
            <w:rPr>
              <w:rFonts w:eastAsiaTheme="minorEastAsia"/>
            </w:rPr>
          </w:pPr>
          <w:r>
            <w:fldChar w:fldCharType="begin"/>
          </w:r>
          <w:r>
            <w:instrText xml:space="preserve"> HYPERLINK \l "_Toc182814075" </w:instrText>
          </w:r>
          <w:r>
            <w:fldChar w:fldCharType="separate"/>
          </w:r>
          <w:r>
            <w:rPr>
              <w:rStyle w:val="20"/>
              <w:color w:val="auto"/>
            </w:rPr>
            <w:t>13.8</w:t>
          </w:r>
          <w:r>
            <w:rPr>
              <w:rFonts w:eastAsiaTheme="minorEastAsia"/>
            </w:rPr>
            <w:tab/>
          </w:r>
          <w:r>
            <w:rPr>
              <w:rStyle w:val="20"/>
              <w:color w:val="auto"/>
            </w:rPr>
            <w:t>Удельный расход условного топлива на отпуск электрической энергии</w:t>
          </w:r>
          <w:r>
            <w:tab/>
          </w:r>
          <w:r>
            <w:fldChar w:fldCharType="begin"/>
          </w:r>
          <w:r>
            <w:instrText xml:space="preserve"> PAGEREF _Toc182814075 \h </w:instrText>
          </w:r>
          <w:r>
            <w:fldChar w:fldCharType="separate"/>
          </w:r>
          <w:r>
            <w:t>152</w:t>
          </w:r>
          <w:r>
            <w:fldChar w:fldCharType="end"/>
          </w:r>
          <w:r>
            <w:fldChar w:fldCharType="end"/>
          </w:r>
        </w:p>
        <w:p w14:paraId="565A62CA">
          <w:pPr>
            <w:pStyle w:val="66"/>
            <w:rPr>
              <w:rFonts w:eastAsiaTheme="minorEastAsia"/>
            </w:rPr>
          </w:pPr>
          <w:r>
            <w:fldChar w:fldCharType="begin"/>
          </w:r>
          <w:r>
            <w:instrText xml:space="preserve"> HYPERLINK \l "_Toc182814076" </w:instrText>
          </w:r>
          <w:r>
            <w:fldChar w:fldCharType="separate"/>
          </w:r>
          <w:r>
            <w:rPr>
              <w:rStyle w:val="20"/>
              <w:color w:val="auto"/>
            </w:rPr>
            <w:t>13.9</w:t>
          </w:r>
          <w:r>
            <w:rPr>
              <w:rFonts w:eastAsiaTheme="minorEastAsia"/>
            </w:rPr>
            <w:tab/>
          </w:r>
          <w:r>
            <w:rPr>
              <w:rStyle w:val="20"/>
              <w:color w:val="auto"/>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ab/>
          </w:r>
          <w:r>
            <w:fldChar w:fldCharType="begin"/>
          </w:r>
          <w:r>
            <w:instrText xml:space="preserve"> PAGEREF _Toc182814076 \h </w:instrText>
          </w:r>
          <w:r>
            <w:fldChar w:fldCharType="separate"/>
          </w:r>
          <w:r>
            <w:t>153</w:t>
          </w:r>
          <w:r>
            <w:fldChar w:fldCharType="end"/>
          </w:r>
          <w:r>
            <w:fldChar w:fldCharType="end"/>
          </w:r>
        </w:p>
        <w:p w14:paraId="15438C9C">
          <w:pPr>
            <w:pStyle w:val="66"/>
            <w:rPr>
              <w:rFonts w:eastAsiaTheme="minorEastAsia"/>
            </w:rPr>
          </w:pPr>
          <w:r>
            <w:fldChar w:fldCharType="begin"/>
          </w:r>
          <w:r>
            <w:instrText xml:space="preserve"> HYPERLINK \l "_Toc182814077" </w:instrText>
          </w:r>
          <w:r>
            <w:fldChar w:fldCharType="separate"/>
          </w:r>
          <w:r>
            <w:rPr>
              <w:rStyle w:val="20"/>
              <w:color w:val="auto"/>
            </w:rPr>
            <w:t>13.10</w:t>
          </w:r>
          <w:r>
            <w:rPr>
              <w:rFonts w:eastAsiaTheme="minorEastAsia"/>
            </w:rPr>
            <w:tab/>
          </w:r>
          <w:r>
            <w:rPr>
              <w:rStyle w:val="20"/>
              <w:color w:val="auto"/>
            </w:rPr>
            <w:t>Доля отпуска тепловой энергии, осуществляемого потребителям по приборам учета, в общем объеме отпущенной тепловой энергии</w:t>
          </w:r>
          <w:r>
            <w:tab/>
          </w:r>
          <w:r>
            <w:fldChar w:fldCharType="begin"/>
          </w:r>
          <w:r>
            <w:instrText xml:space="preserve"> PAGEREF _Toc182814077 \h </w:instrText>
          </w:r>
          <w:r>
            <w:fldChar w:fldCharType="separate"/>
          </w:r>
          <w:r>
            <w:t>153</w:t>
          </w:r>
          <w:r>
            <w:fldChar w:fldCharType="end"/>
          </w:r>
          <w:r>
            <w:fldChar w:fldCharType="end"/>
          </w:r>
        </w:p>
        <w:p w14:paraId="16BEB222">
          <w:pPr>
            <w:pStyle w:val="66"/>
            <w:rPr>
              <w:rFonts w:eastAsiaTheme="minorEastAsia"/>
            </w:rPr>
          </w:pPr>
          <w:r>
            <w:fldChar w:fldCharType="begin"/>
          </w:r>
          <w:r>
            <w:instrText xml:space="preserve"> HYPERLINK \l "_Toc182814078" </w:instrText>
          </w:r>
          <w:r>
            <w:fldChar w:fldCharType="separate"/>
          </w:r>
          <w:r>
            <w:rPr>
              <w:rStyle w:val="20"/>
              <w:color w:val="auto"/>
            </w:rPr>
            <w:t>13.11</w:t>
          </w:r>
          <w:r>
            <w:rPr>
              <w:rFonts w:eastAsiaTheme="minorEastAsia"/>
            </w:rPr>
            <w:tab/>
          </w:r>
          <w:r>
            <w:rPr>
              <w:rStyle w:val="20"/>
              <w:color w:val="auto"/>
            </w:rPr>
            <w:t>Средневзвешенный (по материальной характеристике) срок эксплуатации тепловых сетей (для каждой системы теплоснабжения)</w:t>
          </w:r>
          <w:r>
            <w:tab/>
          </w:r>
          <w:r>
            <w:fldChar w:fldCharType="begin"/>
          </w:r>
          <w:r>
            <w:instrText xml:space="preserve"> PAGEREF _Toc182814078 \h </w:instrText>
          </w:r>
          <w:r>
            <w:fldChar w:fldCharType="separate"/>
          </w:r>
          <w:r>
            <w:t>153</w:t>
          </w:r>
          <w:r>
            <w:fldChar w:fldCharType="end"/>
          </w:r>
          <w:r>
            <w:fldChar w:fldCharType="end"/>
          </w:r>
        </w:p>
        <w:p w14:paraId="4EB7527F">
          <w:pPr>
            <w:pStyle w:val="66"/>
            <w:rPr>
              <w:rFonts w:eastAsiaTheme="minorEastAsia"/>
            </w:rPr>
          </w:pPr>
          <w:r>
            <w:fldChar w:fldCharType="begin"/>
          </w:r>
          <w:r>
            <w:instrText xml:space="preserve"> HYPERLINK \l "_Toc182814079" </w:instrText>
          </w:r>
          <w:r>
            <w:fldChar w:fldCharType="separate"/>
          </w:r>
          <w:r>
            <w:rPr>
              <w:rStyle w:val="20"/>
              <w:color w:val="auto"/>
            </w:rPr>
            <w:t>13.12</w:t>
          </w:r>
          <w:r>
            <w:rPr>
              <w:rFonts w:eastAsiaTheme="minorEastAsia"/>
            </w:rPr>
            <w:tab/>
          </w:r>
          <w:r>
            <w:rPr>
              <w:rStyle w:val="20"/>
              <w:color w:val="auto"/>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tab/>
          </w:r>
          <w:r>
            <w:tab/>
          </w:r>
          <w:r>
            <w:fldChar w:fldCharType="begin"/>
          </w:r>
          <w:r>
            <w:instrText xml:space="preserve"> PAGEREF _Toc182814079 \h </w:instrText>
          </w:r>
          <w:r>
            <w:fldChar w:fldCharType="separate"/>
          </w:r>
          <w:r>
            <w:t>153</w:t>
          </w:r>
          <w:r>
            <w:fldChar w:fldCharType="end"/>
          </w:r>
          <w:r>
            <w:fldChar w:fldCharType="end"/>
          </w:r>
        </w:p>
        <w:p w14:paraId="58458830">
          <w:pPr>
            <w:pStyle w:val="66"/>
            <w:rPr>
              <w:rFonts w:eastAsiaTheme="minorEastAsia"/>
            </w:rPr>
          </w:pPr>
          <w:r>
            <w:fldChar w:fldCharType="begin"/>
          </w:r>
          <w:r>
            <w:instrText xml:space="preserve"> HYPERLINK \l "_Toc182814080" </w:instrText>
          </w:r>
          <w:r>
            <w:fldChar w:fldCharType="separate"/>
          </w:r>
          <w:r>
            <w:rPr>
              <w:rStyle w:val="20"/>
              <w:color w:val="auto"/>
            </w:rPr>
            <w:t>13.13</w:t>
          </w:r>
          <w:r>
            <w:rPr>
              <w:rFonts w:eastAsiaTheme="minorEastAsia"/>
            </w:rPr>
            <w:tab/>
          </w:r>
          <w:r>
            <w:rPr>
              <w:rStyle w:val="20"/>
              <w:color w:val="auto"/>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tab/>
          </w:r>
          <w:r>
            <w:fldChar w:fldCharType="begin"/>
          </w:r>
          <w:r>
            <w:instrText xml:space="preserve"> PAGEREF _Toc182814080 \h </w:instrText>
          </w:r>
          <w:r>
            <w:fldChar w:fldCharType="separate"/>
          </w:r>
          <w:r>
            <w:t>153</w:t>
          </w:r>
          <w:r>
            <w:fldChar w:fldCharType="end"/>
          </w:r>
          <w:r>
            <w:fldChar w:fldCharType="end"/>
          </w:r>
        </w:p>
        <w:p w14:paraId="33EC28B7">
          <w:pPr>
            <w:pStyle w:val="66"/>
            <w:rPr>
              <w:rFonts w:eastAsiaTheme="minorEastAsia"/>
            </w:rPr>
          </w:pPr>
          <w:r>
            <w:fldChar w:fldCharType="begin"/>
          </w:r>
          <w:r>
            <w:instrText xml:space="preserve"> HYPERLINK \l "_Toc182814081" </w:instrText>
          </w:r>
          <w:r>
            <w:fldChar w:fldCharType="separate"/>
          </w:r>
          <w:r>
            <w:rPr>
              <w:rStyle w:val="20"/>
              <w:color w:val="auto"/>
            </w:rPr>
            <w:t>13.14</w:t>
          </w:r>
          <w:r>
            <w:rPr>
              <w:rFonts w:eastAsiaTheme="minorEastAsia"/>
            </w:rPr>
            <w:tab/>
          </w:r>
          <w:r>
            <w:rPr>
              <w:rStyle w:val="20"/>
              <w:color w:val="auto"/>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tab/>
          </w:r>
          <w:r>
            <w:fldChar w:fldCharType="begin"/>
          </w:r>
          <w:r>
            <w:instrText xml:space="preserve"> PAGEREF _Toc182814081 \h </w:instrText>
          </w:r>
          <w:r>
            <w:fldChar w:fldCharType="separate"/>
          </w:r>
          <w:r>
            <w:t>153</w:t>
          </w:r>
          <w:r>
            <w:fldChar w:fldCharType="end"/>
          </w:r>
          <w:r>
            <w:fldChar w:fldCharType="end"/>
          </w:r>
        </w:p>
        <w:p w14:paraId="084E29DB">
          <w:pPr>
            <w:pStyle w:val="66"/>
            <w:rPr>
              <w:rFonts w:eastAsiaTheme="minorEastAsia"/>
            </w:rPr>
          </w:pPr>
          <w:r>
            <w:fldChar w:fldCharType="begin"/>
          </w:r>
          <w:r>
            <w:instrText xml:space="preserve"> HYPERLINK \l "_Toc182814082" </w:instrText>
          </w:r>
          <w:r>
            <w:fldChar w:fldCharType="separate"/>
          </w:r>
          <w:r>
            <w:rPr>
              <w:rStyle w:val="20"/>
              <w:color w:val="auto"/>
            </w:rPr>
            <w:t>13.15</w:t>
          </w:r>
          <w:r>
            <w:rPr>
              <w:rFonts w:eastAsiaTheme="minorEastAsia"/>
            </w:rPr>
            <w:tab/>
          </w:r>
          <w:r>
            <w:rPr>
              <w:rStyle w:val="20"/>
              <w:color w:val="auto"/>
            </w:rPr>
            <w:t>Целевые значения ключевых показателей, отражающих результаты внедрения целевой модели рынка тепловой энергии</w:t>
          </w:r>
          <w:r>
            <w:tab/>
          </w:r>
          <w:r>
            <w:fldChar w:fldCharType="begin"/>
          </w:r>
          <w:r>
            <w:instrText xml:space="preserve"> PAGEREF _Toc182814082 \h </w:instrText>
          </w:r>
          <w:r>
            <w:fldChar w:fldCharType="separate"/>
          </w:r>
          <w:r>
            <w:t>154</w:t>
          </w:r>
          <w:r>
            <w:fldChar w:fldCharType="end"/>
          </w:r>
          <w:r>
            <w:fldChar w:fldCharType="end"/>
          </w:r>
        </w:p>
        <w:p w14:paraId="358E23AD">
          <w:pPr>
            <w:pStyle w:val="66"/>
            <w:rPr>
              <w:rFonts w:eastAsiaTheme="minorEastAsia"/>
            </w:rPr>
          </w:pPr>
          <w:r>
            <w:fldChar w:fldCharType="begin"/>
          </w:r>
          <w:r>
            <w:instrText xml:space="preserve"> HYPERLINK \l "_Toc182814083" </w:instrText>
          </w:r>
          <w:r>
            <w:fldChar w:fldCharType="separate"/>
          </w:r>
          <w:r>
            <w:rPr>
              <w:rStyle w:val="20"/>
              <w:color w:val="auto"/>
            </w:rPr>
            <w:t>13.16</w:t>
          </w:r>
          <w:r>
            <w:rPr>
              <w:rFonts w:eastAsiaTheme="minorEastAsia"/>
            </w:rPr>
            <w:tab/>
          </w:r>
          <w:r>
            <w:rPr>
              <w:rStyle w:val="20"/>
              <w:color w:val="auto"/>
            </w:rPr>
            <w:t>Существующие и перспективные значения целевых показателей реализации схемы теплоснабжения на территории с.п. Верхнеказымский, подлежащие достижению каждой единой теплоснабжающей организацией, функционирующей на территории с.п. Верхнеказымский</w:t>
          </w:r>
          <w:r>
            <w:tab/>
          </w:r>
          <w:r>
            <w:fldChar w:fldCharType="begin"/>
          </w:r>
          <w:r>
            <w:instrText xml:space="preserve"> PAGEREF _Toc182814083 \h </w:instrText>
          </w:r>
          <w:r>
            <w:fldChar w:fldCharType="separate"/>
          </w:r>
          <w:r>
            <w:t>154</w:t>
          </w:r>
          <w:r>
            <w:fldChar w:fldCharType="end"/>
          </w:r>
          <w:r>
            <w:fldChar w:fldCharType="end"/>
          </w:r>
        </w:p>
        <w:p w14:paraId="2584C7D3">
          <w:pPr>
            <w:pStyle w:val="66"/>
            <w:rPr>
              <w:rFonts w:eastAsiaTheme="minorEastAsia"/>
            </w:rPr>
          </w:pPr>
          <w:r>
            <w:fldChar w:fldCharType="begin"/>
          </w:r>
          <w:r>
            <w:instrText xml:space="preserve"> HYPERLINK \l "_Toc182814084" </w:instrText>
          </w:r>
          <w:r>
            <w:fldChar w:fldCharType="separate"/>
          </w:r>
          <w:r>
            <w:rPr>
              <w:rStyle w:val="20"/>
              <w:color w:val="auto"/>
            </w:rPr>
            <w:t>13.17</w:t>
          </w:r>
          <w:r>
            <w:rPr>
              <w:rFonts w:eastAsiaTheme="minorEastAsia"/>
            </w:rPr>
            <w:tab/>
          </w:r>
          <w:r>
            <w:rPr>
              <w:rStyle w:val="20"/>
              <w:color w:val="auto"/>
            </w:rPr>
            <w:t>Описание изменений (фактических данных) в оценке значений индикаторов развития систем теплоснабжения на территории с.п. Верхнеказымский с учетом реализации проектов схемы теплоснабжения</w:t>
          </w:r>
          <w:r>
            <w:tab/>
          </w:r>
          <w:r>
            <w:fldChar w:fldCharType="begin"/>
          </w:r>
          <w:r>
            <w:instrText xml:space="preserve"> PAGEREF _Toc182814084 \h </w:instrText>
          </w:r>
          <w:r>
            <w:fldChar w:fldCharType="separate"/>
          </w:r>
          <w:r>
            <w:t>154</w:t>
          </w:r>
          <w:r>
            <w:fldChar w:fldCharType="end"/>
          </w:r>
          <w:r>
            <w:fldChar w:fldCharType="end"/>
          </w:r>
        </w:p>
        <w:p w14:paraId="1743ACE8">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"_Toc182814085" </w:instrText>
          </w:r>
          <w:r>
            <w:fldChar w:fldCharType="separate"/>
          </w:r>
          <w:r>
            <w:rPr>
              <w:rStyle w:val="20"/>
              <w:rFonts w:ascii="Times New Roman" w:hAnsi="Times New Roman"/>
              <w:b w:val="0"/>
              <w:color w:val="auto"/>
            </w:rPr>
            <w:t>14</w:t>
          </w:r>
          <w:r>
            <w:rPr>
              <w:rFonts w:ascii="Times New Roman" w:hAnsi="Times New Roman" w:eastAsiaTheme="minorEastAsia"/>
              <w:b w:val="0"/>
              <w:bCs w:val="0"/>
              <w:caps w:val="0"/>
            </w:rPr>
            <w:tab/>
          </w:r>
          <w:r>
            <w:rPr>
              <w:rStyle w:val="20"/>
              <w:rFonts w:ascii="Times New Roman" w:hAnsi="Times New Roman"/>
              <w:b w:val="0"/>
              <w:color w:val="auto"/>
            </w:rPr>
            <w:t>Глава 14. Ценовые (тарифные) последствия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_Toc182814085 \h </w:instrText>
          </w:r>
          <w:r>
            <w:rPr>
              <w:rFonts w:ascii="Times New Roman" w:hAnsi="Times New Roman"/>
              <w:b w:val="0"/>
            </w:rPr>
            <w:fldChar w:fldCharType="separate"/>
          </w:r>
          <w:r>
            <w:rPr>
              <w:rFonts w:ascii="Times New Roman" w:hAnsi="Times New Roman"/>
              <w:b w:val="0"/>
            </w:rPr>
            <w:t>155</w:t>
          </w:r>
          <w:r>
            <w:rPr>
              <w:rFonts w:ascii="Times New Roman" w:hAnsi="Times New Roman"/>
              <w:b w:val="0"/>
            </w:rPr>
            <w:fldChar w:fldCharType="end"/>
          </w:r>
          <w:r>
            <w:rPr>
              <w:rFonts w:ascii="Times New Roman" w:hAnsi="Times New Roman"/>
              <w:b w:val="0"/>
            </w:rPr>
            <w:fldChar w:fldCharType="end"/>
          </w:r>
        </w:p>
        <w:p w14:paraId="2AD16FDA">
          <w:pPr>
            <w:pStyle w:val="66"/>
            <w:rPr>
              <w:rFonts w:eastAsiaTheme="minorEastAsia"/>
            </w:rPr>
          </w:pPr>
          <w:r>
            <w:fldChar w:fldCharType="begin"/>
          </w:r>
          <w:r>
            <w:instrText xml:space="preserve"> HYPERLINK \l "_Toc182814086" </w:instrText>
          </w:r>
          <w:r>
            <w:fldChar w:fldCharType="separate"/>
          </w:r>
          <w:r>
            <w:rPr>
              <w:rStyle w:val="20"/>
              <w:color w:val="auto"/>
            </w:rPr>
            <w:t>14.1</w:t>
          </w:r>
          <w:r>
            <w:rPr>
              <w:rFonts w:eastAsiaTheme="minorEastAsia"/>
            </w:rPr>
            <w:tab/>
          </w:r>
          <w:r>
            <w:rPr>
              <w:rStyle w:val="20"/>
              <w:color w:val="auto"/>
            </w:rPr>
            <w:t>Тарифно-балансовые расчетные модели теплоснабжения потребителей по каждой системе теплоснабжения</w:t>
          </w:r>
          <w:r>
            <w:tab/>
          </w:r>
          <w:r>
            <w:fldChar w:fldCharType="begin"/>
          </w:r>
          <w:r>
            <w:instrText xml:space="preserve"> PAGEREF _Toc182814086 \h </w:instrText>
          </w:r>
          <w:r>
            <w:fldChar w:fldCharType="separate"/>
          </w:r>
          <w:r>
            <w:t>155</w:t>
          </w:r>
          <w:r>
            <w:fldChar w:fldCharType="end"/>
          </w:r>
          <w:r>
            <w:fldChar w:fldCharType="end"/>
          </w:r>
        </w:p>
        <w:p w14:paraId="6543296C">
          <w:pPr>
            <w:pStyle w:val="66"/>
            <w:rPr>
              <w:rFonts w:eastAsiaTheme="minorEastAsia"/>
            </w:rPr>
          </w:pPr>
          <w:r>
            <w:fldChar w:fldCharType="begin"/>
          </w:r>
          <w:r>
            <w:instrText xml:space="preserve"> HYPERLINK \l "_Toc182814087" </w:instrText>
          </w:r>
          <w:r>
            <w:fldChar w:fldCharType="separate"/>
          </w:r>
          <w:r>
            <w:rPr>
              <w:rStyle w:val="20"/>
              <w:color w:val="auto"/>
            </w:rPr>
            <w:t>14.2</w:t>
          </w:r>
          <w:r>
            <w:rPr>
              <w:rFonts w:eastAsiaTheme="minorEastAsia"/>
            </w:rPr>
            <w:tab/>
          </w:r>
          <w:r>
            <w:rPr>
              <w:rStyle w:val="20"/>
              <w:color w:val="auto"/>
            </w:rPr>
            <w:t>Тарифно-балансовые расчетные модели теплоснабжения потребителей по каждой единой теплоснабжающей организации</w:t>
          </w:r>
          <w:r>
            <w:tab/>
          </w:r>
          <w:r>
            <w:fldChar w:fldCharType="begin"/>
          </w:r>
          <w:r>
            <w:instrText xml:space="preserve"> PAGEREF _Toc182814087 \h </w:instrText>
          </w:r>
          <w:r>
            <w:fldChar w:fldCharType="separate"/>
          </w:r>
          <w:r>
            <w:t>158</w:t>
          </w:r>
          <w:r>
            <w:fldChar w:fldCharType="end"/>
          </w:r>
          <w:r>
            <w:fldChar w:fldCharType="end"/>
          </w:r>
        </w:p>
        <w:p w14:paraId="51255664">
          <w:pPr>
            <w:pStyle w:val="66"/>
            <w:rPr>
              <w:rFonts w:eastAsiaTheme="minorEastAsia"/>
            </w:rPr>
          </w:pPr>
          <w:r>
            <w:fldChar w:fldCharType="begin"/>
          </w:r>
          <w:r>
            <w:instrText xml:space="preserve"> HYPERLINK \l "_Toc182814088" </w:instrText>
          </w:r>
          <w:r>
            <w:fldChar w:fldCharType="separate"/>
          </w:r>
          <w:r>
            <w:rPr>
              <w:rStyle w:val="20"/>
              <w:color w:val="auto"/>
            </w:rPr>
            <w:t>14.3</w:t>
          </w:r>
          <w:r>
            <w:rPr>
              <w:rFonts w:eastAsiaTheme="minorEastAsia"/>
            </w:rPr>
            <w:tab/>
          </w:r>
          <w:r>
            <w:rPr>
              <w:rStyle w:val="20"/>
              <w:color w:val="auto"/>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tab/>
          </w:r>
          <w:r>
            <w:fldChar w:fldCharType="begin"/>
          </w:r>
          <w:r>
            <w:instrText xml:space="preserve"> PAGEREF _Toc182814088 \h </w:instrText>
          </w:r>
          <w:r>
            <w:fldChar w:fldCharType="separate"/>
          </w:r>
          <w:r>
            <w:t>158</w:t>
          </w:r>
          <w:r>
            <w:fldChar w:fldCharType="end"/>
          </w:r>
          <w:r>
            <w:fldChar w:fldCharType="end"/>
          </w:r>
        </w:p>
        <w:p w14:paraId="3EF10F51">
          <w:pPr>
            <w:pStyle w:val="66"/>
            <w:rPr>
              <w:rFonts w:eastAsiaTheme="minorEastAsia"/>
            </w:rPr>
          </w:pPr>
          <w:r>
            <w:fldChar w:fldCharType="begin"/>
          </w:r>
          <w:r>
            <w:instrText xml:space="preserve"> HYPERLINK \l "_Toc182814089" </w:instrText>
          </w:r>
          <w:r>
            <w:fldChar w:fldCharType="separate"/>
          </w:r>
          <w:r>
            <w:rPr>
              <w:rStyle w:val="20"/>
              <w:color w:val="auto"/>
            </w:rPr>
            <w:t>14.4</w:t>
          </w:r>
          <w:r>
            <w:rPr>
              <w:rFonts w:eastAsiaTheme="minorEastAsia"/>
            </w:rPr>
            <w:tab/>
          </w:r>
          <w:r>
            <w:rPr>
              <w:rStyle w:val="20"/>
              <w:color w:val="auto"/>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tab/>
          </w:r>
          <w:r>
            <w:fldChar w:fldCharType="begin"/>
          </w:r>
          <w:r>
            <w:instrText xml:space="preserve"> PAGEREF _Toc182814089 \h </w:instrText>
          </w:r>
          <w:r>
            <w:fldChar w:fldCharType="separate"/>
          </w:r>
          <w:r>
            <w:t>158</w:t>
          </w:r>
          <w:r>
            <w:fldChar w:fldCharType="end"/>
          </w:r>
          <w:r>
            <w:fldChar w:fldCharType="end"/>
          </w:r>
        </w:p>
        <w:p w14:paraId="6741A4B7">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"_Toc182814090" </w:instrText>
          </w:r>
          <w:r>
            <w:fldChar w:fldCharType="separate"/>
          </w:r>
          <w:r>
            <w:rPr>
              <w:rStyle w:val="20"/>
              <w:rFonts w:ascii="Times New Roman" w:hAnsi="Times New Roman"/>
              <w:b w:val="0"/>
              <w:color w:val="auto"/>
            </w:rPr>
            <w:t>15</w:t>
          </w:r>
          <w:r>
            <w:rPr>
              <w:rFonts w:ascii="Times New Roman" w:hAnsi="Times New Roman" w:eastAsiaTheme="minorEastAsia"/>
              <w:b w:val="0"/>
              <w:bCs w:val="0"/>
              <w:caps w:val="0"/>
            </w:rPr>
            <w:tab/>
          </w:r>
          <w:r>
            <w:rPr>
              <w:rStyle w:val="20"/>
              <w:rFonts w:ascii="Times New Roman" w:hAnsi="Times New Roman"/>
              <w:b w:val="0"/>
              <w:color w:val="auto"/>
            </w:rPr>
            <w:t>Глава 15. Реестр единых теплоснабжающих организаций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_Toc182814090 \h </w:instrText>
          </w:r>
          <w:r>
            <w:rPr>
              <w:rFonts w:ascii="Times New Roman" w:hAnsi="Times New Roman"/>
              <w:b w:val="0"/>
            </w:rPr>
            <w:fldChar w:fldCharType="separate"/>
          </w:r>
          <w:r>
            <w:rPr>
              <w:rFonts w:ascii="Times New Roman" w:hAnsi="Times New Roman"/>
              <w:b w:val="0"/>
            </w:rPr>
            <w:t>159</w:t>
          </w:r>
          <w:r>
            <w:rPr>
              <w:rFonts w:ascii="Times New Roman" w:hAnsi="Times New Roman"/>
              <w:b w:val="0"/>
            </w:rPr>
            <w:fldChar w:fldCharType="end"/>
          </w:r>
          <w:r>
            <w:rPr>
              <w:rFonts w:ascii="Times New Roman" w:hAnsi="Times New Roman"/>
              <w:b w:val="0"/>
            </w:rPr>
            <w:fldChar w:fldCharType="end"/>
          </w:r>
        </w:p>
        <w:p w14:paraId="21130B6A">
          <w:pPr>
            <w:pStyle w:val="66"/>
            <w:rPr>
              <w:rFonts w:eastAsiaTheme="minorEastAsia"/>
            </w:rPr>
          </w:pPr>
          <w:r>
            <w:fldChar w:fldCharType="begin"/>
          </w:r>
          <w:r>
            <w:instrText xml:space="preserve"> HYPERLINK \l "_Toc182814091" </w:instrText>
          </w:r>
          <w:r>
            <w:fldChar w:fldCharType="separate"/>
          </w:r>
          <w:r>
            <w:rPr>
              <w:rStyle w:val="20"/>
              <w:color w:val="auto"/>
            </w:rPr>
            <w:t>15.1</w:t>
          </w:r>
          <w:r>
            <w:rPr>
              <w:rFonts w:eastAsiaTheme="minorEastAsia"/>
            </w:rPr>
            <w:tab/>
          </w:r>
          <w:r>
            <w:rPr>
              <w:rStyle w:val="20"/>
              <w:color w:val="auto"/>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Верхнеказымский</w:t>
          </w:r>
          <w:r>
            <w:tab/>
          </w:r>
          <w:r>
            <w:fldChar w:fldCharType="begin"/>
          </w:r>
          <w:r>
            <w:instrText xml:space="preserve"> PAGEREF _Toc182814091 \h </w:instrText>
          </w:r>
          <w:r>
            <w:fldChar w:fldCharType="separate"/>
          </w:r>
          <w:r>
            <w:t>159</w:t>
          </w:r>
          <w:r>
            <w:fldChar w:fldCharType="end"/>
          </w:r>
          <w:r>
            <w:fldChar w:fldCharType="end"/>
          </w:r>
        </w:p>
        <w:p w14:paraId="1DD79E3C">
          <w:pPr>
            <w:pStyle w:val="66"/>
            <w:rPr>
              <w:rFonts w:eastAsiaTheme="minorEastAsia"/>
            </w:rPr>
          </w:pPr>
          <w:r>
            <w:fldChar w:fldCharType="begin"/>
          </w:r>
          <w:r>
            <w:instrText xml:space="preserve"> HYPERLINK \l "_Toc182814092" </w:instrText>
          </w:r>
          <w:r>
            <w:fldChar w:fldCharType="separate"/>
          </w:r>
          <w:r>
            <w:rPr>
              <w:rStyle w:val="20"/>
              <w:color w:val="auto"/>
            </w:rPr>
            <w:t>15.2</w:t>
          </w:r>
          <w:r>
            <w:rPr>
              <w:rFonts w:eastAsiaTheme="minorEastAsia"/>
            </w:rPr>
            <w:tab/>
          </w:r>
          <w:r>
            <w:rPr>
              <w:rStyle w:val="20"/>
              <w:color w:val="auto"/>
            </w:rPr>
            <w:t>Реестр единых теплоснабжающих организаций, содержащий перечень систем теплоснабжения, входящих в состав единой теплоснабжающей организации</w:t>
          </w:r>
          <w:r>
            <w:tab/>
          </w:r>
          <w:r>
            <w:fldChar w:fldCharType="begin"/>
          </w:r>
          <w:r>
            <w:instrText xml:space="preserve"> PAGEREF _Toc182814092 \h </w:instrText>
          </w:r>
          <w:r>
            <w:fldChar w:fldCharType="separate"/>
          </w:r>
          <w:r>
            <w:t>159</w:t>
          </w:r>
          <w:r>
            <w:fldChar w:fldCharType="end"/>
          </w:r>
          <w:r>
            <w:fldChar w:fldCharType="end"/>
          </w:r>
        </w:p>
        <w:p w14:paraId="0BB8F453">
          <w:pPr>
            <w:pStyle w:val="66"/>
            <w:rPr>
              <w:rFonts w:eastAsiaTheme="minorEastAsia"/>
            </w:rPr>
          </w:pPr>
          <w:r>
            <w:fldChar w:fldCharType="begin"/>
          </w:r>
          <w:r>
            <w:instrText xml:space="preserve"> HYPERLINK \l "_Toc182814093" </w:instrText>
          </w:r>
          <w:r>
            <w:fldChar w:fldCharType="separate"/>
          </w:r>
          <w:r>
            <w:rPr>
              <w:rStyle w:val="20"/>
              <w:color w:val="auto"/>
            </w:rPr>
            <w:t>15.3</w:t>
          </w:r>
          <w:r>
            <w:rPr>
              <w:rFonts w:eastAsiaTheme="minorEastAsia"/>
            </w:rPr>
            <w:tab/>
          </w:r>
          <w:r>
            <w:rPr>
              <w:rStyle w:val="20"/>
              <w:color w:val="auto"/>
            </w:rPr>
            <w:t>Основания, в том числе критерии, в соответствии с которыми теплоснабжающей организации присвоен статус единой теплоснабжающей организации</w:t>
          </w:r>
          <w:r>
            <w:tab/>
          </w:r>
          <w:r>
            <w:fldChar w:fldCharType="begin"/>
          </w:r>
          <w:r>
            <w:instrText xml:space="preserve"> PAGEREF _Toc182814093 \h </w:instrText>
          </w:r>
          <w:r>
            <w:fldChar w:fldCharType="separate"/>
          </w:r>
          <w:r>
            <w:t>159</w:t>
          </w:r>
          <w:r>
            <w:fldChar w:fldCharType="end"/>
          </w:r>
          <w:r>
            <w:fldChar w:fldCharType="end"/>
          </w:r>
        </w:p>
        <w:p w14:paraId="43F10785">
          <w:pPr>
            <w:pStyle w:val="66"/>
            <w:rPr>
              <w:rFonts w:eastAsiaTheme="minorEastAsia"/>
            </w:rPr>
          </w:pPr>
          <w:r>
            <w:fldChar w:fldCharType="begin"/>
          </w:r>
          <w:r>
            <w:instrText xml:space="preserve"> HYPERLINK \l "_Toc182814094" </w:instrText>
          </w:r>
          <w:r>
            <w:fldChar w:fldCharType="separate"/>
          </w:r>
          <w:r>
            <w:rPr>
              <w:rStyle w:val="20"/>
              <w:color w:val="auto"/>
            </w:rPr>
            <w:t>15.4</w:t>
          </w:r>
          <w:r>
            <w:rPr>
              <w:rFonts w:eastAsiaTheme="minorEastAsia"/>
            </w:rPr>
            <w:tab/>
          </w:r>
          <w:r>
            <w:rPr>
              <w:rStyle w:val="20"/>
              <w:color w:val="auto"/>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r>
          <w:r>
            <w:tab/>
          </w:r>
          <w:r>
            <w:fldChar w:fldCharType="begin"/>
          </w:r>
          <w:r>
            <w:instrText xml:space="preserve"> PAGEREF _Toc182814094 \h </w:instrText>
          </w:r>
          <w:r>
            <w:fldChar w:fldCharType="separate"/>
          </w:r>
          <w:r>
            <w:t>163</w:t>
          </w:r>
          <w:r>
            <w:fldChar w:fldCharType="end"/>
          </w:r>
          <w:r>
            <w:fldChar w:fldCharType="end"/>
          </w:r>
        </w:p>
        <w:p w14:paraId="32ACF70A">
          <w:pPr>
            <w:pStyle w:val="66"/>
            <w:rPr>
              <w:rFonts w:eastAsiaTheme="minorEastAsia"/>
            </w:rPr>
          </w:pPr>
          <w:r>
            <w:fldChar w:fldCharType="begin"/>
          </w:r>
          <w:r>
            <w:instrText xml:space="preserve"> HYPERLINK \l "_Toc182814095" </w:instrText>
          </w:r>
          <w:r>
            <w:fldChar w:fldCharType="separate"/>
          </w:r>
          <w:r>
            <w:rPr>
              <w:rStyle w:val="20"/>
              <w:color w:val="auto"/>
            </w:rPr>
            <w:t>15.5</w:t>
          </w:r>
          <w:r>
            <w:rPr>
              <w:rFonts w:eastAsiaTheme="minorEastAsia"/>
            </w:rPr>
            <w:tab/>
          </w:r>
          <w:r>
            <w:rPr>
              <w:rStyle w:val="20"/>
              <w:color w:val="auto"/>
            </w:rPr>
            <w:t>Описание границ зон деятельности единой теплоснабжающей организации (организаций)</w:t>
          </w:r>
          <w:r>
            <w:tab/>
          </w:r>
          <w:r>
            <w:fldChar w:fldCharType="begin"/>
          </w:r>
          <w:r>
            <w:instrText xml:space="preserve"> PAGEREF _Toc182814095 \h </w:instrText>
          </w:r>
          <w:r>
            <w:fldChar w:fldCharType="separate"/>
          </w:r>
          <w:r>
            <w:t>163</w:t>
          </w:r>
          <w:r>
            <w:fldChar w:fldCharType="end"/>
          </w:r>
          <w:r>
            <w:fldChar w:fldCharType="end"/>
          </w:r>
        </w:p>
        <w:p w14:paraId="67743194">
          <w:pPr>
            <w:pStyle w:val="66"/>
            <w:rPr>
              <w:rFonts w:eastAsiaTheme="minorEastAsia"/>
            </w:rPr>
          </w:pPr>
          <w:r>
            <w:fldChar w:fldCharType="begin"/>
          </w:r>
          <w:r>
            <w:instrText xml:space="preserve"> HYPERLINK \l "_Toc182814096" </w:instrText>
          </w:r>
          <w:r>
            <w:fldChar w:fldCharType="separate"/>
          </w:r>
          <w:r>
            <w:rPr>
              <w:rStyle w:val="20"/>
              <w:color w:val="auto"/>
            </w:rPr>
            <w:t>15.6</w:t>
          </w:r>
          <w:r>
            <w:rPr>
              <w:rFonts w:eastAsiaTheme="minorEastAsia"/>
            </w:rPr>
            <w:tab/>
          </w:r>
          <w:r>
            <w:rPr>
              <w:rStyle w:val="20"/>
              <w:color w:val="auto"/>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tab/>
          </w:r>
          <w:r>
            <w:fldChar w:fldCharType="begin"/>
          </w:r>
          <w:r>
            <w:instrText xml:space="preserve"> PAGEREF _Toc182814096 \h </w:instrText>
          </w:r>
          <w:r>
            <w:fldChar w:fldCharType="separate"/>
          </w:r>
          <w:r>
            <w:t>163</w:t>
          </w:r>
          <w:r>
            <w:fldChar w:fldCharType="end"/>
          </w:r>
          <w:r>
            <w:fldChar w:fldCharType="end"/>
          </w:r>
        </w:p>
        <w:p w14:paraId="0C5D7F15">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"_Toc182814097" </w:instrText>
          </w:r>
          <w:r>
            <w:fldChar w:fldCharType="separate"/>
          </w:r>
          <w:r>
            <w:rPr>
              <w:rStyle w:val="20"/>
              <w:rFonts w:ascii="Times New Roman" w:hAnsi="Times New Roman"/>
              <w:b w:val="0"/>
              <w:color w:val="auto"/>
            </w:rPr>
            <w:t>16</w:t>
          </w:r>
          <w:r>
            <w:rPr>
              <w:rFonts w:ascii="Times New Roman" w:hAnsi="Times New Roman" w:eastAsiaTheme="minorEastAsia"/>
              <w:b w:val="0"/>
              <w:bCs w:val="0"/>
              <w:caps w:val="0"/>
            </w:rPr>
            <w:tab/>
          </w:r>
          <w:r>
            <w:rPr>
              <w:rStyle w:val="20"/>
              <w:rFonts w:ascii="Times New Roman" w:hAnsi="Times New Roman"/>
              <w:b w:val="0"/>
              <w:color w:val="auto"/>
            </w:rPr>
            <w:t>Глава 16. Реестр мероприятий схемы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_Toc182814097 \h </w:instrText>
          </w:r>
          <w:r>
            <w:rPr>
              <w:rFonts w:ascii="Times New Roman" w:hAnsi="Times New Roman"/>
              <w:b w:val="0"/>
            </w:rPr>
            <w:fldChar w:fldCharType="separate"/>
          </w:r>
          <w:r>
            <w:rPr>
              <w:rFonts w:ascii="Times New Roman" w:hAnsi="Times New Roman"/>
              <w:b w:val="0"/>
            </w:rPr>
            <w:t>164</w:t>
          </w:r>
          <w:r>
            <w:rPr>
              <w:rFonts w:ascii="Times New Roman" w:hAnsi="Times New Roman"/>
              <w:b w:val="0"/>
            </w:rPr>
            <w:fldChar w:fldCharType="end"/>
          </w:r>
          <w:r>
            <w:rPr>
              <w:rFonts w:ascii="Times New Roman" w:hAnsi="Times New Roman"/>
              <w:b w:val="0"/>
            </w:rPr>
            <w:fldChar w:fldCharType="end"/>
          </w:r>
        </w:p>
        <w:p w14:paraId="1A8FE4C9">
          <w:pPr>
            <w:pStyle w:val="66"/>
            <w:rPr>
              <w:rFonts w:eastAsiaTheme="minorEastAsia"/>
            </w:rPr>
          </w:pPr>
          <w:r>
            <w:fldChar w:fldCharType="begin"/>
          </w:r>
          <w:r>
            <w:instrText xml:space="preserve"> HYPERLINK \l "_Toc182814098" </w:instrText>
          </w:r>
          <w:r>
            <w:fldChar w:fldCharType="separate"/>
          </w:r>
          <w:r>
            <w:rPr>
              <w:rStyle w:val="20"/>
              <w:color w:val="auto"/>
            </w:rPr>
            <w:t>16.1</w:t>
          </w:r>
          <w:r>
            <w:rPr>
              <w:rFonts w:eastAsiaTheme="minorEastAsia"/>
            </w:rPr>
            <w:tab/>
          </w:r>
          <w:r>
            <w:rPr>
              <w:rStyle w:val="20"/>
              <w:color w:val="auto"/>
            </w:rPr>
            <w:t>Перечень мероприятий по строительству, реконструкции, техническому перевооружению и (или) модернизации источников тепловой энергии</w:t>
          </w:r>
          <w:r>
            <w:tab/>
          </w:r>
          <w:r>
            <w:fldChar w:fldCharType="begin"/>
          </w:r>
          <w:r>
            <w:instrText xml:space="preserve"> PAGEREF _Toc182814098 \h </w:instrText>
          </w:r>
          <w:r>
            <w:fldChar w:fldCharType="separate"/>
          </w:r>
          <w:r>
            <w:t>164</w:t>
          </w:r>
          <w:r>
            <w:fldChar w:fldCharType="end"/>
          </w:r>
          <w:r>
            <w:fldChar w:fldCharType="end"/>
          </w:r>
        </w:p>
        <w:p w14:paraId="3FB61F39">
          <w:pPr>
            <w:pStyle w:val="66"/>
            <w:rPr>
              <w:rFonts w:eastAsiaTheme="minorEastAsia"/>
            </w:rPr>
          </w:pPr>
          <w:r>
            <w:fldChar w:fldCharType="begin"/>
          </w:r>
          <w:r>
            <w:instrText xml:space="preserve"> HYPERLINK \l "_Toc182814099" </w:instrText>
          </w:r>
          <w:r>
            <w:fldChar w:fldCharType="separate"/>
          </w:r>
          <w:r>
            <w:rPr>
              <w:rStyle w:val="20"/>
              <w:color w:val="auto"/>
            </w:rPr>
            <w:t>16.2</w:t>
          </w:r>
          <w:r>
            <w:rPr>
              <w:rFonts w:eastAsiaTheme="minorEastAsia"/>
            </w:rPr>
            <w:tab/>
          </w:r>
          <w:r>
            <w:rPr>
              <w:rStyle w:val="20"/>
              <w:color w:val="auto"/>
            </w:rPr>
            <w:t>Перечень мероприятий по строительству, реконструкции, техническому перевооружению и (или) модернизации тепловых сетей и сооружений на них</w:t>
          </w:r>
          <w:r>
            <w:tab/>
          </w:r>
          <w:r>
            <w:fldChar w:fldCharType="begin"/>
          </w:r>
          <w:r>
            <w:instrText xml:space="preserve"> PAGEREF _Toc182814099 \h </w:instrText>
          </w:r>
          <w:r>
            <w:fldChar w:fldCharType="separate"/>
          </w:r>
          <w:r>
            <w:t>168</w:t>
          </w:r>
          <w:r>
            <w:fldChar w:fldCharType="end"/>
          </w:r>
          <w:r>
            <w:fldChar w:fldCharType="end"/>
          </w:r>
        </w:p>
        <w:p w14:paraId="57927079">
          <w:pPr>
            <w:pStyle w:val="66"/>
            <w:rPr>
              <w:rFonts w:eastAsiaTheme="minorEastAsia"/>
            </w:rPr>
          </w:pPr>
          <w:r>
            <w:fldChar w:fldCharType="begin"/>
          </w:r>
          <w:r>
            <w:instrText xml:space="preserve"> HYPERLINK \l "_Toc182814100" </w:instrText>
          </w:r>
          <w:r>
            <w:fldChar w:fldCharType="separate"/>
          </w:r>
          <w:r>
            <w:rPr>
              <w:rStyle w:val="20"/>
              <w:color w:val="auto"/>
            </w:rPr>
            <w:t>16.3</w:t>
          </w:r>
          <w:r>
            <w:rPr>
              <w:rFonts w:eastAsiaTheme="minorEastAsia"/>
            </w:rPr>
            <w:tab/>
          </w:r>
          <w:r>
            <w:rPr>
              <w:rStyle w:val="20"/>
              <w:color w:val="auto"/>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_Toc182814100 \h </w:instrText>
          </w:r>
          <w:r>
            <w:fldChar w:fldCharType="separate"/>
          </w:r>
          <w:r>
            <w:t>168</w:t>
          </w:r>
          <w:r>
            <w:fldChar w:fldCharType="end"/>
          </w:r>
          <w:r>
            <w:fldChar w:fldCharType="end"/>
          </w:r>
        </w:p>
        <w:p w14:paraId="6CE05D1A">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"_Toc182814101" </w:instrText>
          </w:r>
          <w:r>
            <w:fldChar w:fldCharType="separate"/>
          </w:r>
          <w:r>
            <w:rPr>
              <w:rStyle w:val="20"/>
              <w:rFonts w:ascii="Times New Roman" w:hAnsi="Times New Roman"/>
              <w:b w:val="0"/>
              <w:color w:val="auto"/>
            </w:rPr>
            <w:t>17</w:t>
          </w:r>
          <w:r>
            <w:rPr>
              <w:rFonts w:ascii="Times New Roman" w:hAnsi="Times New Roman" w:eastAsiaTheme="minorEastAsia"/>
              <w:b w:val="0"/>
              <w:bCs w:val="0"/>
              <w:caps w:val="0"/>
            </w:rPr>
            <w:tab/>
          </w:r>
          <w:r>
            <w:rPr>
              <w:rStyle w:val="20"/>
              <w:rFonts w:ascii="Times New Roman" w:hAnsi="Times New Roman"/>
              <w:b w:val="0"/>
              <w:color w:val="auto"/>
            </w:rPr>
            <w:t>Глава 17. Замечания и предложения к проекту схемы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_Toc182814101 \h </w:instrText>
          </w:r>
          <w:r>
            <w:rPr>
              <w:rFonts w:ascii="Times New Roman" w:hAnsi="Times New Roman"/>
              <w:b w:val="0"/>
            </w:rPr>
            <w:fldChar w:fldCharType="separate"/>
          </w:r>
          <w:r>
            <w:rPr>
              <w:rFonts w:ascii="Times New Roman" w:hAnsi="Times New Roman"/>
              <w:b w:val="0"/>
            </w:rPr>
            <w:t>169</w:t>
          </w:r>
          <w:r>
            <w:rPr>
              <w:rFonts w:ascii="Times New Roman" w:hAnsi="Times New Roman"/>
              <w:b w:val="0"/>
            </w:rPr>
            <w:fldChar w:fldCharType="end"/>
          </w:r>
          <w:r>
            <w:rPr>
              <w:rFonts w:ascii="Times New Roman" w:hAnsi="Times New Roman"/>
              <w:b w:val="0"/>
            </w:rPr>
            <w:fldChar w:fldCharType="end"/>
          </w:r>
        </w:p>
        <w:p w14:paraId="018293FE">
          <w:pPr>
            <w:pStyle w:val="66"/>
            <w:rPr>
              <w:rFonts w:eastAsiaTheme="minorEastAsia"/>
            </w:rPr>
          </w:pPr>
          <w:r>
            <w:fldChar w:fldCharType="begin"/>
          </w:r>
          <w:r>
            <w:instrText xml:space="preserve"> HYPERLINK \l "_Toc182814102" </w:instrText>
          </w:r>
          <w:r>
            <w:fldChar w:fldCharType="separate"/>
          </w:r>
          <w:r>
            <w:rPr>
              <w:rStyle w:val="20"/>
              <w:color w:val="auto"/>
            </w:rPr>
            <w:t>17.1</w:t>
          </w:r>
          <w:r>
            <w:rPr>
              <w:rFonts w:eastAsiaTheme="minorEastAsia"/>
            </w:rPr>
            <w:tab/>
          </w:r>
          <w:r>
            <w:rPr>
              <w:rStyle w:val="20"/>
              <w:color w:val="auto"/>
            </w:rPr>
            <w:t>Перечень всех замечаний и предложений, поступивших при разработке, утверждении и актуализации схемы теплоснабжения</w:t>
          </w:r>
          <w:r>
            <w:tab/>
          </w:r>
          <w:r>
            <w:fldChar w:fldCharType="begin"/>
          </w:r>
          <w:r>
            <w:instrText xml:space="preserve"> PAGEREF _Toc182814102 \h </w:instrText>
          </w:r>
          <w:r>
            <w:fldChar w:fldCharType="separate"/>
          </w:r>
          <w:r>
            <w:t>169</w:t>
          </w:r>
          <w:r>
            <w:fldChar w:fldCharType="end"/>
          </w:r>
          <w:r>
            <w:fldChar w:fldCharType="end"/>
          </w:r>
        </w:p>
        <w:p w14:paraId="02280E30">
          <w:pPr>
            <w:pStyle w:val="66"/>
            <w:rPr>
              <w:rFonts w:eastAsiaTheme="minorEastAsia"/>
            </w:rPr>
          </w:pPr>
          <w:r>
            <w:fldChar w:fldCharType="begin"/>
          </w:r>
          <w:r>
            <w:instrText xml:space="preserve"> HYPERLINK \l "_Toc182814103" </w:instrText>
          </w:r>
          <w:r>
            <w:fldChar w:fldCharType="separate"/>
          </w:r>
          <w:r>
            <w:rPr>
              <w:rStyle w:val="20"/>
              <w:color w:val="auto"/>
            </w:rPr>
            <w:t>17.2</w:t>
          </w:r>
          <w:r>
            <w:rPr>
              <w:rFonts w:eastAsiaTheme="minorEastAsia"/>
            </w:rPr>
            <w:tab/>
          </w:r>
          <w:r>
            <w:rPr>
              <w:rStyle w:val="20"/>
              <w:color w:val="auto"/>
            </w:rPr>
            <w:t>Ответы разработчиков проекта схемы теплоснабжения на замечания и предложения</w:t>
          </w:r>
          <w:r>
            <w:tab/>
          </w:r>
          <w:r>
            <w:tab/>
          </w:r>
          <w:r>
            <w:fldChar w:fldCharType="begin"/>
          </w:r>
          <w:r>
            <w:instrText xml:space="preserve"> PAGEREF _Toc182814103 \h </w:instrText>
          </w:r>
          <w:r>
            <w:fldChar w:fldCharType="separate"/>
          </w:r>
          <w:r>
            <w:t>169</w:t>
          </w:r>
          <w:r>
            <w:fldChar w:fldCharType="end"/>
          </w:r>
          <w:r>
            <w:fldChar w:fldCharType="end"/>
          </w:r>
        </w:p>
        <w:p w14:paraId="300CEE71">
          <w:pPr>
            <w:pStyle w:val="66"/>
            <w:rPr>
              <w:rFonts w:eastAsiaTheme="minorEastAsia"/>
            </w:rPr>
          </w:pPr>
          <w:r>
            <w:fldChar w:fldCharType="begin"/>
          </w:r>
          <w:r>
            <w:instrText xml:space="preserve"> HYPERLINK \l "_Toc182814104" </w:instrText>
          </w:r>
          <w:r>
            <w:fldChar w:fldCharType="separate"/>
          </w:r>
          <w:r>
            <w:rPr>
              <w:rStyle w:val="20"/>
              <w:color w:val="auto"/>
            </w:rPr>
            <w:t>17.3</w:t>
          </w:r>
          <w:r>
            <w:rPr>
              <w:rFonts w:eastAsiaTheme="minorEastAsia"/>
            </w:rPr>
            <w:tab/>
          </w:r>
          <w:r>
            <w:rPr>
              <w:rStyle w:val="20"/>
              <w:color w:val="auto"/>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r>
          <w:r>
            <w:fldChar w:fldCharType="begin"/>
          </w:r>
          <w:r>
            <w:instrText xml:space="preserve"> PAGEREF _Toc182814104 \h </w:instrText>
          </w:r>
          <w:r>
            <w:fldChar w:fldCharType="separate"/>
          </w:r>
          <w:r>
            <w:t>169</w:t>
          </w:r>
          <w:r>
            <w:fldChar w:fldCharType="end"/>
          </w:r>
          <w:r>
            <w:fldChar w:fldCharType="end"/>
          </w:r>
        </w:p>
        <w:p w14:paraId="7E97C4A6">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"_Toc182814105" </w:instrText>
          </w:r>
          <w:r>
            <w:fldChar w:fldCharType="separate"/>
          </w:r>
          <w:r>
            <w:rPr>
              <w:rStyle w:val="20"/>
              <w:rFonts w:ascii="Times New Roman" w:hAnsi="Times New Roman"/>
              <w:b w:val="0"/>
              <w:color w:val="auto"/>
            </w:rPr>
            <w:t>18</w:t>
          </w:r>
          <w:r>
            <w:rPr>
              <w:rFonts w:ascii="Times New Roman" w:hAnsi="Times New Roman" w:eastAsiaTheme="minorEastAsia"/>
              <w:b w:val="0"/>
              <w:bCs w:val="0"/>
              <w:caps w:val="0"/>
            </w:rPr>
            <w:tab/>
          </w:r>
          <w:r>
            <w:rPr>
              <w:rStyle w:val="20"/>
              <w:rFonts w:ascii="Times New Roman" w:hAnsi="Times New Roman"/>
              <w:b w:val="0"/>
              <w:color w:val="auto"/>
            </w:rPr>
            <w:t>Глава 18. Сводный том изменений, выполненных в доработанной и (или) актуализированной схеме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_Toc182814105 \h </w:instrText>
          </w:r>
          <w:r>
            <w:rPr>
              <w:rFonts w:ascii="Times New Roman" w:hAnsi="Times New Roman"/>
              <w:b w:val="0"/>
            </w:rPr>
            <w:fldChar w:fldCharType="separate"/>
          </w:r>
          <w:r>
            <w:rPr>
              <w:rFonts w:ascii="Times New Roman" w:hAnsi="Times New Roman"/>
              <w:b w:val="0"/>
            </w:rPr>
            <w:t>170</w:t>
          </w:r>
          <w:r>
            <w:rPr>
              <w:rFonts w:ascii="Times New Roman" w:hAnsi="Times New Roman"/>
              <w:b w:val="0"/>
            </w:rPr>
            <w:fldChar w:fldCharType="end"/>
          </w:r>
          <w:r>
            <w:rPr>
              <w:rFonts w:ascii="Times New Roman" w:hAnsi="Times New Roman"/>
              <w:b w:val="0"/>
            </w:rPr>
            <w:fldChar w:fldCharType="end"/>
          </w:r>
        </w:p>
        <w:p w14:paraId="704E95CF">
          <w:pPr>
            <w:pStyle w:val="66"/>
            <w:rPr>
              <w:rFonts w:eastAsiaTheme="minorEastAsia"/>
            </w:rPr>
          </w:pPr>
          <w:r>
            <w:fldChar w:fldCharType="begin"/>
          </w:r>
          <w:r>
            <w:instrText xml:space="preserve"> HYPERLINK \l "_Toc182814106" </w:instrText>
          </w:r>
          <w:r>
            <w:fldChar w:fldCharType="separate"/>
          </w:r>
          <w:r>
            <w:rPr>
              <w:rStyle w:val="20"/>
              <w:color w:val="auto"/>
            </w:rPr>
            <w:t>18.1</w:t>
          </w:r>
          <w:r>
            <w:rPr>
              <w:rFonts w:eastAsiaTheme="minorEastAsia"/>
            </w:rPr>
            <w:tab/>
          </w:r>
          <w:r>
            <w:rPr>
              <w:rStyle w:val="20"/>
              <w:color w:val="auto"/>
            </w:rPr>
            <w:t>Реестр изменений, внесенных в доработанную и (или) актуализированную схему теплоснабжения</w:t>
          </w:r>
          <w:r>
            <w:tab/>
          </w:r>
          <w:r>
            <w:fldChar w:fldCharType="begin"/>
          </w:r>
          <w:r>
            <w:instrText xml:space="preserve"> PAGEREF _Toc182814106 \h </w:instrText>
          </w:r>
          <w:r>
            <w:fldChar w:fldCharType="separate"/>
          </w:r>
          <w:r>
            <w:t>170</w:t>
          </w:r>
          <w:r>
            <w:fldChar w:fldCharType="end"/>
          </w:r>
          <w:r>
            <w:fldChar w:fldCharType="end"/>
          </w:r>
        </w:p>
        <w:p w14:paraId="46B7D4E6">
          <w:pPr>
            <w:pStyle w:val="66"/>
            <w:rPr>
              <w:rFonts w:eastAsiaTheme="minorEastAsia"/>
            </w:rPr>
          </w:pPr>
          <w:r>
            <w:fldChar w:fldCharType="begin"/>
          </w:r>
          <w:r>
            <w:instrText xml:space="preserve"> HYPERLINK \l "_Toc182814107" </w:instrText>
          </w:r>
          <w:r>
            <w:fldChar w:fldCharType="separate"/>
          </w:r>
          <w:r>
            <w:rPr>
              <w:rStyle w:val="20"/>
              <w:color w:val="auto"/>
            </w:rPr>
            <w:t>18.2</w:t>
          </w:r>
          <w:r>
            <w:rPr>
              <w:rFonts w:eastAsiaTheme="minorEastAsia"/>
            </w:rPr>
            <w:tab/>
          </w:r>
          <w:r>
            <w:rPr>
              <w:rStyle w:val="20"/>
              <w:color w:val="auto"/>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tab/>
          </w:r>
          <w:r>
            <w:fldChar w:fldCharType="begin"/>
          </w:r>
          <w:r>
            <w:instrText xml:space="preserve"> PAGEREF _Toc182814107 \h </w:instrText>
          </w:r>
          <w:r>
            <w:fldChar w:fldCharType="separate"/>
          </w:r>
          <w:r>
            <w:t>171</w:t>
          </w:r>
          <w:r>
            <w:fldChar w:fldCharType="end"/>
          </w:r>
          <w:r>
            <w:fldChar w:fldCharType="end"/>
          </w:r>
        </w:p>
        <w:p w14:paraId="08B325DD">
          <w:pPr>
            <w:pStyle w:val="60"/>
            <w:tabs>
              <w:tab w:val="left" w:pos="426"/>
              <w:tab w:val="clear" w:pos="9356"/>
            </w:tabs>
            <w:rPr>
              <w:rFonts w:ascii="Times New Roman" w:hAnsi="Times New Roman" w:eastAsiaTheme="minorEastAsia"/>
              <w:b w:val="0"/>
              <w:bCs w:val="0"/>
              <w:caps w:val="0"/>
            </w:rPr>
          </w:pPr>
          <w:r>
            <w:fldChar w:fldCharType="begin"/>
          </w:r>
          <w:r>
            <w:instrText xml:space="preserve"> HYPERLINK \l "_Toc182814108" </w:instrText>
          </w:r>
          <w:r>
            <w:fldChar w:fldCharType="separate"/>
          </w:r>
          <w:r>
            <w:rPr>
              <w:rStyle w:val="20"/>
              <w:rFonts w:ascii="Times New Roman" w:hAnsi="Times New Roman"/>
              <w:b w:val="0"/>
              <w:color w:val="auto"/>
            </w:rPr>
            <w:t>19</w:t>
          </w:r>
          <w:r>
            <w:rPr>
              <w:rFonts w:ascii="Times New Roman" w:hAnsi="Times New Roman" w:eastAsiaTheme="minorEastAsia"/>
              <w:b w:val="0"/>
              <w:bCs w:val="0"/>
              <w:caps w:val="0"/>
            </w:rPr>
            <w:tab/>
          </w:r>
          <w:r>
            <w:rPr>
              <w:rStyle w:val="20"/>
              <w:rFonts w:ascii="Times New Roman" w:hAnsi="Times New Roman"/>
              <w:b w:val="0"/>
              <w:color w:val="auto"/>
            </w:rPr>
            <w:t>Глава 19. Оценка экологической безопасности теплоснабжения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_Toc182814108 \h </w:instrText>
          </w:r>
          <w:r>
            <w:rPr>
              <w:rFonts w:ascii="Times New Roman" w:hAnsi="Times New Roman"/>
              <w:b w:val="0"/>
            </w:rPr>
            <w:fldChar w:fldCharType="separate"/>
          </w:r>
          <w:r>
            <w:rPr>
              <w:rFonts w:ascii="Times New Roman" w:hAnsi="Times New Roman"/>
              <w:b w:val="0"/>
            </w:rPr>
            <w:t>172</w:t>
          </w:r>
          <w:r>
            <w:rPr>
              <w:rFonts w:ascii="Times New Roman" w:hAnsi="Times New Roman"/>
              <w:b w:val="0"/>
            </w:rPr>
            <w:fldChar w:fldCharType="end"/>
          </w:r>
          <w:r>
            <w:rPr>
              <w:rFonts w:ascii="Times New Roman" w:hAnsi="Times New Roman"/>
              <w:b w:val="0"/>
            </w:rPr>
            <w:fldChar w:fldCharType="end"/>
          </w:r>
        </w:p>
        <w:p w14:paraId="1958D5EA">
          <w:pPr>
            <w:pStyle w:val="66"/>
            <w:rPr>
              <w:rFonts w:eastAsiaTheme="minorEastAsia"/>
            </w:rPr>
          </w:pPr>
          <w:r>
            <w:fldChar w:fldCharType="begin"/>
          </w:r>
          <w:r>
            <w:instrText xml:space="preserve"> HYPERLINK \l "_Toc182814109" </w:instrText>
          </w:r>
          <w:r>
            <w:fldChar w:fldCharType="separate"/>
          </w:r>
          <w:r>
            <w:rPr>
              <w:rStyle w:val="20"/>
              <w:color w:val="auto"/>
            </w:rPr>
            <w:t>19.1</w:t>
          </w:r>
          <w:r>
            <w:rPr>
              <w:rFonts w:eastAsiaTheme="minorEastAsia"/>
            </w:rPr>
            <w:tab/>
          </w:r>
          <w:r>
            <w:rPr>
              <w:rStyle w:val="20"/>
              <w:color w:val="auto"/>
            </w:rPr>
            <w:t>Анализ воздействия энергоисточников на воздушный бассейн</w:t>
          </w:r>
          <w:r>
            <w:tab/>
          </w:r>
          <w:r>
            <w:fldChar w:fldCharType="begin"/>
          </w:r>
          <w:r>
            <w:instrText xml:space="preserve"> PAGEREF _Toc182814109 \h </w:instrText>
          </w:r>
          <w:r>
            <w:fldChar w:fldCharType="separate"/>
          </w:r>
          <w:r>
            <w:t>172</w:t>
          </w:r>
          <w:r>
            <w:fldChar w:fldCharType="end"/>
          </w:r>
          <w:r>
            <w:fldChar w:fldCharType="end"/>
          </w:r>
        </w:p>
        <w:p w14:paraId="44DC6A6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"_Toc182814110" </w:instrText>
          </w:r>
          <w:r>
            <w:fldChar w:fldCharType="separate"/>
          </w:r>
          <w:r>
            <w:rPr>
              <w:rStyle w:val="20"/>
              <w:rFonts w:ascii="Times New Roman" w:hAnsi="Times New Roman" w:cs="Times New Roman"/>
              <w:color w:val="auto"/>
              <w:sz w:val="24"/>
              <w:szCs w:val="24"/>
            </w:rPr>
            <w:t>19.1.1</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Краткая характеристика метеорологических условий и их влияния на рассеивание вредных веществ в атмосферу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_Toc182814110 \h </w:instrText>
          </w:r>
          <w:r>
            <w:rPr>
              <w:rFonts w:ascii="Times New Roman" w:hAnsi="Times New Roman" w:cs="Times New Roman"/>
              <w:sz w:val="24"/>
              <w:szCs w:val="24"/>
            </w:rPr>
            <w:fldChar w:fldCharType="separate"/>
          </w:r>
          <w:r>
            <w:rPr>
              <w:rFonts w:ascii="Times New Roman" w:hAnsi="Times New Roman" w:cs="Times New Roman"/>
              <w:sz w:val="24"/>
              <w:szCs w:val="24"/>
            </w:rPr>
            <w:t>172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25E41E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"_Toc182814111" </w:instrText>
          </w:r>
          <w:r>
            <w:fldChar w:fldCharType="separate"/>
          </w:r>
          <w:r>
            <w:rPr>
              <w:rStyle w:val="20"/>
              <w:rFonts w:ascii="Times New Roman" w:hAnsi="Times New Roman" w:cs="Times New Roman"/>
              <w:color w:val="auto"/>
              <w:sz w:val="24"/>
              <w:szCs w:val="24"/>
            </w:rPr>
            <w:t>19.1.2</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Качество атмосферного воздуха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_Toc182814111 \h </w:instrText>
          </w:r>
          <w:r>
            <w:rPr>
              <w:rFonts w:ascii="Times New Roman" w:hAnsi="Times New Roman" w:cs="Times New Roman"/>
              <w:sz w:val="24"/>
              <w:szCs w:val="24"/>
            </w:rPr>
            <w:fldChar w:fldCharType="separate"/>
          </w:r>
          <w:r>
            <w:rPr>
              <w:rFonts w:ascii="Times New Roman" w:hAnsi="Times New Roman" w:cs="Times New Roman"/>
              <w:sz w:val="24"/>
              <w:szCs w:val="24"/>
            </w:rPr>
            <w:t>172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F44BB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"_Toc182814112" </w:instrText>
          </w:r>
          <w:r>
            <w:fldChar w:fldCharType="separate"/>
          </w:r>
          <w:r>
            <w:rPr>
              <w:rStyle w:val="20"/>
              <w:rFonts w:ascii="Times New Roman" w:hAnsi="Times New Roman" w:cs="Times New Roman"/>
              <w:color w:val="auto"/>
              <w:sz w:val="24"/>
              <w:szCs w:val="24"/>
            </w:rPr>
            <w:t>19.1.3</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Краткая характеристика районов размещения основных источников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_Toc182814112 \h </w:instrText>
          </w:r>
          <w:r>
            <w:rPr>
              <w:rFonts w:ascii="Times New Roman" w:hAnsi="Times New Roman" w:cs="Times New Roman"/>
              <w:sz w:val="24"/>
              <w:szCs w:val="24"/>
            </w:rPr>
            <w:fldChar w:fldCharType="separate"/>
          </w:r>
          <w:r>
            <w:rPr>
              <w:rFonts w:ascii="Times New Roman" w:hAnsi="Times New Roman" w:cs="Times New Roman"/>
              <w:sz w:val="24"/>
              <w:szCs w:val="24"/>
            </w:rPr>
            <w:t>173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2CFA31D">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"_Toc182814113" </w:instrText>
          </w:r>
          <w:r>
            <w:fldChar w:fldCharType="separate"/>
          </w:r>
          <w:r>
            <w:rPr>
              <w:rStyle w:val="20"/>
              <w:rFonts w:ascii="Times New Roman" w:hAnsi="Times New Roman" w:cs="Times New Roman"/>
              <w:color w:val="auto"/>
              <w:sz w:val="24"/>
              <w:szCs w:val="24"/>
            </w:rPr>
            <w:t>19.1.4</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Характеристика оборудования источников тепловой энергии (мощности)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_Toc182814113 \h </w:instrText>
          </w:r>
          <w:r>
            <w:rPr>
              <w:rFonts w:ascii="Times New Roman" w:hAnsi="Times New Roman" w:cs="Times New Roman"/>
              <w:sz w:val="24"/>
              <w:szCs w:val="24"/>
            </w:rPr>
            <w:fldChar w:fldCharType="separate"/>
          </w:r>
          <w:r>
            <w:rPr>
              <w:rFonts w:ascii="Times New Roman" w:hAnsi="Times New Roman" w:cs="Times New Roman"/>
              <w:sz w:val="24"/>
              <w:szCs w:val="24"/>
            </w:rPr>
            <w:t>173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56769DA">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"_Toc182814114" </w:instrText>
          </w:r>
          <w:r>
            <w:fldChar w:fldCharType="separate"/>
          </w:r>
          <w:r>
            <w:rPr>
              <w:rStyle w:val="20"/>
              <w:rFonts w:ascii="Times New Roman" w:hAnsi="Times New Roman" w:cs="Times New Roman"/>
              <w:color w:val="auto"/>
              <w:sz w:val="24"/>
              <w:szCs w:val="24"/>
            </w:rPr>
            <w:t>19.1.5</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Выбросы вредных веществ в атмосферный воздух от дымовых труб источников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_Toc182814114 \h </w:instrText>
          </w:r>
          <w:r>
            <w:rPr>
              <w:rFonts w:ascii="Times New Roman" w:hAnsi="Times New Roman" w:cs="Times New Roman"/>
              <w:sz w:val="24"/>
              <w:szCs w:val="24"/>
            </w:rPr>
            <w:fldChar w:fldCharType="separate"/>
          </w:r>
          <w:r>
            <w:rPr>
              <w:rFonts w:ascii="Times New Roman" w:hAnsi="Times New Roman" w:cs="Times New Roman"/>
              <w:sz w:val="24"/>
              <w:szCs w:val="24"/>
            </w:rPr>
            <w:t>173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6D3E2C">
          <w:pPr>
            <w:pStyle w:val="65"/>
            <w:tabs>
              <w:tab w:val="left" w:pos="426"/>
              <w:tab w:val="right" w:leader="dot" w:pos="9639"/>
              <w:tab w:val="clear" w:pos="9638"/>
            </w:tabs>
            <w:rPr>
              <w:rFonts w:ascii="Times New Roman" w:hAnsi="Times New Roman" w:cs="Times New Roman" w:eastAsiaTheme="minorEastAsia"/>
              <w:sz w:val="24"/>
              <w:szCs w:val="24"/>
            </w:rPr>
          </w:pPr>
          <w:r>
            <w:fldChar w:fldCharType="begin"/>
          </w:r>
          <w:r>
            <w:instrText xml:space="preserve"> HYPERLINK \l "_Toc182814115" </w:instrText>
          </w:r>
          <w:r>
            <w:fldChar w:fldCharType="separate"/>
          </w:r>
          <w:r>
            <w:rPr>
              <w:rStyle w:val="20"/>
              <w:rFonts w:ascii="Times New Roman" w:hAnsi="Times New Roman" w:cs="Times New Roman"/>
              <w:color w:val="auto"/>
              <w:sz w:val="24"/>
              <w:szCs w:val="24"/>
            </w:rPr>
            <w:t>19.1.6</w:t>
          </w:r>
          <w:r>
            <w:rPr>
              <w:rFonts w:ascii="Times New Roman" w:hAnsi="Times New Roman" w:cs="Times New Roman" w:eastAsiaTheme="minorEastAsia"/>
              <w:sz w:val="24"/>
              <w:szCs w:val="24"/>
            </w:rPr>
            <w:tab/>
          </w:r>
          <w:r>
            <w:rPr>
              <w:rStyle w:val="20"/>
              <w:rFonts w:ascii="Times New Roman" w:hAnsi="Times New Roman" w:cs="Times New Roman"/>
              <w:color w:val="auto"/>
              <w:sz w:val="24"/>
              <w:szCs w:val="24"/>
            </w:rPr>
            <w:t>Определение концентраций вредных веществ в атмосферном воздухе от дымовых труб источников теплоснабжения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_Toc182814115 \h </w:instrText>
          </w:r>
          <w:r>
            <w:rPr>
              <w:rFonts w:ascii="Times New Roman" w:hAnsi="Times New Roman" w:cs="Times New Roman"/>
              <w:sz w:val="24"/>
              <w:szCs w:val="24"/>
            </w:rPr>
            <w:fldChar w:fldCharType="separate"/>
          </w:r>
          <w:r>
            <w:rPr>
              <w:rFonts w:ascii="Times New Roman" w:hAnsi="Times New Roman" w:cs="Times New Roman"/>
              <w:sz w:val="24"/>
              <w:szCs w:val="24"/>
            </w:rPr>
            <w:t>174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0F1EC7E">
          <w:pPr>
            <w:pStyle w:val="66"/>
            <w:rPr>
              <w:rFonts w:eastAsiaTheme="minorEastAsia"/>
            </w:rPr>
          </w:pPr>
          <w:r>
            <w:fldChar w:fldCharType="begin"/>
          </w:r>
          <w:r>
            <w:instrText xml:space="preserve"> HYPERLINK \l "_Toc182814116" </w:instrText>
          </w:r>
          <w:r>
            <w:fldChar w:fldCharType="separate"/>
          </w:r>
          <w:r>
            <w:rPr>
              <w:rStyle w:val="20"/>
              <w:color w:val="auto"/>
            </w:rPr>
            <w:t>19.2</w:t>
          </w:r>
          <w:r>
            <w:rPr>
              <w:rFonts w:eastAsiaTheme="minorEastAsia"/>
            </w:rPr>
            <w:tab/>
          </w:r>
          <w:r>
            <w:rPr>
              <w:rStyle w:val="20"/>
              <w:color w:val="auto"/>
            </w:rPr>
            <w:t>Результаты расчетов рассеивания загрязняющих веществ. Существующее состояние системы теплоснабжения</w:t>
          </w:r>
          <w:r>
            <w:tab/>
          </w:r>
          <w:r>
            <w:fldChar w:fldCharType="begin"/>
          </w:r>
          <w:r>
            <w:instrText xml:space="preserve"> PAGEREF _Toc182814116 \h </w:instrText>
          </w:r>
          <w:r>
            <w:fldChar w:fldCharType="separate"/>
          </w:r>
          <w:r>
            <w:t>174</w:t>
          </w:r>
          <w:r>
            <w:fldChar w:fldCharType="end"/>
          </w:r>
          <w:r>
            <w:fldChar w:fldCharType="end"/>
          </w:r>
        </w:p>
        <w:p w14:paraId="4E8CEE69">
          <w:pPr>
            <w:pStyle w:val="219"/>
            <w:tabs>
              <w:tab w:val="left" w:pos="426"/>
              <w:tab w:val="right" w:leader="dot" w:pos="9639"/>
            </w:tabs>
            <w:spacing w:before="0" w:line="240" w:lineRule="auto"/>
            <w:jc w:val="both"/>
            <w:rPr>
              <w:color w:val="auto"/>
              <w:sz w:val="24"/>
              <w:szCs w:val="24"/>
            </w:rPr>
          </w:pPr>
          <w:r>
            <w:rPr>
              <w:rFonts w:ascii="Times New Roman" w:hAnsi="Times New Roman"/>
              <w:b w:val="0"/>
              <w:caps/>
              <w:color w:val="auto"/>
              <w:sz w:val="24"/>
              <w:szCs w:val="24"/>
            </w:rPr>
            <w:fldChar w:fldCharType="end"/>
          </w:r>
        </w:p>
      </w:sdtContent>
    </w:sdt>
    <w:p w14:paraId="1C47F91D">
      <w:pPr>
        <w:spacing w:after="0" w:line="240" w:lineRule="auto"/>
        <w:ind w:firstLine="0"/>
        <w:contextualSpacing/>
        <w:jc w:val="both"/>
        <w:rPr>
          <w:sz w:val="24"/>
          <w:szCs w:val="24"/>
        </w:rPr>
      </w:pPr>
    </w:p>
    <w:p w14:paraId="1BEC931A">
      <w:pPr>
        <w:pageBreakBefore/>
        <w:tabs>
          <w:tab w:val="left" w:pos="426"/>
          <w:tab w:val="left" w:pos="567"/>
          <w:tab w:val="left" w:pos="709"/>
          <w:tab w:val="left" w:pos="6315"/>
          <w:tab w:val="right" w:leader="dot" w:pos="9638"/>
        </w:tabs>
        <w:spacing w:after="0" w:line="240" w:lineRule="auto"/>
        <w:ind w:firstLine="0"/>
        <w:contextualSpacing/>
        <w:jc w:val="center"/>
        <w:outlineLvl w:val="0"/>
        <w:rPr>
          <w:bCs/>
          <w:sz w:val="24"/>
          <w:szCs w:val="24"/>
        </w:rPr>
      </w:pPr>
      <w:bookmarkStart w:id="8" w:name="_Toc521691592"/>
      <w:bookmarkStart w:id="9" w:name="_Toc28125194"/>
      <w:bookmarkStart w:id="10" w:name="_Toc182813854"/>
      <w:r>
        <w:rPr>
          <w:bCs/>
          <w:sz w:val="24"/>
          <w:szCs w:val="24"/>
        </w:rPr>
        <w:t>О</w:t>
      </w:r>
      <w:bookmarkEnd w:id="8"/>
      <w:bookmarkEnd w:id="9"/>
      <w:r>
        <w:rPr>
          <w:bCs/>
          <w:sz w:val="24"/>
          <w:szCs w:val="24"/>
        </w:rPr>
        <w:t>пределения</w:t>
      </w:r>
      <w:bookmarkEnd w:id="10"/>
    </w:p>
    <w:p w14:paraId="19BEB55D">
      <w:pPr>
        <w:pStyle w:val="404"/>
        <w:spacing w:line="240" w:lineRule="auto"/>
        <w:contextualSpacing/>
        <w:rPr>
          <w:rFonts w:cs="Times New Roman"/>
          <w:sz w:val="24"/>
          <w:szCs w:val="24"/>
        </w:rPr>
      </w:pPr>
    </w:p>
    <w:p w14:paraId="3D335836">
      <w:pPr>
        <w:spacing w:after="0" w:line="240" w:lineRule="auto"/>
        <w:contextualSpacing/>
        <w:jc w:val="both"/>
        <w:rPr>
          <w:sz w:val="24"/>
          <w:szCs w:val="24"/>
        </w:rPr>
      </w:pPr>
      <w:r>
        <w:rPr>
          <w:spacing w:val="-4"/>
          <w:sz w:val="24"/>
          <w:szCs w:val="24"/>
        </w:rPr>
        <w:t>Термины и их определения, применяемые в настоящей работе, представлены в таблице</w:t>
      </w:r>
      <w:r>
        <w:rPr>
          <w:sz w:val="24"/>
          <w:szCs w:val="24"/>
        </w:rPr>
        <w:t xml:space="preserve"> 1.</w:t>
      </w:r>
    </w:p>
    <w:p w14:paraId="6791FC6D">
      <w:pPr>
        <w:spacing w:after="0" w:line="240" w:lineRule="auto"/>
        <w:contextualSpacing/>
        <w:jc w:val="both"/>
        <w:rPr>
          <w:sz w:val="24"/>
          <w:szCs w:val="24"/>
        </w:rPr>
      </w:pPr>
    </w:p>
    <w:p w14:paraId="539AC327">
      <w:pPr>
        <w:keepNext/>
        <w:spacing w:after="0" w:line="240" w:lineRule="auto"/>
        <w:ind w:firstLine="0"/>
        <w:contextualSpacing/>
        <w:jc w:val="both"/>
        <w:rPr>
          <w:bCs/>
          <w:sz w:val="24"/>
          <w:szCs w:val="24"/>
        </w:rPr>
      </w:pPr>
      <w:bookmarkStart w:id="11" w:name="_Toc28125448"/>
      <w:bookmarkStart w:id="12" w:name="_Toc521608056"/>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w:t>
      </w:r>
      <w:r>
        <w:rPr>
          <w:bCs/>
          <w:sz w:val="24"/>
          <w:szCs w:val="24"/>
        </w:rPr>
        <w:fldChar w:fldCharType="end"/>
      </w:r>
      <w:r>
        <w:rPr>
          <w:bCs/>
          <w:sz w:val="24"/>
          <w:szCs w:val="24"/>
        </w:rPr>
        <w:t xml:space="preserve"> – Термины и определения</w:t>
      </w:r>
      <w:bookmarkEnd w:id="11"/>
      <w:bookmarkEnd w:id="12"/>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78"/>
        <w:gridCol w:w="7217"/>
      </w:tblGrid>
      <w:tr w14:paraId="0726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278" w:type="pct"/>
            <w:shd w:val="clear" w:color="auto" w:fill="auto"/>
            <w:vAlign w:val="center"/>
          </w:tcPr>
          <w:p w14:paraId="26D2175A">
            <w:pPr>
              <w:spacing w:after="0" w:line="240" w:lineRule="auto"/>
              <w:ind w:firstLine="0"/>
              <w:contextualSpacing/>
              <w:jc w:val="center"/>
              <w:rPr>
                <w:bCs/>
                <w:sz w:val="20"/>
                <w:szCs w:val="20"/>
              </w:rPr>
            </w:pPr>
            <w:r>
              <w:rPr>
                <w:bCs/>
                <w:sz w:val="20"/>
                <w:szCs w:val="20"/>
              </w:rPr>
              <w:t>Термины</w:t>
            </w:r>
          </w:p>
        </w:tc>
        <w:tc>
          <w:tcPr>
            <w:tcW w:w="3722" w:type="pct"/>
            <w:shd w:val="clear" w:color="auto" w:fill="auto"/>
            <w:vAlign w:val="center"/>
          </w:tcPr>
          <w:p w14:paraId="593EE53F">
            <w:pPr>
              <w:spacing w:after="0" w:line="240" w:lineRule="auto"/>
              <w:ind w:firstLine="0"/>
              <w:contextualSpacing/>
              <w:jc w:val="center"/>
              <w:rPr>
                <w:bCs/>
                <w:sz w:val="20"/>
                <w:szCs w:val="20"/>
              </w:rPr>
            </w:pPr>
            <w:r>
              <w:rPr>
                <w:bCs/>
                <w:sz w:val="20"/>
                <w:szCs w:val="20"/>
              </w:rPr>
              <w:t>Определения</w:t>
            </w:r>
          </w:p>
        </w:tc>
      </w:tr>
      <w:tr w14:paraId="51BB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74E85AF6">
            <w:pPr>
              <w:spacing w:after="0" w:line="240" w:lineRule="auto"/>
              <w:ind w:firstLine="0"/>
              <w:contextualSpacing/>
              <w:rPr>
                <w:sz w:val="20"/>
                <w:szCs w:val="20"/>
              </w:rPr>
            </w:pPr>
            <w:r>
              <w:rPr>
                <w:sz w:val="20"/>
                <w:szCs w:val="20"/>
              </w:rPr>
              <w:t>Теплоснабжение</w:t>
            </w:r>
          </w:p>
        </w:tc>
        <w:tc>
          <w:tcPr>
            <w:tcW w:w="3722" w:type="pct"/>
            <w:shd w:val="clear" w:color="auto" w:fill="auto"/>
            <w:vAlign w:val="center"/>
          </w:tcPr>
          <w:p w14:paraId="2E3A4EA5">
            <w:pPr>
              <w:spacing w:after="0" w:line="240" w:lineRule="auto"/>
              <w:ind w:firstLine="0"/>
              <w:contextualSpacing/>
              <w:rPr>
                <w:sz w:val="20"/>
                <w:szCs w:val="20"/>
              </w:rPr>
            </w:pPr>
            <w:r>
              <w:rPr>
                <w:sz w:val="20"/>
                <w:szCs w:val="20"/>
              </w:rPr>
              <w:t>Обеспечение потребителей тепловой энергии тепловой энергией, теплоносителем, в том числе поддержание мощности</w:t>
            </w:r>
          </w:p>
        </w:tc>
      </w:tr>
      <w:tr w14:paraId="35EF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789193CE">
            <w:pPr>
              <w:spacing w:after="0" w:line="240" w:lineRule="auto"/>
              <w:ind w:firstLine="0"/>
              <w:contextualSpacing/>
              <w:rPr>
                <w:sz w:val="20"/>
                <w:szCs w:val="20"/>
              </w:rPr>
            </w:pPr>
            <w:r>
              <w:rPr>
                <w:sz w:val="20"/>
                <w:szCs w:val="20"/>
              </w:rPr>
              <w:t>Схема теплоснабжения</w:t>
            </w:r>
          </w:p>
        </w:tc>
        <w:tc>
          <w:tcPr>
            <w:tcW w:w="3722" w:type="pct"/>
            <w:shd w:val="clear" w:color="auto" w:fill="auto"/>
            <w:vAlign w:val="center"/>
          </w:tcPr>
          <w:p w14:paraId="70433B6D">
            <w:pPr>
              <w:spacing w:after="0" w:line="240" w:lineRule="auto"/>
              <w:ind w:firstLine="0"/>
              <w:contextualSpacing/>
              <w:rPr>
                <w:sz w:val="20"/>
                <w:szCs w:val="20"/>
              </w:rPr>
            </w:pPr>
            <w:r>
              <w:rPr>
                <w:sz w:val="20"/>
                <w:szCs w:val="20"/>
              </w:rPr>
              <w:t>Документ, содержащий предпроектные материалы по обоснованию эффективного и безопасного функционирования системы теплоснабжения, её развития с учётом правового регулирования в области энергосбережения и повышения энергетической эффективности</w:t>
            </w:r>
          </w:p>
        </w:tc>
      </w:tr>
      <w:tr w14:paraId="142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0AD4A63">
            <w:pPr>
              <w:spacing w:after="0" w:line="240" w:lineRule="auto"/>
              <w:ind w:firstLine="0"/>
              <w:contextualSpacing/>
              <w:rPr>
                <w:sz w:val="20"/>
                <w:szCs w:val="20"/>
              </w:rPr>
            </w:pPr>
            <w:r>
              <w:rPr>
                <w:sz w:val="20"/>
                <w:szCs w:val="20"/>
              </w:rPr>
              <w:t>Источник тепловой энергии</w:t>
            </w:r>
          </w:p>
        </w:tc>
        <w:tc>
          <w:tcPr>
            <w:tcW w:w="3722" w:type="pct"/>
            <w:shd w:val="clear" w:color="auto" w:fill="auto"/>
            <w:vAlign w:val="center"/>
          </w:tcPr>
          <w:p w14:paraId="3C30211B">
            <w:pPr>
              <w:spacing w:after="0" w:line="240" w:lineRule="auto"/>
              <w:ind w:firstLine="0"/>
              <w:contextualSpacing/>
              <w:rPr>
                <w:sz w:val="20"/>
                <w:szCs w:val="20"/>
              </w:rPr>
            </w:pPr>
            <w:r>
              <w:rPr>
                <w:sz w:val="20"/>
                <w:szCs w:val="20"/>
              </w:rPr>
              <w:t>Устройство, предназначенное для производства тепловой энергии</w:t>
            </w:r>
          </w:p>
        </w:tc>
      </w:tr>
      <w:tr w14:paraId="5257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4511987E">
            <w:pPr>
              <w:spacing w:after="0" w:line="240" w:lineRule="auto"/>
              <w:ind w:firstLine="0"/>
              <w:contextualSpacing/>
              <w:rPr>
                <w:sz w:val="20"/>
                <w:szCs w:val="20"/>
              </w:rPr>
            </w:pPr>
            <w:r>
              <w:rPr>
                <w:sz w:val="20"/>
                <w:szCs w:val="20"/>
              </w:rPr>
              <w:t>Базовый режим работы источника тепловой энергии</w:t>
            </w:r>
          </w:p>
        </w:tc>
        <w:tc>
          <w:tcPr>
            <w:tcW w:w="3722" w:type="pct"/>
            <w:shd w:val="clear" w:color="auto" w:fill="auto"/>
            <w:vAlign w:val="center"/>
          </w:tcPr>
          <w:p w14:paraId="78BD360B">
            <w:pPr>
              <w:spacing w:after="0" w:line="240" w:lineRule="auto"/>
              <w:ind w:firstLine="0"/>
              <w:contextualSpacing/>
              <w:rPr>
                <w:sz w:val="20"/>
                <w:szCs w:val="20"/>
              </w:rPr>
            </w:pPr>
            <w:r>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14:paraId="5CCF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054C487">
            <w:pPr>
              <w:spacing w:after="0" w:line="240" w:lineRule="auto"/>
              <w:ind w:firstLine="0"/>
              <w:contextualSpacing/>
              <w:rPr>
                <w:sz w:val="20"/>
                <w:szCs w:val="20"/>
              </w:rPr>
            </w:pPr>
            <w:r>
              <w:rPr>
                <w:sz w:val="20"/>
                <w:szCs w:val="20"/>
              </w:rPr>
              <w:t>Пиковый режим работы источника тепловой энергии</w:t>
            </w:r>
          </w:p>
        </w:tc>
        <w:tc>
          <w:tcPr>
            <w:tcW w:w="3722" w:type="pct"/>
            <w:shd w:val="clear" w:color="auto" w:fill="auto"/>
            <w:vAlign w:val="center"/>
          </w:tcPr>
          <w:p w14:paraId="353F5BF5">
            <w:pPr>
              <w:spacing w:after="0" w:line="240" w:lineRule="auto"/>
              <w:ind w:firstLine="0"/>
              <w:contextualSpacing/>
              <w:rPr>
                <w:sz w:val="20"/>
                <w:szCs w:val="20"/>
              </w:rPr>
            </w:pPr>
            <w:r>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14:paraId="57F5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A70746C">
            <w:pPr>
              <w:spacing w:after="0" w:line="240" w:lineRule="auto"/>
              <w:ind w:firstLine="0"/>
              <w:contextualSpacing/>
              <w:rPr>
                <w:sz w:val="20"/>
                <w:szCs w:val="20"/>
              </w:rPr>
            </w:pPr>
            <w:r>
              <w:rPr>
                <w:sz w:val="20"/>
                <w:szCs w:val="20"/>
              </w:rPr>
              <w:t>Единая теплоснабжающая организация в системе теплоснабжения (далее –единая теплоснабжающая организация)</w:t>
            </w:r>
          </w:p>
        </w:tc>
        <w:tc>
          <w:tcPr>
            <w:tcW w:w="3722" w:type="pct"/>
            <w:shd w:val="clear" w:color="auto" w:fill="auto"/>
            <w:vAlign w:val="center"/>
          </w:tcPr>
          <w:p w14:paraId="7DDBEE19">
            <w:pPr>
              <w:spacing w:after="0" w:line="240" w:lineRule="auto"/>
              <w:ind w:firstLine="0"/>
              <w:contextualSpacing/>
              <w:rPr>
                <w:sz w:val="20"/>
                <w:szCs w:val="20"/>
              </w:rPr>
            </w:pPr>
            <w:r>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tc>
      </w:tr>
      <w:tr w14:paraId="2231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2265F2E4">
            <w:pPr>
              <w:spacing w:after="0" w:line="240" w:lineRule="auto"/>
              <w:ind w:firstLine="0"/>
              <w:contextualSpacing/>
              <w:rPr>
                <w:sz w:val="20"/>
                <w:szCs w:val="20"/>
              </w:rPr>
            </w:pPr>
            <w:r>
              <w:rPr>
                <w:sz w:val="20"/>
                <w:szCs w:val="20"/>
              </w:rPr>
              <w:t>Радиус эффективного теплоснабжения</w:t>
            </w:r>
          </w:p>
        </w:tc>
        <w:tc>
          <w:tcPr>
            <w:tcW w:w="3722" w:type="pct"/>
            <w:shd w:val="clear" w:color="auto" w:fill="auto"/>
            <w:vAlign w:val="center"/>
          </w:tcPr>
          <w:p w14:paraId="7B88BE08">
            <w:pPr>
              <w:spacing w:after="0" w:line="240" w:lineRule="auto"/>
              <w:ind w:firstLine="0"/>
              <w:contextualSpacing/>
              <w:rPr>
                <w:sz w:val="20"/>
                <w:szCs w:val="20"/>
              </w:rPr>
            </w:pPr>
            <w:r>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14:paraId="4DE5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3C2F731F">
            <w:pPr>
              <w:spacing w:after="0" w:line="240" w:lineRule="auto"/>
              <w:ind w:firstLine="0"/>
              <w:contextualSpacing/>
              <w:rPr>
                <w:sz w:val="20"/>
                <w:szCs w:val="20"/>
              </w:rPr>
            </w:pPr>
            <w:r>
              <w:rPr>
                <w:sz w:val="20"/>
                <w:szCs w:val="20"/>
              </w:rPr>
              <w:t>Тепловая сеть</w:t>
            </w:r>
          </w:p>
        </w:tc>
        <w:tc>
          <w:tcPr>
            <w:tcW w:w="3722" w:type="pct"/>
            <w:shd w:val="clear" w:color="auto" w:fill="auto"/>
            <w:vAlign w:val="center"/>
          </w:tcPr>
          <w:p w14:paraId="7B9D70BF">
            <w:pPr>
              <w:spacing w:after="0" w:line="240" w:lineRule="auto"/>
              <w:ind w:firstLine="0"/>
              <w:contextualSpacing/>
              <w:rPr>
                <w:sz w:val="20"/>
                <w:szCs w:val="20"/>
              </w:rPr>
            </w:pPr>
            <w:r>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14:paraId="53EA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7374612A">
            <w:pPr>
              <w:spacing w:after="0" w:line="240" w:lineRule="auto"/>
              <w:ind w:firstLine="0"/>
              <w:contextualSpacing/>
              <w:rPr>
                <w:sz w:val="20"/>
                <w:szCs w:val="20"/>
              </w:rPr>
            </w:pPr>
            <w:r>
              <w:rPr>
                <w:sz w:val="20"/>
                <w:szCs w:val="20"/>
              </w:rPr>
              <w:t>Тепловая мощность (далее - мощность)</w:t>
            </w:r>
          </w:p>
        </w:tc>
        <w:tc>
          <w:tcPr>
            <w:tcW w:w="3722" w:type="pct"/>
            <w:shd w:val="clear" w:color="auto" w:fill="auto"/>
            <w:vAlign w:val="center"/>
          </w:tcPr>
          <w:p w14:paraId="6963FCF8">
            <w:pPr>
              <w:spacing w:after="0" w:line="240" w:lineRule="auto"/>
              <w:ind w:firstLine="0"/>
              <w:contextualSpacing/>
              <w:rPr>
                <w:sz w:val="20"/>
                <w:szCs w:val="20"/>
              </w:rPr>
            </w:pPr>
            <w:r>
              <w:rPr>
                <w:sz w:val="20"/>
                <w:szCs w:val="20"/>
              </w:rPr>
              <w:t>Количество тепловой энергии, которое может быть произведено и (или) передано по тепловым сетям за единицу времени</w:t>
            </w:r>
          </w:p>
        </w:tc>
      </w:tr>
      <w:tr w14:paraId="26D2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DA407F5">
            <w:pPr>
              <w:spacing w:after="0" w:line="240" w:lineRule="auto"/>
              <w:ind w:firstLine="0"/>
              <w:contextualSpacing/>
              <w:rPr>
                <w:sz w:val="20"/>
                <w:szCs w:val="20"/>
              </w:rPr>
            </w:pPr>
            <w:r>
              <w:rPr>
                <w:sz w:val="20"/>
                <w:szCs w:val="20"/>
              </w:rPr>
              <w:t>Тепловая нагрузка</w:t>
            </w:r>
          </w:p>
        </w:tc>
        <w:tc>
          <w:tcPr>
            <w:tcW w:w="3722" w:type="pct"/>
            <w:shd w:val="clear" w:color="auto" w:fill="auto"/>
            <w:vAlign w:val="center"/>
          </w:tcPr>
          <w:p w14:paraId="535EFCA3">
            <w:pPr>
              <w:spacing w:after="0" w:line="240" w:lineRule="auto"/>
              <w:ind w:firstLine="0"/>
              <w:contextualSpacing/>
              <w:rPr>
                <w:sz w:val="20"/>
                <w:szCs w:val="20"/>
              </w:rPr>
            </w:pPr>
            <w:r>
              <w:rPr>
                <w:sz w:val="20"/>
                <w:szCs w:val="20"/>
              </w:rPr>
              <w:t>Количество тепловой энергии, которое может быть принято потребителем тепловой энергии за единицу времени</w:t>
            </w:r>
          </w:p>
        </w:tc>
      </w:tr>
      <w:tr w14:paraId="18F2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0C5779E5">
            <w:pPr>
              <w:spacing w:after="0" w:line="240" w:lineRule="auto"/>
              <w:ind w:firstLine="0"/>
              <w:contextualSpacing/>
              <w:rPr>
                <w:sz w:val="20"/>
                <w:szCs w:val="20"/>
              </w:rPr>
            </w:pPr>
            <w:r>
              <w:rPr>
                <w:sz w:val="20"/>
                <w:szCs w:val="20"/>
              </w:rPr>
              <w:t>Потребитель тепловой энергии (далее потребитель)</w:t>
            </w:r>
          </w:p>
        </w:tc>
        <w:tc>
          <w:tcPr>
            <w:tcW w:w="3722" w:type="pct"/>
            <w:shd w:val="clear" w:color="auto" w:fill="auto"/>
            <w:vAlign w:val="center"/>
          </w:tcPr>
          <w:p w14:paraId="0CEB013D">
            <w:pPr>
              <w:spacing w:after="0" w:line="240" w:lineRule="auto"/>
              <w:ind w:firstLine="0"/>
              <w:contextualSpacing/>
              <w:rPr>
                <w:sz w:val="20"/>
                <w:szCs w:val="20"/>
              </w:rPr>
            </w:pPr>
            <w:r>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14:paraId="594B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7D421D1A">
            <w:pPr>
              <w:spacing w:after="0" w:line="240" w:lineRule="auto"/>
              <w:ind w:firstLine="0"/>
              <w:contextualSpacing/>
              <w:rPr>
                <w:sz w:val="20"/>
                <w:szCs w:val="20"/>
              </w:rPr>
            </w:pPr>
            <w:r>
              <w:rPr>
                <w:sz w:val="20"/>
                <w:szCs w:val="20"/>
              </w:rPr>
              <w:t>Теплопотребляющая</w:t>
            </w:r>
            <w:r>
              <w:rPr>
                <w:sz w:val="20"/>
                <w:szCs w:val="20"/>
                <w:lang w:val="en-US"/>
              </w:rPr>
              <w:t xml:space="preserve"> </w:t>
            </w:r>
            <w:r>
              <w:rPr>
                <w:sz w:val="20"/>
                <w:szCs w:val="20"/>
              </w:rPr>
              <w:t>установка</w:t>
            </w:r>
          </w:p>
        </w:tc>
        <w:tc>
          <w:tcPr>
            <w:tcW w:w="3722" w:type="pct"/>
            <w:shd w:val="clear" w:color="auto" w:fill="auto"/>
            <w:vAlign w:val="center"/>
          </w:tcPr>
          <w:p w14:paraId="0F5C2620">
            <w:pPr>
              <w:spacing w:after="0" w:line="240" w:lineRule="auto"/>
              <w:ind w:firstLine="0"/>
              <w:contextualSpacing/>
              <w:rPr>
                <w:sz w:val="20"/>
                <w:szCs w:val="20"/>
              </w:rPr>
            </w:pPr>
            <w:r>
              <w:rPr>
                <w:sz w:val="20"/>
                <w:szCs w:val="20"/>
              </w:rPr>
              <w:t>Устройство, предназначенное для использования тепловой энергии, теплоносителя для нужд потребителя тепловой энергии</w:t>
            </w:r>
          </w:p>
        </w:tc>
      </w:tr>
      <w:tr w14:paraId="4149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45206E68">
            <w:pPr>
              <w:spacing w:after="0" w:line="240" w:lineRule="auto"/>
              <w:ind w:firstLine="0"/>
              <w:contextualSpacing/>
              <w:rPr>
                <w:sz w:val="20"/>
                <w:szCs w:val="20"/>
              </w:rPr>
            </w:pPr>
            <w:r>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shd w:val="clear" w:color="auto" w:fill="auto"/>
            <w:vAlign w:val="center"/>
          </w:tcPr>
          <w:p w14:paraId="067C74A5">
            <w:pPr>
              <w:spacing w:after="0" w:line="240" w:lineRule="auto"/>
              <w:ind w:firstLine="0"/>
              <w:contextualSpacing/>
              <w:rPr>
                <w:sz w:val="20"/>
                <w:szCs w:val="20"/>
              </w:rPr>
            </w:pPr>
            <w:r>
              <w:rPr>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надёжности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14:paraId="6077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30AF5A81">
            <w:pPr>
              <w:spacing w:after="0" w:line="240" w:lineRule="auto"/>
              <w:ind w:firstLine="0"/>
              <w:contextualSpacing/>
              <w:rPr>
                <w:sz w:val="20"/>
                <w:szCs w:val="20"/>
              </w:rPr>
            </w:pPr>
            <w:r>
              <w:rPr>
                <w:sz w:val="20"/>
                <w:szCs w:val="20"/>
              </w:rPr>
              <w:t>Теплоснабжающая организация</w:t>
            </w:r>
          </w:p>
        </w:tc>
        <w:tc>
          <w:tcPr>
            <w:tcW w:w="3722" w:type="pct"/>
            <w:shd w:val="clear" w:color="auto" w:fill="auto"/>
            <w:vAlign w:val="center"/>
          </w:tcPr>
          <w:p w14:paraId="2D043D68">
            <w:pPr>
              <w:spacing w:after="0" w:line="240" w:lineRule="auto"/>
              <w:ind w:firstLine="0"/>
              <w:contextualSpacing/>
              <w:rPr>
                <w:sz w:val="20"/>
                <w:szCs w:val="20"/>
              </w:rPr>
            </w:pPr>
            <w:r>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14:paraId="170E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656E17F">
            <w:pPr>
              <w:spacing w:after="0" w:line="240" w:lineRule="auto"/>
              <w:ind w:firstLine="0"/>
              <w:contextualSpacing/>
              <w:rPr>
                <w:sz w:val="20"/>
                <w:szCs w:val="20"/>
              </w:rPr>
            </w:pPr>
            <w:r>
              <w:rPr>
                <w:sz w:val="20"/>
                <w:szCs w:val="20"/>
              </w:rPr>
              <w:t>Теплосетевая организация</w:t>
            </w:r>
          </w:p>
        </w:tc>
        <w:tc>
          <w:tcPr>
            <w:tcW w:w="3722" w:type="pct"/>
            <w:shd w:val="clear" w:color="auto" w:fill="auto"/>
            <w:vAlign w:val="center"/>
          </w:tcPr>
          <w:p w14:paraId="1F189A8C">
            <w:pPr>
              <w:spacing w:after="0" w:line="240" w:lineRule="auto"/>
              <w:ind w:firstLine="0"/>
              <w:contextualSpacing/>
              <w:rPr>
                <w:sz w:val="20"/>
                <w:szCs w:val="20"/>
              </w:rPr>
            </w:pPr>
            <w:r>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14:paraId="31F9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3FA0F653">
            <w:pPr>
              <w:spacing w:after="0" w:line="240" w:lineRule="auto"/>
              <w:ind w:firstLine="0"/>
              <w:contextualSpacing/>
              <w:rPr>
                <w:sz w:val="20"/>
                <w:szCs w:val="20"/>
              </w:rPr>
            </w:pPr>
            <w:r>
              <w:rPr>
                <w:sz w:val="20"/>
                <w:szCs w:val="20"/>
              </w:rPr>
              <w:t>Надёжность теплоснабжения</w:t>
            </w:r>
          </w:p>
        </w:tc>
        <w:tc>
          <w:tcPr>
            <w:tcW w:w="3722" w:type="pct"/>
            <w:shd w:val="clear" w:color="auto" w:fill="auto"/>
            <w:vAlign w:val="center"/>
          </w:tcPr>
          <w:p w14:paraId="3959979E">
            <w:pPr>
              <w:spacing w:after="0" w:line="240" w:lineRule="auto"/>
              <w:ind w:firstLine="0"/>
              <w:contextualSpacing/>
              <w:rPr>
                <w:sz w:val="20"/>
                <w:szCs w:val="20"/>
              </w:rPr>
            </w:pPr>
            <w:r>
              <w:rPr>
                <w:sz w:val="20"/>
                <w:szCs w:val="20"/>
              </w:rPr>
              <w:t>Характеристика состояния системы теплоснабжения, при котором обеспечиваются качество и безопасность теплоснабжения</w:t>
            </w:r>
          </w:p>
        </w:tc>
      </w:tr>
      <w:tr w14:paraId="6DBC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1428F3FB">
            <w:pPr>
              <w:spacing w:after="0" w:line="240" w:lineRule="auto"/>
              <w:ind w:firstLine="0"/>
              <w:contextualSpacing/>
              <w:rPr>
                <w:sz w:val="20"/>
                <w:szCs w:val="20"/>
              </w:rPr>
            </w:pPr>
            <w:r>
              <w:rPr>
                <w:sz w:val="20"/>
                <w:szCs w:val="20"/>
              </w:rPr>
              <w:t>Живучесть</w:t>
            </w:r>
          </w:p>
        </w:tc>
        <w:tc>
          <w:tcPr>
            <w:tcW w:w="3722" w:type="pct"/>
            <w:shd w:val="clear" w:color="auto" w:fill="auto"/>
            <w:vAlign w:val="center"/>
          </w:tcPr>
          <w:p w14:paraId="0D5C28DE">
            <w:pPr>
              <w:spacing w:after="0" w:line="240" w:lineRule="auto"/>
              <w:ind w:firstLine="0"/>
              <w:contextualSpacing/>
              <w:rPr>
                <w:sz w:val="20"/>
                <w:szCs w:val="20"/>
              </w:rPr>
            </w:pPr>
            <w:r>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14:paraId="6B8E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4F96650">
            <w:pPr>
              <w:spacing w:after="0" w:line="240" w:lineRule="auto"/>
              <w:ind w:firstLine="0"/>
              <w:contextualSpacing/>
              <w:rPr>
                <w:sz w:val="20"/>
                <w:szCs w:val="20"/>
              </w:rPr>
            </w:pPr>
            <w:r>
              <w:rPr>
                <w:sz w:val="20"/>
                <w:szCs w:val="20"/>
              </w:rPr>
              <w:t>Зона действия системы теплоснабжения</w:t>
            </w:r>
          </w:p>
        </w:tc>
        <w:tc>
          <w:tcPr>
            <w:tcW w:w="3722" w:type="pct"/>
            <w:shd w:val="clear" w:color="auto" w:fill="auto"/>
            <w:vAlign w:val="center"/>
          </w:tcPr>
          <w:p w14:paraId="2AA6E0C8">
            <w:pPr>
              <w:spacing w:after="0" w:line="240" w:lineRule="auto"/>
              <w:ind w:firstLine="0"/>
              <w:contextualSpacing/>
              <w:rPr>
                <w:sz w:val="20"/>
                <w:szCs w:val="20"/>
              </w:rPr>
            </w:pPr>
            <w:r>
              <w:rPr>
                <w:sz w:val="20"/>
                <w:szCs w:val="20"/>
              </w:rPr>
              <w:t>Территория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14:paraId="6C39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1A9F8A09">
            <w:pPr>
              <w:spacing w:after="0" w:line="240" w:lineRule="auto"/>
              <w:ind w:firstLine="0"/>
              <w:contextualSpacing/>
              <w:rPr>
                <w:sz w:val="20"/>
                <w:szCs w:val="20"/>
              </w:rPr>
            </w:pPr>
            <w:r>
              <w:rPr>
                <w:sz w:val="20"/>
                <w:szCs w:val="20"/>
              </w:rPr>
              <w:t>Зона действия источника тепловой энергии</w:t>
            </w:r>
          </w:p>
        </w:tc>
        <w:tc>
          <w:tcPr>
            <w:tcW w:w="3722" w:type="pct"/>
            <w:shd w:val="clear" w:color="auto" w:fill="auto"/>
            <w:vAlign w:val="center"/>
          </w:tcPr>
          <w:p w14:paraId="1A669813">
            <w:pPr>
              <w:spacing w:after="0" w:line="240" w:lineRule="auto"/>
              <w:ind w:firstLine="0"/>
              <w:contextualSpacing/>
              <w:rPr>
                <w:sz w:val="20"/>
                <w:szCs w:val="20"/>
              </w:rPr>
            </w:pPr>
            <w:r>
              <w:rPr>
                <w:sz w:val="20"/>
                <w:szCs w:val="20"/>
              </w:rPr>
              <w:t>Территория городского округа или её часть, границы которой устанавливаются закрытыми секционирующими задвижками тепловой сети системы теплоснабжения</w:t>
            </w:r>
          </w:p>
        </w:tc>
      </w:tr>
      <w:tr w14:paraId="57AC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2FB6C878">
            <w:pPr>
              <w:spacing w:after="0" w:line="240" w:lineRule="auto"/>
              <w:ind w:firstLine="0"/>
              <w:contextualSpacing/>
              <w:rPr>
                <w:sz w:val="20"/>
                <w:szCs w:val="20"/>
              </w:rPr>
            </w:pPr>
            <w:r>
              <w:rPr>
                <w:sz w:val="20"/>
                <w:szCs w:val="20"/>
              </w:rPr>
              <w:t>Установленная мощность источника тепловой энергии</w:t>
            </w:r>
          </w:p>
        </w:tc>
        <w:tc>
          <w:tcPr>
            <w:tcW w:w="3722" w:type="pct"/>
            <w:shd w:val="clear" w:color="auto" w:fill="auto"/>
            <w:vAlign w:val="center"/>
          </w:tcPr>
          <w:p w14:paraId="2E71C7C5">
            <w:pPr>
              <w:spacing w:after="0" w:line="240" w:lineRule="auto"/>
              <w:ind w:firstLine="0"/>
              <w:contextualSpacing/>
              <w:rPr>
                <w:sz w:val="20"/>
                <w:szCs w:val="20"/>
              </w:rPr>
            </w:pPr>
            <w:r>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14:paraId="75EA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53A933C1">
            <w:pPr>
              <w:spacing w:after="0" w:line="240" w:lineRule="auto"/>
              <w:ind w:firstLine="0"/>
              <w:contextualSpacing/>
              <w:rPr>
                <w:sz w:val="20"/>
                <w:szCs w:val="20"/>
              </w:rPr>
            </w:pPr>
            <w:r>
              <w:rPr>
                <w:sz w:val="20"/>
                <w:szCs w:val="20"/>
              </w:rPr>
              <w:t>Располагаемая мощность источника тепловой энергии</w:t>
            </w:r>
          </w:p>
        </w:tc>
        <w:tc>
          <w:tcPr>
            <w:tcW w:w="3722" w:type="pct"/>
            <w:shd w:val="clear" w:color="auto" w:fill="auto"/>
            <w:vAlign w:val="center"/>
          </w:tcPr>
          <w:p w14:paraId="6C85ADA8">
            <w:pPr>
              <w:spacing w:after="0" w:line="240" w:lineRule="auto"/>
              <w:ind w:firstLine="0"/>
              <w:contextualSpacing/>
              <w:rPr>
                <w:sz w:val="20"/>
                <w:szCs w:val="20"/>
              </w:rPr>
            </w:pPr>
            <w:r>
              <w:rPr>
                <w:sz w:val="20"/>
                <w:szCs w:val="20"/>
              </w:rPr>
              <w:t>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14:paraId="02D7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548B072F">
            <w:pPr>
              <w:spacing w:after="0" w:line="240" w:lineRule="auto"/>
              <w:ind w:firstLine="0"/>
              <w:contextualSpacing/>
              <w:rPr>
                <w:sz w:val="20"/>
                <w:szCs w:val="20"/>
              </w:rPr>
            </w:pPr>
            <w:r>
              <w:rPr>
                <w:sz w:val="20"/>
                <w:szCs w:val="20"/>
              </w:rPr>
              <w:t>Мощность источника тепловой энергии нетто</w:t>
            </w:r>
          </w:p>
        </w:tc>
        <w:tc>
          <w:tcPr>
            <w:tcW w:w="3722" w:type="pct"/>
            <w:shd w:val="clear" w:color="auto" w:fill="auto"/>
            <w:vAlign w:val="center"/>
          </w:tcPr>
          <w:p w14:paraId="5FDED3E4">
            <w:pPr>
              <w:spacing w:after="0" w:line="240" w:lineRule="auto"/>
              <w:ind w:firstLine="0"/>
              <w:contextualSpacing/>
              <w:rPr>
                <w:sz w:val="20"/>
                <w:szCs w:val="20"/>
              </w:rPr>
            </w:pPr>
            <w:r>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14:paraId="4AA2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B24B0CA">
            <w:pPr>
              <w:spacing w:after="0" w:line="240" w:lineRule="auto"/>
              <w:ind w:firstLine="0"/>
              <w:contextualSpacing/>
              <w:rPr>
                <w:sz w:val="20"/>
                <w:szCs w:val="20"/>
              </w:rPr>
            </w:pPr>
            <w:r>
              <w:rPr>
                <w:sz w:val="20"/>
                <w:szCs w:val="20"/>
              </w:rPr>
              <w:t>Топливно-энергетический баланс</w:t>
            </w:r>
          </w:p>
        </w:tc>
        <w:tc>
          <w:tcPr>
            <w:tcW w:w="3722" w:type="pct"/>
            <w:shd w:val="clear" w:color="auto" w:fill="auto"/>
            <w:vAlign w:val="center"/>
          </w:tcPr>
          <w:p w14:paraId="0F818637">
            <w:pPr>
              <w:spacing w:after="0" w:line="240" w:lineRule="auto"/>
              <w:ind w:firstLine="0"/>
              <w:contextualSpacing/>
              <w:rPr>
                <w:sz w:val="20"/>
                <w:szCs w:val="20"/>
              </w:rPr>
            </w:pPr>
            <w:r>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14:paraId="0BC9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69AA66CA">
            <w:pPr>
              <w:spacing w:after="0" w:line="240" w:lineRule="auto"/>
              <w:ind w:firstLine="0"/>
              <w:contextualSpacing/>
              <w:rPr>
                <w:sz w:val="20"/>
                <w:szCs w:val="20"/>
              </w:rPr>
            </w:pPr>
            <w:r>
              <w:rPr>
                <w:sz w:val="20"/>
                <w:szCs w:val="20"/>
              </w:rPr>
              <w:t>Комбинированная выработка электрической и тепловой энергии</w:t>
            </w:r>
          </w:p>
        </w:tc>
        <w:tc>
          <w:tcPr>
            <w:tcW w:w="3722" w:type="pct"/>
            <w:shd w:val="clear" w:color="auto" w:fill="auto"/>
            <w:vAlign w:val="center"/>
          </w:tcPr>
          <w:p w14:paraId="055A6D74">
            <w:pPr>
              <w:spacing w:after="0" w:line="240" w:lineRule="auto"/>
              <w:ind w:firstLine="0"/>
              <w:contextualSpacing/>
              <w:rPr>
                <w:sz w:val="20"/>
                <w:szCs w:val="20"/>
              </w:rPr>
            </w:pPr>
            <w:r>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14:paraId="009C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1B64CF27">
            <w:pPr>
              <w:spacing w:after="0" w:line="240" w:lineRule="auto"/>
              <w:ind w:firstLine="0"/>
              <w:contextualSpacing/>
              <w:rPr>
                <w:sz w:val="20"/>
                <w:szCs w:val="20"/>
              </w:rPr>
            </w:pPr>
            <w:r>
              <w:rPr>
                <w:sz w:val="20"/>
                <w:szCs w:val="20"/>
              </w:rPr>
              <w:t>Теплосетевые объекты</w:t>
            </w:r>
          </w:p>
        </w:tc>
        <w:tc>
          <w:tcPr>
            <w:tcW w:w="3722" w:type="pct"/>
            <w:shd w:val="clear" w:color="auto" w:fill="auto"/>
            <w:vAlign w:val="center"/>
          </w:tcPr>
          <w:p w14:paraId="34DEBCB9">
            <w:pPr>
              <w:spacing w:after="0" w:line="240" w:lineRule="auto"/>
              <w:ind w:firstLine="0"/>
              <w:contextualSpacing/>
              <w:rPr>
                <w:sz w:val="20"/>
                <w:szCs w:val="20"/>
              </w:rPr>
            </w:pPr>
            <w:r>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14:paraId="7EBF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8" w:type="pct"/>
            <w:shd w:val="clear" w:color="auto" w:fill="auto"/>
            <w:vAlign w:val="center"/>
          </w:tcPr>
          <w:p w14:paraId="13F1C0F3">
            <w:pPr>
              <w:spacing w:after="0" w:line="240" w:lineRule="auto"/>
              <w:ind w:firstLine="0"/>
              <w:contextualSpacing/>
              <w:rPr>
                <w:sz w:val="20"/>
                <w:szCs w:val="20"/>
              </w:rPr>
            </w:pPr>
            <w:r>
              <w:rPr>
                <w:sz w:val="20"/>
                <w:szCs w:val="20"/>
              </w:rPr>
              <w:t>Расчётный элемент территориального деления</w:t>
            </w:r>
          </w:p>
        </w:tc>
        <w:tc>
          <w:tcPr>
            <w:tcW w:w="3722" w:type="pct"/>
            <w:shd w:val="clear" w:color="auto" w:fill="auto"/>
            <w:vAlign w:val="center"/>
          </w:tcPr>
          <w:p w14:paraId="736A5575">
            <w:pPr>
              <w:spacing w:after="0" w:line="240" w:lineRule="auto"/>
              <w:ind w:firstLine="0"/>
              <w:contextualSpacing/>
              <w:rPr>
                <w:sz w:val="20"/>
                <w:szCs w:val="20"/>
              </w:rPr>
            </w:pPr>
            <w:r>
              <w:rPr>
                <w:sz w:val="20"/>
                <w:szCs w:val="20"/>
              </w:rPr>
              <w:t>Территория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tc>
      </w:tr>
    </w:tbl>
    <w:p w14:paraId="2C2EC3E1">
      <w:pPr>
        <w:spacing w:after="0" w:line="240" w:lineRule="auto"/>
        <w:contextualSpacing/>
        <w:jc w:val="both"/>
        <w:rPr>
          <w:sz w:val="24"/>
          <w:szCs w:val="24"/>
        </w:rPr>
      </w:pPr>
      <w:bookmarkStart w:id="13" w:name="_Toc521691593"/>
    </w:p>
    <w:p w14:paraId="08840232">
      <w:pPr>
        <w:spacing w:after="0" w:line="240" w:lineRule="auto"/>
        <w:contextualSpacing/>
        <w:jc w:val="both"/>
        <w:rPr>
          <w:sz w:val="24"/>
          <w:szCs w:val="24"/>
        </w:rPr>
      </w:pPr>
    </w:p>
    <w:p w14:paraId="5A376152">
      <w:pPr>
        <w:keepNext/>
        <w:keepLines/>
        <w:pageBreakBefore/>
        <w:spacing w:after="0" w:line="240" w:lineRule="auto"/>
        <w:ind w:firstLine="0"/>
        <w:contextualSpacing/>
        <w:jc w:val="center"/>
        <w:outlineLvl w:val="0"/>
        <w:rPr>
          <w:bCs/>
          <w:sz w:val="24"/>
          <w:szCs w:val="24"/>
        </w:rPr>
      </w:pPr>
      <w:bookmarkStart w:id="14" w:name="_Toc40373903"/>
      <w:bookmarkStart w:id="15" w:name="_Toc182813855"/>
      <w:r>
        <w:rPr>
          <w:bCs/>
          <w:sz w:val="24"/>
          <w:szCs w:val="24"/>
        </w:rPr>
        <w:t>Список сокращений</w:t>
      </w:r>
      <w:bookmarkEnd w:id="14"/>
      <w:bookmarkEnd w:id="15"/>
    </w:p>
    <w:p w14:paraId="751EE506">
      <w:pPr>
        <w:keepNext/>
        <w:keepLines/>
        <w:spacing w:after="0" w:line="240" w:lineRule="auto"/>
        <w:contextualSpacing/>
        <w:rPr>
          <w:bCs/>
          <w:sz w:val="24"/>
          <w:szCs w:val="24"/>
        </w:rPr>
      </w:pPr>
    </w:p>
    <w:p w14:paraId="2A4A3684">
      <w:pPr>
        <w:keepNext/>
        <w:keepLines/>
        <w:spacing w:after="0" w:line="240" w:lineRule="auto"/>
        <w:contextualSpacing/>
        <w:rPr>
          <w:bCs/>
          <w:sz w:val="24"/>
          <w:szCs w:val="24"/>
        </w:rPr>
      </w:pPr>
      <w:r>
        <w:rPr>
          <w:bCs/>
          <w:sz w:val="24"/>
          <w:szCs w:val="24"/>
        </w:rPr>
        <w:t>ЕТО – единая теплоснабжающая организация</w:t>
      </w:r>
    </w:p>
    <w:p w14:paraId="226B75D0">
      <w:pPr>
        <w:keepNext/>
        <w:keepLines/>
        <w:spacing w:after="0" w:line="240" w:lineRule="auto"/>
        <w:contextualSpacing/>
        <w:rPr>
          <w:bCs/>
          <w:sz w:val="24"/>
          <w:szCs w:val="24"/>
        </w:rPr>
      </w:pPr>
      <w:r>
        <w:rPr>
          <w:bCs/>
          <w:sz w:val="24"/>
          <w:szCs w:val="24"/>
        </w:rPr>
        <w:t>СЦТ – система централизованного теплоснабжения</w:t>
      </w:r>
    </w:p>
    <w:p w14:paraId="259F005D">
      <w:pPr>
        <w:keepNext/>
        <w:keepLines/>
        <w:spacing w:after="0" w:line="240" w:lineRule="auto"/>
        <w:contextualSpacing/>
        <w:rPr>
          <w:bCs/>
          <w:sz w:val="24"/>
          <w:szCs w:val="24"/>
        </w:rPr>
      </w:pPr>
      <w:r>
        <w:rPr>
          <w:bCs/>
          <w:sz w:val="24"/>
          <w:szCs w:val="24"/>
        </w:rPr>
        <w:t>ОЭТС – организация, эксплуатирующая тепловые сети</w:t>
      </w:r>
    </w:p>
    <w:p w14:paraId="7524887D">
      <w:pPr>
        <w:keepNext/>
        <w:keepLines/>
        <w:spacing w:after="0" w:line="240" w:lineRule="auto"/>
        <w:contextualSpacing/>
        <w:rPr>
          <w:bCs/>
          <w:sz w:val="24"/>
          <w:szCs w:val="24"/>
        </w:rPr>
      </w:pPr>
      <w:r>
        <w:rPr>
          <w:bCs/>
          <w:sz w:val="24"/>
          <w:szCs w:val="24"/>
        </w:rPr>
        <w:t>НТД – нормативно-техническая документация</w:t>
      </w:r>
    </w:p>
    <w:p w14:paraId="346F48B0">
      <w:pPr>
        <w:keepNext/>
        <w:keepLines/>
        <w:spacing w:after="0" w:line="240" w:lineRule="auto"/>
        <w:contextualSpacing/>
        <w:rPr>
          <w:bCs/>
          <w:sz w:val="24"/>
          <w:szCs w:val="24"/>
        </w:rPr>
      </w:pPr>
      <w:r>
        <w:rPr>
          <w:bCs/>
          <w:sz w:val="24"/>
          <w:szCs w:val="24"/>
        </w:rPr>
        <w:t>МКД – многоквартирные дома</w:t>
      </w:r>
    </w:p>
    <w:p w14:paraId="02F63663">
      <w:pPr>
        <w:keepNext/>
        <w:keepLines/>
        <w:spacing w:after="0" w:line="240" w:lineRule="auto"/>
        <w:contextualSpacing/>
        <w:rPr>
          <w:bCs/>
          <w:sz w:val="24"/>
          <w:szCs w:val="24"/>
        </w:rPr>
      </w:pPr>
      <w:r>
        <w:rPr>
          <w:bCs/>
          <w:sz w:val="24"/>
          <w:szCs w:val="24"/>
        </w:rPr>
        <w:t>ОДПУ – общедомовые приборы учёта</w:t>
      </w:r>
    </w:p>
    <w:p w14:paraId="6E6F995C">
      <w:pPr>
        <w:keepNext/>
        <w:keepLines/>
        <w:spacing w:after="0" w:line="240" w:lineRule="auto"/>
        <w:contextualSpacing/>
        <w:rPr>
          <w:bCs/>
          <w:sz w:val="24"/>
          <w:szCs w:val="24"/>
        </w:rPr>
      </w:pPr>
      <w:r>
        <w:rPr>
          <w:bCs/>
          <w:sz w:val="24"/>
          <w:szCs w:val="24"/>
        </w:rPr>
        <w:t>ВПУ – водоподготовительная установка</w:t>
      </w:r>
    </w:p>
    <w:p w14:paraId="2572E3BC">
      <w:pPr>
        <w:keepNext/>
        <w:keepLines/>
        <w:spacing w:after="0" w:line="240" w:lineRule="auto"/>
        <w:contextualSpacing/>
        <w:rPr>
          <w:bCs/>
          <w:sz w:val="24"/>
          <w:szCs w:val="24"/>
        </w:rPr>
      </w:pPr>
      <w:r>
        <w:rPr>
          <w:bCs/>
          <w:sz w:val="24"/>
          <w:szCs w:val="24"/>
        </w:rPr>
        <w:t>ЗРА – запорно-распределительная арматура</w:t>
      </w:r>
    </w:p>
    <w:p w14:paraId="71C0DD9E">
      <w:pPr>
        <w:keepNext/>
        <w:keepLines/>
        <w:spacing w:after="0" w:line="240" w:lineRule="auto"/>
        <w:contextualSpacing/>
        <w:rPr>
          <w:bCs/>
          <w:sz w:val="24"/>
          <w:szCs w:val="24"/>
        </w:rPr>
      </w:pPr>
      <w:r>
        <w:rPr>
          <w:bCs/>
          <w:sz w:val="24"/>
          <w:szCs w:val="24"/>
        </w:rPr>
        <w:t>ВБР – время безотказной работы</w:t>
      </w:r>
    </w:p>
    <w:p w14:paraId="44B47836">
      <w:pPr>
        <w:keepNext/>
        <w:keepLines/>
        <w:spacing w:after="0" w:line="240" w:lineRule="auto"/>
        <w:contextualSpacing/>
        <w:rPr>
          <w:bCs/>
          <w:sz w:val="24"/>
          <w:szCs w:val="24"/>
        </w:rPr>
      </w:pPr>
      <w:r>
        <w:rPr>
          <w:bCs/>
          <w:sz w:val="24"/>
          <w:szCs w:val="24"/>
        </w:rPr>
        <w:t>МЭР – министерство экономического развития России</w:t>
      </w:r>
    </w:p>
    <w:p w14:paraId="02E3DDFD">
      <w:pPr>
        <w:keepNext/>
        <w:keepLines/>
        <w:spacing w:after="0" w:line="240" w:lineRule="auto"/>
        <w:contextualSpacing/>
        <w:rPr>
          <w:bCs/>
          <w:sz w:val="24"/>
          <w:szCs w:val="24"/>
        </w:rPr>
      </w:pPr>
      <w:r>
        <w:rPr>
          <w:bCs/>
          <w:sz w:val="24"/>
          <w:szCs w:val="24"/>
        </w:rPr>
        <w:t>ЭОТ – экономически обоснованный тариф</w:t>
      </w:r>
    </w:p>
    <w:p w14:paraId="20CCB379">
      <w:pPr>
        <w:keepNext/>
        <w:keepLines/>
        <w:spacing w:after="0" w:line="240" w:lineRule="auto"/>
        <w:contextualSpacing/>
        <w:rPr>
          <w:bCs/>
          <w:sz w:val="24"/>
          <w:szCs w:val="24"/>
        </w:rPr>
      </w:pPr>
      <w:r>
        <w:rPr>
          <w:bCs/>
          <w:sz w:val="24"/>
          <w:szCs w:val="24"/>
        </w:rPr>
        <w:t>ОПФ – основные производственные фонды</w:t>
      </w:r>
    </w:p>
    <w:p w14:paraId="00A7E88F">
      <w:pPr>
        <w:keepNext/>
        <w:keepLines/>
        <w:spacing w:after="0" w:line="240" w:lineRule="auto"/>
        <w:contextualSpacing/>
        <w:rPr>
          <w:bCs/>
          <w:sz w:val="24"/>
          <w:szCs w:val="24"/>
        </w:rPr>
      </w:pPr>
      <w:r>
        <w:rPr>
          <w:bCs/>
          <w:sz w:val="24"/>
          <w:szCs w:val="24"/>
        </w:rPr>
        <w:t>САРЗ – средства авторегулирования и защиты</w:t>
      </w:r>
    </w:p>
    <w:p w14:paraId="2B2519BD">
      <w:pPr>
        <w:keepNext/>
        <w:keepLines/>
        <w:spacing w:after="0" w:line="240" w:lineRule="auto"/>
        <w:contextualSpacing/>
        <w:rPr>
          <w:bCs/>
          <w:sz w:val="24"/>
          <w:szCs w:val="24"/>
        </w:rPr>
      </w:pPr>
      <w:r>
        <w:rPr>
          <w:bCs/>
          <w:sz w:val="24"/>
          <w:szCs w:val="24"/>
        </w:rPr>
        <w:t>ЦТП – центральный тепловой пункт</w:t>
      </w:r>
    </w:p>
    <w:p w14:paraId="0355211E">
      <w:pPr>
        <w:keepNext/>
        <w:keepLines/>
        <w:spacing w:after="0" w:line="240" w:lineRule="auto"/>
        <w:contextualSpacing/>
        <w:rPr>
          <w:bCs/>
          <w:sz w:val="24"/>
          <w:szCs w:val="24"/>
        </w:rPr>
      </w:pPr>
      <w:r>
        <w:rPr>
          <w:bCs/>
          <w:sz w:val="24"/>
          <w:szCs w:val="24"/>
        </w:rPr>
        <w:t>ТСО – теплоснабжающая организация</w:t>
      </w:r>
    </w:p>
    <w:p w14:paraId="023630E9">
      <w:pPr>
        <w:keepNext/>
        <w:keepLines/>
        <w:spacing w:after="0" w:line="240" w:lineRule="auto"/>
        <w:contextualSpacing/>
        <w:rPr>
          <w:bCs/>
          <w:sz w:val="24"/>
          <w:szCs w:val="24"/>
        </w:rPr>
      </w:pPr>
      <w:r>
        <w:rPr>
          <w:bCs/>
          <w:sz w:val="24"/>
          <w:szCs w:val="24"/>
        </w:rPr>
        <w:t>ИПЦ – индекс потребительских цен</w:t>
      </w:r>
    </w:p>
    <w:p w14:paraId="28E81BCC">
      <w:pPr>
        <w:keepNext/>
        <w:keepLines/>
        <w:spacing w:after="0" w:line="240" w:lineRule="auto"/>
        <w:contextualSpacing/>
        <w:rPr>
          <w:bCs/>
          <w:sz w:val="24"/>
          <w:szCs w:val="24"/>
        </w:rPr>
      </w:pPr>
      <w:r>
        <w:rPr>
          <w:bCs/>
          <w:sz w:val="24"/>
          <w:szCs w:val="24"/>
        </w:rPr>
        <w:t>ПП РФ – постановление Правительства Российской Федерации</w:t>
      </w:r>
    </w:p>
    <w:p w14:paraId="7D605232">
      <w:pPr>
        <w:keepNext/>
        <w:keepLines/>
        <w:spacing w:after="0" w:line="240" w:lineRule="auto"/>
        <w:contextualSpacing/>
        <w:rPr>
          <w:bCs/>
          <w:sz w:val="24"/>
          <w:szCs w:val="24"/>
        </w:rPr>
      </w:pPr>
      <w:r>
        <w:rPr>
          <w:bCs/>
          <w:sz w:val="24"/>
          <w:szCs w:val="24"/>
        </w:rPr>
        <w:t>СТС – система централизованного теплоснабжения</w:t>
      </w:r>
    </w:p>
    <w:p w14:paraId="3BCD7075">
      <w:pPr>
        <w:keepNext/>
        <w:keepLines/>
        <w:spacing w:after="0" w:line="240" w:lineRule="auto"/>
        <w:contextualSpacing/>
        <w:rPr>
          <w:bCs/>
          <w:sz w:val="24"/>
          <w:szCs w:val="24"/>
        </w:rPr>
      </w:pPr>
      <w:r>
        <w:rPr>
          <w:bCs/>
          <w:sz w:val="24"/>
          <w:szCs w:val="24"/>
        </w:rPr>
        <w:t>КС – компрессорная станция</w:t>
      </w:r>
    </w:p>
    <w:p w14:paraId="28B6AB25">
      <w:pPr>
        <w:keepNext/>
        <w:keepLines/>
        <w:spacing w:after="0" w:line="240" w:lineRule="auto"/>
        <w:contextualSpacing/>
        <w:rPr>
          <w:bCs/>
          <w:sz w:val="24"/>
          <w:szCs w:val="24"/>
        </w:rPr>
      </w:pPr>
      <w:r>
        <w:rPr>
          <w:sz w:val="24"/>
          <w:szCs w:val="24"/>
        </w:rPr>
        <w:t>ХВО</w:t>
      </w:r>
      <w:r>
        <w:rPr>
          <w:bCs/>
          <w:sz w:val="24"/>
          <w:szCs w:val="24"/>
        </w:rPr>
        <w:t xml:space="preserve"> – х</w:t>
      </w:r>
      <w:r>
        <w:rPr>
          <w:sz w:val="24"/>
          <w:szCs w:val="24"/>
        </w:rPr>
        <w:t>имводоподготовка</w:t>
      </w:r>
    </w:p>
    <w:p w14:paraId="5D0B8EC0">
      <w:pPr>
        <w:keepNext/>
        <w:keepLines/>
        <w:spacing w:after="0" w:line="240" w:lineRule="auto"/>
        <w:contextualSpacing/>
        <w:rPr>
          <w:bCs/>
          <w:sz w:val="24"/>
          <w:szCs w:val="24"/>
        </w:rPr>
      </w:pPr>
    </w:p>
    <w:p w14:paraId="33ADF61D">
      <w:pPr>
        <w:spacing w:after="0" w:line="240" w:lineRule="auto"/>
        <w:contextualSpacing/>
        <w:jc w:val="both"/>
        <w:rPr>
          <w:sz w:val="24"/>
          <w:szCs w:val="24"/>
        </w:rPr>
      </w:pPr>
    </w:p>
    <w:p w14:paraId="3B2D1996">
      <w:pPr>
        <w:spacing w:after="0" w:line="240" w:lineRule="auto"/>
        <w:contextualSpacing/>
        <w:jc w:val="both"/>
        <w:rPr>
          <w:sz w:val="24"/>
          <w:szCs w:val="24"/>
        </w:rPr>
      </w:pPr>
    </w:p>
    <w:p w14:paraId="217C0CD3">
      <w:pPr>
        <w:keepNext/>
        <w:keepLines/>
        <w:pageBreakBefore/>
        <w:spacing w:after="0" w:line="240" w:lineRule="auto"/>
        <w:ind w:firstLine="0"/>
        <w:contextualSpacing/>
        <w:jc w:val="center"/>
        <w:outlineLvl w:val="0"/>
        <w:rPr>
          <w:bCs/>
          <w:sz w:val="24"/>
          <w:szCs w:val="24"/>
        </w:rPr>
      </w:pPr>
      <w:bookmarkStart w:id="16" w:name="_Toc28125195"/>
      <w:bookmarkStart w:id="17" w:name="_Toc182813856"/>
      <w:r>
        <w:rPr>
          <w:bCs/>
          <w:sz w:val="24"/>
          <w:szCs w:val="24"/>
        </w:rPr>
        <w:t>А</w:t>
      </w:r>
      <w:bookmarkEnd w:id="13"/>
      <w:bookmarkEnd w:id="16"/>
      <w:r>
        <w:rPr>
          <w:bCs/>
          <w:sz w:val="24"/>
          <w:szCs w:val="24"/>
        </w:rPr>
        <w:t>ннотация</w:t>
      </w:r>
      <w:bookmarkEnd w:id="17"/>
    </w:p>
    <w:p w14:paraId="4CD3C144">
      <w:pPr>
        <w:pStyle w:val="404"/>
        <w:spacing w:line="240" w:lineRule="auto"/>
        <w:contextualSpacing/>
        <w:rPr>
          <w:rFonts w:cs="Times New Roman"/>
          <w:sz w:val="24"/>
          <w:szCs w:val="24"/>
        </w:rPr>
      </w:pPr>
    </w:p>
    <w:p w14:paraId="38ECE6EB">
      <w:pPr>
        <w:spacing w:after="0" w:line="240" w:lineRule="auto"/>
        <w:contextualSpacing/>
        <w:jc w:val="both"/>
        <w:rPr>
          <w:sz w:val="24"/>
          <w:szCs w:val="24"/>
        </w:rPr>
      </w:pPr>
      <w:r>
        <w:rPr>
          <w:sz w:val="24"/>
          <w:szCs w:val="24"/>
        </w:rPr>
        <w:t>Объектом обследования является система теплоснабжения централизованной зоны теплоснабжения сельского поселения Верхнеказымский Белоярского района Ханты-Мансийский автономного округа – Югры.</w:t>
      </w:r>
    </w:p>
    <w:p w14:paraId="426B4287">
      <w:pPr>
        <w:spacing w:after="0" w:line="240" w:lineRule="auto"/>
        <w:contextualSpacing/>
        <w:jc w:val="both"/>
        <w:rPr>
          <w:sz w:val="24"/>
          <w:szCs w:val="24"/>
        </w:rPr>
      </w:pPr>
      <w:r>
        <w:rPr>
          <w:sz w:val="24"/>
          <w:szCs w:val="24"/>
        </w:rPr>
        <w:t>Цель работы – разработка оптимальных вариантов развития системы теплоснабжения сельского поселения Верхнеказымский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5D540508">
      <w:pPr>
        <w:spacing w:after="0" w:line="240" w:lineRule="auto"/>
        <w:contextualSpacing/>
        <w:jc w:val="both"/>
        <w:rPr>
          <w:sz w:val="24"/>
          <w:szCs w:val="24"/>
        </w:rPr>
      </w:pPr>
      <w:r>
        <w:rPr>
          <w:sz w:val="24"/>
          <w:szCs w:val="24"/>
        </w:rPr>
        <w:t>Разработка схем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сельского поселения Верхнеказымский, в первую очередь его градостроительной деятельности, определенной генеральным планом.</w:t>
      </w:r>
    </w:p>
    <w:p w14:paraId="32C43910">
      <w:pPr>
        <w:spacing w:after="0" w:line="240" w:lineRule="auto"/>
        <w:contextualSpacing/>
        <w:jc w:val="both"/>
        <w:rPr>
          <w:sz w:val="24"/>
          <w:szCs w:val="24"/>
        </w:rPr>
      </w:pPr>
      <w:r>
        <w:rPr>
          <w:sz w:val="24"/>
          <w:szCs w:val="24"/>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её частей (локальных зон теплоснабжения) путем оценки их сравнительной эффективности по критерию минимума суммарных дисконтированных затрат.</w:t>
      </w:r>
    </w:p>
    <w:p w14:paraId="47FB71A2">
      <w:pPr>
        <w:spacing w:after="0" w:line="240" w:lineRule="auto"/>
        <w:contextualSpacing/>
        <w:jc w:val="both"/>
        <w:rPr>
          <w:sz w:val="24"/>
          <w:szCs w:val="24"/>
        </w:rPr>
      </w:pPr>
      <w:r>
        <w:rPr>
          <w:sz w:val="24"/>
          <w:szCs w:val="24"/>
        </w:rPr>
        <w:t xml:space="preserve">Основой для разработки, актуализации и реализации схемы теплоснабжения сельского поселения </w:t>
      </w:r>
      <w:r>
        <w:rPr>
          <w:rFonts w:eastAsia="Arial"/>
          <w:spacing w:val="-5"/>
          <w:sz w:val="24"/>
          <w:szCs w:val="24"/>
        </w:rPr>
        <w:t>Верхнеказымский</w:t>
      </w:r>
      <w:r>
        <w:rPr>
          <w:sz w:val="24"/>
          <w:szCs w:val="24"/>
        </w:rPr>
        <w:t xml:space="preserve"> до 2029 года является Федеральный закон от 27.07.2010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РФ от 22.02.2012 № 154 «О требованиях к схемам теплоснабжения, порядку их разработки и утверждения».</w:t>
      </w:r>
    </w:p>
    <w:p w14:paraId="047AF263">
      <w:pPr>
        <w:spacing w:after="0" w:line="240" w:lineRule="auto"/>
        <w:contextualSpacing/>
        <w:jc w:val="both"/>
        <w:rPr>
          <w:sz w:val="24"/>
          <w:szCs w:val="24"/>
        </w:rPr>
      </w:pPr>
      <w:r>
        <w:rPr>
          <w:sz w:val="24"/>
          <w:szCs w:val="24"/>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утверждённые Правительством Российской Федерации в соответствии с частью 1 статьи 4 Федерального закона «О теплоснабжении», Приказа Министерства энергетики РФ от 05.03.2019 № 212 «Об утверждении Методических указаний по разработке схем теплоснабжения»,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 </w:t>
      </w:r>
    </w:p>
    <w:p w14:paraId="52BF9F68">
      <w:pPr>
        <w:spacing w:after="0" w:line="240" w:lineRule="auto"/>
        <w:contextualSpacing/>
        <w:jc w:val="both"/>
        <w:rPr>
          <w:rFonts w:eastAsia="Calibri"/>
          <w:iCs/>
          <w:sz w:val="24"/>
          <w:szCs w:val="24"/>
          <w:lang w:eastAsia="en-US"/>
        </w:rPr>
      </w:pPr>
      <w:r>
        <w:rPr>
          <w:color w:val="000000"/>
          <w:sz w:val="24"/>
          <w:szCs w:val="24"/>
        </w:rPr>
        <w:t>В качестве исходной информации при выполнении работы использованы материалы, предоставленные Администрацией сельского поселения и теплоснабжающей организацией.</w:t>
      </w:r>
    </w:p>
    <w:p w14:paraId="526E356C">
      <w:pPr>
        <w:spacing w:after="0" w:line="240" w:lineRule="auto"/>
        <w:contextualSpacing/>
        <w:jc w:val="both"/>
        <w:rPr>
          <w:rFonts w:eastAsia="Calibri"/>
          <w:iCs/>
          <w:sz w:val="24"/>
          <w:szCs w:val="24"/>
          <w:lang w:eastAsia="en-US"/>
        </w:rPr>
      </w:pPr>
    </w:p>
    <w:p w14:paraId="4277DA16">
      <w:pPr>
        <w:pStyle w:val="404"/>
        <w:pageBreakBefore/>
        <w:spacing w:line="240" w:lineRule="auto"/>
        <w:ind w:firstLine="0"/>
        <w:contextualSpacing/>
        <w:jc w:val="center"/>
        <w:rPr>
          <w:rFonts w:cs="Times New Roman"/>
          <w:iCs w:val="0"/>
          <w:sz w:val="24"/>
          <w:szCs w:val="24"/>
        </w:rPr>
      </w:pPr>
      <w:bookmarkStart w:id="18" w:name="_Hlk22205806"/>
      <w:bookmarkStart w:id="19" w:name="_Hlk22205765"/>
      <w:r>
        <w:rPr>
          <w:rFonts w:cs="Times New Roman"/>
          <w:sz w:val="24"/>
          <w:szCs w:val="24"/>
        </w:rPr>
        <w:t xml:space="preserve">Краткая характеристика </w:t>
      </w:r>
      <w:r>
        <w:rPr>
          <w:rFonts w:cs="Times New Roman"/>
          <w:iCs w:val="0"/>
          <w:sz w:val="24"/>
          <w:szCs w:val="24"/>
        </w:rPr>
        <w:t xml:space="preserve">сельского поселения </w:t>
      </w:r>
      <w:r>
        <w:rPr>
          <w:rFonts w:cs="Times New Roman"/>
          <w:sz w:val="24"/>
          <w:szCs w:val="24"/>
        </w:rPr>
        <w:t>Верхнеказымский</w:t>
      </w:r>
    </w:p>
    <w:p w14:paraId="7FD92CE7">
      <w:pPr>
        <w:pStyle w:val="404"/>
        <w:spacing w:line="240" w:lineRule="auto"/>
        <w:ind w:firstLine="0"/>
        <w:contextualSpacing/>
        <w:jc w:val="center"/>
        <w:rPr>
          <w:rFonts w:cs="Times New Roman"/>
          <w:iCs w:val="0"/>
          <w:sz w:val="24"/>
          <w:szCs w:val="24"/>
        </w:rPr>
      </w:pPr>
    </w:p>
    <w:p w14:paraId="5DB8CDCE">
      <w:pPr>
        <w:pStyle w:val="404"/>
        <w:spacing w:line="240" w:lineRule="auto"/>
        <w:ind w:firstLine="0"/>
        <w:contextualSpacing/>
        <w:jc w:val="center"/>
        <w:rPr>
          <w:rFonts w:cs="Times New Roman"/>
          <w:iCs w:val="0"/>
          <w:sz w:val="24"/>
          <w:szCs w:val="24"/>
        </w:rPr>
      </w:pPr>
      <w:r>
        <w:rPr>
          <w:rFonts w:cs="Times New Roman"/>
          <w:iCs w:val="0"/>
          <w:sz w:val="24"/>
          <w:szCs w:val="24"/>
        </w:rPr>
        <w:t>Географическое положение и территориальная структура</w:t>
      </w:r>
    </w:p>
    <w:p w14:paraId="5CF30AC6">
      <w:pPr>
        <w:pStyle w:val="404"/>
        <w:spacing w:line="240" w:lineRule="auto"/>
        <w:contextualSpacing/>
        <w:jc w:val="center"/>
        <w:rPr>
          <w:rFonts w:cs="Times New Roman"/>
          <w:iCs w:val="0"/>
          <w:color w:val="000000"/>
          <w:sz w:val="24"/>
          <w:szCs w:val="24"/>
        </w:rPr>
      </w:pPr>
    </w:p>
    <w:bookmarkEnd w:id="18"/>
    <w:p w14:paraId="2A79CA72">
      <w:pPr>
        <w:spacing w:after="0" w:line="240" w:lineRule="auto"/>
        <w:contextualSpacing/>
        <w:jc w:val="both"/>
        <w:rPr>
          <w:rFonts w:eastAsia="Calibri"/>
          <w:iCs/>
          <w:sz w:val="24"/>
          <w:szCs w:val="24"/>
          <w:lang w:eastAsia="en-US"/>
        </w:rPr>
      </w:pPr>
      <w:bookmarkStart w:id="20" w:name="_Hlk18404023"/>
      <w:r>
        <w:rPr>
          <w:rFonts w:eastAsia="Calibri"/>
          <w:iCs/>
          <w:sz w:val="24"/>
          <w:szCs w:val="24"/>
          <w:lang w:eastAsia="en-US"/>
        </w:rPr>
        <w:t xml:space="preserve">Территория сельского поселения </w:t>
      </w:r>
      <w:r>
        <w:rPr>
          <w:sz w:val="24"/>
          <w:szCs w:val="24"/>
        </w:rPr>
        <w:t>Верхнеказымский</w:t>
      </w:r>
      <w:r>
        <w:rPr>
          <w:rFonts w:eastAsia="Calibri"/>
          <w:iCs/>
          <w:sz w:val="24"/>
          <w:szCs w:val="24"/>
          <w:lang w:eastAsia="en-US"/>
        </w:rPr>
        <w:t xml:space="preserve"> (далее – с.п. </w:t>
      </w:r>
      <w:r>
        <w:rPr>
          <w:sz w:val="24"/>
          <w:szCs w:val="24"/>
        </w:rPr>
        <w:t>Верхнеказымский</w:t>
      </w:r>
      <w:r>
        <w:rPr>
          <w:rFonts w:eastAsia="Calibri"/>
          <w:iCs/>
          <w:sz w:val="24"/>
          <w:szCs w:val="24"/>
          <w:lang w:eastAsia="en-US"/>
        </w:rPr>
        <w:t>)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41B39F5B">
      <w:pPr>
        <w:spacing w:after="0" w:line="240" w:lineRule="auto"/>
        <w:contextualSpacing/>
        <w:jc w:val="both"/>
        <w:rPr>
          <w:rFonts w:eastAsia="Calibri"/>
          <w:iCs/>
          <w:sz w:val="24"/>
          <w:szCs w:val="24"/>
          <w:lang w:eastAsia="en-US"/>
        </w:rPr>
      </w:pPr>
      <w:r>
        <w:rPr>
          <w:rFonts w:eastAsia="Calibri"/>
          <w:iCs/>
          <w:sz w:val="24"/>
          <w:szCs w:val="24"/>
          <w:lang w:eastAsia="en-US"/>
        </w:rPr>
        <w:t>С.п. Верхнеказымский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14:paraId="153E27EE">
      <w:pPr>
        <w:spacing w:after="0" w:line="240" w:lineRule="auto"/>
        <w:contextualSpacing/>
        <w:jc w:val="both"/>
        <w:rPr>
          <w:rFonts w:eastAsia="Calibri"/>
          <w:iCs/>
          <w:sz w:val="24"/>
          <w:szCs w:val="24"/>
          <w:lang w:eastAsia="en-US"/>
        </w:rPr>
      </w:pPr>
      <w:r>
        <w:rPr>
          <w:rFonts w:eastAsia="Calibri"/>
          <w:iCs/>
          <w:sz w:val="24"/>
          <w:szCs w:val="24"/>
          <w:lang w:eastAsia="en-US"/>
        </w:rPr>
        <w:t>Территория п. Верхнеказымский относится к приобской террасовой провинции, отличается преобладанием плоского и плосковолнистого рельефа, максимальная разность геодезических отметок составляет 10 м.</w:t>
      </w:r>
    </w:p>
    <w:p w14:paraId="525BB26C">
      <w:pPr>
        <w:spacing w:after="0" w:line="240" w:lineRule="auto"/>
        <w:contextualSpacing/>
        <w:jc w:val="both"/>
        <w:rPr>
          <w:rFonts w:eastAsia="Calibri"/>
          <w:iCs/>
          <w:sz w:val="24"/>
          <w:szCs w:val="24"/>
          <w:lang w:eastAsia="en-US"/>
        </w:rPr>
      </w:pPr>
      <w:r>
        <w:rPr>
          <w:rFonts w:eastAsia="Calibri"/>
          <w:iCs/>
          <w:sz w:val="24"/>
          <w:szCs w:val="24"/>
          <w:lang w:eastAsia="en-US"/>
        </w:rPr>
        <w:t>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2B348BA6">
      <w:pPr>
        <w:spacing w:after="0" w:line="240" w:lineRule="auto"/>
        <w:contextualSpacing/>
        <w:jc w:val="both"/>
        <w:rPr>
          <w:rFonts w:eastAsia="Calibri"/>
          <w:iCs/>
          <w:sz w:val="24"/>
          <w:szCs w:val="24"/>
          <w:lang w:eastAsia="en-US"/>
        </w:rPr>
      </w:pPr>
      <w:r>
        <w:rPr>
          <w:rFonts w:eastAsia="Calibri"/>
          <w:iCs/>
          <w:sz w:val="24"/>
          <w:szCs w:val="24"/>
          <w:lang w:eastAsia="en-US"/>
        </w:rPr>
        <w:t>Общая площадь территории сельского поселения – 274 га, в том числе земли сельхозугодий – 3,5 га.</w:t>
      </w:r>
    </w:p>
    <w:p w14:paraId="49B66CF9">
      <w:pPr>
        <w:spacing w:after="0" w:line="240" w:lineRule="auto"/>
        <w:contextualSpacing/>
        <w:jc w:val="both"/>
        <w:rPr>
          <w:rFonts w:eastAsia="Calibri"/>
          <w:iCs/>
          <w:sz w:val="24"/>
          <w:szCs w:val="24"/>
          <w:lang w:eastAsia="en-US"/>
        </w:rPr>
      </w:pPr>
      <w:r>
        <w:rPr>
          <w:rFonts w:eastAsia="Calibri"/>
          <w:iCs/>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05718E63">
      <w:pPr>
        <w:spacing w:after="0" w:line="240" w:lineRule="auto"/>
        <w:contextualSpacing/>
        <w:jc w:val="both"/>
        <w:rPr>
          <w:rFonts w:eastAsia="Calibri"/>
          <w:iCs/>
          <w:sz w:val="24"/>
          <w:szCs w:val="24"/>
          <w:lang w:eastAsia="en-US"/>
        </w:rPr>
      </w:pPr>
      <w:r>
        <w:rPr>
          <w:rFonts w:eastAsia="Calibri"/>
          <w:iCs/>
          <w:sz w:val="24"/>
          <w:szCs w:val="24"/>
          <w:lang w:eastAsia="en-US"/>
        </w:rPr>
        <w:t>Грунтовые воды залегают на глубине от 0,5 до 6,0 м.</w:t>
      </w:r>
    </w:p>
    <w:p w14:paraId="06ADA127">
      <w:pPr>
        <w:spacing w:after="0" w:line="240" w:lineRule="auto"/>
        <w:contextualSpacing/>
        <w:jc w:val="both"/>
        <w:rPr>
          <w:rFonts w:eastAsia="Calibri"/>
          <w:iCs/>
          <w:sz w:val="24"/>
          <w:szCs w:val="24"/>
          <w:lang w:eastAsia="en-US"/>
        </w:rPr>
      </w:pPr>
      <w:r>
        <w:rPr>
          <w:rFonts w:eastAsia="Calibri"/>
          <w:iCs/>
          <w:sz w:val="24"/>
          <w:szCs w:val="24"/>
          <w:lang w:eastAsia="en-US"/>
        </w:rPr>
        <w:t>Территория входит в зону прерывистого распространения многолетнемерзлых пород.</w:t>
      </w:r>
    </w:p>
    <w:p w14:paraId="7A3203FF">
      <w:pPr>
        <w:spacing w:after="0" w:line="240" w:lineRule="auto"/>
        <w:contextualSpacing/>
        <w:jc w:val="both"/>
        <w:rPr>
          <w:rFonts w:eastAsia="Calibri"/>
          <w:iCs/>
          <w:sz w:val="24"/>
          <w:szCs w:val="24"/>
          <w:lang w:eastAsia="en-US"/>
        </w:rPr>
      </w:pPr>
      <w:r>
        <w:rPr>
          <w:rFonts w:eastAsia="Calibri"/>
          <w:iCs/>
          <w:sz w:val="24"/>
          <w:szCs w:val="24"/>
          <w:lang w:eastAsia="en-US"/>
        </w:rPr>
        <w:t>Нормативная глубина промерзания почвы – 1,3 м.</w:t>
      </w:r>
    </w:p>
    <w:bookmarkEnd w:id="19"/>
    <w:bookmarkEnd w:id="20"/>
    <w:p w14:paraId="60550A07">
      <w:pPr>
        <w:spacing w:after="0" w:line="240" w:lineRule="auto"/>
        <w:contextualSpacing/>
        <w:jc w:val="both"/>
        <w:rPr>
          <w:rFonts w:eastAsia="Calibri"/>
          <w:iCs/>
          <w:sz w:val="24"/>
          <w:szCs w:val="24"/>
          <w:lang w:eastAsia="en-US"/>
        </w:rPr>
      </w:pPr>
      <w:bookmarkStart w:id="21" w:name="_Hlk22205830"/>
      <w:r>
        <w:rPr>
          <w:rFonts w:eastAsia="Calibri"/>
          <w:iCs/>
          <w:sz w:val="24"/>
          <w:szCs w:val="24"/>
          <w:lang w:eastAsia="en-US"/>
        </w:rPr>
        <w:t xml:space="preserve">В соответствии с СП 131.13330.2012 «Строительная климатология» климатические параметры с.п. </w:t>
      </w:r>
      <w:r>
        <w:rPr>
          <w:rFonts w:eastAsia="Arial"/>
          <w:spacing w:val="-5"/>
          <w:sz w:val="24"/>
          <w:szCs w:val="24"/>
        </w:rPr>
        <w:t>Верхнеказымский</w:t>
      </w:r>
      <w:r>
        <w:rPr>
          <w:rFonts w:eastAsia="Calibri"/>
          <w:iCs/>
          <w:sz w:val="24"/>
          <w:szCs w:val="24"/>
          <w:lang w:eastAsia="en-US"/>
        </w:rPr>
        <w:t xml:space="preserve"> следующие:</w:t>
      </w:r>
    </w:p>
    <w:p w14:paraId="6D660331">
      <w:pPr>
        <w:pStyle w:val="153"/>
        <w:numPr>
          <w:ilvl w:val="0"/>
          <w:numId w:val="26"/>
        </w:numPr>
        <w:tabs>
          <w:tab w:val="left" w:pos="993"/>
        </w:tabs>
        <w:ind w:left="0" w:firstLine="709"/>
        <w:rPr>
          <w:rFonts w:eastAsia="Calibri"/>
          <w:iCs/>
          <w:sz w:val="24"/>
          <w:szCs w:val="24"/>
          <w:lang w:eastAsia="en-US"/>
        </w:rPr>
      </w:pPr>
      <w:r>
        <w:rPr>
          <w:rFonts w:eastAsia="Calibri"/>
          <w:iCs/>
          <w:sz w:val="24"/>
          <w:szCs w:val="24"/>
          <w:lang w:eastAsia="en-US"/>
        </w:rPr>
        <w:t xml:space="preserve">температура воздуха наиболее холодной пятидневки (расчётная для проектирования отопления) – (-43 </w:t>
      </w:r>
      <w:r>
        <w:rPr>
          <w:rFonts w:eastAsia="Calibri"/>
          <w:iCs/>
          <w:sz w:val="24"/>
          <w:szCs w:val="24"/>
          <w:vertAlign w:val="superscript"/>
          <w:lang w:eastAsia="en-US"/>
        </w:rPr>
        <w:t>о</w:t>
      </w:r>
      <w:r>
        <w:rPr>
          <w:rFonts w:eastAsia="Calibri"/>
          <w:iCs/>
          <w:sz w:val="24"/>
          <w:szCs w:val="24"/>
          <w:lang w:eastAsia="en-US"/>
        </w:rPr>
        <w:t>С);</w:t>
      </w:r>
    </w:p>
    <w:p w14:paraId="50A7B499">
      <w:pPr>
        <w:pStyle w:val="153"/>
        <w:numPr>
          <w:ilvl w:val="0"/>
          <w:numId w:val="26"/>
        </w:numPr>
        <w:tabs>
          <w:tab w:val="left" w:pos="993"/>
        </w:tabs>
        <w:ind w:left="0" w:firstLine="709"/>
        <w:rPr>
          <w:rFonts w:eastAsia="Calibri"/>
          <w:iCs/>
          <w:sz w:val="24"/>
          <w:szCs w:val="24"/>
          <w:lang w:eastAsia="en-US"/>
        </w:rPr>
      </w:pPr>
      <w:r>
        <w:rPr>
          <w:rFonts w:eastAsia="Calibri"/>
          <w:iCs/>
          <w:sz w:val="24"/>
          <w:szCs w:val="24"/>
          <w:lang w:eastAsia="en-US"/>
        </w:rPr>
        <w:t xml:space="preserve">средняя температура наружного воздуха за отопительный период – (- 9,9 </w:t>
      </w:r>
      <w:r>
        <w:rPr>
          <w:rFonts w:eastAsia="Calibri"/>
          <w:iCs/>
          <w:sz w:val="24"/>
          <w:szCs w:val="24"/>
          <w:vertAlign w:val="superscript"/>
          <w:lang w:eastAsia="en-US"/>
        </w:rPr>
        <w:t>о</w:t>
      </w:r>
      <w:r>
        <w:rPr>
          <w:rFonts w:eastAsia="Calibri"/>
          <w:iCs/>
          <w:sz w:val="24"/>
          <w:szCs w:val="24"/>
          <w:lang w:eastAsia="en-US"/>
        </w:rPr>
        <w:t>С);</w:t>
      </w:r>
    </w:p>
    <w:p w14:paraId="04002CE3">
      <w:pPr>
        <w:pStyle w:val="153"/>
        <w:numPr>
          <w:ilvl w:val="0"/>
          <w:numId w:val="26"/>
        </w:numPr>
        <w:tabs>
          <w:tab w:val="left" w:pos="993"/>
        </w:tabs>
        <w:ind w:left="0" w:firstLine="709"/>
        <w:rPr>
          <w:rFonts w:eastAsia="Calibri"/>
          <w:iCs/>
          <w:sz w:val="24"/>
          <w:szCs w:val="24"/>
          <w:lang w:eastAsia="en-US"/>
        </w:rPr>
      </w:pPr>
      <w:r>
        <w:rPr>
          <w:rFonts w:eastAsia="Calibri"/>
          <w:iCs/>
          <w:sz w:val="24"/>
          <w:szCs w:val="24"/>
          <w:lang w:eastAsia="en-US"/>
        </w:rPr>
        <w:t xml:space="preserve">средняя температура наружного воздуха наиболее холодного месяца – (-23 </w:t>
      </w:r>
      <w:r>
        <w:rPr>
          <w:rFonts w:eastAsia="Calibri"/>
          <w:iCs/>
          <w:sz w:val="24"/>
          <w:szCs w:val="24"/>
          <w:vertAlign w:val="superscript"/>
          <w:lang w:eastAsia="en-US"/>
        </w:rPr>
        <w:t>о</w:t>
      </w:r>
      <w:r>
        <w:rPr>
          <w:rFonts w:eastAsia="Calibri"/>
          <w:iCs/>
          <w:sz w:val="24"/>
          <w:szCs w:val="24"/>
          <w:lang w:eastAsia="en-US"/>
        </w:rPr>
        <w:t>С);</w:t>
      </w:r>
    </w:p>
    <w:p w14:paraId="6EEABC01">
      <w:pPr>
        <w:pStyle w:val="153"/>
        <w:numPr>
          <w:ilvl w:val="0"/>
          <w:numId w:val="26"/>
        </w:numPr>
        <w:tabs>
          <w:tab w:val="left" w:pos="993"/>
        </w:tabs>
        <w:ind w:left="0" w:firstLine="709"/>
        <w:rPr>
          <w:rFonts w:eastAsia="Calibri"/>
          <w:iCs/>
          <w:sz w:val="24"/>
          <w:szCs w:val="24"/>
          <w:lang w:eastAsia="en-US"/>
        </w:rPr>
      </w:pPr>
      <w:r>
        <w:rPr>
          <w:rFonts w:eastAsia="Calibri"/>
          <w:iCs/>
          <w:sz w:val="24"/>
          <w:szCs w:val="24"/>
          <w:lang w:eastAsia="en-US"/>
        </w:rPr>
        <w:t xml:space="preserve">средняя годовая температура наружного воздуха – (- 3,8 </w:t>
      </w:r>
      <w:r>
        <w:rPr>
          <w:rFonts w:eastAsia="Calibri"/>
          <w:iCs/>
          <w:sz w:val="24"/>
          <w:szCs w:val="24"/>
          <w:vertAlign w:val="superscript"/>
          <w:lang w:eastAsia="en-US"/>
        </w:rPr>
        <w:t>о</w:t>
      </w:r>
      <w:r>
        <w:rPr>
          <w:rFonts w:eastAsia="Calibri"/>
          <w:iCs/>
          <w:sz w:val="24"/>
          <w:szCs w:val="24"/>
          <w:lang w:eastAsia="en-US"/>
        </w:rPr>
        <w:t>С);</w:t>
      </w:r>
    </w:p>
    <w:p w14:paraId="4EBA0440">
      <w:pPr>
        <w:pStyle w:val="153"/>
        <w:numPr>
          <w:ilvl w:val="0"/>
          <w:numId w:val="26"/>
        </w:numPr>
        <w:tabs>
          <w:tab w:val="left" w:pos="993"/>
        </w:tabs>
        <w:ind w:left="0" w:firstLine="709"/>
        <w:rPr>
          <w:rFonts w:eastAsia="Calibri"/>
          <w:iCs/>
          <w:sz w:val="24"/>
          <w:szCs w:val="24"/>
          <w:lang w:eastAsia="en-US"/>
        </w:rPr>
      </w:pPr>
      <w:r>
        <w:rPr>
          <w:rFonts w:eastAsia="Calibri"/>
          <w:iCs/>
          <w:sz w:val="24"/>
          <w:szCs w:val="24"/>
          <w:lang w:eastAsia="en-US"/>
        </w:rPr>
        <w:t>продолжительность отопительного периода – 257 суток;</w:t>
      </w:r>
    </w:p>
    <w:p w14:paraId="6F437D1A">
      <w:pPr>
        <w:pStyle w:val="153"/>
        <w:numPr>
          <w:ilvl w:val="0"/>
          <w:numId w:val="26"/>
        </w:numPr>
        <w:tabs>
          <w:tab w:val="left" w:pos="993"/>
        </w:tabs>
        <w:ind w:left="0" w:firstLine="709"/>
        <w:rPr>
          <w:rFonts w:eastAsia="Calibri"/>
          <w:iCs/>
          <w:sz w:val="24"/>
          <w:szCs w:val="24"/>
          <w:lang w:eastAsia="en-US"/>
        </w:rPr>
      </w:pPr>
      <w:r>
        <w:rPr>
          <w:rFonts w:eastAsia="Calibri"/>
          <w:iCs/>
          <w:sz w:val="24"/>
          <w:szCs w:val="24"/>
          <w:lang w:eastAsia="en-US"/>
        </w:rPr>
        <w:t>среднегодовая скорость ветра – 2÷4 м/с.</w:t>
      </w:r>
    </w:p>
    <w:p w14:paraId="095A6AEF">
      <w:pPr>
        <w:tabs>
          <w:tab w:val="left" w:pos="993"/>
        </w:tabs>
        <w:spacing w:after="0" w:line="240" w:lineRule="auto"/>
        <w:contextualSpacing/>
        <w:rPr>
          <w:rFonts w:eastAsia="Calibri"/>
          <w:iCs/>
          <w:sz w:val="24"/>
          <w:szCs w:val="24"/>
          <w:lang w:eastAsia="en-US"/>
        </w:rPr>
      </w:pPr>
    </w:p>
    <w:bookmarkEnd w:id="21"/>
    <w:p w14:paraId="4F126801">
      <w:pPr>
        <w:spacing w:after="0" w:line="240" w:lineRule="auto"/>
        <w:contextualSpacing/>
        <w:jc w:val="both"/>
        <w:rPr>
          <w:rFonts w:eastAsia="Calibri"/>
          <w:iCs/>
          <w:sz w:val="24"/>
          <w:szCs w:val="24"/>
          <w:lang w:eastAsia="en-US"/>
        </w:rPr>
      </w:pPr>
      <w:r>
        <w:rPr>
          <w:sz w:val="24"/>
          <w:szCs w:val="24"/>
        </w:rPr>
        <w:t xml:space="preserve">Карта границ с.п. Верхнеказымский изображена на рисунке </w:t>
      </w:r>
      <w:r>
        <w:rPr>
          <w:rFonts w:eastAsia="Calibri"/>
          <w:iCs/>
          <w:sz w:val="24"/>
          <w:szCs w:val="24"/>
          <w:lang w:eastAsia="en-US"/>
        </w:rPr>
        <w:t>1.</w:t>
      </w:r>
    </w:p>
    <w:p w14:paraId="7EE286DA">
      <w:pPr>
        <w:spacing w:after="0" w:line="240" w:lineRule="auto"/>
        <w:contextualSpacing/>
        <w:jc w:val="both"/>
        <w:rPr>
          <w:rFonts w:eastAsia="Calibri"/>
          <w:iCs/>
          <w:sz w:val="24"/>
          <w:szCs w:val="24"/>
          <w:lang w:eastAsia="en-US"/>
        </w:rPr>
      </w:pPr>
    </w:p>
    <w:p w14:paraId="394D691D">
      <w:pPr>
        <w:spacing w:after="0" w:line="240" w:lineRule="auto"/>
        <w:contextualSpacing/>
        <w:jc w:val="both"/>
        <w:rPr>
          <w:rFonts w:eastAsia="Calibri"/>
          <w:iCs/>
          <w:sz w:val="24"/>
          <w:szCs w:val="24"/>
          <w:lang w:eastAsia="en-US"/>
        </w:rPr>
      </w:pPr>
    </w:p>
    <w:p w14:paraId="6CF6FE2A">
      <w:pPr>
        <w:spacing w:after="0" w:line="240" w:lineRule="auto"/>
        <w:ind w:firstLine="0"/>
        <w:contextualSpacing/>
        <w:jc w:val="both"/>
        <w:rPr>
          <w:sz w:val="24"/>
          <w:szCs w:val="24"/>
        </w:rPr>
      </w:pPr>
      <w:r>
        <w:rPr>
          <w:sz w:val="24"/>
          <w:szCs w:val="24"/>
        </w:rPr>
        <w:drawing>
          <wp:inline distT="0" distB="0" distL="0" distR="0">
            <wp:extent cx="5953760" cy="3954780"/>
            <wp:effectExtent l="0" t="0" r="0" b="7620"/>
            <wp:docPr id="3" name="Рисунок 3"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карта Белоярского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l="1390" t="2064" r="1311" b="1922"/>
                    <a:stretch>
                      <a:fillRect/>
                    </a:stretch>
                  </pic:blipFill>
                  <pic:spPr>
                    <a:xfrm>
                      <a:off x="0" y="0"/>
                      <a:ext cx="5954832" cy="3956004"/>
                    </a:xfrm>
                    <a:prstGeom prst="rect">
                      <a:avLst/>
                    </a:prstGeom>
                    <a:noFill/>
                    <a:ln>
                      <a:noFill/>
                    </a:ln>
                  </pic:spPr>
                </pic:pic>
              </a:graphicData>
            </a:graphic>
          </wp:inline>
        </w:drawing>
      </w:r>
    </w:p>
    <w:p w14:paraId="39482D1C">
      <w:pPr>
        <w:pStyle w:val="43"/>
        <w:spacing w:before="0" w:after="0" w:line="240" w:lineRule="auto"/>
        <w:ind w:firstLine="0"/>
        <w:contextualSpacing/>
        <w:jc w:val="center"/>
        <w:rPr>
          <w:rFonts w:cs="Times New Roman"/>
          <w:b w:val="0"/>
          <w:sz w:val="24"/>
          <w:szCs w:val="24"/>
        </w:rPr>
      </w:pPr>
      <w:r>
        <w:rPr>
          <w:rFonts w:cs="Times New Roman"/>
          <w:b w:val="0"/>
          <w:sz w:val="24"/>
          <w:szCs w:val="24"/>
        </w:rPr>
        <w:t xml:space="preserve">Рисунок </w:t>
      </w:r>
      <w:r>
        <w:rPr>
          <w:rFonts w:cs="Times New Roman"/>
          <w:b w:val="0"/>
          <w:sz w:val="24"/>
          <w:szCs w:val="24"/>
        </w:rPr>
        <w:fldChar w:fldCharType="begin"/>
      </w:r>
      <w:r>
        <w:rPr>
          <w:rFonts w:cs="Times New Roman"/>
          <w:b w:val="0"/>
          <w:sz w:val="24"/>
          <w:szCs w:val="24"/>
        </w:rPr>
        <w:instrText xml:space="preserve"> SEQ Рисунок \* ARABIC </w:instrText>
      </w:r>
      <w:r>
        <w:rPr>
          <w:rFonts w:cs="Times New Roman"/>
          <w:b w:val="0"/>
          <w:sz w:val="24"/>
          <w:szCs w:val="24"/>
        </w:rPr>
        <w:fldChar w:fldCharType="separate"/>
      </w:r>
      <w:r>
        <w:rPr>
          <w:rFonts w:cs="Times New Roman"/>
          <w:b w:val="0"/>
          <w:sz w:val="24"/>
          <w:szCs w:val="24"/>
        </w:rPr>
        <w:t>1</w:t>
      </w:r>
      <w:r>
        <w:rPr>
          <w:rFonts w:cs="Times New Roman"/>
          <w:b w:val="0"/>
          <w:sz w:val="24"/>
          <w:szCs w:val="24"/>
        </w:rPr>
        <w:fldChar w:fldCharType="end"/>
      </w:r>
      <w:bookmarkStart w:id="22" w:name="_Hlk22205877"/>
      <w:r>
        <w:rPr>
          <w:rFonts w:cs="Times New Roman"/>
          <w:b w:val="0"/>
          <w:sz w:val="24"/>
          <w:szCs w:val="24"/>
        </w:rPr>
        <w:t xml:space="preserve"> – Карта границ </w:t>
      </w:r>
      <w:bookmarkEnd w:id="22"/>
      <w:r>
        <w:rPr>
          <w:rFonts w:cs="Times New Roman"/>
          <w:b w:val="0"/>
          <w:sz w:val="24"/>
          <w:szCs w:val="24"/>
        </w:rPr>
        <w:t>с.п. Верхнеказымский в структуре Белоярского района</w:t>
      </w:r>
    </w:p>
    <w:p w14:paraId="1D16A15D">
      <w:pPr>
        <w:pStyle w:val="43"/>
        <w:spacing w:before="0" w:after="0" w:line="240" w:lineRule="auto"/>
        <w:ind w:firstLine="0"/>
        <w:contextualSpacing/>
        <w:jc w:val="center"/>
        <w:rPr>
          <w:rFonts w:cs="Times New Roman"/>
          <w:b w:val="0"/>
          <w:sz w:val="24"/>
          <w:szCs w:val="24"/>
        </w:rPr>
      </w:pPr>
      <w:r>
        <w:rPr>
          <w:rFonts w:cs="Times New Roman"/>
          <w:b w:val="0"/>
          <w:sz w:val="24"/>
          <w:szCs w:val="24"/>
        </w:rPr>
        <w:t>Ханты-Мансийский автономного округа – Югры</w:t>
      </w:r>
    </w:p>
    <w:p w14:paraId="3F542B3F">
      <w:pPr>
        <w:rPr>
          <w:lang w:eastAsia="en-US"/>
        </w:rPr>
      </w:pPr>
    </w:p>
    <w:p w14:paraId="56559AA1">
      <w:pPr>
        <w:spacing w:after="0" w:line="240" w:lineRule="auto"/>
        <w:contextualSpacing/>
        <w:jc w:val="both"/>
        <w:rPr>
          <w:sz w:val="24"/>
          <w:szCs w:val="24"/>
        </w:rPr>
      </w:pPr>
    </w:p>
    <w:p w14:paraId="3705ECBF">
      <w:pPr>
        <w:spacing w:after="0" w:line="240" w:lineRule="auto"/>
        <w:contextualSpacing/>
        <w:jc w:val="both"/>
        <w:rPr>
          <w:sz w:val="24"/>
          <w:szCs w:val="24"/>
        </w:rPr>
      </w:pPr>
    </w:p>
    <w:p w14:paraId="229BE222">
      <w:pPr>
        <w:spacing w:after="0" w:line="240" w:lineRule="auto"/>
        <w:contextualSpacing/>
        <w:jc w:val="both"/>
        <w:rPr>
          <w:sz w:val="24"/>
          <w:szCs w:val="24"/>
        </w:rPr>
      </w:pPr>
    </w:p>
    <w:p w14:paraId="5C85E0F2">
      <w:pPr>
        <w:spacing w:after="0" w:line="240" w:lineRule="auto"/>
        <w:contextualSpacing/>
        <w:jc w:val="both"/>
        <w:rPr>
          <w:sz w:val="24"/>
          <w:szCs w:val="24"/>
        </w:rPr>
      </w:pPr>
    </w:p>
    <w:p w14:paraId="02BED501">
      <w:pPr>
        <w:spacing w:after="0" w:line="240" w:lineRule="auto"/>
        <w:ind w:firstLine="0"/>
        <w:contextualSpacing/>
        <w:rPr>
          <w:sz w:val="24"/>
          <w:szCs w:val="24"/>
          <w:lang w:eastAsia="en-US"/>
        </w:rPr>
        <w:sectPr>
          <w:footerReference r:id="rId6" w:type="first"/>
          <w:pgSz w:w="11907" w:h="16840"/>
          <w:pgMar w:top="1134" w:right="567" w:bottom="1134" w:left="1701" w:header="709" w:footer="709" w:gutter="0"/>
          <w:cols w:space="708" w:num="1"/>
          <w:titlePg/>
          <w:docGrid w:linePitch="381" w:charSpace="0"/>
        </w:sectPr>
      </w:pPr>
    </w:p>
    <w:bookmarkEnd w:id="5"/>
    <w:p w14:paraId="4A17FD59">
      <w:pPr>
        <w:pStyle w:val="2"/>
        <w:pageBreakBefore/>
        <w:widowControl w:val="0"/>
        <w:spacing w:before="0" w:line="240" w:lineRule="auto"/>
        <w:ind w:left="0" w:firstLine="709"/>
        <w:contextualSpacing/>
        <w:rPr>
          <w:rFonts w:cs="Times New Roman"/>
          <w:b w:val="0"/>
          <w:sz w:val="24"/>
          <w:szCs w:val="24"/>
        </w:rPr>
      </w:pPr>
      <w:bookmarkStart w:id="23" w:name="_Toc182813857"/>
      <w:r>
        <w:rPr>
          <w:rFonts w:cs="Times New Roman"/>
          <w:b w:val="0"/>
          <w:sz w:val="24"/>
          <w:szCs w:val="24"/>
        </w:rPr>
        <w:t xml:space="preserve">Глава 1. Существующее </w:t>
      </w:r>
      <w:bookmarkEnd w:id="6"/>
      <w:bookmarkEnd w:id="7"/>
      <w:r>
        <w:rPr>
          <w:rFonts w:cs="Times New Roman"/>
          <w:b w:val="0"/>
          <w:sz w:val="24"/>
          <w:szCs w:val="24"/>
        </w:rPr>
        <w:t>положение в сфере производства, передачи и потребления тепловой энергии для целей теплоснабжения</w:t>
      </w:r>
      <w:bookmarkEnd w:id="23"/>
    </w:p>
    <w:p w14:paraId="14E0E435">
      <w:pPr>
        <w:pStyle w:val="3"/>
        <w:widowControl w:val="0"/>
        <w:spacing w:before="0" w:line="240" w:lineRule="auto"/>
        <w:ind w:left="0" w:firstLine="709"/>
        <w:contextualSpacing/>
        <w:rPr>
          <w:rFonts w:cs="Times New Roman"/>
          <w:b w:val="0"/>
          <w:sz w:val="24"/>
          <w:szCs w:val="24"/>
        </w:rPr>
      </w:pPr>
      <w:bookmarkStart w:id="24" w:name="_Toc182813858"/>
      <w:bookmarkStart w:id="25" w:name="_Toc524614951"/>
      <w:bookmarkStart w:id="26" w:name="_Toc524614735"/>
      <w:r>
        <w:rPr>
          <w:rFonts w:cs="Times New Roman"/>
          <w:b w:val="0"/>
          <w:sz w:val="24"/>
          <w:szCs w:val="24"/>
        </w:rPr>
        <w:t>Часть 1. Функциональная структура теплоснабжения</w:t>
      </w:r>
      <w:bookmarkEnd w:id="24"/>
      <w:bookmarkEnd w:id="25"/>
      <w:bookmarkEnd w:id="26"/>
    </w:p>
    <w:p w14:paraId="2D740749">
      <w:pPr>
        <w:pStyle w:val="4"/>
        <w:widowControl w:val="0"/>
        <w:spacing w:before="0" w:line="240" w:lineRule="auto"/>
        <w:ind w:left="0" w:firstLine="709"/>
        <w:contextualSpacing/>
        <w:rPr>
          <w:rFonts w:cs="Times New Roman"/>
          <w:b w:val="0"/>
          <w:sz w:val="24"/>
        </w:rPr>
      </w:pPr>
      <w:bookmarkStart w:id="27" w:name="_Toc524614736"/>
      <w:bookmarkStart w:id="28" w:name="_Toc524614952"/>
      <w:bookmarkStart w:id="29" w:name="_Toc182813859"/>
      <w:r>
        <w:rPr>
          <w:rFonts w:cs="Times New Roman"/>
          <w:b w:val="0"/>
          <w:sz w:val="24"/>
        </w:rPr>
        <w:t xml:space="preserve">Описание </w:t>
      </w:r>
      <w:bookmarkEnd w:id="27"/>
      <w:bookmarkEnd w:id="28"/>
      <w:r>
        <w:rPr>
          <w:rFonts w:cs="Times New Roman"/>
          <w:b w:val="0"/>
          <w:sz w:val="24"/>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9"/>
    </w:p>
    <w:p w14:paraId="7638E3C1">
      <w:pPr>
        <w:pStyle w:val="58"/>
        <w:widowControl w:val="0"/>
        <w:spacing w:before="0" w:after="0" w:line="240" w:lineRule="auto"/>
        <w:ind w:firstLine="709"/>
        <w:contextualSpacing/>
        <w:rPr>
          <w:sz w:val="24"/>
          <w:szCs w:val="24"/>
        </w:rPr>
      </w:pPr>
      <w:bookmarkStart w:id="30" w:name="_Hlk182294874"/>
      <w:bookmarkStart w:id="31" w:name="_Hlk527370374"/>
      <w:r>
        <w:rPr>
          <w:sz w:val="24"/>
          <w:szCs w:val="24"/>
        </w:rPr>
        <w:t>Функциональная структура теплоснабжения с.п. Верхнеказымский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1A4BB477">
      <w:pPr>
        <w:spacing w:after="0" w:line="240" w:lineRule="auto"/>
        <w:contextualSpacing/>
        <w:jc w:val="both"/>
        <w:rPr>
          <w:sz w:val="24"/>
          <w:szCs w:val="24"/>
        </w:rPr>
      </w:pPr>
      <w:r>
        <w:rPr>
          <w:sz w:val="24"/>
          <w:szCs w:val="24"/>
        </w:rPr>
        <w:t>Зоной действия источника теплоснабжения является территория с.п. Верхнеказымский или ее часть, границы которой устанавливаются закрытыми секционирующими задвижками тепловой сети системы теплоснабжения.</w:t>
      </w:r>
    </w:p>
    <w:p w14:paraId="10AC925B">
      <w:pPr>
        <w:pStyle w:val="58"/>
        <w:widowControl w:val="0"/>
        <w:spacing w:before="0" w:after="0" w:line="240" w:lineRule="auto"/>
        <w:ind w:firstLine="709"/>
        <w:contextualSpacing/>
        <w:rPr>
          <w:sz w:val="24"/>
          <w:szCs w:val="24"/>
        </w:rPr>
      </w:pPr>
      <w:r>
        <w:rPr>
          <w:sz w:val="24"/>
          <w:szCs w:val="24"/>
        </w:rPr>
        <w:t>В с.п. Верхнеказымский преобладает централизованное теплоснабжение от крупных котельных, в эксплуатации организаций:</w:t>
      </w:r>
    </w:p>
    <w:p w14:paraId="2CAFD80C">
      <w:pPr>
        <w:pStyle w:val="153"/>
        <w:numPr>
          <w:ilvl w:val="0"/>
          <w:numId w:val="27"/>
        </w:numPr>
        <w:ind w:left="0" w:firstLine="709"/>
        <w:rPr>
          <w:rFonts w:eastAsia="Arial"/>
          <w:spacing w:val="-5"/>
          <w:sz w:val="24"/>
          <w:szCs w:val="24"/>
        </w:rPr>
      </w:pPr>
      <w:r>
        <w:rPr>
          <w:rFonts w:eastAsia="Arial"/>
          <w:spacing w:val="-5"/>
          <w:sz w:val="24"/>
          <w:szCs w:val="24"/>
        </w:rPr>
        <w:t>Муниципальное унитарное предприятие Белоярского района «Белоярские Коммунальные Системы» (далее – МУП «БКС»);</w:t>
      </w:r>
    </w:p>
    <w:p w14:paraId="30C2838E">
      <w:pPr>
        <w:pStyle w:val="153"/>
        <w:numPr>
          <w:ilvl w:val="0"/>
          <w:numId w:val="27"/>
        </w:numPr>
        <w:ind w:left="0" w:firstLine="709"/>
        <w:rPr>
          <w:rFonts w:eastAsia="Arial"/>
          <w:spacing w:val="-5"/>
          <w:sz w:val="24"/>
          <w:szCs w:val="24"/>
        </w:rPr>
      </w:pPr>
      <w:r>
        <w:rPr>
          <w:rFonts w:eastAsia="Arial"/>
          <w:spacing w:val="-5"/>
          <w:sz w:val="24"/>
          <w:szCs w:val="24"/>
        </w:rPr>
        <w:t xml:space="preserve">ООО «Газпром трансгаз Югорск» Верхнеказымское линейное производственное управление магистральных газопроводов (далее – </w:t>
      </w:r>
      <w:bookmarkStart w:id="32" w:name="_Hlk117178382"/>
      <w:r>
        <w:rPr>
          <w:rFonts w:eastAsia="Arial"/>
          <w:spacing w:val="-5"/>
          <w:sz w:val="24"/>
          <w:szCs w:val="24"/>
        </w:rPr>
        <w:t>ООО «Газпром трансгаз Югорск» Верхнеказымское ЛПУ МГ</w:t>
      </w:r>
      <w:bookmarkEnd w:id="32"/>
      <w:r>
        <w:rPr>
          <w:rFonts w:eastAsia="Arial"/>
          <w:spacing w:val="-5"/>
          <w:sz w:val="24"/>
          <w:szCs w:val="24"/>
        </w:rPr>
        <w:t>).</w:t>
      </w:r>
    </w:p>
    <w:p w14:paraId="6567D88D">
      <w:pPr>
        <w:spacing w:after="0" w:line="240" w:lineRule="auto"/>
        <w:jc w:val="both"/>
        <w:rPr>
          <w:rFonts w:eastAsia="Arial"/>
          <w:spacing w:val="-5"/>
          <w:sz w:val="24"/>
          <w:szCs w:val="24"/>
        </w:rPr>
      </w:pPr>
    </w:p>
    <w:p w14:paraId="1D6097CA">
      <w:pPr>
        <w:spacing w:after="0" w:line="240" w:lineRule="auto"/>
        <w:jc w:val="both"/>
        <w:rPr>
          <w:rFonts w:eastAsia="Arial"/>
          <w:spacing w:val="-5"/>
          <w:sz w:val="24"/>
          <w:szCs w:val="24"/>
        </w:rPr>
      </w:pPr>
      <w:r>
        <w:rPr>
          <w:rFonts w:eastAsia="Arial"/>
          <w:spacing w:val="-5"/>
          <w:sz w:val="24"/>
          <w:szCs w:val="24"/>
        </w:rPr>
        <w:t>Теплоснабжение основной части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МУП «БКС».</w:t>
      </w:r>
    </w:p>
    <w:p w14:paraId="7D5F2E42">
      <w:pPr>
        <w:spacing w:after="0" w:line="240" w:lineRule="auto"/>
        <w:jc w:val="both"/>
        <w:rPr>
          <w:rFonts w:eastAsia="Arial"/>
          <w:spacing w:val="-5"/>
          <w:sz w:val="24"/>
          <w:szCs w:val="24"/>
        </w:rPr>
      </w:pPr>
      <w:r>
        <w:rPr>
          <w:rFonts w:eastAsia="Arial"/>
          <w:spacing w:val="-5"/>
          <w:sz w:val="24"/>
          <w:szCs w:val="24"/>
        </w:rPr>
        <w:t>ООО «Газпром трансгаз Югорск» – 100-процентное дочернее общество ПАО «Газпром».</w:t>
      </w:r>
    </w:p>
    <w:p w14:paraId="7CA877B6">
      <w:pPr>
        <w:spacing w:after="0" w:line="240" w:lineRule="auto"/>
        <w:jc w:val="both"/>
        <w:rPr>
          <w:rFonts w:eastAsia="Arial"/>
          <w:spacing w:val="-5"/>
          <w:sz w:val="24"/>
          <w:szCs w:val="24"/>
        </w:rPr>
      </w:pPr>
      <w:r>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552FE7CC">
      <w:pPr>
        <w:spacing w:after="0" w:line="240" w:lineRule="auto"/>
        <w:jc w:val="both"/>
        <w:rPr>
          <w:rFonts w:eastAsia="Arial"/>
          <w:spacing w:val="-5"/>
          <w:sz w:val="24"/>
          <w:szCs w:val="24"/>
        </w:rPr>
      </w:pPr>
      <w:r>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3х существующих котельных:</w:t>
      </w:r>
    </w:p>
    <w:p w14:paraId="39F3BDAD">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«2БВК» Верхнеказымское ЛПУ МГ;</w:t>
      </w:r>
    </w:p>
    <w:p w14:paraId="56FE07AF">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 2 МУП «БКС»;</w:t>
      </w:r>
    </w:p>
    <w:p w14:paraId="186A6C4F">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«Вирбекс» Верхнеказымское ЛПУ МГ.</w:t>
      </w:r>
    </w:p>
    <w:p w14:paraId="01265C67">
      <w:pPr>
        <w:tabs>
          <w:tab w:val="left" w:pos="993"/>
        </w:tabs>
        <w:spacing w:after="0" w:line="240" w:lineRule="auto"/>
        <w:jc w:val="both"/>
        <w:rPr>
          <w:rFonts w:eastAsia="Arial"/>
          <w:spacing w:val="-5"/>
          <w:sz w:val="24"/>
          <w:szCs w:val="24"/>
        </w:rPr>
      </w:pPr>
    </w:p>
    <w:p w14:paraId="1818EF00">
      <w:pPr>
        <w:spacing w:after="0" w:line="240" w:lineRule="auto"/>
        <w:jc w:val="both"/>
        <w:rPr>
          <w:rFonts w:eastAsia="Arial"/>
          <w:spacing w:val="-5"/>
          <w:sz w:val="24"/>
          <w:szCs w:val="24"/>
        </w:rPr>
      </w:pPr>
      <w:r>
        <w:rPr>
          <w:rFonts w:eastAsia="Arial"/>
          <w:spacing w:val="-5"/>
          <w:sz w:val="24"/>
          <w:szCs w:val="24"/>
        </w:rPr>
        <w:t>Основным источником теплоснабжения в отопительный период на территории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14:paraId="16607034">
      <w:pPr>
        <w:spacing w:after="0" w:line="240" w:lineRule="auto"/>
        <w:jc w:val="both"/>
        <w:rPr>
          <w:rFonts w:eastAsia="Arial"/>
          <w:spacing w:val="-5"/>
          <w:sz w:val="24"/>
          <w:szCs w:val="24"/>
        </w:rPr>
      </w:pPr>
      <w:r>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14:paraId="7DAC5C17">
      <w:pPr>
        <w:spacing w:after="0" w:line="240" w:lineRule="auto"/>
        <w:jc w:val="both"/>
        <w:rPr>
          <w:rFonts w:eastAsia="Arial"/>
          <w:spacing w:val="-5"/>
          <w:sz w:val="24"/>
          <w:szCs w:val="24"/>
        </w:rPr>
      </w:pPr>
      <w:r>
        <w:rPr>
          <w:rFonts w:eastAsia="Arial"/>
          <w:spacing w:val="-5"/>
          <w:sz w:val="24"/>
          <w:szCs w:val="24"/>
        </w:rPr>
        <w:t>Котельная №2 используется в качестве источника тепловой энергии для покрытия тепловых нагрузок отопления, вентиляции и горячего водоснабжения микрорайона № 1.</w:t>
      </w:r>
    </w:p>
    <w:p w14:paraId="75D86F83">
      <w:pPr>
        <w:spacing w:after="0" w:line="240" w:lineRule="auto"/>
        <w:jc w:val="both"/>
        <w:rPr>
          <w:rFonts w:eastAsia="Arial"/>
          <w:spacing w:val="-5"/>
          <w:sz w:val="24"/>
          <w:szCs w:val="24"/>
        </w:rPr>
      </w:pPr>
      <w:r>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65 °С, регулирование отпуска тепловой энергии производится количественно, в зависимости от объема потребления горячей воды.</w:t>
      </w:r>
    </w:p>
    <w:p w14:paraId="6FED04FB">
      <w:pPr>
        <w:spacing w:after="0" w:line="240" w:lineRule="auto"/>
        <w:jc w:val="both"/>
        <w:rPr>
          <w:rFonts w:eastAsia="Arial"/>
          <w:spacing w:val="-5"/>
          <w:sz w:val="24"/>
          <w:szCs w:val="24"/>
        </w:rPr>
      </w:pPr>
      <w:r>
        <w:rPr>
          <w:rFonts w:eastAsia="Arial"/>
          <w:spacing w:val="-5"/>
          <w:sz w:val="24"/>
          <w:szCs w:val="24"/>
        </w:rPr>
        <w:t>Котельная «Вирбекс» используется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14:paraId="497091B7">
      <w:pPr>
        <w:spacing w:after="0" w:line="240" w:lineRule="auto"/>
        <w:jc w:val="both"/>
        <w:rPr>
          <w:rFonts w:eastAsia="Arial"/>
          <w:spacing w:val="-5"/>
          <w:sz w:val="24"/>
          <w:szCs w:val="24"/>
        </w:rPr>
      </w:pPr>
      <w:r>
        <w:rPr>
          <w:rFonts w:eastAsia="Arial"/>
          <w:spacing w:val="-5"/>
          <w:sz w:val="24"/>
          <w:szCs w:val="24"/>
        </w:rPr>
        <w:t>Основным видом топлива для котельных является природный газ.</w:t>
      </w:r>
    </w:p>
    <w:p w14:paraId="74EFCF9A">
      <w:pPr>
        <w:spacing w:after="0" w:line="240" w:lineRule="auto"/>
        <w:jc w:val="both"/>
        <w:rPr>
          <w:rFonts w:eastAsia="Arial"/>
          <w:spacing w:val="-5"/>
          <w:sz w:val="24"/>
          <w:szCs w:val="24"/>
        </w:rPr>
      </w:pPr>
      <w:r>
        <w:rPr>
          <w:rFonts w:eastAsia="Arial"/>
          <w:spacing w:val="-5"/>
          <w:sz w:val="24"/>
          <w:szCs w:val="24"/>
        </w:rPr>
        <w:t>Организационная структура системы теплоснабжения с.п. Верхнеказымский представлена в таблице 2.</w:t>
      </w:r>
    </w:p>
    <w:p w14:paraId="560D1FE0">
      <w:pPr>
        <w:spacing w:after="0" w:line="240" w:lineRule="auto"/>
        <w:jc w:val="both"/>
        <w:rPr>
          <w:rFonts w:eastAsia="Arial"/>
          <w:spacing w:val="-5"/>
          <w:sz w:val="24"/>
          <w:szCs w:val="24"/>
        </w:rPr>
      </w:pPr>
    </w:p>
    <w:p w14:paraId="116AF028">
      <w:pPr>
        <w:keepNext/>
        <w:spacing w:after="0" w:line="240" w:lineRule="auto"/>
        <w:ind w:firstLine="0"/>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w:t>
      </w:r>
      <w:r>
        <w:rPr>
          <w:bCs/>
          <w:sz w:val="24"/>
          <w:szCs w:val="24"/>
        </w:rPr>
        <w:fldChar w:fldCharType="end"/>
      </w:r>
      <w:r>
        <w:rPr>
          <w:bCs/>
          <w:sz w:val="24"/>
          <w:szCs w:val="24"/>
        </w:rPr>
        <w:t xml:space="preserve"> – Организационная структура системы теплоснабжения с.п. </w:t>
      </w:r>
      <w:r>
        <w:rPr>
          <w:rFonts w:eastAsia="Arial"/>
          <w:spacing w:val="-5"/>
          <w:sz w:val="24"/>
          <w:szCs w:val="24"/>
        </w:rPr>
        <w:t>Верхнеказымский</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2"/>
        <w:gridCol w:w="2902"/>
        <w:gridCol w:w="1886"/>
        <w:gridCol w:w="2024"/>
      </w:tblGrid>
      <w:tr w14:paraId="454F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43" w:type="pct"/>
            <w:shd w:val="clear" w:color="auto" w:fill="auto"/>
            <w:vAlign w:val="center"/>
          </w:tcPr>
          <w:p w14:paraId="1F100A5A">
            <w:pPr>
              <w:spacing w:after="0" w:line="240" w:lineRule="auto"/>
              <w:ind w:firstLine="0"/>
              <w:jc w:val="center"/>
              <w:rPr>
                <w:bCs/>
                <w:color w:val="000000"/>
                <w:sz w:val="20"/>
                <w:szCs w:val="20"/>
              </w:rPr>
            </w:pPr>
            <w:r>
              <w:rPr>
                <w:bCs/>
                <w:color w:val="000000"/>
                <w:sz w:val="20"/>
                <w:szCs w:val="20"/>
              </w:rPr>
              <w:t>Организации, предоставляющие услуги теплоснабжения</w:t>
            </w:r>
          </w:p>
        </w:tc>
        <w:tc>
          <w:tcPr>
            <w:tcW w:w="1472" w:type="pct"/>
            <w:shd w:val="clear" w:color="auto" w:fill="auto"/>
            <w:noWrap/>
            <w:vAlign w:val="center"/>
          </w:tcPr>
          <w:p w14:paraId="426D0384">
            <w:pPr>
              <w:spacing w:after="0" w:line="240" w:lineRule="auto"/>
              <w:ind w:firstLine="0"/>
              <w:jc w:val="center"/>
              <w:rPr>
                <w:bCs/>
                <w:color w:val="000000"/>
                <w:sz w:val="20"/>
                <w:szCs w:val="20"/>
              </w:rPr>
            </w:pPr>
            <w:r>
              <w:rPr>
                <w:bCs/>
                <w:color w:val="000000"/>
                <w:sz w:val="20"/>
                <w:szCs w:val="20"/>
              </w:rPr>
              <w:t>Функции организации</w:t>
            </w:r>
          </w:p>
        </w:tc>
        <w:tc>
          <w:tcPr>
            <w:tcW w:w="957" w:type="pct"/>
            <w:shd w:val="clear" w:color="auto" w:fill="auto"/>
            <w:noWrap/>
            <w:vAlign w:val="center"/>
          </w:tcPr>
          <w:p w14:paraId="339994CF">
            <w:pPr>
              <w:spacing w:after="0" w:line="240" w:lineRule="auto"/>
              <w:ind w:firstLine="0"/>
              <w:jc w:val="center"/>
              <w:rPr>
                <w:bCs/>
                <w:color w:val="000000"/>
                <w:sz w:val="20"/>
                <w:szCs w:val="20"/>
              </w:rPr>
            </w:pPr>
            <w:r>
              <w:rPr>
                <w:bCs/>
                <w:color w:val="000000"/>
                <w:sz w:val="20"/>
                <w:szCs w:val="20"/>
              </w:rPr>
              <w:t>Система расчётов</w:t>
            </w:r>
          </w:p>
        </w:tc>
        <w:tc>
          <w:tcPr>
            <w:tcW w:w="1027" w:type="pct"/>
            <w:shd w:val="clear" w:color="auto" w:fill="auto"/>
            <w:noWrap/>
            <w:vAlign w:val="center"/>
          </w:tcPr>
          <w:p w14:paraId="7FF4F7DB">
            <w:pPr>
              <w:spacing w:after="0" w:line="240" w:lineRule="auto"/>
              <w:ind w:firstLine="0"/>
              <w:jc w:val="center"/>
              <w:rPr>
                <w:bCs/>
                <w:color w:val="000000"/>
                <w:sz w:val="20"/>
                <w:szCs w:val="20"/>
              </w:rPr>
            </w:pPr>
            <w:r>
              <w:rPr>
                <w:bCs/>
                <w:color w:val="000000"/>
                <w:sz w:val="20"/>
                <w:szCs w:val="20"/>
              </w:rPr>
              <w:t>Потребители тепловой энергии</w:t>
            </w:r>
          </w:p>
        </w:tc>
      </w:tr>
      <w:tr w14:paraId="407A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543" w:type="pct"/>
            <w:shd w:val="clear" w:color="auto" w:fill="auto"/>
            <w:vAlign w:val="center"/>
          </w:tcPr>
          <w:p w14:paraId="0F409E7B">
            <w:pPr>
              <w:spacing w:after="0" w:line="240" w:lineRule="auto"/>
              <w:ind w:firstLine="0"/>
              <w:rPr>
                <w:sz w:val="20"/>
                <w:szCs w:val="20"/>
              </w:rPr>
            </w:pPr>
            <w:r>
              <w:rPr>
                <w:sz w:val="20"/>
                <w:szCs w:val="20"/>
              </w:rPr>
              <w:t>МУП «БКС»</w:t>
            </w:r>
          </w:p>
        </w:tc>
        <w:tc>
          <w:tcPr>
            <w:tcW w:w="1472" w:type="pct"/>
            <w:vMerge w:val="restart"/>
            <w:vAlign w:val="center"/>
          </w:tcPr>
          <w:p w14:paraId="63F5916A">
            <w:pPr>
              <w:spacing w:after="0" w:line="240" w:lineRule="auto"/>
              <w:ind w:firstLine="0"/>
              <w:rPr>
                <w:sz w:val="20"/>
                <w:szCs w:val="20"/>
              </w:rPr>
            </w:pPr>
            <w:r>
              <w:rPr>
                <w:sz w:val="20"/>
                <w:szCs w:val="20"/>
              </w:rPr>
              <w:t>1. Выработка тепловой энергии.</w:t>
            </w:r>
          </w:p>
          <w:p w14:paraId="044F94AC">
            <w:pPr>
              <w:spacing w:after="0" w:line="240" w:lineRule="auto"/>
              <w:ind w:firstLine="0"/>
              <w:rPr>
                <w:sz w:val="20"/>
                <w:szCs w:val="20"/>
              </w:rPr>
            </w:pPr>
            <w:r>
              <w:rPr>
                <w:sz w:val="20"/>
                <w:szCs w:val="20"/>
              </w:rPr>
              <w:t>2. Транспортировка тепловой энергии.</w:t>
            </w:r>
          </w:p>
          <w:p w14:paraId="6246F73E">
            <w:pPr>
              <w:spacing w:after="0" w:line="240" w:lineRule="auto"/>
              <w:ind w:firstLine="0"/>
              <w:rPr>
                <w:sz w:val="20"/>
                <w:szCs w:val="20"/>
              </w:rPr>
            </w:pPr>
            <w:r>
              <w:rPr>
                <w:sz w:val="20"/>
                <w:szCs w:val="20"/>
              </w:rPr>
              <w:t>3. Сбыт тепловой энергии.</w:t>
            </w:r>
          </w:p>
          <w:p w14:paraId="40844FC8">
            <w:pPr>
              <w:spacing w:after="0" w:line="240" w:lineRule="auto"/>
              <w:ind w:firstLine="0"/>
              <w:rPr>
                <w:sz w:val="20"/>
                <w:szCs w:val="20"/>
              </w:rPr>
            </w:pPr>
            <w:r>
              <w:rPr>
                <w:sz w:val="20"/>
                <w:szCs w:val="20"/>
              </w:rPr>
              <w:t>4. Подключение потребителей.</w:t>
            </w:r>
          </w:p>
          <w:p w14:paraId="6040EDAA">
            <w:pPr>
              <w:spacing w:after="0" w:line="240" w:lineRule="auto"/>
              <w:ind w:firstLine="0"/>
              <w:rPr>
                <w:sz w:val="20"/>
                <w:szCs w:val="20"/>
              </w:rPr>
            </w:pPr>
            <w:r>
              <w:rPr>
                <w:sz w:val="20"/>
                <w:szCs w:val="20"/>
              </w:rPr>
              <w:t>5. Обслуживание источников и тепловых сетей.</w:t>
            </w:r>
          </w:p>
        </w:tc>
        <w:tc>
          <w:tcPr>
            <w:tcW w:w="957" w:type="pct"/>
            <w:vMerge w:val="restart"/>
            <w:shd w:val="clear" w:color="auto" w:fill="auto"/>
            <w:vAlign w:val="center"/>
          </w:tcPr>
          <w:p w14:paraId="3C51E97D">
            <w:pPr>
              <w:spacing w:after="0" w:line="240" w:lineRule="auto"/>
              <w:ind w:firstLine="0"/>
              <w:rPr>
                <w:sz w:val="20"/>
                <w:szCs w:val="20"/>
              </w:rPr>
            </w:pPr>
            <w:r>
              <w:rPr>
                <w:sz w:val="20"/>
                <w:szCs w:val="20"/>
              </w:rPr>
              <w:t>Прямые договора с УК, ТСЖ, собственниками индивидуальных жилых домов и др.</w:t>
            </w:r>
          </w:p>
        </w:tc>
        <w:tc>
          <w:tcPr>
            <w:tcW w:w="1027" w:type="pct"/>
            <w:vMerge w:val="restart"/>
            <w:shd w:val="clear" w:color="auto" w:fill="auto"/>
            <w:vAlign w:val="center"/>
          </w:tcPr>
          <w:p w14:paraId="3FFD6D82">
            <w:pPr>
              <w:spacing w:after="0" w:line="240" w:lineRule="auto"/>
              <w:ind w:firstLine="0"/>
              <w:rPr>
                <w:sz w:val="20"/>
                <w:szCs w:val="20"/>
              </w:rPr>
            </w:pPr>
            <w:r>
              <w:rPr>
                <w:sz w:val="20"/>
                <w:szCs w:val="20"/>
              </w:rPr>
              <w:t>Жилые, общественные и производственные здания</w:t>
            </w:r>
          </w:p>
        </w:tc>
      </w:tr>
      <w:tr w14:paraId="781A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543" w:type="pct"/>
            <w:shd w:val="clear" w:color="auto" w:fill="auto"/>
            <w:vAlign w:val="center"/>
          </w:tcPr>
          <w:p w14:paraId="29787592">
            <w:pPr>
              <w:spacing w:after="0" w:line="240" w:lineRule="auto"/>
              <w:ind w:firstLine="0"/>
              <w:rPr>
                <w:sz w:val="20"/>
                <w:szCs w:val="20"/>
              </w:rPr>
            </w:pPr>
            <w:r>
              <w:rPr>
                <w:sz w:val="20"/>
                <w:szCs w:val="20"/>
              </w:rPr>
              <w:t>ООО «Газпром трансгаз Югорск» Верхнеказымское ЛПУ МГ</w:t>
            </w:r>
          </w:p>
        </w:tc>
        <w:tc>
          <w:tcPr>
            <w:tcW w:w="1472" w:type="pct"/>
            <w:vMerge w:val="continue"/>
            <w:vAlign w:val="center"/>
          </w:tcPr>
          <w:p w14:paraId="383E5B84">
            <w:pPr>
              <w:spacing w:after="0" w:line="240" w:lineRule="auto"/>
              <w:ind w:firstLine="0"/>
              <w:rPr>
                <w:sz w:val="20"/>
                <w:szCs w:val="20"/>
              </w:rPr>
            </w:pPr>
          </w:p>
        </w:tc>
        <w:tc>
          <w:tcPr>
            <w:tcW w:w="957" w:type="pct"/>
            <w:vMerge w:val="continue"/>
            <w:shd w:val="clear" w:color="auto" w:fill="auto"/>
            <w:vAlign w:val="center"/>
          </w:tcPr>
          <w:p w14:paraId="7DD16A27">
            <w:pPr>
              <w:spacing w:after="0" w:line="240" w:lineRule="auto"/>
              <w:ind w:firstLine="0"/>
              <w:rPr>
                <w:sz w:val="20"/>
                <w:szCs w:val="20"/>
              </w:rPr>
            </w:pPr>
          </w:p>
        </w:tc>
        <w:tc>
          <w:tcPr>
            <w:tcW w:w="1027" w:type="pct"/>
            <w:vMerge w:val="continue"/>
            <w:shd w:val="clear" w:color="auto" w:fill="auto"/>
            <w:vAlign w:val="center"/>
          </w:tcPr>
          <w:p w14:paraId="059C12A1">
            <w:pPr>
              <w:spacing w:after="0" w:line="240" w:lineRule="auto"/>
              <w:ind w:firstLine="0"/>
              <w:rPr>
                <w:sz w:val="20"/>
                <w:szCs w:val="20"/>
              </w:rPr>
            </w:pPr>
          </w:p>
        </w:tc>
      </w:tr>
    </w:tbl>
    <w:p w14:paraId="6C3144BC">
      <w:pPr>
        <w:spacing w:after="0" w:line="240" w:lineRule="auto"/>
        <w:jc w:val="both"/>
        <w:rPr>
          <w:rFonts w:eastAsia="Arial"/>
          <w:spacing w:val="-5"/>
          <w:sz w:val="24"/>
          <w:szCs w:val="24"/>
        </w:rPr>
      </w:pPr>
    </w:p>
    <w:p w14:paraId="630605A9">
      <w:pPr>
        <w:widowControl w:val="0"/>
        <w:spacing w:after="0" w:line="240" w:lineRule="auto"/>
        <w:jc w:val="both"/>
        <w:rPr>
          <w:rFonts w:eastAsia="Calibri"/>
          <w:sz w:val="24"/>
          <w:szCs w:val="24"/>
          <w:lang w:eastAsia="en-US"/>
        </w:rPr>
      </w:pPr>
      <w:r>
        <w:rPr>
          <w:rFonts w:eastAsia="Calibri"/>
          <w:sz w:val="24"/>
          <w:szCs w:val="24"/>
          <w:lang w:eastAsia="en-US"/>
        </w:rPr>
        <w:t xml:space="preserve">Границы зоны действия работающих источников тепловой энергии на территории </w:t>
      </w:r>
      <w:r>
        <w:rPr>
          <w:rFonts w:eastAsia="Calibri"/>
          <w:iCs/>
          <w:sz w:val="24"/>
          <w:szCs w:val="24"/>
          <w:lang w:eastAsia="en-US"/>
        </w:rPr>
        <w:t xml:space="preserve">с.п. </w:t>
      </w:r>
      <w:r>
        <w:rPr>
          <w:rFonts w:eastAsia="Calibri"/>
          <w:sz w:val="24"/>
          <w:szCs w:val="24"/>
          <w:lang w:eastAsia="en-US"/>
        </w:rPr>
        <w:t>Верхнеказымский представлены на рисунках 2-4.</w:t>
      </w:r>
    </w:p>
    <w:p w14:paraId="333AC26D">
      <w:pPr>
        <w:widowControl w:val="0"/>
        <w:spacing w:after="0" w:line="240" w:lineRule="auto"/>
        <w:ind w:firstLine="0"/>
        <w:contextualSpacing/>
        <w:jc w:val="both"/>
        <w:rPr>
          <w:rFonts w:eastAsia="Calibri"/>
          <w:sz w:val="24"/>
          <w:szCs w:val="24"/>
          <w:lang w:eastAsia="en-US"/>
        </w:rPr>
      </w:pPr>
    </w:p>
    <w:p w14:paraId="62C22235">
      <w:pPr>
        <w:spacing w:after="0" w:line="240" w:lineRule="auto"/>
        <w:ind w:firstLine="0"/>
        <w:contextualSpacing/>
        <w:jc w:val="center"/>
        <w:rPr>
          <w:sz w:val="24"/>
          <w:szCs w:val="24"/>
        </w:rPr>
      </w:pPr>
      <w:r>
        <w:rPr>
          <w:sz w:val="24"/>
          <w:szCs w:val="24"/>
        </w:rPr>
        <w:drawing>
          <wp:inline distT="0" distB="0" distL="0" distR="0">
            <wp:extent cx="6115685" cy="35388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15685" cy="3538855"/>
                    </a:xfrm>
                    <a:prstGeom prst="rect">
                      <a:avLst/>
                    </a:prstGeom>
                    <a:noFill/>
                    <a:ln>
                      <a:noFill/>
                    </a:ln>
                  </pic:spPr>
                </pic:pic>
              </a:graphicData>
            </a:graphic>
          </wp:inline>
        </w:drawing>
      </w:r>
    </w:p>
    <w:p w14:paraId="6AC3EA28">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2</w:t>
      </w:r>
      <w:r>
        <w:rPr>
          <w:sz w:val="24"/>
          <w:szCs w:val="24"/>
        </w:rPr>
        <w:fldChar w:fldCharType="end"/>
      </w:r>
      <w:r>
        <w:rPr>
          <w:sz w:val="24"/>
          <w:szCs w:val="24"/>
        </w:rPr>
        <w:t xml:space="preserve"> – Зона действия котельной «2БВК»</w:t>
      </w:r>
    </w:p>
    <w:p w14:paraId="66B40FF9">
      <w:pPr>
        <w:spacing w:after="0" w:line="240" w:lineRule="auto"/>
        <w:ind w:firstLine="0"/>
        <w:contextualSpacing/>
        <w:jc w:val="center"/>
        <w:rPr>
          <w:sz w:val="24"/>
          <w:szCs w:val="24"/>
        </w:rPr>
      </w:pPr>
      <w:r>
        <w:rPr>
          <w:sz w:val="24"/>
          <w:szCs w:val="24"/>
        </w:rPr>
        <w:drawing>
          <wp:inline distT="0" distB="0" distL="0" distR="0">
            <wp:extent cx="6114415" cy="30162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4415" cy="3016250"/>
                    </a:xfrm>
                    <a:prstGeom prst="rect">
                      <a:avLst/>
                    </a:prstGeom>
                    <a:noFill/>
                    <a:ln>
                      <a:noFill/>
                    </a:ln>
                  </pic:spPr>
                </pic:pic>
              </a:graphicData>
            </a:graphic>
          </wp:inline>
        </w:drawing>
      </w:r>
    </w:p>
    <w:p w14:paraId="3731A717">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3</w:t>
      </w:r>
      <w:r>
        <w:rPr>
          <w:sz w:val="24"/>
          <w:szCs w:val="24"/>
        </w:rPr>
        <w:fldChar w:fldCharType="end"/>
      </w:r>
      <w:r>
        <w:rPr>
          <w:sz w:val="24"/>
          <w:szCs w:val="24"/>
        </w:rPr>
        <w:t xml:space="preserve"> – Зона действия котельной №2 МУП «БКС»</w:t>
      </w:r>
    </w:p>
    <w:p w14:paraId="788F023E">
      <w:pPr>
        <w:spacing w:after="0" w:line="240" w:lineRule="auto"/>
        <w:ind w:firstLine="0"/>
        <w:contextualSpacing/>
        <w:jc w:val="center"/>
        <w:rPr>
          <w:sz w:val="24"/>
          <w:szCs w:val="24"/>
        </w:rPr>
      </w:pPr>
    </w:p>
    <w:p w14:paraId="4E629B5B">
      <w:pPr>
        <w:spacing w:after="0" w:line="240" w:lineRule="auto"/>
        <w:ind w:firstLine="0"/>
        <w:contextualSpacing/>
        <w:jc w:val="center"/>
        <w:rPr>
          <w:sz w:val="24"/>
          <w:szCs w:val="24"/>
        </w:rPr>
      </w:pPr>
      <w:r>
        <w:rPr>
          <w:sz w:val="24"/>
          <w:szCs w:val="24"/>
        </w:rPr>
        <w:drawing>
          <wp:inline distT="0" distB="0" distL="0" distR="0">
            <wp:extent cx="6114415" cy="34118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14415" cy="3411855"/>
                    </a:xfrm>
                    <a:prstGeom prst="rect">
                      <a:avLst/>
                    </a:prstGeom>
                    <a:noFill/>
                    <a:ln>
                      <a:noFill/>
                    </a:ln>
                  </pic:spPr>
                </pic:pic>
              </a:graphicData>
            </a:graphic>
          </wp:inline>
        </w:drawing>
      </w:r>
    </w:p>
    <w:p w14:paraId="3CD5E794">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4</w:t>
      </w:r>
      <w:r>
        <w:rPr>
          <w:sz w:val="24"/>
          <w:szCs w:val="24"/>
        </w:rPr>
        <w:fldChar w:fldCharType="end"/>
      </w:r>
      <w:r>
        <w:rPr>
          <w:sz w:val="24"/>
          <w:szCs w:val="24"/>
        </w:rPr>
        <w:t xml:space="preserve"> – Зона действия теплоутилизационных установок компрессорного цеха КЦ-78 компрессорной станции (КС) «Верхнеказымская»</w:t>
      </w:r>
    </w:p>
    <w:bookmarkEnd w:id="30"/>
    <w:p w14:paraId="0A8BFD06">
      <w:pPr>
        <w:widowControl w:val="0"/>
        <w:spacing w:after="0" w:line="240" w:lineRule="auto"/>
        <w:jc w:val="both"/>
        <w:rPr>
          <w:rFonts w:eastAsia="Calibri"/>
          <w:sz w:val="24"/>
          <w:szCs w:val="24"/>
          <w:lang w:eastAsia="en-US"/>
        </w:rPr>
      </w:pPr>
    </w:p>
    <w:bookmarkEnd w:id="31"/>
    <w:p w14:paraId="3D4D0671">
      <w:pPr>
        <w:pStyle w:val="4"/>
        <w:spacing w:before="0" w:line="240" w:lineRule="auto"/>
        <w:ind w:left="0" w:firstLine="709"/>
        <w:contextualSpacing/>
        <w:rPr>
          <w:rFonts w:cs="Times New Roman"/>
          <w:b w:val="0"/>
          <w:sz w:val="24"/>
        </w:rPr>
      </w:pPr>
      <w:bookmarkStart w:id="33" w:name="_Toc524614739"/>
      <w:bookmarkStart w:id="34" w:name="_Toc524614955"/>
      <w:bookmarkStart w:id="35" w:name="_Toc182813860"/>
      <w:r>
        <w:rPr>
          <w:rFonts w:cs="Times New Roman"/>
          <w:b w:val="0"/>
          <w:sz w:val="24"/>
        </w:rPr>
        <w:t xml:space="preserve">Зоны действия </w:t>
      </w:r>
      <w:bookmarkEnd w:id="33"/>
      <w:bookmarkEnd w:id="34"/>
      <w:r>
        <w:rPr>
          <w:rFonts w:cs="Times New Roman"/>
          <w:b w:val="0"/>
          <w:sz w:val="24"/>
        </w:rPr>
        <w:t>производственных котельных</w:t>
      </w:r>
      <w:bookmarkEnd w:id="35"/>
    </w:p>
    <w:p w14:paraId="4DA63195">
      <w:pPr>
        <w:spacing w:after="0" w:line="240" w:lineRule="auto"/>
        <w:contextualSpacing/>
        <w:jc w:val="both"/>
        <w:rPr>
          <w:sz w:val="24"/>
          <w:szCs w:val="24"/>
        </w:rPr>
      </w:pPr>
      <w:r>
        <w:rPr>
          <w:sz w:val="24"/>
          <w:szCs w:val="24"/>
        </w:rPr>
        <w:t>На территории с.п. Верхнеказымский производственные котельные отсутствуют.</w:t>
      </w:r>
    </w:p>
    <w:p w14:paraId="3F2744E8">
      <w:pPr>
        <w:widowControl w:val="0"/>
        <w:spacing w:after="0" w:line="240" w:lineRule="auto"/>
        <w:contextualSpacing/>
        <w:jc w:val="center"/>
        <w:rPr>
          <w:sz w:val="24"/>
          <w:szCs w:val="24"/>
        </w:rPr>
      </w:pPr>
    </w:p>
    <w:p w14:paraId="11C46579">
      <w:pPr>
        <w:pStyle w:val="4"/>
        <w:spacing w:before="0" w:line="240" w:lineRule="auto"/>
        <w:ind w:left="0" w:firstLine="709"/>
        <w:contextualSpacing/>
        <w:rPr>
          <w:rFonts w:cs="Times New Roman"/>
          <w:b w:val="0"/>
          <w:sz w:val="24"/>
        </w:rPr>
      </w:pPr>
      <w:bookmarkStart w:id="36" w:name="_Toc524614740"/>
      <w:bookmarkStart w:id="37" w:name="_Toc524614956"/>
      <w:bookmarkStart w:id="38" w:name="_Toc182813861"/>
      <w:r>
        <w:rPr>
          <w:rFonts w:cs="Times New Roman"/>
          <w:b w:val="0"/>
          <w:sz w:val="24"/>
        </w:rPr>
        <w:t>Описание зон действия индивидуального теплоснабжения</w:t>
      </w:r>
      <w:bookmarkEnd w:id="36"/>
      <w:bookmarkEnd w:id="37"/>
      <w:bookmarkEnd w:id="38"/>
    </w:p>
    <w:p w14:paraId="09D56299">
      <w:pPr>
        <w:spacing w:after="0" w:line="240" w:lineRule="auto"/>
        <w:contextualSpacing/>
        <w:jc w:val="both"/>
        <w:rPr>
          <w:sz w:val="24"/>
          <w:szCs w:val="24"/>
        </w:rPr>
      </w:pPr>
      <w:r>
        <w:rPr>
          <w:sz w:val="24"/>
          <w:szCs w:val="24"/>
        </w:rPr>
        <w:t>Зоны действия индивидуального теплоснабжения в с.п. Верхнеказымский отсутствуют.</w:t>
      </w:r>
    </w:p>
    <w:p w14:paraId="6411C0E3">
      <w:pPr>
        <w:spacing w:after="0" w:line="240" w:lineRule="auto"/>
        <w:contextualSpacing/>
        <w:jc w:val="both"/>
        <w:rPr>
          <w:sz w:val="24"/>
          <w:szCs w:val="24"/>
        </w:rPr>
      </w:pPr>
    </w:p>
    <w:p w14:paraId="4D3BED08">
      <w:pPr>
        <w:pStyle w:val="4"/>
        <w:spacing w:before="0" w:line="240" w:lineRule="auto"/>
        <w:ind w:left="0" w:firstLine="709"/>
        <w:contextualSpacing/>
        <w:rPr>
          <w:rFonts w:cs="Times New Roman"/>
          <w:b w:val="0"/>
          <w:sz w:val="24"/>
        </w:rPr>
      </w:pPr>
      <w:bookmarkStart w:id="39" w:name="_Toc524614741"/>
      <w:bookmarkStart w:id="40" w:name="_Toc524614957"/>
      <w:bookmarkStart w:id="41" w:name="_Toc182813862"/>
      <w:r>
        <w:rPr>
          <w:rFonts w:cs="Times New Roman"/>
          <w:b w:val="0"/>
          <w:sz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bookmarkEnd w:id="39"/>
      <w:bookmarkEnd w:id="40"/>
      <w:bookmarkEnd w:id="41"/>
    </w:p>
    <w:p w14:paraId="221F81FC">
      <w:pPr>
        <w:spacing w:after="0" w:line="240" w:lineRule="auto"/>
        <w:contextualSpacing/>
        <w:jc w:val="both"/>
        <w:rPr>
          <w:sz w:val="24"/>
          <w:szCs w:val="24"/>
        </w:rPr>
      </w:pPr>
      <w:r>
        <w:rPr>
          <w:sz w:val="24"/>
          <w:szCs w:val="24"/>
        </w:rPr>
        <w:t>За период, предшествующий актуализации схемы теплоснабжения, изменения, произошедшие в функциональной структуре теплоснабжения с.п. Верхнеказымский, следующие:</w:t>
      </w:r>
    </w:p>
    <w:p w14:paraId="5EAACACB">
      <w:pPr>
        <w:spacing w:after="0" w:line="240" w:lineRule="auto"/>
        <w:contextualSpacing/>
        <w:jc w:val="both"/>
        <w:rPr>
          <w:sz w:val="24"/>
          <w:szCs w:val="24"/>
        </w:rPr>
      </w:pPr>
      <w:r>
        <w:rPr>
          <w:sz w:val="24"/>
          <w:szCs w:val="24"/>
        </w:rPr>
        <w:t>- Вместо АО «ЮКЭК-Белоярский» услуги по теплоснабжению стала оказывать МУП «БКС».</w:t>
      </w:r>
    </w:p>
    <w:p w14:paraId="41CFE5C3">
      <w:pPr>
        <w:spacing w:after="0" w:line="240" w:lineRule="auto"/>
        <w:contextualSpacing/>
        <w:jc w:val="both"/>
        <w:rPr>
          <w:sz w:val="24"/>
          <w:szCs w:val="24"/>
        </w:rPr>
      </w:pPr>
      <w:r>
        <w:rPr>
          <w:sz w:val="24"/>
          <w:szCs w:val="24"/>
        </w:rPr>
        <w:t>- Котельная «Импак» находится в резерве.</w:t>
      </w:r>
    </w:p>
    <w:p w14:paraId="7A3380FA">
      <w:pPr>
        <w:spacing w:after="0" w:line="240" w:lineRule="auto"/>
        <w:contextualSpacing/>
        <w:jc w:val="both"/>
        <w:rPr>
          <w:sz w:val="24"/>
          <w:szCs w:val="24"/>
        </w:rPr>
      </w:pPr>
      <w:r>
        <w:rPr>
          <w:sz w:val="24"/>
          <w:szCs w:val="24"/>
        </w:rPr>
        <w:t>- Объекты, подключенные к централизованной системе теплоснабжения: в 2023 г. – жилой дом 5/1 и в 2024 г. – жилой дом блокированной застройки 4/1,4/2,4/3,4/4,4/5.</w:t>
      </w:r>
    </w:p>
    <w:p w14:paraId="5DD1BEAF">
      <w:pPr>
        <w:spacing w:after="0" w:line="240" w:lineRule="auto"/>
        <w:contextualSpacing/>
        <w:jc w:val="both"/>
        <w:rPr>
          <w:sz w:val="24"/>
          <w:szCs w:val="24"/>
        </w:rPr>
      </w:pPr>
      <w:r>
        <w:rPr>
          <w:sz w:val="24"/>
          <w:szCs w:val="24"/>
        </w:rPr>
        <w:t>- Объекты, выведенные из эксплуатации за 2022-2024 годы: 1 микрорайон: дома №№ 1, 2, 3, 4, 5 и 2 микрорайон: дома №№ 1, 2, 3, 4, 11, 12, 13, 14, 15.</w:t>
      </w:r>
    </w:p>
    <w:p w14:paraId="0BB03247">
      <w:pPr>
        <w:spacing w:after="0" w:line="240" w:lineRule="auto"/>
        <w:contextualSpacing/>
        <w:jc w:val="both"/>
        <w:rPr>
          <w:sz w:val="24"/>
          <w:szCs w:val="24"/>
        </w:rPr>
      </w:pPr>
    </w:p>
    <w:p w14:paraId="54D81374">
      <w:pPr>
        <w:spacing w:after="0" w:line="240" w:lineRule="auto"/>
        <w:contextualSpacing/>
        <w:jc w:val="both"/>
        <w:rPr>
          <w:sz w:val="24"/>
          <w:szCs w:val="24"/>
        </w:rPr>
      </w:pPr>
    </w:p>
    <w:p w14:paraId="49554FD0">
      <w:pPr>
        <w:spacing w:after="0" w:line="240" w:lineRule="auto"/>
        <w:contextualSpacing/>
        <w:jc w:val="both"/>
        <w:rPr>
          <w:sz w:val="24"/>
          <w:szCs w:val="24"/>
        </w:rPr>
      </w:pPr>
    </w:p>
    <w:p w14:paraId="0002B6A5">
      <w:pPr>
        <w:pStyle w:val="3"/>
        <w:keepLines w:val="0"/>
        <w:pageBreakBefore/>
        <w:widowControl w:val="0"/>
        <w:spacing w:before="0" w:line="240" w:lineRule="auto"/>
        <w:ind w:left="0" w:firstLine="709"/>
        <w:contextualSpacing/>
        <w:rPr>
          <w:rFonts w:cs="Times New Roman"/>
          <w:b w:val="0"/>
          <w:sz w:val="24"/>
          <w:szCs w:val="24"/>
        </w:rPr>
      </w:pPr>
      <w:bookmarkStart w:id="42" w:name="_Toc524614958"/>
      <w:bookmarkStart w:id="43" w:name="_Toc182813863"/>
      <w:bookmarkStart w:id="44" w:name="_Toc524614742"/>
      <w:r>
        <w:rPr>
          <w:rFonts w:cs="Times New Roman"/>
          <w:b w:val="0"/>
          <w:sz w:val="24"/>
          <w:szCs w:val="24"/>
        </w:rPr>
        <w:t>Часть 2. Источники тепловой энергии</w:t>
      </w:r>
      <w:bookmarkEnd w:id="42"/>
      <w:bookmarkEnd w:id="43"/>
      <w:bookmarkEnd w:id="44"/>
    </w:p>
    <w:p w14:paraId="138D2030">
      <w:pPr>
        <w:pStyle w:val="4"/>
        <w:spacing w:before="0" w:line="240" w:lineRule="auto"/>
        <w:ind w:left="0" w:firstLine="709"/>
        <w:contextualSpacing/>
        <w:rPr>
          <w:rFonts w:cs="Times New Roman"/>
          <w:b w:val="0"/>
          <w:sz w:val="24"/>
        </w:rPr>
      </w:pPr>
      <w:bookmarkStart w:id="45" w:name="_Toc524614743"/>
      <w:bookmarkStart w:id="46" w:name="_Toc524614959"/>
      <w:bookmarkStart w:id="47" w:name="_Toc182813864"/>
      <w:r>
        <w:rPr>
          <w:rFonts w:cs="Times New Roman"/>
          <w:b w:val="0"/>
          <w:sz w:val="24"/>
        </w:rPr>
        <w:t>Структура и технические характеристики основного оборудования</w:t>
      </w:r>
      <w:bookmarkEnd w:id="45"/>
      <w:bookmarkEnd w:id="46"/>
      <w:bookmarkEnd w:id="47"/>
    </w:p>
    <w:p w14:paraId="6A8687D6">
      <w:pPr>
        <w:spacing w:after="0" w:line="240" w:lineRule="auto"/>
        <w:contextualSpacing/>
        <w:jc w:val="both"/>
        <w:rPr>
          <w:sz w:val="24"/>
          <w:szCs w:val="24"/>
        </w:rPr>
      </w:pPr>
      <w:r>
        <w:rPr>
          <w:sz w:val="24"/>
          <w:szCs w:val="24"/>
        </w:rPr>
        <w:t>На территории с.п. Верхнеказымский действуют две системы централизованного теплоснабжения (СЦТ) – МУП «БКС» и ООО «Газпром трансгаз Югорск» Верхнеказымское ЛПУ МГ.</w:t>
      </w:r>
    </w:p>
    <w:p w14:paraId="4E3C8071">
      <w:pPr>
        <w:spacing w:after="0" w:line="240" w:lineRule="auto"/>
        <w:contextualSpacing/>
        <w:jc w:val="both"/>
        <w:rPr>
          <w:sz w:val="24"/>
          <w:szCs w:val="24"/>
        </w:rPr>
      </w:pPr>
      <w:r>
        <w:rPr>
          <w:sz w:val="24"/>
          <w:szCs w:val="24"/>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14:paraId="6D7E221A">
      <w:pPr>
        <w:spacing w:after="0" w:line="240" w:lineRule="auto"/>
        <w:contextualSpacing/>
        <w:jc w:val="both"/>
        <w:rPr>
          <w:sz w:val="24"/>
          <w:szCs w:val="24"/>
        </w:rPr>
      </w:pPr>
      <w:r>
        <w:rPr>
          <w:sz w:val="24"/>
          <w:szCs w:val="24"/>
        </w:rPr>
        <w:t>На территории с.п. Верхнеказымский централизованное теплоснабжение потребителей обеспечивают 3 котельные:</w:t>
      </w:r>
    </w:p>
    <w:p w14:paraId="1F30B391">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«2БВК» Верхнеказымское ЛПУ МГ;</w:t>
      </w:r>
    </w:p>
    <w:p w14:paraId="773F6777">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 2 МУП «БКС»;</w:t>
      </w:r>
    </w:p>
    <w:p w14:paraId="28A4BD0F">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«Вирбекс» Верхнеказымское ЛПУ МГ.</w:t>
      </w:r>
    </w:p>
    <w:p w14:paraId="309429F5">
      <w:pPr>
        <w:spacing w:after="0" w:line="240" w:lineRule="auto"/>
        <w:contextualSpacing/>
        <w:jc w:val="both"/>
        <w:rPr>
          <w:sz w:val="24"/>
          <w:szCs w:val="24"/>
        </w:rPr>
      </w:pPr>
    </w:p>
    <w:p w14:paraId="77D2F8BF">
      <w:pPr>
        <w:widowControl w:val="0"/>
        <w:spacing w:after="0" w:line="240" w:lineRule="auto"/>
        <w:jc w:val="both"/>
        <w:rPr>
          <w:sz w:val="24"/>
          <w:szCs w:val="24"/>
        </w:rPr>
      </w:pPr>
      <w:r>
        <w:rPr>
          <w:sz w:val="24"/>
          <w:szCs w:val="24"/>
        </w:rPr>
        <w:t>Основным топливом для котлоагрегатов является природный газ, резервное топливо не предусмотрено.</w:t>
      </w:r>
    </w:p>
    <w:p w14:paraId="1EEFDB03">
      <w:pPr>
        <w:widowControl w:val="0"/>
        <w:spacing w:after="0" w:line="240" w:lineRule="auto"/>
        <w:contextualSpacing/>
        <w:jc w:val="both"/>
        <w:rPr>
          <w:sz w:val="24"/>
          <w:szCs w:val="24"/>
        </w:rPr>
      </w:pPr>
      <w:r>
        <w:rPr>
          <w:sz w:val="24"/>
          <w:szCs w:val="24"/>
        </w:rPr>
        <w:t>Структура и технические характеристики основного оборудования, работающих котельных, приведена ниже в разрезе эксплуатируемых организаций.</w:t>
      </w:r>
    </w:p>
    <w:p w14:paraId="7C9BD04F">
      <w:pPr>
        <w:widowControl w:val="0"/>
        <w:spacing w:after="0" w:line="240" w:lineRule="auto"/>
        <w:jc w:val="both"/>
        <w:rPr>
          <w:sz w:val="24"/>
          <w:szCs w:val="24"/>
        </w:rPr>
      </w:pPr>
      <w:r>
        <w:rPr>
          <w:sz w:val="24"/>
          <w:szCs w:val="24"/>
        </w:rPr>
        <w:t>В дальнейшем данные будут представлены только для работающих источников тепловой энергии.</w:t>
      </w:r>
    </w:p>
    <w:p w14:paraId="0FF98F67">
      <w:pPr>
        <w:widowControl w:val="0"/>
        <w:spacing w:after="0" w:line="240" w:lineRule="auto"/>
        <w:jc w:val="both"/>
        <w:rPr>
          <w:sz w:val="24"/>
          <w:szCs w:val="24"/>
        </w:rPr>
      </w:pPr>
    </w:p>
    <w:p w14:paraId="1C58E893">
      <w:pPr>
        <w:widowControl w:val="0"/>
        <w:spacing w:after="0" w:line="240" w:lineRule="auto"/>
        <w:contextualSpacing/>
        <w:jc w:val="both"/>
        <w:rPr>
          <w:sz w:val="24"/>
          <w:szCs w:val="24"/>
        </w:rPr>
      </w:pPr>
      <w:r>
        <w:rPr>
          <w:sz w:val="24"/>
          <w:szCs w:val="24"/>
        </w:rPr>
        <w:t>Основными проблемами многих источников тепловой энергии являются:</w:t>
      </w:r>
    </w:p>
    <w:p w14:paraId="5D0ABF20">
      <w:pPr>
        <w:pStyle w:val="153"/>
        <w:numPr>
          <w:ilvl w:val="0"/>
          <w:numId w:val="28"/>
        </w:numPr>
        <w:tabs>
          <w:tab w:val="left" w:pos="993"/>
        </w:tabs>
        <w:adjustRightInd/>
        <w:ind w:left="0" w:firstLine="709"/>
        <w:textAlignment w:val="auto"/>
        <w:rPr>
          <w:sz w:val="24"/>
          <w:szCs w:val="24"/>
        </w:rPr>
      </w:pPr>
      <w:r>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59F18CFE">
      <w:pPr>
        <w:pStyle w:val="153"/>
        <w:numPr>
          <w:ilvl w:val="0"/>
          <w:numId w:val="28"/>
        </w:numPr>
        <w:tabs>
          <w:tab w:val="left" w:pos="993"/>
        </w:tabs>
        <w:adjustRightInd/>
        <w:ind w:left="0" w:firstLine="709"/>
        <w:textAlignment w:val="auto"/>
        <w:rPr>
          <w:sz w:val="24"/>
          <w:szCs w:val="24"/>
        </w:rPr>
      </w:pPr>
      <w:r>
        <w:rPr>
          <w:sz w:val="24"/>
          <w:szCs w:val="24"/>
        </w:rPr>
        <w:t>недостаток приборов учета тепловой энергии на котельных и у потребителей;</w:t>
      </w:r>
    </w:p>
    <w:p w14:paraId="5CD56929">
      <w:pPr>
        <w:pStyle w:val="153"/>
        <w:numPr>
          <w:ilvl w:val="0"/>
          <w:numId w:val="28"/>
        </w:numPr>
        <w:tabs>
          <w:tab w:val="left" w:pos="993"/>
        </w:tabs>
        <w:adjustRightInd/>
        <w:ind w:left="0" w:firstLine="709"/>
        <w:textAlignment w:val="auto"/>
        <w:rPr>
          <w:sz w:val="24"/>
          <w:szCs w:val="24"/>
        </w:rPr>
      </w:pPr>
      <w:r>
        <w:rPr>
          <w:sz w:val="24"/>
          <w:szCs w:val="24"/>
        </w:rPr>
        <w:t>отсутствие или небольшой запас мощности на многих котельных;</w:t>
      </w:r>
    </w:p>
    <w:p w14:paraId="20B64838">
      <w:pPr>
        <w:pStyle w:val="153"/>
        <w:numPr>
          <w:ilvl w:val="0"/>
          <w:numId w:val="28"/>
        </w:numPr>
        <w:tabs>
          <w:tab w:val="left" w:pos="993"/>
        </w:tabs>
        <w:adjustRightInd/>
        <w:ind w:left="0" w:firstLine="709"/>
        <w:textAlignment w:val="auto"/>
        <w:rPr>
          <w:sz w:val="24"/>
          <w:szCs w:val="24"/>
        </w:rPr>
      </w:pPr>
      <w:r>
        <w:rPr>
          <w:sz w:val="24"/>
          <w:szCs w:val="24"/>
        </w:rPr>
        <w:t>изношенность тепловых сетей;</w:t>
      </w:r>
    </w:p>
    <w:p w14:paraId="076C32E8">
      <w:pPr>
        <w:pStyle w:val="153"/>
        <w:numPr>
          <w:ilvl w:val="0"/>
          <w:numId w:val="28"/>
        </w:numPr>
        <w:tabs>
          <w:tab w:val="left" w:pos="993"/>
        </w:tabs>
        <w:adjustRightInd/>
        <w:ind w:left="0" w:firstLine="709"/>
        <w:textAlignment w:val="auto"/>
        <w:rPr>
          <w:sz w:val="24"/>
          <w:szCs w:val="24"/>
        </w:rPr>
      </w:pPr>
      <w:r>
        <w:rPr>
          <w:sz w:val="24"/>
          <w:szCs w:val="24"/>
        </w:rPr>
        <w:t>повышенные потери тепловой энергии в тепловых сетях;</w:t>
      </w:r>
    </w:p>
    <w:p w14:paraId="21F099A9">
      <w:pPr>
        <w:pStyle w:val="153"/>
        <w:numPr>
          <w:ilvl w:val="0"/>
          <w:numId w:val="28"/>
        </w:numPr>
        <w:tabs>
          <w:tab w:val="left" w:pos="993"/>
        </w:tabs>
        <w:adjustRightInd/>
        <w:ind w:left="0" w:firstLine="709"/>
        <w:textAlignment w:val="auto"/>
        <w:rPr>
          <w:sz w:val="24"/>
          <w:szCs w:val="24"/>
        </w:rPr>
      </w:pPr>
      <w:r>
        <w:rPr>
          <w:sz w:val="24"/>
          <w:szCs w:val="24"/>
        </w:rPr>
        <w:t>нарушение гидравлического режима.</w:t>
      </w:r>
    </w:p>
    <w:p w14:paraId="544EFE83">
      <w:pPr>
        <w:spacing w:after="0" w:line="240" w:lineRule="auto"/>
        <w:ind w:firstLine="0"/>
        <w:jc w:val="both"/>
        <w:rPr>
          <w:sz w:val="24"/>
          <w:szCs w:val="24"/>
        </w:rPr>
      </w:pPr>
    </w:p>
    <w:p w14:paraId="36DCC117">
      <w:pPr>
        <w:keepNext/>
        <w:spacing w:after="0" w:line="240" w:lineRule="auto"/>
        <w:ind w:firstLine="0"/>
        <w:jc w:val="both"/>
        <w:rPr>
          <w:bCs/>
          <w:sz w:val="24"/>
          <w:szCs w:val="24"/>
        </w:rPr>
        <w:sectPr>
          <w:pgSz w:w="11906" w:h="16838"/>
          <w:pgMar w:top="1134" w:right="567" w:bottom="1134" w:left="1701" w:header="283" w:footer="567" w:gutter="0"/>
          <w:cols w:space="708" w:num="1"/>
          <w:titlePg/>
          <w:docGrid w:linePitch="360" w:charSpace="0"/>
        </w:sectPr>
      </w:pPr>
    </w:p>
    <w:p w14:paraId="726A83C2">
      <w:pPr>
        <w:keepNext/>
        <w:spacing w:after="0" w:line="240" w:lineRule="auto"/>
        <w:ind w:firstLine="0"/>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3</w:t>
      </w:r>
      <w:r>
        <w:rPr>
          <w:bCs/>
          <w:sz w:val="24"/>
          <w:szCs w:val="24"/>
        </w:rPr>
        <w:fldChar w:fldCharType="end"/>
      </w:r>
      <w:r>
        <w:rPr>
          <w:bCs/>
          <w:sz w:val="24"/>
          <w:szCs w:val="24"/>
        </w:rPr>
        <w:t xml:space="preserve"> – Технические характеристики котельного оборудования источников тепловой энергии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65"/>
        <w:gridCol w:w="2146"/>
        <w:gridCol w:w="1599"/>
        <w:gridCol w:w="1432"/>
        <w:gridCol w:w="1435"/>
        <w:gridCol w:w="738"/>
        <w:gridCol w:w="1281"/>
        <w:gridCol w:w="1026"/>
        <w:gridCol w:w="1546"/>
        <w:gridCol w:w="1524"/>
      </w:tblGrid>
      <w:tr w14:paraId="6B74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815" w:type="pct"/>
            <w:vMerge w:val="restart"/>
            <w:shd w:val="clear" w:color="auto" w:fill="auto"/>
            <w:vAlign w:val="center"/>
          </w:tcPr>
          <w:p w14:paraId="31543C77">
            <w:pPr>
              <w:spacing w:after="0" w:line="240" w:lineRule="auto"/>
              <w:ind w:firstLine="0"/>
              <w:jc w:val="center"/>
              <w:rPr>
                <w:bCs/>
                <w:sz w:val="20"/>
                <w:szCs w:val="20"/>
              </w:rPr>
            </w:pPr>
            <w:r>
              <w:rPr>
                <w:bCs/>
                <w:sz w:val="20"/>
                <w:szCs w:val="20"/>
              </w:rPr>
              <w:t>Наименование источника тепловой энергии</w:t>
            </w:r>
          </w:p>
        </w:tc>
        <w:tc>
          <w:tcPr>
            <w:tcW w:w="710" w:type="pct"/>
            <w:vMerge w:val="restart"/>
            <w:shd w:val="clear" w:color="auto" w:fill="auto"/>
            <w:vAlign w:val="center"/>
          </w:tcPr>
          <w:p w14:paraId="422CCDD4">
            <w:pPr>
              <w:spacing w:after="0" w:line="240" w:lineRule="auto"/>
              <w:ind w:firstLine="0"/>
              <w:jc w:val="center"/>
              <w:rPr>
                <w:bCs/>
                <w:sz w:val="20"/>
                <w:szCs w:val="20"/>
              </w:rPr>
            </w:pPr>
            <w:r>
              <w:rPr>
                <w:bCs/>
                <w:sz w:val="20"/>
                <w:szCs w:val="20"/>
              </w:rPr>
              <w:t>Марка основного оборудования</w:t>
            </w:r>
          </w:p>
        </w:tc>
        <w:tc>
          <w:tcPr>
            <w:tcW w:w="530" w:type="pct"/>
            <w:vMerge w:val="restart"/>
            <w:shd w:val="clear" w:color="auto" w:fill="auto"/>
            <w:vAlign w:val="center"/>
          </w:tcPr>
          <w:p w14:paraId="498296B6">
            <w:pPr>
              <w:spacing w:after="0" w:line="240" w:lineRule="auto"/>
              <w:ind w:firstLine="0"/>
              <w:jc w:val="center"/>
              <w:rPr>
                <w:bCs/>
                <w:sz w:val="20"/>
                <w:szCs w:val="20"/>
              </w:rPr>
            </w:pPr>
            <w:r>
              <w:rPr>
                <w:bCs/>
                <w:sz w:val="20"/>
                <w:szCs w:val="20"/>
              </w:rPr>
              <w:t>Износ котельного оборудования, %</w:t>
            </w:r>
          </w:p>
        </w:tc>
        <w:tc>
          <w:tcPr>
            <w:tcW w:w="951" w:type="pct"/>
            <w:gridSpan w:val="2"/>
            <w:shd w:val="clear" w:color="auto" w:fill="auto"/>
            <w:vAlign w:val="center"/>
          </w:tcPr>
          <w:p w14:paraId="2CD001E0">
            <w:pPr>
              <w:spacing w:after="0" w:line="240" w:lineRule="auto"/>
              <w:ind w:firstLine="0"/>
              <w:jc w:val="center"/>
              <w:rPr>
                <w:bCs/>
                <w:sz w:val="20"/>
                <w:szCs w:val="20"/>
              </w:rPr>
            </w:pPr>
            <w:r>
              <w:rPr>
                <w:bCs/>
                <w:sz w:val="20"/>
                <w:szCs w:val="20"/>
              </w:rPr>
              <w:t>Тепловая мощность</w:t>
            </w:r>
          </w:p>
        </w:tc>
        <w:tc>
          <w:tcPr>
            <w:tcW w:w="211" w:type="pct"/>
            <w:vMerge w:val="restart"/>
            <w:shd w:val="clear" w:color="auto" w:fill="auto"/>
            <w:vAlign w:val="center"/>
          </w:tcPr>
          <w:p w14:paraId="7243EC8D">
            <w:pPr>
              <w:spacing w:after="0" w:line="240" w:lineRule="auto"/>
              <w:ind w:firstLine="0"/>
              <w:jc w:val="center"/>
              <w:rPr>
                <w:bCs/>
                <w:sz w:val="20"/>
                <w:szCs w:val="20"/>
              </w:rPr>
            </w:pPr>
            <w:r>
              <w:rPr>
                <w:bCs/>
                <w:sz w:val="20"/>
                <w:szCs w:val="20"/>
              </w:rPr>
              <w:t>КПД, %</w:t>
            </w:r>
          </w:p>
        </w:tc>
        <w:tc>
          <w:tcPr>
            <w:tcW w:w="425" w:type="pct"/>
            <w:vMerge w:val="restart"/>
            <w:shd w:val="clear" w:color="auto" w:fill="auto"/>
            <w:vAlign w:val="center"/>
          </w:tcPr>
          <w:p w14:paraId="5F363BC2">
            <w:pPr>
              <w:spacing w:after="0" w:line="240" w:lineRule="auto"/>
              <w:ind w:firstLine="0"/>
              <w:jc w:val="center"/>
              <w:rPr>
                <w:bCs/>
                <w:sz w:val="20"/>
                <w:szCs w:val="20"/>
              </w:rPr>
            </w:pPr>
            <w:r>
              <w:rPr>
                <w:bCs/>
                <w:sz w:val="20"/>
                <w:szCs w:val="20"/>
              </w:rPr>
              <w:t>Год ввода в эксплуатацию</w:t>
            </w:r>
          </w:p>
        </w:tc>
        <w:tc>
          <w:tcPr>
            <w:tcW w:w="341" w:type="pct"/>
            <w:vMerge w:val="restart"/>
            <w:shd w:val="clear" w:color="auto" w:fill="auto"/>
            <w:vAlign w:val="center"/>
          </w:tcPr>
          <w:p w14:paraId="0F70CFC8">
            <w:pPr>
              <w:spacing w:after="0" w:line="240" w:lineRule="auto"/>
              <w:ind w:firstLine="0"/>
              <w:jc w:val="center"/>
              <w:rPr>
                <w:bCs/>
                <w:sz w:val="20"/>
                <w:szCs w:val="20"/>
              </w:rPr>
            </w:pPr>
            <w:r>
              <w:rPr>
                <w:bCs/>
                <w:sz w:val="20"/>
                <w:szCs w:val="20"/>
              </w:rPr>
              <w:t>Учёт тепловой энергии</w:t>
            </w:r>
          </w:p>
        </w:tc>
        <w:tc>
          <w:tcPr>
            <w:tcW w:w="512" w:type="pct"/>
            <w:vMerge w:val="restart"/>
            <w:shd w:val="clear" w:color="auto" w:fill="auto"/>
            <w:vAlign w:val="center"/>
          </w:tcPr>
          <w:p w14:paraId="06FABD4B">
            <w:pPr>
              <w:spacing w:after="0" w:line="240" w:lineRule="auto"/>
              <w:ind w:firstLine="0"/>
              <w:jc w:val="center"/>
              <w:rPr>
                <w:bCs/>
                <w:sz w:val="20"/>
                <w:szCs w:val="20"/>
              </w:rPr>
            </w:pPr>
            <w:r>
              <w:rPr>
                <w:bCs/>
                <w:sz w:val="20"/>
                <w:szCs w:val="20"/>
              </w:rPr>
              <w:t>Оборудование водоподготовки</w:t>
            </w:r>
          </w:p>
        </w:tc>
        <w:tc>
          <w:tcPr>
            <w:tcW w:w="506" w:type="pct"/>
            <w:vMerge w:val="restart"/>
            <w:shd w:val="clear" w:color="auto" w:fill="auto"/>
            <w:vAlign w:val="center"/>
          </w:tcPr>
          <w:p w14:paraId="7E0556A2">
            <w:pPr>
              <w:spacing w:after="0" w:line="240" w:lineRule="auto"/>
              <w:ind w:firstLine="0"/>
              <w:jc w:val="center"/>
              <w:rPr>
                <w:bCs/>
                <w:sz w:val="20"/>
                <w:szCs w:val="20"/>
              </w:rPr>
            </w:pPr>
            <w:r>
              <w:rPr>
                <w:bCs/>
                <w:sz w:val="20"/>
                <w:szCs w:val="20"/>
              </w:rPr>
              <w:t>Предписания надзорных органов</w:t>
            </w:r>
          </w:p>
        </w:tc>
      </w:tr>
      <w:tr w14:paraId="2D94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3027CAF1">
            <w:pPr>
              <w:spacing w:after="0" w:line="240" w:lineRule="auto"/>
              <w:ind w:firstLine="0"/>
              <w:rPr>
                <w:bCs/>
                <w:sz w:val="20"/>
                <w:szCs w:val="20"/>
              </w:rPr>
            </w:pPr>
          </w:p>
        </w:tc>
        <w:tc>
          <w:tcPr>
            <w:tcW w:w="710" w:type="pct"/>
            <w:vMerge w:val="continue"/>
            <w:vAlign w:val="center"/>
          </w:tcPr>
          <w:p w14:paraId="7E230E67">
            <w:pPr>
              <w:spacing w:after="0" w:line="240" w:lineRule="auto"/>
              <w:ind w:firstLine="0"/>
              <w:rPr>
                <w:bCs/>
                <w:sz w:val="20"/>
                <w:szCs w:val="20"/>
              </w:rPr>
            </w:pPr>
          </w:p>
        </w:tc>
        <w:tc>
          <w:tcPr>
            <w:tcW w:w="530" w:type="pct"/>
            <w:vMerge w:val="continue"/>
            <w:vAlign w:val="center"/>
          </w:tcPr>
          <w:p w14:paraId="52B42471">
            <w:pPr>
              <w:spacing w:after="0" w:line="240" w:lineRule="auto"/>
              <w:ind w:firstLine="0"/>
              <w:rPr>
                <w:bCs/>
                <w:sz w:val="20"/>
                <w:szCs w:val="20"/>
              </w:rPr>
            </w:pPr>
          </w:p>
        </w:tc>
        <w:tc>
          <w:tcPr>
            <w:tcW w:w="475" w:type="pct"/>
            <w:shd w:val="clear" w:color="auto" w:fill="auto"/>
            <w:vAlign w:val="center"/>
          </w:tcPr>
          <w:p w14:paraId="192D831D">
            <w:pPr>
              <w:spacing w:after="0" w:line="240" w:lineRule="auto"/>
              <w:ind w:firstLine="0"/>
              <w:jc w:val="center"/>
              <w:rPr>
                <w:bCs/>
                <w:sz w:val="20"/>
                <w:szCs w:val="20"/>
              </w:rPr>
            </w:pPr>
            <w:r>
              <w:rPr>
                <w:bCs/>
                <w:sz w:val="20"/>
                <w:szCs w:val="20"/>
              </w:rPr>
              <w:t>установленная, Гкал/ч</w:t>
            </w:r>
          </w:p>
        </w:tc>
        <w:tc>
          <w:tcPr>
            <w:tcW w:w="475" w:type="pct"/>
            <w:shd w:val="clear" w:color="auto" w:fill="auto"/>
            <w:vAlign w:val="center"/>
          </w:tcPr>
          <w:p w14:paraId="1B2C7EB0">
            <w:pPr>
              <w:spacing w:after="0" w:line="240" w:lineRule="auto"/>
              <w:ind w:firstLine="0"/>
              <w:jc w:val="center"/>
              <w:rPr>
                <w:bCs/>
                <w:sz w:val="20"/>
                <w:szCs w:val="20"/>
              </w:rPr>
            </w:pPr>
            <w:r>
              <w:rPr>
                <w:bCs/>
                <w:sz w:val="20"/>
                <w:szCs w:val="20"/>
              </w:rPr>
              <w:t>располагаемая, Гкал/ч</w:t>
            </w:r>
          </w:p>
        </w:tc>
        <w:tc>
          <w:tcPr>
            <w:tcW w:w="211" w:type="pct"/>
            <w:vMerge w:val="continue"/>
            <w:vAlign w:val="center"/>
          </w:tcPr>
          <w:p w14:paraId="3613A89A">
            <w:pPr>
              <w:spacing w:after="0" w:line="240" w:lineRule="auto"/>
              <w:ind w:firstLine="0"/>
              <w:rPr>
                <w:bCs/>
                <w:sz w:val="20"/>
                <w:szCs w:val="20"/>
              </w:rPr>
            </w:pPr>
          </w:p>
        </w:tc>
        <w:tc>
          <w:tcPr>
            <w:tcW w:w="425" w:type="pct"/>
            <w:vMerge w:val="continue"/>
            <w:vAlign w:val="center"/>
          </w:tcPr>
          <w:p w14:paraId="1C31A9D7">
            <w:pPr>
              <w:spacing w:after="0" w:line="240" w:lineRule="auto"/>
              <w:ind w:firstLine="0"/>
              <w:rPr>
                <w:bCs/>
                <w:sz w:val="20"/>
                <w:szCs w:val="20"/>
              </w:rPr>
            </w:pPr>
          </w:p>
        </w:tc>
        <w:tc>
          <w:tcPr>
            <w:tcW w:w="341" w:type="pct"/>
            <w:vMerge w:val="continue"/>
            <w:vAlign w:val="center"/>
          </w:tcPr>
          <w:p w14:paraId="53CF6D55">
            <w:pPr>
              <w:spacing w:after="0" w:line="240" w:lineRule="auto"/>
              <w:ind w:firstLine="0"/>
              <w:rPr>
                <w:bCs/>
                <w:sz w:val="20"/>
                <w:szCs w:val="20"/>
              </w:rPr>
            </w:pPr>
          </w:p>
        </w:tc>
        <w:tc>
          <w:tcPr>
            <w:tcW w:w="512" w:type="pct"/>
            <w:vMerge w:val="continue"/>
            <w:vAlign w:val="center"/>
          </w:tcPr>
          <w:p w14:paraId="615C54E2">
            <w:pPr>
              <w:spacing w:after="0" w:line="240" w:lineRule="auto"/>
              <w:ind w:firstLine="0"/>
              <w:rPr>
                <w:bCs/>
                <w:sz w:val="20"/>
                <w:szCs w:val="20"/>
              </w:rPr>
            </w:pPr>
          </w:p>
        </w:tc>
        <w:tc>
          <w:tcPr>
            <w:tcW w:w="506" w:type="pct"/>
            <w:vMerge w:val="continue"/>
            <w:vAlign w:val="center"/>
          </w:tcPr>
          <w:p w14:paraId="00B787E5">
            <w:pPr>
              <w:spacing w:after="0" w:line="240" w:lineRule="auto"/>
              <w:ind w:firstLine="0"/>
              <w:rPr>
                <w:bCs/>
                <w:sz w:val="20"/>
                <w:szCs w:val="20"/>
              </w:rPr>
            </w:pPr>
          </w:p>
        </w:tc>
      </w:tr>
      <w:tr w14:paraId="6A27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815" w:type="pct"/>
            <w:vMerge w:val="restart"/>
            <w:shd w:val="clear" w:color="auto" w:fill="auto"/>
            <w:vAlign w:val="center"/>
          </w:tcPr>
          <w:p w14:paraId="00E69F62">
            <w:pPr>
              <w:spacing w:after="0" w:line="240" w:lineRule="auto"/>
              <w:ind w:firstLine="0"/>
              <w:jc w:val="center"/>
              <w:rPr>
                <w:sz w:val="20"/>
                <w:szCs w:val="20"/>
              </w:rPr>
            </w:pPr>
            <w:r>
              <w:rPr>
                <w:color w:val="000000"/>
                <w:sz w:val="20"/>
                <w:szCs w:val="20"/>
              </w:rPr>
              <w:t>Котельная №2 МУП «БКС»</w:t>
            </w:r>
          </w:p>
        </w:tc>
        <w:tc>
          <w:tcPr>
            <w:tcW w:w="710" w:type="pct"/>
            <w:shd w:val="clear" w:color="auto" w:fill="auto"/>
            <w:vAlign w:val="center"/>
          </w:tcPr>
          <w:p w14:paraId="024522E5">
            <w:pPr>
              <w:spacing w:after="0" w:line="240" w:lineRule="auto"/>
              <w:ind w:firstLine="0"/>
              <w:jc w:val="center"/>
              <w:rPr>
                <w:sz w:val="20"/>
                <w:szCs w:val="20"/>
              </w:rPr>
            </w:pPr>
            <w:r>
              <w:rPr>
                <w:sz w:val="20"/>
                <w:szCs w:val="20"/>
              </w:rPr>
              <w:t>NOVITER NWT 3,5-1,0-115</w:t>
            </w:r>
          </w:p>
        </w:tc>
        <w:tc>
          <w:tcPr>
            <w:tcW w:w="530" w:type="pct"/>
            <w:vMerge w:val="restart"/>
            <w:shd w:val="clear" w:color="auto" w:fill="auto"/>
            <w:vAlign w:val="center"/>
          </w:tcPr>
          <w:p w14:paraId="3CCCF78E">
            <w:pPr>
              <w:spacing w:after="0" w:line="240" w:lineRule="auto"/>
              <w:ind w:firstLine="0"/>
              <w:jc w:val="center"/>
              <w:rPr>
                <w:sz w:val="20"/>
                <w:szCs w:val="20"/>
              </w:rPr>
            </w:pPr>
            <w:r>
              <w:rPr>
                <w:sz w:val="20"/>
                <w:szCs w:val="20"/>
              </w:rPr>
              <w:t>100</w:t>
            </w:r>
          </w:p>
        </w:tc>
        <w:tc>
          <w:tcPr>
            <w:tcW w:w="475" w:type="pct"/>
            <w:shd w:val="clear" w:color="auto" w:fill="auto"/>
            <w:vAlign w:val="center"/>
          </w:tcPr>
          <w:p w14:paraId="25EB1026">
            <w:pPr>
              <w:spacing w:after="0" w:line="240" w:lineRule="auto"/>
              <w:ind w:firstLine="0"/>
              <w:jc w:val="center"/>
              <w:rPr>
                <w:sz w:val="20"/>
                <w:szCs w:val="20"/>
              </w:rPr>
            </w:pPr>
            <w:r>
              <w:rPr>
                <w:sz w:val="20"/>
                <w:szCs w:val="20"/>
              </w:rPr>
              <w:t>3,010</w:t>
            </w:r>
          </w:p>
        </w:tc>
        <w:tc>
          <w:tcPr>
            <w:tcW w:w="475" w:type="pct"/>
            <w:vMerge w:val="restart"/>
            <w:shd w:val="clear" w:color="auto" w:fill="auto"/>
            <w:vAlign w:val="center"/>
          </w:tcPr>
          <w:p w14:paraId="4373E4D3">
            <w:pPr>
              <w:spacing w:after="0" w:line="240" w:lineRule="auto"/>
              <w:ind w:firstLine="0"/>
              <w:jc w:val="center"/>
              <w:rPr>
                <w:sz w:val="20"/>
                <w:szCs w:val="20"/>
              </w:rPr>
            </w:pPr>
            <w:r>
              <w:rPr>
                <w:sz w:val="20"/>
                <w:szCs w:val="20"/>
              </w:rPr>
              <w:t>5,94</w:t>
            </w:r>
          </w:p>
        </w:tc>
        <w:tc>
          <w:tcPr>
            <w:tcW w:w="211" w:type="pct"/>
            <w:vMerge w:val="restart"/>
            <w:shd w:val="clear" w:color="auto" w:fill="auto"/>
            <w:vAlign w:val="center"/>
          </w:tcPr>
          <w:p w14:paraId="5ADD6494">
            <w:pPr>
              <w:spacing w:after="0" w:line="240" w:lineRule="auto"/>
              <w:ind w:firstLine="0"/>
              <w:jc w:val="center"/>
              <w:rPr>
                <w:sz w:val="20"/>
                <w:szCs w:val="20"/>
              </w:rPr>
            </w:pPr>
            <w:r>
              <w:rPr>
                <w:sz w:val="20"/>
                <w:szCs w:val="20"/>
              </w:rPr>
              <w:t>87</w:t>
            </w:r>
          </w:p>
        </w:tc>
        <w:tc>
          <w:tcPr>
            <w:tcW w:w="425" w:type="pct"/>
            <w:shd w:val="clear" w:color="auto" w:fill="auto"/>
            <w:vAlign w:val="center"/>
          </w:tcPr>
          <w:p w14:paraId="0747FA08">
            <w:pPr>
              <w:spacing w:after="0" w:line="240" w:lineRule="auto"/>
              <w:ind w:firstLine="0"/>
              <w:jc w:val="center"/>
              <w:rPr>
                <w:sz w:val="20"/>
                <w:szCs w:val="20"/>
              </w:rPr>
            </w:pPr>
            <w:r>
              <w:rPr>
                <w:sz w:val="20"/>
                <w:szCs w:val="20"/>
              </w:rPr>
              <w:t>1997</w:t>
            </w:r>
          </w:p>
        </w:tc>
        <w:tc>
          <w:tcPr>
            <w:tcW w:w="341" w:type="pct"/>
            <w:vMerge w:val="restart"/>
            <w:shd w:val="clear" w:color="auto" w:fill="auto"/>
            <w:vAlign w:val="center"/>
          </w:tcPr>
          <w:p w14:paraId="31EC3430">
            <w:pPr>
              <w:spacing w:after="0" w:line="240" w:lineRule="auto"/>
              <w:ind w:firstLine="0"/>
              <w:jc w:val="center"/>
              <w:rPr>
                <w:sz w:val="20"/>
                <w:szCs w:val="20"/>
              </w:rPr>
            </w:pPr>
            <w:r>
              <w:rPr>
                <w:sz w:val="20"/>
                <w:szCs w:val="20"/>
              </w:rPr>
              <w:t>нет</w:t>
            </w:r>
          </w:p>
        </w:tc>
        <w:tc>
          <w:tcPr>
            <w:tcW w:w="512" w:type="pct"/>
            <w:vMerge w:val="restart"/>
            <w:shd w:val="clear" w:color="auto" w:fill="auto"/>
            <w:vAlign w:val="center"/>
          </w:tcPr>
          <w:p w14:paraId="2E27D531">
            <w:pPr>
              <w:spacing w:after="0" w:line="240" w:lineRule="auto"/>
              <w:ind w:firstLine="0"/>
              <w:jc w:val="center"/>
              <w:rPr>
                <w:sz w:val="20"/>
                <w:szCs w:val="20"/>
              </w:rPr>
            </w:pPr>
            <w:r>
              <w:rPr>
                <w:sz w:val="20"/>
                <w:szCs w:val="20"/>
              </w:rPr>
              <w:t>нет</w:t>
            </w:r>
          </w:p>
        </w:tc>
        <w:tc>
          <w:tcPr>
            <w:tcW w:w="506" w:type="pct"/>
            <w:vMerge w:val="restart"/>
            <w:shd w:val="clear" w:color="auto" w:fill="auto"/>
            <w:vAlign w:val="center"/>
          </w:tcPr>
          <w:p w14:paraId="44954552">
            <w:pPr>
              <w:spacing w:after="0" w:line="240" w:lineRule="auto"/>
              <w:ind w:firstLine="0"/>
              <w:jc w:val="center"/>
              <w:rPr>
                <w:sz w:val="20"/>
                <w:szCs w:val="20"/>
              </w:rPr>
            </w:pPr>
            <w:r>
              <w:rPr>
                <w:sz w:val="20"/>
                <w:szCs w:val="20"/>
              </w:rPr>
              <w:t>Предписания надзорными органами по запрещению дальнейшей эксплуатации оборудования источника не выдавались</w:t>
            </w:r>
          </w:p>
        </w:tc>
      </w:tr>
      <w:tr w14:paraId="303D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4077348A">
            <w:pPr>
              <w:spacing w:after="0" w:line="240" w:lineRule="auto"/>
              <w:ind w:firstLine="0"/>
              <w:rPr>
                <w:sz w:val="20"/>
                <w:szCs w:val="20"/>
              </w:rPr>
            </w:pPr>
          </w:p>
        </w:tc>
        <w:tc>
          <w:tcPr>
            <w:tcW w:w="710" w:type="pct"/>
            <w:shd w:val="clear" w:color="auto" w:fill="auto"/>
            <w:vAlign w:val="center"/>
          </w:tcPr>
          <w:p w14:paraId="7E056C1A">
            <w:pPr>
              <w:spacing w:after="0" w:line="240" w:lineRule="auto"/>
              <w:ind w:firstLine="0"/>
              <w:jc w:val="center"/>
              <w:rPr>
                <w:sz w:val="20"/>
                <w:szCs w:val="20"/>
              </w:rPr>
            </w:pPr>
            <w:r>
              <w:rPr>
                <w:sz w:val="20"/>
                <w:szCs w:val="20"/>
              </w:rPr>
              <w:t>NOVITER NWT 3,5-1,0-115</w:t>
            </w:r>
          </w:p>
        </w:tc>
        <w:tc>
          <w:tcPr>
            <w:tcW w:w="530" w:type="pct"/>
            <w:vMerge w:val="continue"/>
            <w:vAlign w:val="center"/>
          </w:tcPr>
          <w:p w14:paraId="111E98AF">
            <w:pPr>
              <w:spacing w:after="0" w:line="240" w:lineRule="auto"/>
              <w:ind w:firstLine="0"/>
              <w:rPr>
                <w:sz w:val="20"/>
                <w:szCs w:val="20"/>
              </w:rPr>
            </w:pPr>
          </w:p>
        </w:tc>
        <w:tc>
          <w:tcPr>
            <w:tcW w:w="475" w:type="pct"/>
            <w:shd w:val="clear" w:color="auto" w:fill="auto"/>
            <w:vAlign w:val="center"/>
          </w:tcPr>
          <w:p w14:paraId="2B432D7E">
            <w:pPr>
              <w:spacing w:after="0" w:line="240" w:lineRule="auto"/>
              <w:ind w:firstLine="0"/>
              <w:jc w:val="center"/>
              <w:rPr>
                <w:sz w:val="20"/>
                <w:szCs w:val="20"/>
              </w:rPr>
            </w:pPr>
            <w:r>
              <w:rPr>
                <w:sz w:val="20"/>
                <w:szCs w:val="20"/>
              </w:rPr>
              <w:t>3,010</w:t>
            </w:r>
          </w:p>
        </w:tc>
        <w:tc>
          <w:tcPr>
            <w:tcW w:w="475" w:type="pct"/>
            <w:vMerge w:val="continue"/>
            <w:shd w:val="clear" w:color="auto" w:fill="auto"/>
            <w:vAlign w:val="center"/>
          </w:tcPr>
          <w:p w14:paraId="073C2E9D">
            <w:pPr>
              <w:spacing w:after="0" w:line="240" w:lineRule="auto"/>
              <w:ind w:firstLine="0"/>
              <w:jc w:val="center"/>
              <w:rPr>
                <w:sz w:val="20"/>
                <w:szCs w:val="20"/>
              </w:rPr>
            </w:pPr>
          </w:p>
        </w:tc>
        <w:tc>
          <w:tcPr>
            <w:tcW w:w="211" w:type="pct"/>
            <w:vMerge w:val="continue"/>
            <w:shd w:val="clear" w:color="auto" w:fill="auto"/>
            <w:vAlign w:val="center"/>
          </w:tcPr>
          <w:p w14:paraId="7FBCD639">
            <w:pPr>
              <w:spacing w:after="0" w:line="240" w:lineRule="auto"/>
              <w:ind w:firstLine="0"/>
              <w:jc w:val="center"/>
              <w:rPr>
                <w:sz w:val="20"/>
                <w:szCs w:val="20"/>
              </w:rPr>
            </w:pPr>
          </w:p>
        </w:tc>
        <w:tc>
          <w:tcPr>
            <w:tcW w:w="425" w:type="pct"/>
            <w:shd w:val="clear" w:color="auto" w:fill="auto"/>
            <w:vAlign w:val="center"/>
          </w:tcPr>
          <w:p w14:paraId="2A9738FB">
            <w:pPr>
              <w:spacing w:after="0" w:line="240" w:lineRule="auto"/>
              <w:ind w:firstLine="0"/>
              <w:jc w:val="center"/>
              <w:rPr>
                <w:sz w:val="20"/>
                <w:szCs w:val="20"/>
              </w:rPr>
            </w:pPr>
            <w:r>
              <w:rPr>
                <w:sz w:val="20"/>
                <w:szCs w:val="20"/>
              </w:rPr>
              <w:t>1997</w:t>
            </w:r>
          </w:p>
        </w:tc>
        <w:tc>
          <w:tcPr>
            <w:tcW w:w="341" w:type="pct"/>
            <w:vMerge w:val="continue"/>
            <w:vAlign w:val="center"/>
          </w:tcPr>
          <w:p w14:paraId="5A0B7F03">
            <w:pPr>
              <w:spacing w:after="0" w:line="240" w:lineRule="auto"/>
              <w:ind w:firstLine="0"/>
              <w:rPr>
                <w:sz w:val="20"/>
                <w:szCs w:val="20"/>
              </w:rPr>
            </w:pPr>
          </w:p>
        </w:tc>
        <w:tc>
          <w:tcPr>
            <w:tcW w:w="512" w:type="pct"/>
            <w:vMerge w:val="continue"/>
            <w:vAlign w:val="center"/>
          </w:tcPr>
          <w:p w14:paraId="68D1A0C4">
            <w:pPr>
              <w:spacing w:after="0" w:line="240" w:lineRule="auto"/>
              <w:ind w:firstLine="0"/>
              <w:rPr>
                <w:sz w:val="20"/>
                <w:szCs w:val="20"/>
              </w:rPr>
            </w:pPr>
          </w:p>
        </w:tc>
        <w:tc>
          <w:tcPr>
            <w:tcW w:w="506" w:type="pct"/>
            <w:vMerge w:val="continue"/>
            <w:vAlign w:val="center"/>
          </w:tcPr>
          <w:p w14:paraId="7569BDEE">
            <w:pPr>
              <w:spacing w:after="0" w:line="240" w:lineRule="auto"/>
              <w:ind w:firstLine="0"/>
              <w:rPr>
                <w:sz w:val="20"/>
                <w:szCs w:val="20"/>
              </w:rPr>
            </w:pPr>
          </w:p>
        </w:tc>
      </w:tr>
      <w:tr w14:paraId="0A5E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54BF5361">
            <w:pPr>
              <w:spacing w:after="0" w:line="240" w:lineRule="auto"/>
              <w:ind w:firstLine="0"/>
              <w:rPr>
                <w:sz w:val="20"/>
                <w:szCs w:val="20"/>
              </w:rPr>
            </w:pPr>
          </w:p>
        </w:tc>
        <w:tc>
          <w:tcPr>
            <w:tcW w:w="710" w:type="pct"/>
            <w:shd w:val="clear" w:color="auto" w:fill="auto"/>
            <w:vAlign w:val="center"/>
          </w:tcPr>
          <w:p w14:paraId="37934731">
            <w:pPr>
              <w:spacing w:after="0" w:line="240" w:lineRule="auto"/>
              <w:ind w:firstLine="0"/>
              <w:jc w:val="center"/>
              <w:rPr>
                <w:sz w:val="20"/>
                <w:szCs w:val="20"/>
              </w:rPr>
            </w:pPr>
            <w:r>
              <w:rPr>
                <w:sz w:val="20"/>
                <w:szCs w:val="20"/>
              </w:rPr>
              <w:t>Всего</w:t>
            </w:r>
          </w:p>
        </w:tc>
        <w:tc>
          <w:tcPr>
            <w:tcW w:w="530" w:type="pct"/>
            <w:vMerge w:val="continue"/>
            <w:vAlign w:val="center"/>
          </w:tcPr>
          <w:p w14:paraId="756F29FA">
            <w:pPr>
              <w:spacing w:after="0" w:line="240" w:lineRule="auto"/>
              <w:ind w:firstLine="0"/>
              <w:rPr>
                <w:sz w:val="20"/>
                <w:szCs w:val="20"/>
              </w:rPr>
            </w:pPr>
          </w:p>
        </w:tc>
        <w:tc>
          <w:tcPr>
            <w:tcW w:w="475" w:type="pct"/>
            <w:shd w:val="clear" w:color="auto" w:fill="auto"/>
            <w:vAlign w:val="center"/>
          </w:tcPr>
          <w:p w14:paraId="60B45C6B">
            <w:pPr>
              <w:spacing w:after="0" w:line="240" w:lineRule="auto"/>
              <w:ind w:firstLine="0"/>
              <w:jc w:val="center"/>
              <w:rPr>
                <w:sz w:val="20"/>
                <w:szCs w:val="20"/>
              </w:rPr>
            </w:pPr>
            <w:r>
              <w:rPr>
                <w:sz w:val="20"/>
                <w:szCs w:val="20"/>
              </w:rPr>
              <w:t>6,020</w:t>
            </w:r>
          </w:p>
        </w:tc>
        <w:tc>
          <w:tcPr>
            <w:tcW w:w="475" w:type="pct"/>
            <w:vMerge w:val="continue"/>
            <w:shd w:val="clear" w:color="auto" w:fill="auto"/>
            <w:vAlign w:val="center"/>
          </w:tcPr>
          <w:p w14:paraId="62367459">
            <w:pPr>
              <w:spacing w:after="0" w:line="240" w:lineRule="auto"/>
              <w:ind w:firstLine="0"/>
              <w:jc w:val="center"/>
              <w:rPr>
                <w:sz w:val="20"/>
                <w:szCs w:val="20"/>
              </w:rPr>
            </w:pPr>
          </w:p>
        </w:tc>
        <w:tc>
          <w:tcPr>
            <w:tcW w:w="211" w:type="pct"/>
            <w:vMerge w:val="continue"/>
            <w:shd w:val="clear" w:color="auto" w:fill="auto"/>
            <w:vAlign w:val="center"/>
          </w:tcPr>
          <w:p w14:paraId="30939743">
            <w:pPr>
              <w:spacing w:after="0" w:line="240" w:lineRule="auto"/>
              <w:ind w:firstLine="0"/>
              <w:jc w:val="center"/>
              <w:rPr>
                <w:sz w:val="20"/>
                <w:szCs w:val="20"/>
              </w:rPr>
            </w:pPr>
          </w:p>
        </w:tc>
        <w:tc>
          <w:tcPr>
            <w:tcW w:w="425" w:type="pct"/>
            <w:shd w:val="clear" w:color="auto" w:fill="auto"/>
            <w:vAlign w:val="center"/>
          </w:tcPr>
          <w:p w14:paraId="06B854C7">
            <w:pPr>
              <w:spacing w:after="0" w:line="240" w:lineRule="auto"/>
              <w:ind w:firstLine="0"/>
              <w:jc w:val="center"/>
              <w:rPr>
                <w:sz w:val="20"/>
                <w:szCs w:val="20"/>
              </w:rPr>
            </w:pPr>
            <w:r>
              <w:rPr>
                <w:sz w:val="20"/>
                <w:szCs w:val="20"/>
              </w:rPr>
              <w:t> </w:t>
            </w:r>
          </w:p>
        </w:tc>
        <w:tc>
          <w:tcPr>
            <w:tcW w:w="341" w:type="pct"/>
            <w:vMerge w:val="continue"/>
            <w:vAlign w:val="center"/>
          </w:tcPr>
          <w:p w14:paraId="2B644BF3">
            <w:pPr>
              <w:spacing w:after="0" w:line="240" w:lineRule="auto"/>
              <w:ind w:firstLine="0"/>
              <w:rPr>
                <w:sz w:val="20"/>
                <w:szCs w:val="20"/>
              </w:rPr>
            </w:pPr>
          </w:p>
        </w:tc>
        <w:tc>
          <w:tcPr>
            <w:tcW w:w="512" w:type="pct"/>
            <w:vMerge w:val="continue"/>
            <w:vAlign w:val="center"/>
          </w:tcPr>
          <w:p w14:paraId="5D4873B8">
            <w:pPr>
              <w:spacing w:after="0" w:line="240" w:lineRule="auto"/>
              <w:ind w:firstLine="0"/>
              <w:rPr>
                <w:sz w:val="20"/>
                <w:szCs w:val="20"/>
              </w:rPr>
            </w:pPr>
          </w:p>
        </w:tc>
        <w:tc>
          <w:tcPr>
            <w:tcW w:w="506" w:type="pct"/>
            <w:vMerge w:val="continue"/>
            <w:vAlign w:val="center"/>
          </w:tcPr>
          <w:p w14:paraId="1E6AD970">
            <w:pPr>
              <w:spacing w:after="0" w:line="240" w:lineRule="auto"/>
              <w:ind w:firstLine="0"/>
              <w:rPr>
                <w:sz w:val="20"/>
                <w:szCs w:val="20"/>
              </w:rPr>
            </w:pPr>
          </w:p>
        </w:tc>
      </w:tr>
      <w:tr w14:paraId="1A4A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restart"/>
            <w:shd w:val="clear" w:color="auto" w:fill="auto"/>
            <w:vAlign w:val="center"/>
          </w:tcPr>
          <w:p w14:paraId="006CF9F4">
            <w:pPr>
              <w:spacing w:after="0" w:line="240" w:lineRule="auto"/>
              <w:ind w:firstLine="0"/>
              <w:jc w:val="center"/>
              <w:rPr>
                <w:sz w:val="20"/>
                <w:szCs w:val="20"/>
              </w:rPr>
            </w:pPr>
            <w:r>
              <w:rPr>
                <w:sz w:val="20"/>
                <w:szCs w:val="20"/>
              </w:rPr>
              <w:t>Котельная «2БВК»</w:t>
            </w:r>
          </w:p>
        </w:tc>
        <w:tc>
          <w:tcPr>
            <w:tcW w:w="710" w:type="pct"/>
            <w:shd w:val="clear" w:color="auto" w:fill="auto"/>
            <w:vAlign w:val="center"/>
          </w:tcPr>
          <w:p w14:paraId="1DDC2B67">
            <w:pPr>
              <w:spacing w:after="0" w:line="240" w:lineRule="auto"/>
              <w:ind w:firstLine="0"/>
              <w:jc w:val="center"/>
              <w:rPr>
                <w:sz w:val="20"/>
                <w:szCs w:val="20"/>
              </w:rPr>
            </w:pPr>
            <w:r>
              <w:rPr>
                <w:sz w:val="20"/>
                <w:szCs w:val="20"/>
              </w:rPr>
              <w:t>ВВД-1,8 № 1</w:t>
            </w:r>
          </w:p>
        </w:tc>
        <w:tc>
          <w:tcPr>
            <w:tcW w:w="530" w:type="pct"/>
            <w:vMerge w:val="restart"/>
            <w:shd w:val="clear" w:color="auto" w:fill="auto"/>
            <w:vAlign w:val="center"/>
          </w:tcPr>
          <w:p w14:paraId="79AE1A7B">
            <w:pPr>
              <w:spacing w:after="0" w:line="240" w:lineRule="auto"/>
              <w:ind w:firstLine="0"/>
              <w:jc w:val="center"/>
              <w:rPr>
                <w:sz w:val="20"/>
                <w:szCs w:val="20"/>
              </w:rPr>
            </w:pPr>
            <w:r>
              <w:rPr>
                <w:sz w:val="20"/>
                <w:szCs w:val="20"/>
              </w:rPr>
              <w:t>10</w:t>
            </w:r>
          </w:p>
        </w:tc>
        <w:tc>
          <w:tcPr>
            <w:tcW w:w="475" w:type="pct"/>
            <w:shd w:val="clear" w:color="auto" w:fill="auto"/>
            <w:vAlign w:val="center"/>
          </w:tcPr>
          <w:p w14:paraId="4A8B344A">
            <w:pPr>
              <w:spacing w:after="0" w:line="240" w:lineRule="auto"/>
              <w:ind w:firstLine="0"/>
              <w:jc w:val="center"/>
              <w:rPr>
                <w:sz w:val="20"/>
                <w:szCs w:val="20"/>
              </w:rPr>
            </w:pPr>
            <w:r>
              <w:rPr>
                <w:sz w:val="20"/>
                <w:szCs w:val="20"/>
              </w:rPr>
              <w:t>1,800</w:t>
            </w:r>
          </w:p>
        </w:tc>
        <w:tc>
          <w:tcPr>
            <w:tcW w:w="475" w:type="pct"/>
            <w:vMerge w:val="restart"/>
            <w:shd w:val="clear" w:color="auto" w:fill="auto"/>
            <w:vAlign w:val="center"/>
          </w:tcPr>
          <w:p w14:paraId="382A9638">
            <w:pPr>
              <w:spacing w:after="0" w:line="240" w:lineRule="auto"/>
              <w:ind w:firstLine="0"/>
              <w:jc w:val="center"/>
              <w:rPr>
                <w:sz w:val="20"/>
                <w:szCs w:val="20"/>
              </w:rPr>
            </w:pPr>
            <w:r>
              <w:rPr>
                <w:sz w:val="20"/>
                <w:szCs w:val="20"/>
              </w:rPr>
              <w:t>1,50</w:t>
            </w:r>
          </w:p>
        </w:tc>
        <w:tc>
          <w:tcPr>
            <w:tcW w:w="211" w:type="pct"/>
            <w:vMerge w:val="restart"/>
            <w:shd w:val="clear" w:color="auto" w:fill="auto"/>
            <w:vAlign w:val="center"/>
          </w:tcPr>
          <w:p w14:paraId="24FA790E">
            <w:pPr>
              <w:spacing w:after="0" w:line="240" w:lineRule="auto"/>
              <w:ind w:firstLine="0"/>
              <w:jc w:val="center"/>
              <w:rPr>
                <w:sz w:val="20"/>
                <w:szCs w:val="20"/>
              </w:rPr>
            </w:pPr>
            <w:r>
              <w:rPr>
                <w:sz w:val="20"/>
                <w:szCs w:val="20"/>
              </w:rPr>
              <w:t>83 </w:t>
            </w:r>
          </w:p>
        </w:tc>
        <w:tc>
          <w:tcPr>
            <w:tcW w:w="425" w:type="pct"/>
            <w:shd w:val="clear" w:color="auto" w:fill="auto"/>
            <w:vAlign w:val="center"/>
          </w:tcPr>
          <w:p w14:paraId="313A4AB3">
            <w:pPr>
              <w:spacing w:after="0" w:line="240" w:lineRule="auto"/>
              <w:ind w:firstLine="0"/>
              <w:jc w:val="center"/>
              <w:rPr>
                <w:sz w:val="20"/>
                <w:szCs w:val="20"/>
              </w:rPr>
            </w:pPr>
            <w:r>
              <w:rPr>
                <w:sz w:val="20"/>
                <w:szCs w:val="20"/>
              </w:rPr>
              <w:t>1983</w:t>
            </w:r>
          </w:p>
        </w:tc>
        <w:tc>
          <w:tcPr>
            <w:tcW w:w="341" w:type="pct"/>
            <w:vMerge w:val="restart"/>
            <w:shd w:val="clear" w:color="auto" w:fill="auto"/>
            <w:noWrap/>
            <w:vAlign w:val="center"/>
          </w:tcPr>
          <w:p w14:paraId="1F66999A">
            <w:pPr>
              <w:spacing w:after="0" w:line="240" w:lineRule="auto"/>
              <w:ind w:firstLine="0"/>
              <w:jc w:val="center"/>
              <w:rPr>
                <w:sz w:val="20"/>
                <w:szCs w:val="20"/>
              </w:rPr>
            </w:pPr>
            <w:r>
              <w:rPr>
                <w:sz w:val="20"/>
                <w:szCs w:val="20"/>
              </w:rPr>
              <w:t>ТРСВ</w:t>
            </w:r>
          </w:p>
        </w:tc>
        <w:tc>
          <w:tcPr>
            <w:tcW w:w="512" w:type="pct"/>
            <w:vMerge w:val="restart"/>
            <w:shd w:val="clear" w:color="auto" w:fill="auto"/>
            <w:vAlign w:val="center"/>
          </w:tcPr>
          <w:p w14:paraId="62334454">
            <w:pPr>
              <w:spacing w:after="0" w:line="240" w:lineRule="auto"/>
              <w:ind w:firstLine="0"/>
              <w:jc w:val="center"/>
              <w:rPr>
                <w:sz w:val="20"/>
                <w:szCs w:val="20"/>
              </w:rPr>
            </w:pPr>
            <w:r>
              <w:rPr>
                <w:sz w:val="20"/>
                <w:szCs w:val="20"/>
              </w:rPr>
              <w:t>нет</w:t>
            </w:r>
          </w:p>
        </w:tc>
        <w:tc>
          <w:tcPr>
            <w:tcW w:w="506" w:type="pct"/>
            <w:vMerge w:val="continue"/>
            <w:vAlign w:val="center"/>
          </w:tcPr>
          <w:p w14:paraId="7C922CA3">
            <w:pPr>
              <w:spacing w:after="0" w:line="240" w:lineRule="auto"/>
              <w:ind w:firstLine="0"/>
              <w:rPr>
                <w:sz w:val="20"/>
                <w:szCs w:val="20"/>
              </w:rPr>
            </w:pPr>
          </w:p>
        </w:tc>
      </w:tr>
      <w:tr w14:paraId="02EA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206A6363">
            <w:pPr>
              <w:spacing w:after="0" w:line="240" w:lineRule="auto"/>
              <w:ind w:firstLine="0"/>
              <w:rPr>
                <w:sz w:val="20"/>
                <w:szCs w:val="20"/>
              </w:rPr>
            </w:pPr>
          </w:p>
        </w:tc>
        <w:tc>
          <w:tcPr>
            <w:tcW w:w="710" w:type="pct"/>
            <w:shd w:val="clear" w:color="auto" w:fill="auto"/>
            <w:vAlign w:val="center"/>
          </w:tcPr>
          <w:p w14:paraId="3078F823">
            <w:pPr>
              <w:spacing w:after="0" w:line="240" w:lineRule="auto"/>
              <w:ind w:firstLine="0"/>
              <w:jc w:val="center"/>
              <w:rPr>
                <w:sz w:val="20"/>
                <w:szCs w:val="20"/>
              </w:rPr>
            </w:pPr>
            <w:r>
              <w:rPr>
                <w:sz w:val="20"/>
                <w:szCs w:val="20"/>
              </w:rPr>
              <w:t>ВВД-1,8 № 2</w:t>
            </w:r>
          </w:p>
        </w:tc>
        <w:tc>
          <w:tcPr>
            <w:tcW w:w="530" w:type="pct"/>
            <w:vMerge w:val="continue"/>
            <w:vAlign w:val="center"/>
          </w:tcPr>
          <w:p w14:paraId="1A5164B2">
            <w:pPr>
              <w:spacing w:after="0" w:line="240" w:lineRule="auto"/>
              <w:ind w:firstLine="0"/>
              <w:rPr>
                <w:sz w:val="20"/>
                <w:szCs w:val="20"/>
              </w:rPr>
            </w:pPr>
          </w:p>
        </w:tc>
        <w:tc>
          <w:tcPr>
            <w:tcW w:w="475" w:type="pct"/>
            <w:shd w:val="clear" w:color="auto" w:fill="auto"/>
            <w:vAlign w:val="center"/>
          </w:tcPr>
          <w:p w14:paraId="539850F6">
            <w:pPr>
              <w:spacing w:after="0" w:line="240" w:lineRule="auto"/>
              <w:ind w:firstLine="0"/>
              <w:jc w:val="center"/>
              <w:rPr>
                <w:sz w:val="20"/>
                <w:szCs w:val="20"/>
              </w:rPr>
            </w:pPr>
            <w:r>
              <w:rPr>
                <w:sz w:val="20"/>
                <w:szCs w:val="20"/>
              </w:rPr>
              <w:t>1,800</w:t>
            </w:r>
          </w:p>
        </w:tc>
        <w:tc>
          <w:tcPr>
            <w:tcW w:w="475" w:type="pct"/>
            <w:vMerge w:val="continue"/>
            <w:shd w:val="clear" w:color="auto" w:fill="auto"/>
            <w:vAlign w:val="center"/>
          </w:tcPr>
          <w:p w14:paraId="0ACE12DF">
            <w:pPr>
              <w:spacing w:after="0" w:line="240" w:lineRule="auto"/>
              <w:ind w:firstLine="0"/>
              <w:jc w:val="center"/>
              <w:rPr>
                <w:sz w:val="20"/>
                <w:szCs w:val="20"/>
              </w:rPr>
            </w:pPr>
          </w:p>
        </w:tc>
        <w:tc>
          <w:tcPr>
            <w:tcW w:w="211" w:type="pct"/>
            <w:vMerge w:val="continue"/>
            <w:shd w:val="clear" w:color="auto" w:fill="auto"/>
            <w:vAlign w:val="center"/>
          </w:tcPr>
          <w:p w14:paraId="73250C75">
            <w:pPr>
              <w:spacing w:after="0" w:line="240" w:lineRule="auto"/>
              <w:ind w:firstLine="0"/>
              <w:jc w:val="center"/>
              <w:rPr>
                <w:sz w:val="20"/>
                <w:szCs w:val="20"/>
              </w:rPr>
            </w:pPr>
          </w:p>
        </w:tc>
        <w:tc>
          <w:tcPr>
            <w:tcW w:w="425" w:type="pct"/>
            <w:shd w:val="clear" w:color="auto" w:fill="auto"/>
            <w:vAlign w:val="center"/>
          </w:tcPr>
          <w:p w14:paraId="3ED2C362">
            <w:pPr>
              <w:spacing w:after="0" w:line="240" w:lineRule="auto"/>
              <w:ind w:firstLine="0"/>
              <w:jc w:val="center"/>
              <w:rPr>
                <w:sz w:val="20"/>
                <w:szCs w:val="20"/>
              </w:rPr>
            </w:pPr>
            <w:r>
              <w:rPr>
                <w:sz w:val="20"/>
                <w:szCs w:val="20"/>
              </w:rPr>
              <w:t>1983</w:t>
            </w:r>
          </w:p>
        </w:tc>
        <w:tc>
          <w:tcPr>
            <w:tcW w:w="341" w:type="pct"/>
            <w:vMerge w:val="continue"/>
            <w:vAlign w:val="center"/>
          </w:tcPr>
          <w:p w14:paraId="3FABE599">
            <w:pPr>
              <w:spacing w:after="0" w:line="240" w:lineRule="auto"/>
              <w:ind w:firstLine="0"/>
              <w:rPr>
                <w:sz w:val="20"/>
                <w:szCs w:val="20"/>
              </w:rPr>
            </w:pPr>
          </w:p>
        </w:tc>
        <w:tc>
          <w:tcPr>
            <w:tcW w:w="512" w:type="pct"/>
            <w:vMerge w:val="continue"/>
            <w:vAlign w:val="center"/>
          </w:tcPr>
          <w:p w14:paraId="3770D0BC">
            <w:pPr>
              <w:spacing w:after="0" w:line="240" w:lineRule="auto"/>
              <w:ind w:firstLine="0"/>
              <w:rPr>
                <w:sz w:val="20"/>
                <w:szCs w:val="20"/>
              </w:rPr>
            </w:pPr>
          </w:p>
        </w:tc>
        <w:tc>
          <w:tcPr>
            <w:tcW w:w="506" w:type="pct"/>
            <w:vMerge w:val="continue"/>
            <w:vAlign w:val="center"/>
          </w:tcPr>
          <w:p w14:paraId="5C94C025">
            <w:pPr>
              <w:spacing w:after="0" w:line="240" w:lineRule="auto"/>
              <w:ind w:firstLine="0"/>
              <w:rPr>
                <w:sz w:val="20"/>
                <w:szCs w:val="20"/>
              </w:rPr>
            </w:pPr>
          </w:p>
        </w:tc>
      </w:tr>
      <w:tr w14:paraId="684A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7E08E813">
            <w:pPr>
              <w:spacing w:after="0" w:line="240" w:lineRule="auto"/>
              <w:ind w:firstLine="0"/>
              <w:rPr>
                <w:sz w:val="20"/>
                <w:szCs w:val="20"/>
              </w:rPr>
            </w:pPr>
          </w:p>
        </w:tc>
        <w:tc>
          <w:tcPr>
            <w:tcW w:w="710" w:type="pct"/>
            <w:shd w:val="clear" w:color="auto" w:fill="auto"/>
            <w:vAlign w:val="center"/>
          </w:tcPr>
          <w:p w14:paraId="333E3A83">
            <w:pPr>
              <w:spacing w:after="0" w:line="240" w:lineRule="auto"/>
              <w:ind w:firstLine="0"/>
              <w:jc w:val="center"/>
              <w:rPr>
                <w:sz w:val="20"/>
                <w:szCs w:val="20"/>
              </w:rPr>
            </w:pPr>
            <w:r>
              <w:rPr>
                <w:sz w:val="20"/>
                <w:szCs w:val="20"/>
              </w:rPr>
              <w:t>ВВД-1,8 № 3</w:t>
            </w:r>
          </w:p>
        </w:tc>
        <w:tc>
          <w:tcPr>
            <w:tcW w:w="530" w:type="pct"/>
            <w:vMerge w:val="continue"/>
            <w:vAlign w:val="center"/>
          </w:tcPr>
          <w:p w14:paraId="23408785">
            <w:pPr>
              <w:spacing w:after="0" w:line="240" w:lineRule="auto"/>
              <w:ind w:firstLine="0"/>
              <w:rPr>
                <w:sz w:val="20"/>
                <w:szCs w:val="20"/>
              </w:rPr>
            </w:pPr>
          </w:p>
        </w:tc>
        <w:tc>
          <w:tcPr>
            <w:tcW w:w="475" w:type="pct"/>
            <w:shd w:val="clear" w:color="auto" w:fill="auto"/>
            <w:vAlign w:val="center"/>
          </w:tcPr>
          <w:p w14:paraId="4E81BC13">
            <w:pPr>
              <w:spacing w:after="0" w:line="240" w:lineRule="auto"/>
              <w:ind w:firstLine="0"/>
              <w:jc w:val="center"/>
              <w:rPr>
                <w:sz w:val="20"/>
                <w:szCs w:val="20"/>
              </w:rPr>
            </w:pPr>
            <w:r>
              <w:rPr>
                <w:sz w:val="20"/>
                <w:szCs w:val="20"/>
              </w:rPr>
              <w:t>1,800</w:t>
            </w:r>
          </w:p>
        </w:tc>
        <w:tc>
          <w:tcPr>
            <w:tcW w:w="475" w:type="pct"/>
            <w:vMerge w:val="continue"/>
            <w:shd w:val="clear" w:color="auto" w:fill="auto"/>
            <w:vAlign w:val="center"/>
          </w:tcPr>
          <w:p w14:paraId="3A0AF62B">
            <w:pPr>
              <w:spacing w:after="0" w:line="240" w:lineRule="auto"/>
              <w:ind w:firstLine="0"/>
              <w:jc w:val="center"/>
              <w:rPr>
                <w:sz w:val="20"/>
                <w:szCs w:val="20"/>
              </w:rPr>
            </w:pPr>
          </w:p>
        </w:tc>
        <w:tc>
          <w:tcPr>
            <w:tcW w:w="211" w:type="pct"/>
            <w:vMerge w:val="continue"/>
            <w:shd w:val="clear" w:color="auto" w:fill="auto"/>
            <w:vAlign w:val="center"/>
          </w:tcPr>
          <w:p w14:paraId="4618DFFC">
            <w:pPr>
              <w:spacing w:after="0" w:line="240" w:lineRule="auto"/>
              <w:ind w:firstLine="0"/>
              <w:jc w:val="center"/>
              <w:rPr>
                <w:sz w:val="20"/>
                <w:szCs w:val="20"/>
              </w:rPr>
            </w:pPr>
          </w:p>
        </w:tc>
        <w:tc>
          <w:tcPr>
            <w:tcW w:w="425" w:type="pct"/>
            <w:shd w:val="clear" w:color="auto" w:fill="auto"/>
            <w:vAlign w:val="center"/>
          </w:tcPr>
          <w:p w14:paraId="7E07EF50">
            <w:pPr>
              <w:spacing w:after="0" w:line="240" w:lineRule="auto"/>
              <w:ind w:firstLine="0"/>
              <w:jc w:val="center"/>
              <w:rPr>
                <w:sz w:val="20"/>
                <w:szCs w:val="20"/>
              </w:rPr>
            </w:pPr>
            <w:r>
              <w:rPr>
                <w:sz w:val="20"/>
                <w:szCs w:val="20"/>
              </w:rPr>
              <w:t>1983</w:t>
            </w:r>
          </w:p>
        </w:tc>
        <w:tc>
          <w:tcPr>
            <w:tcW w:w="341" w:type="pct"/>
            <w:vMerge w:val="continue"/>
            <w:vAlign w:val="center"/>
          </w:tcPr>
          <w:p w14:paraId="646C1EC8">
            <w:pPr>
              <w:spacing w:after="0" w:line="240" w:lineRule="auto"/>
              <w:ind w:firstLine="0"/>
              <w:rPr>
                <w:sz w:val="20"/>
                <w:szCs w:val="20"/>
              </w:rPr>
            </w:pPr>
          </w:p>
        </w:tc>
        <w:tc>
          <w:tcPr>
            <w:tcW w:w="512" w:type="pct"/>
            <w:vMerge w:val="continue"/>
            <w:vAlign w:val="center"/>
          </w:tcPr>
          <w:p w14:paraId="5F394784">
            <w:pPr>
              <w:spacing w:after="0" w:line="240" w:lineRule="auto"/>
              <w:ind w:firstLine="0"/>
              <w:rPr>
                <w:sz w:val="20"/>
                <w:szCs w:val="20"/>
              </w:rPr>
            </w:pPr>
          </w:p>
        </w:tc>
        <w:tc>
          <w:tcPr>
            <w:tcW w:w="506" w:type="pct"/>
            <w:vMerge w:val="continue"/>
            <w:vAlign w:val="center"/>
          </w:tcPr>
          <w:p w14:paraId="35A7014E">
            <w:pPr>
              <w:spacing w:after="0" w:line="240" w:lineRule="auto"/>
              <w:ind w:firstLine="0"/>
              <w:rPr>
                <w:sz w:val="20"/>
                <w:szCs w:val="20"/>
              </w:rPr>
            </w:pPr>
          </w:p>
        </w:tc>
      </w:tr>
      <w:tr w14:paraId="7B3E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3736ACE9">
            <w:pPr>
              <w:spacing w:after="0" w:line="240" w:lineRule="auto"/>
              <w:ind w:firstLine="0"/>
              <w:rPr>
                <w:sz w:val="20"/>
                <w:szCs w:val="20"/>
              </w:rPr>
            </w:pPr>
          </w:p>
        </w:tc>
        <w:tc>
          <w:tcPr>
            <w:tcW w:w="710" w:type="pct"/>
            <w:shd w:val="clear" w:color="auto" w:fill="auto"/>
            <w:vAlign w:val="center"/>
          </w:tcPr>
          <w:p w14:paraId="304C0C9B">
            <w:pPr>
              <w:spacing w:after="0" w:line="240" w:lineRule="auto"/>
              <w:ind w:firstLine="0"/>
              <w:jc w:val="center"/>
              <w:rPr>
                <w:sz w:val="20"/>
                <w:szCs w:val="20"/>
              </w:rPr>
            </w:pPr>
            <w:r>
              <w:rPr>
                <w:sz w:val="20"/>
                <w:szCs w:val="20"/>
              </w:rPr>
              <w:t>ВВД-1,8 № 4</w:t>
            </w:r>
          </w:p>
        </w:tc>
        <w:tc>
          <w:tcPr>
            <w:tcW w:w="530" w:type="pct"/>
            <w:vMerge w:val="continue"/>
            <w:vAlign w:val="center"/>
          </w:tcPr>
          <w:p w14:paraId="02C5CAC6">
            <w:pPr>
              <w:spacing w:after="0" w:line="240" w:lineRule="auto"/>
              <w:ind w:firstLine="0"/>
              <w:rPr>
                <w:sz w:val="20"/>
                <w:szCs w:val="20"/>
              </w:rPr>
            </w:pPr>
          </w:p>
        </w:tc>
        <w:tc>
          <w:tcPr>
            <w:tcW w:w="475" w:type="pct"/>
            <w:shd w:val="clear" w:color="auto" w:fill="auto"/>
            <w:vAlign w:val="center"/>
          </w:tcPr>
          <w:p w14:paraId="20C2B557">
            <w:pPr>
              <w:spacing w:after="0" w:line="240" w:lineRule="auto"/>
              <w:ind w:firstLine="0"/>
              <w:jc w:val="center"/>
              <w:rPr>
                <w:sz w:val="20"/>
                <w:szCs w:val="20"/>
              </w:rPr>
            </w:pPr>
            <w:r>
              <w:rPr>
                <w:sz w:val="20"/>
                <w:szCs w:val="20"/>
              </w:rPr>
              <w:t>1,800</w:t>
            </w:r>
          </w:p>
        </w:tc>
        <w:tc>
          <w:tcPr>
            <w:tcW w:w="475" w:type="pct"/>
            <w:vMerge w:val="continue"/>
            <w:shd w:val="clear" w:color="auto" w:fill="auto"/>
            <w:vAlign w:val="center"/>
          </w:tcPr>
          <w:p w14:paraId="1E9BFC47">
            <w:pPr>
              <w:spacing w:after="0" w:line="240" w:lineRule="auto"/>
              <w:ind w:firstLine="0"/>
              <w:jc w:val="center"/>
              <w:rPr>
                <w:sz w:val="20"/>
                <w:szCs w:val="20"/>
              </w:rPr>
            </w:pPr>
          </w:p>
        </w:tc>
        <w:tc>
          <w:tcPr>
            <w:tcW w:w="211" w:type="pct"/>
            <w:vMerge w:val="continue"/>
            <w:shd w:val="clear" w:color="auto" w:fill="auto"/>
            <w:vAlign w:val="center"/>
          </w:tcPr>
          <w:p w14:paraId="765B49D5">
            <w:pPr>
              <w:spacing w:after="0" w:line="240" w:lineRule="auto"/>
              <w:ind w:firstLine="0"/>
              <w:jc w:val="center"/>
              <w:rPr>
                <w:sz w:val="20"/>
                <w:szCs w:val="20"/>
              </w:rPr>
            </w:pPr>
          </w:p>
        </w:tc>
        <w:tc>
          <w:tcPr>
            <w:tcW w:w="425" w:type="pct"/>
            <w:shd w:val="clear" w:color="auto" w:fill="auto"/>
            <w:vAlign w:val="center"/>
          </w:tcPr>
          <w:p w14:paraId="0C45F13F">
            <w:pPr>
              <w:spacing w:after="0" w:line="240" w:lineRule="auto"/>
              <w:ind w:firstLine="0"/>
              <w:jc w:val="center"/>
              <w:rPr>
                <w:sz w:val="20"/>
                <w:szCs w:val="20"/>
              </w:rPr>
            </w:pPr>
            <w:r>
              <w:rPr>
                <w:sz w:val="20"/>
                <w:szCs w:val="20"/>
              </w:rPr>
              <w:t>1983</w:t>
            </w:r>
          </w:p>
        </w:tc>
        <w:tc>
          <w:tcPr>
            <w:tcW w:w="341" w:type="pct"/>
            <w:vMerge w:val="continue"/>
            <w:vAlign w:val="center"/>
          </w:tcPr>
          <w:p w14:paraId="52BB8386">
            <w:pPr>
              <w:spacing w:after="0" w:line="240" w:lineRule="auto"/>
              <w:ind w:firstLine="0"/>
              <w:rPr>
                <w:sz w:val="20"/>
                <w:szCs w:val="20"/>
              </w:rPr>
            </w:pPr>
          </w:p>
        </w:tc>
        <w:tc>
          <w:tcPr>
            <w:tcW w:w="512" w:type="pct"/>
            <w:vMerge w:val="continue"/>
            <w:vAlign w:val="center"/>
          </w:tcPr>
          <w:p w14:paraId="27A05A5F">
            <w:pPr>
              <w:spacing w:after="0" w:line="240" w:lineRule="auto"/>
              <w:ind w:firstLine="0"/>
              <w:rPr>
                <w:sz w:val="20"/>
                <w:szCs w:val="20"/>
              </w:rPr>
            </w:pPr>
          </w:p>
        </w:tc>
        <w:tc>
          <w:tcPr>
            <w:tcW w:w="506" w:type="pct"/>
            <w:vMerge w:val="continue"/>
            <w:vAlign w:val="center"/>
          </w:tcPr>
          <w:p w14:paraId="31CD9176">
            <w:pPr>
              <w:spacing w:after="0" w:line="240" w:lineRule="auto"/>
              <w:ind w:firstLine="0"/>
              <w:rPr>
                <w:sz w:val="20"/>
                <w:szCs w:val="20"/>
              </w:rPr>
            </w:pPr>
          </w:p>
        </w:tc>
      </w:tr>
      <w:tr w14:paraId="51B3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07A0D1B9">
            <w:pPr>
              <w:spacing w:after="0" w:line="240" w:lineRule="auto"/>
              <w:ind w:firstLine="0"/>
              <w:rPr>
                <w:sz w:val="20"/>
                <w:szCs w:val="20"/>
              </w:rPr>
            </w:pPr>
          </w:p>
        </w:tc>
        <w:tc>
          <w:tcPr>
            <w:tcW w:w="710" w:type="pct"/>
            <w:shd w:val="clear" w:color="auto" w:fill="auto"/>
            <w:vAlign w:val="center"/>
          </w:tcPr>
          <w:p w14:paraId="50AEEA31">
            <w:pPr>
              <w:spacing w:after="0" w:line="240" w:lineRule="auto"/>
              <w:ind w:firstLine="0"/>
              <w:jc w:val="center"/>
              <w:rPr>
                <w:sz w:val="20"/>
                <w:szCs w:val="20"/>
              </w:rPr>
            </w:pPr>
            <w:r>
              <w:rPr>
                <w:sz w:val="20"/>
                <w:szCs w:val="20"/>
              </w:rPr>
              <w:t>Всего</w:t>
            </w:r>
          </w:p>
        </w:tc>
        <w:tc>
          <w:tcPr>
            <w:tcW w:w="530" w:type="pct"/>
            <w:shd w:val="clear" w:color="auto" w:fill="auto"/>
            <w:vAlign w:val="center"/>
          </w:tcPr>
          <w:p w14:paraId="263046D3">
            <w:pPr>
              <w:spacing w:after="0" w:line="240" w:lineRule="auto"/>
              <w:ind w:firstLine="0"/>
              <w:rPr>
                <w:sz w:val="20"/>
                <w:szCs w:val="20"/>
              </w:rPr>
            </w:pPr>
            <w:r>
              <w:rPr>
                <w:sz w:val="20"/>
                <w:szCs w:val="20"/>
              </w:rPr>
              <w:t> </w:t>
            </w:r>
          </w:p>
        </w:tc>
        <w:tc>
          <w:tcPr>
            <w:tcW w:w="475" w:type="pct"/>
            <w:shd w:val="clear" w:color="auto" w:fill="auto"/>
            <w:vAlign w:val="center"/>
          </w:tcPr>
          <w:p w14:paraId="40D16909">
            <w:pPr>
              <w:spacing w:after="0" w:line="240" w:lineRule="auto"/>
              <w:ind w:firstLine="0"/>
              <w:jc w:val="center"/>
              <w:rPr>
                <w:sz w:val="20"/>
                <w:szCs w:val="20"/>
              </w:rPr>
            </w:pPr>
            <w:r>
              <w:rPr>
                <w:sz w:val="20"/>
                <w:szCs w:val="20"/>
              </w:rPr>
              <w:t>7,200</w:t>
            </w:r>
          </w:p>
        </w:tc>
        <w:tc>
          <w:tcPr>
            <w:tcW w:w="475" w:type="pct"/>
            <w:vMerge w:val="continue"/>
            <w:shd w:val="clear" w:color="auto" w:fill="auto"/>
            <w:vAlign w:val="center"/>
          </w:tcPr>
          <w:p w14:paraId="2BC03800">
            <w:pPr>
              <w:spacing w:after="0" w:line="240" w:lineRule="auto"/>
              <w:ind w:firstLine="0"/>
              <w:jc w:val="center"/>
              <w:rPr>
                <w:sz w:val="20"/>
                <w:szCs w:val="20"/>
              </w:rPr>
            </w:pPr>
          </w:p>
        </w:tc>
        <w:tc>
          <w:tcPr>
            <w:tcW w:w="211" w:type="pct"/>
            <w:vMerge w:val="continue"/>
            <w:shd w:val="clear" w:color="auto" w:fill="auto"/>
            <w:vAlign w:val="center"/>
          </w:tcPr>
          <w:p w14:paraId="600A9C62">
            <w:pPr>
              <w:spacing w:after="0" w:line="240" w:lineRule="auto"/>
              <w:ind w:firstLine="0"/>
              <w:jc w:val="center"/>
              <w:rPr>
                <w:sz w:val="20"/>
                <w:szCs w:val="20"/>
              </w:rPr>
            </w:pPr>
          </w:p>
        </w:tc>
        <w:tc>
          <w:tcPr>
            <w:tcW w:w="425" w:type="pct"/>
            <w:shd w:val="clear" w:color="auto" w:fill="auto"/>
            <w:vAlign w:val="center"/>
          </w:tcPr>
          <w:p w14:paraId="4E43F2E4">
            <w:pPr>
              <w:spacing w:after="0" w:line="240" w:lineRule="auto"/>
              <w:ind w:firstLine="0"/>
              <w:jc w:val="center"/>
              <w:rPr>
                <w:sz w:val="20"/>
                <w:szCs w:val="20"/>
              </w:rPr>
            </w:pPr>
            <w:r>
              <w:rPr>
                <w:sz w:val="20"/>
                <w:szCs w:val="20"/>
              </w:rPr>
              <w:t> </w:t>
            </w:r>
          </w:p>
        </w:tc>
        <w:tc>
          <w:tcPr>
            <w:tcW w:w="341" w:type="pct"/>
            <w:vMerge w:val="continue"/>
            <w:vAlign w:val="center"/>
          </w:tcPr>
          <w:p w14:paraId="77D1D998">
            <w:pPr>
              <w:spacing w:after="0" w:line="240" w:lineRule="auto"/>
              <w:ind w:firstLine="0"/>
              <w:rPr>
                <w:sz w:val="20"/>
                <w:szCs w:val="20"/>
              </w:rPr>
            </w:pPr>
          </w:p>
        </w:tc>
        <w:tc>
          <w:tcPr>
            <w:tcW w:w="512" w:type="pct"/>
            <w:vMerge w:val="continue"/>
            <w:vAlign w:val="center"/>
          </w:tcPr>
          <w:p w14:paraId="4DBCCA70">
            <w:pPr>
              <w:spacing w:after="0" w:line="240" w:lineRule="auto"/>
              <w:ind w:firstLine="0"/>
              <w:rPr>
                <w:sz w:val="20"/>
                <w:szCs w:val="20"/>
              </w:rPr>
            </w:pPr>
          </w:p>
        </w:tc>
        <w:tc>
          <w:tcPr>
            <w:tcW w:w="506" w:type="pct"/>
            <w:vMerge w:val="continue"/>
            <w:vAlign w:val="center"/>
          </w:tcPr>
          <w:p w14:paraId="578194AA">
            <w:pPr>
              <w:spacing w:after="0" w:line="240" w:lineRule="auto"/>
              <w:ind w:firstLine="0"/>
              <w:rPr>
                <w:sz w:val="20"/>
                <w:szCs w:val="20"/>
              </w:rPr>
            </w:pPr>
          </w:p>
        </w:tc>
      </w:tr>
      <w:tr w14:paraId="6CED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restart"/>
            <w:shd w:val="clear" w:color="auto" w:fill="auto"/>
            <w:vAlign w:val="center"/>
          </w:tcPr>
          <w:p w14:paraId="2D180118">
            <w:pPr>
              <w:spacing w:after="0" w:line="240" w:lineRule="auto"/>
              <w:ind w:firstLine="0"/>
              <w:jc w:val="center"/>
              <w:rPr>
                <w:sz w:val="20"/>
                <w:szCs w:val="20"/>
              </w:rPr>
            </w:pPr>
            <w:r>
              <w:rPr>
                <w:sz w:val="20"/>
                <w:szCs w:val="20"/>
              </w:rPr>
              <w:t>Котельная «Вирбекс»</w:t>
            </w:r>
          </w:p>
        </w:tc>
        <w:tc>
          <w:tcPr>
            <w:tcW w:w="710" w:type="pct"/>
            <w:shd w:val="clear" w:color="auto" w:fill="auto"/>
            <w:vAlign w:val="center"/>
          </w:tcPr>
          <w:p w14:paraId="230D2633">
            <w:pPr>
              <w:spacing w:after="0" w:line="240" w:lineRule="auto"/>
              <w:ind w:firstLine="0"/>
              <w:jc w:val="center"/>
              <w:rPr>
                <w:sz w:val="20"/>
                <w:szCs w:val="20"/>
              </w:rPr>
            </w:pPr>
            <w:r>
              <w:rPr>
                <w:sz w:val="20"/>
                <w:szCs w:val="20"/>
              </w:rPr>
              <w:t>Вирбекс-С-Финн № 1</w:t>
            </w:r>
          </w:p>
        </w:tc>
        <w:tc>
          <w:tcPr>
            <w:tcW w:w="530" w:type="pct"/>
            <w:vMerge w:val="restart"/>
            <w:shd w:val="clear" w:color="auto" w:fill="auto"/>
            <w:vAlign w:val="center"/>
          </w:tcPr>
          <w:p w14:paraId="0AEEFA6A">
            <w:pPr>
              <w:spacing w:after="0" w:line="240" w:lineRule="auto"/>
              <w:ind w:firstLine="0"/>
              <w:jc w:val="center"/>
              <w:rPr>
                <w:sz w:val="20"/>
                <w:szCs w:val="20"/>
              </w:rPr>
            </w:pPr>
            <w:r>
              <w:rPr>
                <w:sz w:val="20"/>
                <w:szCs w:val="20"/>
              </w:rPr>
              <w:t>10</w:t>
            </w:r>
          </w:p>
        </w:tc>
        <w:tc>
          <w:tcPr>
            <w:tcW w:w="475" w:type="pct"/>
            <w:shd w:val="clear" w:color="auto" w:fill="auto"/>
            <w:vAlign w:val="center"/>
          </w:tcPr>
          <w:p w14:paraId="4AFBC6E0">
            <w:pPr>
              <w:spacing w:after="0" w:line="240" w:lineRule="auto"/>
              <w:ind w:firstLine="0"/>
              <w:jc w:val="center"/>
              <w:rPr>
                <w:sz w:val="20"/>
                <w:szCs w:val="20"/>
              </w:rPr>
            </w:pPr>
            <w:r>
              <w:rPr>
                <w:sz w:val="20"/>
                <w:szCs w:val="20"/>
              </w:rPr>
              <w:t>1,400</w:t>
            </w:r>
          </w:p>
        </w:tc>
        <w:tc>
          <w:tcPr>
            <w:tcW w:w="475" w:type="pct"/>
            <w:vMerge w:val="restart"/>
            <w:shd w:val="clear" w:color="auto" w:fill="auto"/>
            <w:vAlign w:val="center"/>
          </w:tcPr>
          <w:p w14:paraId="7A87ACF1">
            <w:pPr>
              <w:spacing w:after="0" w:line="240" w:lineRule="auto"/>
              <w:ind w:firstLine="0"/>
              <w:jc w:val="center"/>
              <w:rPr>
                <w:sz w:val="20"/>
                <w:szCs w:val="20"/>
              </w:rPr>
            </w:pPr>
            <w:r>
              <w:rPr>
                <w:sz w:val="20"/>
                <w:szCs w:val="20"/>
              </w:rPr>
              <w:t>1,50</w:t>
            </w:r>
          </w:p>
        </w:tc>
        <w:tc>
          <w:tcPr>
            <w:tcW w:w="211" w:type="pct"/>
            <w:vMerge w:val="restart"/>
            <w:shd w:val="clear" w:color="auto" w:fill="auto"/>
            <w:vAlign w:val="center"/>
          </w:tcPr>
          <w:p w14:paraId="3A606793">
            <w:pPr>
              <w:spacing w:after="0" w:line="240" w:lineRule="auto"/>
              <w:ind w:firstLine="0"/>
              <w:jc w:val="center"/>
              <w:rPr>
                <w:sz w:val="20"/>
                <w:szCs w:val="20"/>
              </w:rPr>
            </w:pPr>
            <w:r>
              <w:rPr>
                <w:sz w:val="20"/>
                <w:szCs w:val="20"/>
              </w:rPr>
              <w:t>87,4 </w:t>
            </w:r>
          </w:p>
        </w:tc>
        <w:tc>
          <w:tcPr>
            <w:tcW w:w="425" w:type="pct"/>
            <w:shd w:val="clear" w:color="auto" w:fill="auto"/>
            <w:vAlign w:val="center"/>
          </w:tcPr>
          <w:p w14:paraId="02DB4FEA">
            <w:pPr>
              <w:spacing w:after="0" w:line="240" w:lineRule="auto"/>
              <w:ind w:firstLine="0"/>
              <w:jc w:val="center"/>
              <w:rPr>
                <w:sz w:val="20"/>
                <w:szCs w:val="20"/>
              </w:rPr>
            </w:pPr>
            <w:r>
              <w:rPr>
                <w:sz w:val="20"/>
                <w:szCs w:val="20"/>
              </w:rPr>
              <w:t>1984</w:t>
            </w:r>
          </w:p>
        </w:tc>
        <w:tc>
          <w:tcPr>
            <w:tcW w:w="341" w:type="pct"/>
            <w:vMerge w:val="restart"/>
            <w:shd w:val="clear" w:color="auto" w:fill="auto"/>
            <w:noWrap/>
            <w:vAlign w:val="center"/>
          </w:tcPr>
          <w:p w14:paraId="12F6CC01">
            <w:pPr>
              <w:spacing w:after="0" w:line="240" w:lineRule="auto"/>
              <w:ind w:firstLine="0"/>
              <w:jc w:val="center"/>
              <w:rPr>
                <w:sz w:val="20"/>
                <w:szCs w:val="20"/>
              </w:rPr>
            </w:pPr>
            <w:r>
              <w:rPr>
                <w:sz w:val="20"/>
                <w:szCs w:val="20"/>
              </w:rPr>
              <w:t>нет</w:t>
            </w:r>
          </w:p>
        </w:tc>
        <w:tc>
          <w:tcPr>
            <w:tcW w:w="512" w:type="pct"/>
            <w:vMerge w:val="restart"/>
            <w:shd w:val="clear" w:color="auto" w:fill="auto"/>
            <w:vAlign w:val="center"/>
          </w:tcPr>
          <w:p w14:paraId="4A992BF8">
            <w:pPr>
              <w:spacing w:after="0" w:line="240" w:lineRule="auto"/>
              <w:ind w:firstLine="0"/>
              <w:jc w:val="center"/>
              <w:rPr>
                <w:sz w:val="20"/>
                <w:szCs w:val="20"/>
              </w:rPr>
            </w:pPr>
            <w:r>
              <w:rPr>
                <w:sz w:val="20"/>
                <w:szCs w:val="20"/>
              </w:rPr>
              <w:t>нет</w:t>
            </w:r>
          </w:p>
        </w:tc>
        <w:tc>
          <w:tcPr>
            <w:tcW w:w="506" w:type="pct"/>
            <w:vMerge w:val="continue"/>
            <w:vAlign w:val="center"/>
          </w:tcPr>
          <w:p w14:paraId="64EC10EB">
            <w:pPr>
              <w:spacing w:after="0" w:line="240" w:lineRule="auto"/>
              <w:ind w:firstLine="0"/>
              <w:rPr>
                <w:sz w:val="20"/>
                <w:szCs w:val="20"/>
              </w:rPr>
            </w:pPr>
          </w:p>
        </w:tc>
      </w:tr>
      <w:tr w14:paraId="4C31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5EB8317B">
            <w:pPr>
              <w:spacing w:after="0" w:line="240" w:lineRule="auto"/>
              <w:ind w:firstLine="0"/>
              <w:rPr>
                <w:sz w:val="20"/>
                <w:szCs w:val="20"/>
              </w:rPr>
            </w:pPr>
          </w:p>
        </w:tc>
        <w:tc>
          <w:tcPr>
            <w:tcW w:w="710" w:type="pct"/>
            <w:shd w:val="clear" w:color="auto" w:fill="auto"/>
            <w:vAlign w:val="center"/>
          </w:tcPr>
          <w:p w14:paraId="6A53CB6C">
            <w:pPr>
              <w:spacing w:after="0" w:line="240" w:lineRule="auto"/>
              <w:ind w:firstLine="0"/>
              <w:jc w:val="center"/>
              <w:rPr>
                <w:sz w:val="20"/>
                <w:szCs w:val="20"/>
              </w:rPr>
            </w:pPr>
            <w:r>
              <w:rPr>
                <w:sz w:val="20"/>
                <w:szCs w:val="20"/>
              </w:rPr>
              <w:t>Вирбекс-С-Финн № 2</w:t>
            </w:r>
          </w:p>
        </w:tc>
        <w:tc>
          <w:tcPr>
            <w:tcW w:w="530" w:type="pct"/>
            <w:vMerge w:val="continue"/>
            <w:vAlign w:val="center"/>
          </w:tcPr>
          <w:p w14:paraId="0A87B262">
            <w:pPr>
              <w:spacing w:after="0" w:line="240" w:lineRule="auto"/>
              <w:ind w:firstLine="0"/>
              <w:rPr>
                <w:sz w:val="20"/>
                <w:szCs w:val="20"/>
              </w:rPr>
            </w:pPr>
          </w:p>
        </w:tc>
        <w:tc>
          <w:tcPr>
            <w:tcW w:w="475" w:type="pct"/>
            <w:shd w:val="clear" w:color="auto" w:fill="auto"/>
            <w:vAlign w:val="center"/>
          </w:tcPr>
          <w:p w14:paraId="50692EEC">
            <w:pPr>
              <w:spacing w:after="0" w:line="240" w:lineRule="auto"/>
              <w:ind w:firstLine="0"/>
              <w:jc w:val="center"/>
              <w:rPr>
                <w:sz w:val="20"/>
                <w:szCs w:val="20"/>
              </w:rPr>
            </w:pPr>
            <w:r>
              <w:rPr>
                <w:sz w:val="20"/>
                <w:szCs w:val="20"/>
              </w:rPr>
              <w:t>1,400</w:t>
            </w:r>
          </w:p>
        </w:tc>
        <w:tc>
          <w:tcPr>
            <w:tcW w:w="475" w:type="pct"/>
            <w:vMerge w:val="continue"/>
            <w:shd w:val="clear" w:color="auto" w:fill="auto"/>
            <w:vAlign w:val="center"/>
          </w:tcPr>
          <w:p w14:paraId="3373A0E4">
            <w:pPr>
              <w:spacing w:after="0" w:line="240" w:lineRule="auto"/>
              <w:ind w:firstLine="0"/>
              <w:jc w:val="center"/>
              <w:rPr>
                <w:sz w:val="20"/>
                <w:szCs w:val="20"/>
              </w:rPr>
            </w:pPr>
          </w:p>
        </w:tc>
        <w:tc>
          <w:tcPr>
            <w:tcW w:w="211" w:type="pct"/>
            <w:vMerge w:val="continue"/>
            <w:shd w:val="clear" w:color="auto" w:fill="auto"/>
            <w:vAlign w:val="center"/>
          </w:tcPr>
          <w:p w14:paraId="1D78E42E">
            <w:pPr>
              <w:spacing w:after="0" w:line="240" w:lineRule="auto"/>
              <w:ind w:firstLine="0"/>
              <w:jc w:val="center"/>
              <w:rPr>
                <w:sz w:val="20"/>
                <w:szCs w:val="20"/>
              </w:rPr>
            </w:pPr>
          </w:p>
        </w:tc>
        <w:tc>
          <w:tcPr>
            <w:tcW w:w="425" w:type="pct"/>
            <w:shd w:val="clear" w:color="auto" w:fill="auto"/>
            <w:vAlign w:val="center"/>
          </w:tcPr>
          <w:p w14:paraId="4E00A91B">
            <w:pPr>
              <w:spacing w:after="0" w:line="240" w:lineRule="auto"/>
              <w:ind w:firstLine="0"/>
              <w:jc w:val="center"/>
              <w:rPr>
                <w:sz w:val="20"/>
                <w:szCs w:val="20"/>
              </w:rPr>
            </w:pPr>
            <w:r>
              <w:rPr>
                <w:sz w:val="20"/>
                <w:szCs w:val="20"/>
              </w:rPr>
              <w:t>1984</w:t>
            </w:r>
          </w:p>
        </w:tc>
        <w:tc>
          <w:tcPr>
            <w:tcW w:w="341" w:type="pct"/>
            <w:vMerge w:val="continue"/>
            <w:vAlign w:val="center"/>
          </w:tcPr>
          <w:p w14:paraId="056A3A79">
            <w:pPr>
              <w:spacing w:after="0" w:line="240" w:lineRule="auto"/>
              <w:ind w:firstLine="0"/>
              <w:rPr>
                <w:sz w:val="20"/>
                <w:szCs w:val="20"/>
              </w:rPr>
            </w:pPr>
          </w:p>
        </w:tc>
        <w:tc>
          <w:tcPr>
            <w:tcW w:w="512" w:type="pct"/>
            <w:vMerge w:val="continue"/>
            <w:vAlign w:val="center"/>
          </w:tcPr>
          <w:p w14:paraId="537C4A0F">
            <w:pPr>
              <w:spacing w:after="0" w:line="240" w:lineRule="auto"/>
              <w:ind w:firstLine="0"/>
              <w:rPr>
                <w:sz w:val="20"/>
                <w:szCs w:val="20"/>
              </w:rPr>
            </w:pPr>
          </w:p>
        </w:tc>
        <w:tc>
          <w:tcPr>
            <w:tcW w:w="506" w:type="pct"/>
            <w:vMerge w:val="continue"/>
            <w:vAlign w:val="center"/>
          </w:tcPr>
          <w:p w14:paraId="3190CFCC">
            <w:pPr>
              <w:spacing w:after="0" w:line="240" w:lineRule="auto"/>
              <w:ind w:firstLine="0"/>
              <w:rPr>
                <w:sz w:val="20"/>
                <w:szCs w:val="20"/>
              </w:rPr>
            </w:pPr>
          </w:p>
        </w:tc>
      </w:tr>
      <w:tr w14:paraId="2C22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345A3994">
            <w:pPr>
              <w:spacing w:after="0" w:line="240" w:lineRule="auto"/>
              <w:ind w:firstLine="0"/>
              <w:rPr>
                <w:sz w:val="20"/>
                <w:szCs w:val="20"/>
              </w:rPr>
            </w:pPr>
          </w:p>
        </w:tc>
        <w:tc>
          <w:tcPr>
            <w:tcW w:w="710" w:type="pct"/>
            <w:shd w:val="clear" w:color="auto" w:fill="auto"/>
            <w:vAlign w:val="center"/>
          </w:tcPr>
          <w:p w14:paraId="0FB8B712">
            <w:pPr>
              <w:spacing w:after="0" w:line="240" w:lineRule="auto"/>
              <w:ind w:firstLine="0"/>
              <w:jc w:val="center"/>
              <w:rPr>
                <w:sz w:val="20"/>
                <w:szCs w:val="20"/>
              </w:rPr>
            </w:pPr>
            <w:r>
              <w:rPr>
                <w:sz w:val="20"/>
                <w:szCs w:val="20"/>
              </w:rPr>
              <w:t>Всего</w:t>
            </w:r>
          </w:p>
        </w:tc>
        <w:tc>
          <w:tcPr>
            <w:tcW w:w="530" w:type="pct"/>
            <w:shd w:val="clear" w:color="auto" w:fill="auto"/>
            <w:vAlign w:val="center"/>
          </w:tcPr>
          <w:p w14:paraId="5F01A23B">
            <w:pPr>
              <w:spacing w:after="0" w:line="240" w:lineRule="auto"/>
              <w:ind w:firstLine="0"/>
              <w:jc w:val="center"/>
              <w:rPr>
                <w:sz w:val="20"/>
                <w:szCs w:val="20"/>
              </w:rPr>
            </w:pPr>
            <w:r>
              <w:rPr>
                <w:sz w:val="20"/>
                <w:szCs w:val="20"/>
              </w:rPr>
              <w:t> </w:t>
            </w:r>
          </w:p>
        </w:tc>
        <w:tc>
          <w:tcPr>
            <w:tcW w:w="475" w:type="pct"/>
            <w:shd w:val="clear" w:color="auto" w:fill="auto"/>
            <w:vAlign w:val="center"/>
          </w:tcPr>
          <w:p w14:paraId="79921386">
            <w:pPr>
              <w:spacing w:after="0" w:line="240" w:lineRule="auto"/>
              <w:ind w:firstLine="0"/>
              <w:jc w:val="center"/>
              <w:rPr>
                <w:sz w:val="20"/>
                <w:szCs w:val="20"/>
              </w:rPr>
            </w:pPr>
            <w:r>
              <w:rPr>
                <w:sz w:val="20"/>
                <w:szCs w:val="20"/>
              </w:rPr>
              <w:t>2,800</w:t>
            </w:r>
          </w:p>
        </w:tc>
        <w:tc>
          <w:tcPr>
            <w:tcW w:w="475" w:type="pct"/>
            <w:vMerge w:val="continue"/>
            <w:shd w:val="clear" w:color="auto" w:fill="auto"/>
            <w:vAlign w:val="center"/>
          </w:tcPr>
          <w:p w14:paraId="1856217A">
            <w:pPr>
              <w:spacing w:after="0" w:line="240" w:lineRule="auto"/>
              <w:ind w:firstLine="0"/>
              <w:jc w:val="center"/>
              <w:rPr>
                <w:sz w:val="20"/>
                <w:szCs w:val="20"/>
              </w:rPr>
            </w:pPr>
          </w:p>
        </w:tc>
        <w:tc>
          <w:tcPr>
            <w:tcW w:w="211" w:type="pct"/>
            <w:vMerge w:val="continue"/>
            <w:shd w:val="clear" w:color="auto" w:fill="auto"/>
            <w:vAlign w:val="center"/>
          </w:tcPr>
          <w:p w14:paraId="65B4DF2B">
            <w:pPr>
              <w:spacing w:after="0" w:line="240" w:lineRule="auto"/>
              <w:ind w:firstLine="0"/>
              <w:jc w:val="center"/>
              <w:rPr>
                <w:sz w:val="20"/>
                <w:szCs w:val="20"/>
              </w:rPr>
            </w:pPr>
          </w:p>
        </w:tc>
        <w:tc>
          <w:tcPr>
            <w:tcW w:w="425" w:type="pct"/>
            <w:shd w:val="clear" w:color="auto" w:fill="auto"/>
            <w:vAlign w:val="center"/>
          </w:tcPr>
          <w:p w14:paraId="7D968963">
            <w:pPr>
              <w:spacing w:after="0" w:line="240" w:lineRule="auto"/>
              <w:ind w:firstLine="0"/>
              <w:jc w:val="center"/>
              <w:rPr>
                <w:sz w:val="20"/>
                <w:szCs w:val="20"/>
              </w:rPr>
            </w:pPr>
            <w:r>
              <w:rPr>
                <w:sz w:val="20"/>
                <w:szCs w:val="20"/>
              </w:rPr>
              <w:t> </w:t>
            </w:r>
          </w:p>
        </w:tc>
        <w:tc>
          <w:tcPr>
            <w:tcW w:w="341" w:type="pct"/>
            <w:vMerge w:val="continue"/>
            <w:vAlign w:val="center"/>
          </w:tcPr>
          <w:p w14:paraId="7F046A97">
            <w:pPr>
              <w:spacing w:after="0" w:line="240" w:lineRule="auto"/>
              <w:ind w:firstLine="0"/>
              <w:rPr>
                <w:sz w:val="20"/>
                <w:szCs w:val="20"/>
              </w:rPr>
            </w:pPr>
          </w:p>
        </w:tc>
        <w:tc>
          <w:tcPr>
            <w:tcW w:w="512" w:type="pct"/>
            <w:vMerge w:val="continue"/>
            <w:vAlign w:val="center"/>
          </w:tcPr>
          <w:p w14:paraId="1D83D007">
            <w:pPr>
              <w:spacing w:after="0" w:line="240" w:lineRule="auto"/>
              <w:ind w:firstLine="0"/>
              <w:rPr>
                <w:sz w:val="20"/>
                <w:szCs w:val="20"/>
              </w:rPr>
            </w:pPr>
          </w:p>
        </w:tc>
        <w:tc>
          <w:tcPr>
            <w:tcW w:w="506" w:type="pct"/>
            <w:vMerge w:val="continue"/>
            <w:vAlign w:val="center"/>
          </w:tcPr>
          <w:p w14:paraId="1630294B">
            <w:pPr>
              <w:spacing w:after="0" w:line="240" w:lineRule="auto"/>
              <w:ind w:firstLine="0"/>
              <w:rPr>
                <w:sz w:val="20"/>
                <w:szCs w:val="20"/>
              </w:rPr>
            </w:pPr>
          </w:p>
        </w:tc>
      </w:tr>
      <w:tr w14:paraId="4334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restart"/>
            <w:vAlign w:val="center"/>
          </w:tcPr>
          <w:p w14:paraId="094EDBD8">
            <w:pPr>
              <w:spacing w:after="0" w:line="240" w:lineRule="auto"/>
              <w:ind w:firstLine="0"/>
              <w:jc w:val="center"/>
              <w:rPr>
                <w:sz w:val="20"/>
                <w:szCs w:val="20"/>
              </w:rPr>
            </w:pPr>
            <w:r>
              <w:rPr>
                <w:sz w:val="20"/>
                <w:szCs w:val="20"/>
              </w:rPr>
              <w:t>Теплоутилизационные установки КС «Верхнеказымская»</w:t>
            </w:r>
          </w:p>
        </w:tc>
        <w:tc>
          <w:tcPr>
            <w:tcW w:w="710" w:type="pct"/>
            <w:shd w:val="clear" w:color="auto" w:fill="auto"/>
            <w:vAlign w:val="center"/>
          </w:tcPr>
          <w:p w14:paraId="022EC510">
            <w:pPr>
              <w:spacing w:after="0" w:line="240" w:lineRule="auto"/>
              <w:ind w:firstLine="0"/>
              <w:jc w:val="center"/>
              <w:rPr>
                <w:sz w:val="20"/>
                <w:szCs w:val="20"/>
              </w:rPr>
            </w:pPr>
            <w:r>
              <w:rPr>
                <w:color w:val="000000"/>
                <w:sz w:val="20"/>
                <w:szCs w:val="20"/>
              </w:rPr>
              <w:t>КС-7 ТА 71 УТ-9,2/150</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5BCF007F">
            <w:pPr>
              <w:spacing w:after="0" w:line="240" w:lineRule="auto"/>
              <w:ind w:firstLine="0"/>
              <w:jc w:val="center"/>
              <w:rPr>
                <w:sz w:val="20"/>
                <w:szCs w:val="20"/>
              </w:rPr>
            </w:pPr>
            <w:r>
              <w:rPr>
                <w:color w:val="000000"/>
                <w:sz w:val="20"/>
                <w:szCs w:val="20"/>
              </w:rPr>
              <w:t>6,3</w:t>
            </w:r>
          </w:p>
        </w:tc>
        <w:tc>
          <w:tcPr>
            <w:tcW w:w="4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0474DB">
            <w:pPr>
              <w:spacing w:after="0" w:line="240" w:lineRule="auto"/>
              <w:ind w:firstLine="0"/>
              <w:jc w:val="center"/>
              <w:rPr>
                <w:sz w:val="20"/>
                <w:szCs w:val="20"/>
              </w:rPr>
            </w:pPr>
            <w:r>
              <w:rPr>
                <w:color w:val="000000"/>
                <w:sz w:val="20"/>
                <w:szCs w:val="20"/>
              </w:rPr>
              <w:t>37,72</w:t>
            </w:r>
          </w:p>
        </w:tc>
        <w:tc>
          <w:tcPr>
            <w:tcW w:w="4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D33EDE">
            <w:pPr>
              <w:spacing w:after="0" w:line="240" w:lineRule="auto"/>
              <w:ind w:firstLine="0"/>
              <w:jc w:val="center"/>
              <w:rPr>
                <w:sz w:val="20"/>
                <w:szCs w:val="20"/>
              </w:rPr>
            </w:pPr>
            <w:r>
              <w:rPr>
                <w:color w:val="000000"/>
                <w:sz w:val="20"/>
                <w:szCs w:val="20"/>
              </w:rPr>
              <w:t>9,4</w:t>
            </w:r>
          </w:p>
        </w:tc>
        <w:tc>
          <w:tcPr>
            <w:tcW w:w="211" w:type="pct"/>
            <w:vMerge w:val="restart"/>
            <w:shd w:val="clear" w:color="auto" w:fill="auto"/>
            <w:vAlign w:val="center"/>
          </w:tcPr>
          <w:p w14:paraId="27A1143F">
            <w:pPr>
              <w:spacing w:after="0" w:line="240" w:lineRule="auto"/>
              <w:ind w:firstLine="0"/>
              <w:jc w:val="center"/>
              <w:rPr>
                <w:sz w:val="20"/>
                <w:szCs w:val="20"/>
              </w:rPr>
            </w:pPr>
            <w:r>
              <w:rPr>
                <w:sz w:val="20"/>
                <w:szCs w:val="20"/>
              </w:rPr>
              <w:t>62</w:t>
            </w:r>
          </w:p>
        </w:tc>
        <w:tc>
          <w:tcPr>
            <w:tcW w:w="425" w:type="pct"/>
            <w:vMerge w:val="restart"/>
            <w:shd w:val="clear" w:color="auto" w:fill="auto"/>
            <w:vAlign w:val="center"/>
          </w:tcPr>
          <w:p w14:paraId="370FED82">
            <w:pPr>
              <w:spacing w:after="0" w:line="240" w:lineRule="auto"/>
              <w:ind w:firstLine="0"/>
              <w:jc w:val="center"/>
              <w:rPr>
                <w:sz w:val="20"/>
                <w:szCs w:val="20"/>
              </w:rPr>
            </w:pPr>
            <w:r>
              <w:rPr>
                <w:sz w:val="20"/>
                <w:szCs w:val="20"/>
              </w:rPr>
              <w:t>2009</w:t>
            </w:r>
          </w:p>
        </w:tc>
        <w:tc>
          <w:tcPr>
            <w:tcW w:w="341" w:type="pct"/>
            <w:vMerge w:val="restart"/>
            <w:vAlign w:val="center"/>
          </w:tcPr>
          <w:p w14:paraId="069EA4B0">
            <w:pPr>
              <w:spacing w:after="0" w:line="240" w:lineRule="auto"/>
              <w:ind w:firstLine="0"/>
              <w:jc w:val="center"/>
              <w:rPr>
                <w:sz w:val="20"/>
                <w:szCs w:val="20"/>
              </w:rPr>
            </w:pPr>
            <w:r>
              <w:rPr>
                <w:sz w:val="20"/>
                <w:szCs w:val="20"/>
              </w:rPr>
              <w:t>нет</w:t>
            </w:r>
          </w:p>
        </w:tc>
        <w:tc>
          <w:tcPr>
            <w:tcW w:w="512" w:type="pct"/>
            <w:vMerge w:val="restart"/>
            <w:vAlign w:val="center"/>
          </w:tcPr>
          <w:p w14:paraId="6A4D9189">
            <w:pPr>
              <w:spacing w:after="0" w:line="240" w:lineRule="auto"/>
              <w:ind w:firstLine="0"/>
              <w:jc w:val="center"/>
              <w:rPr>
                <w:sz w:val="20"/>
                <w:szCs w:val="20"/>
              </w:rPr>
            </w:pPr>
            <w:r>
              <w:rPr>
                <w:sz w:val="20"/>
                <w:szCs w:val="20"/>
              </w:rPr>
              <w:t>нет</w:t>
            </w:r>
          </w:p>
        </w:tc>
        <w:tc>
          <w:tcPr>
            <w:tcW w:w="506" w:type="pct"/>
            <w:vMerge w:val="continue"/>
            <w:vAlign w:val="center"/>
          </w:tcPr>
          <w:p w14:paraId="638244DF">
            <w:pPr>
              <w:spacing w:after="0" w:line="240" w:lineRule="auto"/>
              <w:ind w:firstLine="0"/>
              <w:rPr>
                <w:sz w:val="20"/>
                <w:szCs w:val="20"/>
              </w:rPr>
            </w:pPr>
          </w:p>
        </w:tc>
      </w:tr>
      <w:tr w14:paraId="2688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51366CAC">
            <w:pPr>
              <w:spacing w:after="0" w:line="240" w:lineRule="auto"/>
              <w:ind w:firstLine="0"/>
              <w:rPr>
                <w:sz w:val="20"/>
                <w:szCs w:val="20"/>
              </w:rPr>
            </w:pPr>
          </w:p>
        </w:tc>
        <w:tc>
          <w:tcPr>
            <w:tcW w:w="710" w:type="pct"/>
            <w:shd w:val="clear" w:color="auto" w:fill="auto"/>
            <w:vAlign w:val="center"/>
          </w:tcPr>
          <w:p w14:paraId="07428E28">
            <w:pPr>
              <w:spacing w:after="0" w:line="240" w:lineRule="auto"/>
              <w:ind w:firstLine="0"/>
              <w:jc w:val="center"/>
              <w:rPr>
                <w:sz w:val="20"/>
                <w:szCs w:val="20"/>
              </w:rPr>
            </w:pPr>
            <w:r>
              <w:rPr>
                <w:color w:val="000000"/>
                <w:sz w:val="20"/>
                <w:szCs w:val="20"/>
              </w:rPr>
              <w:t>КС-7 ТА 72 УТ-9,2/151</w:t>
            </w:r>
          </w:p>
        </w:tc>
        <w:tc>
          <w:tcPr>
            <w:tcW w:w="530" w:type="pct"/>
            <w:tcBorders>
              <w:top w:val="nil"/>
              <w:left w:val="single" w:color="auto" w:sz="4" w:space="0"/>
              <w:bottom w:val="single" w:color="auto" w:sz="4" w:space="0"/>
              <w:right w:val="single" w:color="auto" w:sz="4" w:space="0"/>
            </w:tcBorders>
            <w:shd w:val="clear" w:color="auto" w:fill="auto"/>
            <w:vAlign w:val="center"/>
          </w:tcPr>
          <w:p w14:paraId="782D9373">
            <w:pPr>
              <w:spacing w:after="0" w:line="240" w:lineRule="auto"/>
              <w:ind w:firstLine="0"/>
              <w:jc w:val="center"/>
              <w:rPr>
                <w:sz w:val="20"/>
                <w:szCs w:val="20"/>
              </w:rPr>
            </w:pPr>
            <w:r>
              <w:rPr>
                <w:color w:val="000000"/>
                <w:sz w:val="20"/>
                <w:szCs w:val="20"/>
              </w:rPr>
              <w:t>5,04</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56AE89E1">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09172CF0">
            <w:pPr>
              <w:spacing w:after="0" w:line="240" w:lineRule="auto"/>
              <w:ind w:firstLine="0"/>
              <w:jc w:val="center"/>
              <w:rPr>
                <w:sz w:val="20"/>
                <w:szCs w:val="20"/>
              </w:rPr>
            </w:pPr>
          </w:p>
        </w:tc>
        <w:tc>
          <w:tcPr>
            <w:tcW w:w="211" w:type="pct"/>
            <w:vMerge w:val="continue"/>
            <w:shd w:val="clear" w:color="auto" w:fill="auto"/>
            <w:vAlign w:val="center"/>
          </w:tcPr>
          <w:p w14:paraId="72A96C62">
            <w:pPr>
              <w:spacing w:after="0" w:line="240" w:lineRule="auto"/>
              <w:ind w:firstLine="0"/>
              <w:jc w:val="center"/>
              <w:rPr>
                <w:sz w:val="20"/>
                <w:szCs w:val="20"/>
              </w:rPr>
            </w:pPr>
          </w:p>
        </w:tc>
        <w:tc>
          <w:tcPr>
            <w:tcW w:w="425" w:type="pct"/>
            <w:vMerge w:val="continue"/>
            <w:shd w:val="clear" w:color="auto" w:fill="auto"/>
            <w:vAlign w:val="center"/>
          </w:tcPr>
          <w:p w14:paraId="61E2DBA0">
            <w:pPr>
              <w:spacing w:after="0" w:line="240" w:lineRule="auto"/>
              <w:ind w:firstLine="0"/>
              <w:jc w:val="center"/>
              <w:rPr>
                <w:sz w:val="20"/>
                <w:szCs w:val="20"/>
              </w:rPr>
            </w:pPr>
          </w:p>
        </w:tc>
        <w:tc>
          <w:tcPr>
            <w:tcW w:w="341" w:type="pct"/>
            <w:vMerge w:val="continue"/>
            <w:vAlign w:val="center"/>
          </w:tcPr>
          <w:p w14:paraId="6240A271">
            <w:pPr>
              <w:spacing w:after="0" w:line="240" w:lineRule="auto"/>
              <w:ind w:firstLine="0"/>
              <w:rPr>
                <w:sz w:val="20"/>
                <w:szCs w:val="20"/>
              </w:rPr>
            </w:pPr>
          </w:p>
        </w:tc>
        <w:tc>
          <w:tcPr>
            <w:tcW w:w="512" w:type="pct"/>
            <w:vMerge w:val="continue"/>
            <w:vAlign w:val="center"/>
          </w:tcPr>
          <w:p w14:paraId="739A8C56">
            <w:pPr>
              <w:spacing w:after="0" w:line="240" w:lineRule="auto"/>
              <w:ind w:firstLine="0"/>
              <w:rPr>
                <w:sz w:val="20"/>
                <w:szCs w:val="20"/>
              </w:rPr>
            </w:pPr>
          </w:p>
        </w:tc>
        <w:tc>
          <w:tcPr>
            <w:tcW w:w="506" w:type="pct"/>
            <w:vMerge w:val="continue"/>
            <w:vAlign w:val="center"/>
          </w:tcPr>
          <w:p w14:paraId="5ED96240">
            <w:pPr>
              <w:spacing w:after="0" w:line="240" w:lineRule="auto"/>
              <w:ind w:firstLine="0"/>
              <w:rPr>
                <w:sz w:val="20"/>
                <w:szCs w:val="20"/>
              </w:rPr>
            </w:pPr>
          </w:p>
        </w:tc>
      </w:tr>
      <w:tr w14:paraId="118A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2460577F">
            <w:pPr>
              <w:spacing w:after="0" w:line="240" w:lineRule="auto"/>
              <w:ind w:firstLine="0"/>
              <w:rPr>
                <w:sz w:val="20"/>
                <w:szCs w:val="20"/>
              </w:rPr>
            </w:pPr>
          </w:p>
        </w:tc>
        <w:tc>
          <w:tcPr>
            <w:tcW w:w="710" w:type="pct"/>
            <w:shd w:val="clear" w:color="auto" w:fill="auto"/>
            <w:vAlign w:val="center"/>
          </w:tcPr>
          <w:p w14:paraId="004655C0">
            <w:pPr>
              <w:spacing w:after="0" w:line="240" w:lineRule="auto"/>
              <w:ind w:firstLine="0"/>
              <w:jc w:val="center"/>
              <w:rPr>
                <w:sz w:val="20"/>
                <w:szCs w:val="20"/>
              </w:rPr>
            </w:pPr>
            <w:r>
              <w:rPr>
                <w:color w:val="000000"/>
                <w:sz w:val="20"/>
                <w:szCs w:val="20"/>
              </w:rPr>
              <w:t>КС-7 ТА 73 УТ-9,2/152</w:t>
            </w:r>
          </w:p>
        </w:tc>
        <w:tc>
          <w:tcPr>
            <w:tcW w:w="530" w:type="pct"/>
            <w:tcBorders>
              <w:top w:val="nil"/>
              <w:left w:val="single" w:color="auto" w:sz="4" w:space="0"/>
              <w:bottom w:val="single" w:color="auto" w:sz="4" w:space="0"/>
              <w:right w:val="single" w:color="auto" w:sz="4" w:space="0"/>
            </w:tcBorders>
            <w:shd w:val="clear" w:color="auto" w:fill="auto"/>
            <w:vAlign w:val="center"/>
          </w:tcPr>
          <w:p w14:paraId="0FC1DDD7">
            <w:pPr>
              <w:spacing w:after="0" w:line="240" w:lineRule="auto"/>
              <w:ind w:firstLine="0"/>
              <w:jc w:val="center"/>
              <w:rPr>
                <w:sz w:val="20"/>
                <w:szCs w:val="20"/>
              </w:rPr>
            </w:pPr>
            <w:r>
              <w:rPr>
                <w:color w:val="000000"/>
                <w:sz w:val="20"/>
                <w:szCs w:val="20"/>
              </w:rPr>
              <w:t>3,87</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415E9A4D">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05E0A701">
            <w:pPr>
              <w:spacing w:after="0" w:line="240" w:lineRule="auto"/>
              <w:ind w:firstLine="0"/>
              <w:jc w:val="center"/>
              <w:rPr>
                <w:sz w:val="20"/>
                <w:szCs w:val="20"/>
              </w:rPr>
            </w:pPr>
          </w:p>
        </w:tc>
        <w:tc>
          <w:tcPr>
            <w:tcW w:w="211" w:type="pct"/>
            <w:vMerge w:val="continue"/>
            <w:shd w:val="clear" w:color="auto" w:fill="auto"/>
            <w:vAlign w:val="center"/>
          </w:tcPr>
          <w:p w14:paraId="54909A28">
            <w:pPr>
              <w:spacing w:after="0" w:line="240" w:lineRule="auto"/>
              <w:ind w:firstLine="0"/>
              <w:jc w:val="center"/>
              <w:rPr>
                <w:sz w:val="20"/>
                <w:szCs w:val="20"/>
              </w:rPr>
            </w:pPr>
          </w:p>
        </w:tc>
        <w:tc>
          <w:tcPr>
            <w:tcW w:w="425" w:type="pct"/>
            <w:vMerge w:val="continue"/>
            <w:shd w:val="clear" w:color="auto" w:fill="auto"/>
            <w:vAlign w:val="center"/>
          </w:tcPr>
          <w:p w14:paraId="2EA272FF">
            <w:pPr>
              <w:spacing w:after="0" w:line="240" w:lineRule="auto"/>
              <w:ind w:firstLine="0"/>
              <w:jc w:val="center"/>
              <w:rPr>
                <w:sz w:val="20"/>
                <w:szCs w:val="20"/>
              </w:rPr>
            </w:pPr>
          </w:p>
        </w:tc>
        <w:tc>
          <w:tcPr>
            <w:tcW w:w="341" w:type="pct"/>
            <w:vMerge w:val="continue"/>
            <w:vAlign w:val="center"/>
          </w:tcPr>
          <w:p w14:paraId="64E7A501">
            <w:pPr>
              <w:spacing w:after="0" w:line="240" w:lineRule="auto"/>
              <w:ind w:firstLine="0"/>
              <w:rPr>
                <w:sz w:val="20"/>
                <w:szCs w:val="20"/>
              </w:rPr>
            </w:pPr>
          </w:p>
        </w:tc>
        <w:tc>
          <w:tcPr>
            <w:tcW w:w="512" w:type="pct"/>
            <w:vMerge w:val="continue"/>
            <w:vAlign w:val="center"/>
          </w:tcPr>
          <w:p w14:paraId="51AE8711">
            <w:pPr>
              <w:spacing w:after="0" w:line="240" w:lineRule="auto"/>
              <w:ind w:firstLine="0"/>
              <w:rPr>
                <w:sz w:val="20"/>
                <w:szCs w:val="20"/>
              </w:rPr>
            </w:pPr>
          </w:p>
        </w:tc>
        <w:tc>
          <w:tcPr>
            <w:tcW w:w="506" w:type="pct"/>
            <w:vMerge w:val="continue"/>
            <w:vAlign w:val="center"/>
          </w:tcPr>
          <w:p w14:paraId="76572886">
            <w:pPr>
              <w:spacing w:after="0" w:line="240" w:lineRule="auto"/>
              <w:ind w:firstLine="0"/>
              <w:rPr>
                <w:sz w:val="20"/>
                <w:szCs w:val="20"/>
              </w:rPr>
            </w:pPr>
          </w:p>
        </w:tc>
      </w:tr>
      <w:tr w14:paraId="3B50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1F735A07">
            <w:pPr>
              <w:spacing w:after="0" w:line="240" w:lineRule="auto"/>
              <w:ind w:firstLine="0"/>
              <w:rPr>
                <w:sz w:val="20"/>
                <w:szCs w:val="20"/>
              </w:rPr>
            </w:pPr>
          </w:p>
        </w:tc>
        <w:tc>
          <w:tcPr>
            <w:tcW w:w="710" w:type="pct"/>
            <w:shd w:val="clear" w:color="auto" w:fill="auto"/>
            <w:vAlign w:val="center"/>
          </w:tcPr>
          <w:p w14:paraId="6C9BC291">
            <w:pPr>
              <w:spacing w:after="0" w:line="240" w:lineRule="auto"/>
              <w:ind w:firstLine="0"/>
              <w:jc w:val="center"/>
              <w:rPr>
                <w:sz w:val="20"/>
                <w:szCs w:val="20"/>
              </w:rPr>
            </w:pPr>
            <w:r>
              <w:rPr>
                <w:color w:val="000000"/>
                <w:sz w:val="20"/>
                <w:szCs w:val="20"/>
              </w:rPr>
              <w:t>КС-7 ТА 74 УТ-9,2/153</w:t>
            </w:r>
          </w:p>
        </w:tc>
        <w:tc>
          <w:tcPr>
            <w:tcW w:w="530" w:type="pct"/>
            <w:tcBorders>
              <w:top w:val="nil"/>
              <w:left w:val="single" w:color="auto" w:sz="4" w:space="0"/>
              <w:bottom w:val="single" w:color="auto" w:sz="4" w:space="0"/>
              <w:right w:val="single" w:color="auto" w:sz="4" w:space="0"/>
            </w:tcBorders>
            <w:shd w:val="clear" w:color="auto" w:fill="auto"/>
            <w:vAlign w:val="center"/>
          </w:tcPr>
          <w:p w14:paraId="16D0BD71">
            <w:pPr>
              <w:spacing w:after="0" w:line="240" w:lineRule="auto"/>
              <w:ind w:firstLine="0"/>
              <w:jc w:val="center"/>
              <w:rPr>
                <w:sz w:val="20"/>
                <w:szCs w:val="20"/>
              </w:rPr>
            </w:pPr>
            <w:r>
              <w:rPr>
                <w:color w:val="000000"/>
                <w:sz w:val="20"/>
                <w:szCs w:val="20"/>
              </w:rPr>
              <w:t>6,75</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6407052E">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05F0C3E2">
            <w:pPr>
              <w:spacing w:after="0" w:line="240" w:lineRule="auto"/>
              <w:ind w:firstLine="0"/>
              <w:jc w:val="center"/>
              <w:rPr>
                <w:sz w:val="20"/>
                <w:szCs w:val="20"/>
              </w:rPr>
            </w:pPr>
          </w:p>
        </w:tc>
        <w:tc>
          <w:tcPr>
            <w:tcW w:w="211" w:type="pct"/>
            <w:vMerge w:val="continue"/>
            <w:shd w:val="clear" w:color="auto" w:fill="auto"/>
            <w:vAlign w:val="center"/>
          </w:tcPr>
          <w:p w14:paraId="3B89F044">
            <w:pPr>
              <w:spacing w:after="0" w:line="240" w:lineRule="auto"/>
              <w:ind w:firstLine="0"/>
              <w:jc w:val="center"/>
              <w:rPr>
                <w:sz w:val="20"/>
                <w:szCs w:val="20"/>
              </w:rPr>
            </w:pPr>
          </w:p>
        </w:tc>
        <w:tc>
          <w:tcPr>
            <w:tcW w:w="425" w:type="pct"/>
            <w:vMerge w:val="continue"/>
            <w:shd w:val="clear" w:color="auto" w:fill="auto"/>
            <w:vAlign w:val="center"/>
          </w:tcPr>
          <w:p w14:paraId="7CF5B794">
            <w:pPr>
              <w:spacing w:after="0" w:line="240" w:lineRule="auto"/>
              <w:ind w:firstLine="0"/>
              <w:jc w:val="center"/>
              <w:rPr>
                <w:sz w:val="20"/>
                <w:szCs w:val="20"/>
              </w:rPr>
            </w:pPr>
          </w:p>
        </w:tc>
        <w:tc>
          <w:tcPr>
            <w:tcW w:w="341" w:type="pct"/>
            <w:vMerge w:val="continue"/>
            <w:vAlign w:val="center"/>
          </w:tcPr>
          <w:p w14:paraId="53EAB302">
            <w:pPr>
              <w:spacing w:after="0" w:line="240" w:lineRule="auto"/>
              <w:ind w:firstLine="0"/>
              <w:rPr>
                <w:sz w:val="20"/>
                <w:szCs w:val="20"/>
              </w:rPr>
            </w:pPr>
          </w:p>
        </w:tc>
        <w:tc>
          <w:tcPr>
            <w:tcW w:w="512" w:type="pct"/>
            <w:vMerge w:val="continue"/>
            <w:vAlign w:val="center"/>
          </w:tcPr>
          <w:p w14:paraId="0E8729C4">
            <w:pPr>
              <w:spacing w:after="0" w:line="240" w:lineRule="auto"/>
              <w:ind w:firstLine="0"/>
              <w:rPr>
                <w:sz w:val="20"/>
                <w:szCs w:val="20"/>
              </w:rPr>
            </w:pPr>
          </w:p>
        </w:tc>
        <w:tc>
          <w:tcPr>
            <w:tcW w:w="506" w:type="pct"/>
            <w:vMerge w:val="continue"/>
            <w:vAlign w:val="center"/>
          </w:tcPr>
          <w:p w14:paraId="02DBBD09">
            <w:pPr>
              <w:spacing w:after="0" w:line="240" w:lineRule="auto"/>
              <w:ind w:firstLine="0"/>
              <w:rPr>
                <w:sz w:val="20"/>
                <w:szCs w:val="20"/>
              </w:rPr>
            </w:pPr>
          </w:p>
        </w:tc>
      </w:tr>
      <w:tr w14:paraId="783D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5F844781">
            <w:pPr>
              <w:spacing w:after="0" w:line="240" w:lineRule="auto"/>
              <w:ind w:firstLine="0"/>
              <w:rPr>
                <w:sz w:val="20"/>
                <w:szCs w:val="20"/>
              </w:rPr>
            </w:pPr>
          </w:p>
        </w:tc>
        <w:tc>
          <w:tcPr>
            <w:tcW w:w="710" w:type="pct"/>
            <w:shd w:val="clear" w:color="auto" w:fill="auto"/>
            <w:vAlign w:val="center"/>
          </w:tcPr>
          <w:p w14:paraId="47020A04">
            <w:pPr>
              <w:spacing w:after="0" w:line="240" w:lineRule="auto"/>
              <w:ind w:firstLine="0"/>
              <w:jc w:val="center"/>
              <w:rPr>
                <w:sz w:val="20"/>
                <w:szCs w:val="20"/>
              </w:rPr>
            </w:pPr>
            <w:r>
              <w:rPr>
                <w:color w:val="000000"/>
                <w:sz w:val="20"/>
                <w:szCs w:val="20"/>
              </w:rPr>
              <w:t>КС-8 ТА 81 УТ-9,2/150</w:t>
            </w:r>
          </w:p>
        </w:tc>
        <w:tc>
          <w:tcPr>
            <w:tcW w:w="530" w:type="pct"/>
            <w:tcBorders>
              <w:top w:val="nil"/>
              <w:left w:val="single" w:color="auto" w:sz="4" w:space="0"/>
              <w:bottom w:val="single" w:color="auto" w:sz="4" w:space="0"/>
              <w:right w:val="single" w:color="auto" w:sz="4" w:space="0"/>
            </w:tcBorders>
            <w:shd w:val="clear" w:color="auto" w:fill="auto"/>
            <w:vAlign w:val="center"/>
          </w:tcPr>
          <w:p w14:paraId="11A7464D">
            <w:pPr>
              <w:spacing w:after="0" w:line="240" w:lineRule="auto"/>
              <w:ind w:firstLine="0"/>
              <w:jc w:val="center"/>
              <w:rPr>
                <w:sz w:val="20"/>
                <w:szCs w:val="20"/>
              </w:rPr>
            </w:pPr>
            <w:r>
              <w:rPr>
                <w:color w:val="000000"/>
                <w:sz w:val="20"/>
                <w:szCs w:val="20"/>
              </w:rPr>
              <w:t>3,29</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5D8B3BA5">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0677B6F1">
            <w:pPr>
              <w:spacing w:after="0" w:line="240" w:lineRule="auto"/>
              <w:ind w:firstLine="0"/>
              <w:jc w:val="center"/>
              <w:rPr>
                <w:sz w:val="20"/>
                <w:szCs w:val="20"/>
              </w:rPr>
            </w:pPr>
          </w:p>
        </w:tc>
        <w:tc>
          <w:tcPr>
            <w:tcW w:w="211" w:type="pct"/>
            <w:vMerge w:val="continue"/>
            <w:shd w:val="clear" w:color="auto" w:fill="auto"/>
            <w:vAlign w:val="center"/>
          </w:tcPr>
          <w:p w14:paraId="55A29671">
            <w:pPr>
              <w:spacing w:after="0" w:line="240" w:lineRule="auto"/>
              <w:ind w:firstLine="0"/>
              <w:jc w:val="center"/>
              <w:rPr>
                <w:sz w:val="20"/>
                <w:szCs w:val="20"/>
              </w:rPr>
            </w:pPr>
          </w:p>
        </w:tc>
        <w:tc>
          <w:tcPr>
            <w:tcW w:w="425" w:type="pct"/>
            <w:vMerge w:val="continue"/>
            <w:shd w:val="clear" w:color="auto" w:fill="auto"/>
            <w:vAlign w:val="center"/>
          </w:tcPr>
          <w:p w14:paraId="392DF0DF">
            <w:pPr>
              <w:spacing w:after="0" w:line="240" w:lineRule="auto"/>
              <w:ind w:firstLine="0"/>
              <w:jc w:val="center"/>
              <w:rPr>
                <w:sz w:val="20"/>
                <w:szCs w:val="20"/>
              </w:rPr>
            </w:pPr>
          </w:p>
        </w:tc>
        <w:tc>
          <w:tcPr>
            <w:tcW w:w="341" w:type="pct"/>
            <w:vMerge w:val="continue"/>
            <w:vAlign w:val="center"/>
          </w:tcPr>
          <w:p w14:paraId="3491B86A">
            <w:pPr>
              <w:spacing w:after="0" w:line="240" w:lineRule="auto"/>
              <w:ind w:firstLine="0"/>
              <w:rPr>
                <w:sz w:val="20"/>
                <w:szCs w:val="20"/>
              </w:rPr>
            </w:pPr>
          </w:p>
        </w:tc>
        <w:tc>
          <w:tcPr>
            <w:tcW w:w="512" w:type="pct"/>
            <w:vMerge w:val="continue"/>
            <w:vAlign w:val="center"/>
          </w:tcPr>
          <w:p w14:paraId="025EF1A6">
            <w:pPr>
              <w:spacing w:after="0" w:line="240" w:lineRule="auto"/>
              <w:ind w:firstLine="0"/>
              <w:rPr>
                <w:sz w:val="20"/>
                <w:szCs w:val="20"/>
              </w:rPr>
            </w:pPr>
          </w:p>
        </w:tc>
        <w:tc>
          <w:tcPr>
            <w:tcW w:w="506" w:type="pct"/>
            <w:vMerge w:val="continue"/>
            <w:vAlign w:val="center"/>
          </w:tcPr>
          <w:p w14:paraId="7FC53452">
            <w:pPr>
              <w:spacing w:after="0" w:line="240" w:lineRule="auto"/>
              <w:ind w:firstLine="0"/>
              <w:rPr>
                <w:sz w:val="20"/>
                <w:szCs w:val="20"/>
              </w:rPr>
            </w:pPr>
          </w:p>
        </w:tc>
      </w:tr>
      <w:tr w14:paraId="2380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0AD0F8D3">
            <w:pPr>
              <w:spacing w:after="0" w:line="240" w:lineRule="auto"/>
              <w:ind w:firstLine="0"/>
              <w:rPr>
                <w:sz w:val="20"/>
                <w:szCs w:val="20"/>
              </w:rPr>
            </w:pPr>
          </w:p>
        </w:tc>
        <w:tc>
          <w:tcPr>
            <w:tcW w:w="710" w:type="pct"/>
            <w:shd w:val="clear" w:color="auto" w:fill="auto"/>
            <w:vAlign w:val="center"/>
          </w:tcPr>
          <w:p w14:paraId="6417EBB2">
            <w:pPr>
              <w:spacing w:after="0" w:line="240" w:lineRule="auto"/>
              <w:ind w:firstLine="0"/>
              <w:jc w:val="center"/>
              <w:rPr>
                <w:sz w:val="20"/>
                <w:szCs w:val="20"/>
              </w:rPr>
            </w:pPr>
            <w:r>
              <w:rPr>
                <w:color w:val="000000"/>
                <w:sz w:val="20"/>
                <w:szCs w:val="20"/>
              </w:rPr>
              <w:t>КС-8 ТА 82 УТ-9,2/151</w:t>
            </w:r>
          </w:p>
        </w:tc>
        <w:tc>
          <w:tcPr>
            <w:tcW w:w="530" w:type="pct"/>
            <w:tcBorders>
              <w:top w:val="nil"/>
              <w:left w:val="single" w:color="auto" w:sz="4" w:space="0"/>
              <w:bottom w:val="single" w:color="auto" w:sz="4" w:space="0"/>
              <w:right w:val="single" w:color="auto" w:sz="4" w:space="0"/>
            </w:tcBorders>
            <w:shd w:val="clear" w:color="auto" w:fill="auto"/>
            <w:vAlign w:val="center"/>
          </w:tcPr>
          <w:p w14:paraId="6603280D">
            <w:pPr>
              <w:spacing w:after="0" w:line="240" w:lineRule="auto"/>
              <w:ind w:firstLine="0"/>
              <w:jc w:val="center"/>
              <w:rPr>
                <w:sz w:val="20"/>
                <w:szCs w:val="20"/>
              </w:rPr>
            </w:pPr>
            <w:r>
              <w:rPr>
                <w:color w:val="000000"/>
                <w:sz w:val="20"/>
                <w:szCs w:val="20"/>
              </w:rPr>
              <w:t>2,88</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0F31A04E">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74DA6236">
            <w:pPr>
              <w:spacing w:after="0" w:line="240" w:lineRule="auto"/>
              <w:ind w:firstLine="0"/>
              <w:jc w:val="center"/>
              <w:rPr>
                <w:sz w:val="20"/>
                <w:szCs w:val="20"/>
              </w:rPr>
            </w:pPr>
          </w:p>
        </w:tc>
        <w:tc>
          <w:tcPr>
            <w:tcW w:w="211" w:type="pct"/>
            <w:vMerge w:val="continue"/>
            <w:shd w:val="clear" w:color="auto" w:fill="auto"/>
            <w:vAlign w:val="center"/>
          </w:tcPr>
          <w:p w14:paraId="7C9C0F04">
            <w:pPr>
              <w:spacing w:after="0" w:line="240" w:lineRule="auto"/>
              <w:ind w:firstLine="0"/>
              <w:jc w:val="center"/>
              <w:rPr>
                <w:sz w:val="20"/>
                <w:szCs w:val="20"/>
              </w:rPr>
            </w:pPr>
          </w:p>
        </w:tc>
        <w:tc>
          <w:tcPr>
            <w:tcW w:w="425" w:type="pct"/>
            <w:vMerge w:val="continue"/>
            <w:shd w:val="clear" w:color="auto" w:fill="auto"/>
            <w:vAlign w:val="center"/>
          </w:tcPr>
          <w:p w14:paraId="19D820C6">
            <w:pPr>
              <w:spacing w:after="0" w:line="240" w:lineRule="auto"/>
              <w:ind w:firstLine="0"/>
              <w:jc w:val="center"/>
              <w:rPr>
                <w:sz w:val="20"/>
                <w:szCs w:val="20"/>
              </w:rPr>
            </w:pPr>
          </w:p>
        </w:tc>
        <w:tc>
          <w:tcPr>
            <w:tcW w:w="341" w:type="pct"/>
            <w:vMerge w:val="continue"/>
            <w:vAlign w:val="center"/>
          </w:tcPr>
          <w:p w14:paraId="3B92A5B3">
            <w:pPr>
              <w:spacing w:after="0" w:line="240" w:lineRule="auto"/>
              <w:ind w:firstLine="0"/>
              <w:rPr>
                <w:sz w:val="20"/>
                <w:szCs w:val="20"/>
              </w:rPr>
            </w:pPr>
          </w:p>
        </w:tc>
        <w:tc>
          <w:tcPr>
            <w:tcW w:w="512" w:type="pct"/>
            <w:vMerge w:val="continue"/>
            <w:vAlign w:val="center"/>
          </w:tcPr>
          <w:p w14:paraId="7C8C4DED">
            <w:pPr>
              <w:spacing w:after="0" w:line="240" w:lineRule="auto"/>
              <w:ind w:firstLine="0"/>
              <w:rPr>
                <w:sz w:val="20"/>
                <w:szCs w:val="20"/>
              </w:rPr>
            </w:pPr>
          </w:p>
        </w:tc>
        <w:tc>
          <w:tcPr>
            <w:tcW w:w="506" w:type="pct"/>
            <w:vMerge w:val="continue"/>
            <w:vAlign w:val="center"/>
          </w:tcPr>
          <w:p w14:paraId="5A48F4EF">
            <w:pPr>
              <w:spacing w:after="0" w:line="240" w:lineRule="auto"/>
              <w:ind w:firstLine="0"/>
              <w:rPr>
                <w:sz w:val="20"/>
                <w:szCs w:val="20"/>
              </w:rPr>
            </w:pPr>
          </w:p>
        </w:tc>
      </w:tr>
      <w:tr w14:paraId="2612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5806D413">
            <w:pPr>
              <w:spacing w:after="0" w:line="240" w:lineRule="auto"/>
              <w:ind w:firstLine="0"/>
              <w:rPr>
                <w:sz w:val="20"/>
                <w:szCs w:val="20"/>
              </w:rPr>
            </w:pPr>
          </w:p>
        </w:tc>
        <w:tc>
          <w:tcPr>
            <w:tcW w:w="710" w:type="pct"/>
            <w:shd w:val="clear" w:color="auto" w:fill="auto"/>
            <w:vAlign w:val="center"/>
          </w:tcPr>
          <w:p w14:paraId="0711B4D8">
            <w:pPr>
              <w:spacing w:after="0" w:line="240" w:lineRule="auto"/>
              <w:ind w:firstLine="0"/>
              <w:jc w:val="center"/>
              <w:rPr>
                <w:sz w:val="20"/>
                <w:szCs w:val="20"/>
              </w:rPr>
            </w:pPr>
            <w:r>
              <w:rPr>
                <w:color w:val="000000"/>
                <w:sz w:val="20"/>
                <w:szCs w:val="20"/>
              </w:rPr>
              <w:t>КС-8 ТА 83 УТ-9,2/152</w:t>
            </w:r>
          </w:p>
        </w:tc>
        <w:tc>
          <w:tcPr>
            <w:tcW w:w="530" w:type="pct"/>
            <w:tcBorders>
              <w:top w:val="nil"/>
              <w:left w:val="single" w:color="auto" w:sz="4" w:space="0"/>
              <w:bottom w:val="single" w:color="auto" w:sz="4" w:space="0"/>
              <w:right w:val="single" w:color="auto" w:sz="4" w:space="0"/>
            </w:tcBorders>
            <w:shd w:val="clear" w:color="auto" w:fill="auto"/>
            <w:vAlign w:val="center"/>
          </w:tcPr>
          <w:p w14:paraId="0C4C48F9">
            <w:pPr>
              <w:spacing w:after="0" w:line="240" w:lineRule="auto"/>
              <w:ind w:firstLine="0"/>
              <w:jc w:val="center"/>
              <w:rPr>
                <w:sz w:val="20"/>
                <w:szCs w:val="20"/>
              </w:rPr>
            </w:pPr>
            <w:r>
              <w:rPr>
                <w:color w:val="000000"/>
                <w:sz w:val="20"/>
                <w:szCs w:val="20"/>
              </w:rPr>
              <w:t>6,8</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324EEB61">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1384661C">
            <w:pPr>
              <w:spacing w:after="0" w:line="240" w:lineRule="auto"/>
              <w:ind w:firstLine="0"/>
              <w:jc w:val="center"/>
              <w:rPr>
                <w:sz w:val="20"/>
                <w:szCs w:val="20"/>
              </w:rPr>
            </w:pPr>
          </w:p>
        </w:tc>
        <w:tc>
          <w:tcPr>
            <w:tcW w:w="211" w:type="pct"/>
            <w:vMerge w:val="continue"/>
            <w:shd w:val="clear" w:color="auto" w:fill="auto"/>
            <w:vAlign w:val="center"/>
          </w:tcPr>
          <w:p w14:paraId="007F8B50">
            <w:pPr>
              <w:spacing w:after="0" w:line="240" w:lineRule="auto"/>
              <w:ind w:firstLine="0"/>
              <w:jc w:val="center"/>
              <w:rPr>
                <w:sz w:val="20"/>
                <w:szCs w:val="20"/>
              </w:rPr>
            </w:pPr>
          </w:p>
        </w:tc>
        <w:tc>
          <w:tcPr>
            <w:tcW w:w="425" w:type="pct"/>
            <w:vMerge w:val="continue"/>
            <w:shd w:val="clear" w:color="auto" w:fill="auto"/>
            <w:vAlign w:val="center"/>
          </w:tcPr>
          <w:p w14:paraId="790A28A2">
            <w:pPr>
              <w:spacing w:after="0" w:line="240" w:lineRule="auto"/>
              <w:ind w:firstLine="0"/>
              <w:jc w:val="center"/>
              <w:rPr>
                <w:sz w:val="20"/>
                <w:szCs w:val="20"/>
              </w:rPr>
            </w:pPr>
          </w:p>
        </w:tc>
        <w:tc>
          <w:tcPr>
            <w:tcW w:w="341" w:type="pct"/>
            <w:vMerge w:val="continue"/>
            <w:vAlign w:val="center"/>
          </w:tcPr>
          <w:p w14:paraId="3D50B4E6">
            <w:pPr>
              <w:spacing w:after="0" w:line="240" w:lineRule="auto"/>
              <w:ind w:firstLine="0"/>
              <w:rPr>
                <w:sz w:val="20"/>
                <w:szCs w:val="20"/>
              </w:rPr>
            </w:pPr>
          </w:p>
        </w:tc>
        <w:tc>
          <w:tcPr>
            <w:tcW w:w="512" w:type="pct"/>
            <w:vMerge w:val="continue"/>
            <w:vAlign w:val="center"/>
          </w:tcPr>
          <w:p w14:paraId="27DD0B1C">
            <w:pPr>
              <w:spacing w:after="0" w:line="240" w:lineRule="auto"/>
              <w:ind w:firstLine="0"/>
              <w:rPr>
                <w:sz w:val="20"/>
                <w:szCs w:val="20"/>
              </w:rPr>
            </w:pPr>
          </w:p>
        </w:tc>
        <w:tc>
          <w:tcPr>
            <w:tcW w:w="506" w:type="pct"/>
            <w:vMerge w:val="continue"/>
            <w:vAlign w:val="center"/>
          </w:tcPr>
          <w:p w14:paraId="4F22359F">
            <w:pPr>
              <w:spacing w:after="0" w:line="240" w:lineRule="auto"/>
              <w:ind w:firstLine="0"/>
              <w:rPr>
                <w:sz w:val="20"/>
                <w:szCs w:val="20"/>
              </w:rPr>
            </w:pPr>
          </w:p>
        </w:tc>
      </w:tr>
      <w:tr w14:paraId="436F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815" w:type="pct"/>
            <w:vMerge w:val="continue"/>
            <w:vAlign w:val="center"/>
          </w:tcPr>
          <w:p w14:paraId="7F7E3871">
            <w:pPr>
              <w:spacing w:after="0" w:line="240" w:lineRule="auto"/>
              <w:ind w:firstLine="0"/>
              <w:rPr>
                <w:sz w:val="20"/>
                <w:szCs w:val="20"/>
              </w:rPr>
            </w:pPr>
          </w:p>
        </w:tc>
        <w:tc>
          <w:tcPr>
            <w:tcW w:w="710" w:type="pct"/>
            <w:shd w:val="clear" w:color="auto" w:fill="auto"/>
            <w:vAlign w:val="center"/>
          </w:tcPr>
          <w:p w14:paraId="4939C26C">
            <w:pPr>
              <w:spacing w:after="0" w:line="240" w:lineRule="auto"/>
              <w:ind w:firstLine="0"/>
              <w:jc w:val="center"/>
              <w:rPr>
                <w:sz w:val="20"/>
                <w:szCs w:val="20"/>
              </w:rPr>
            </w:pPr>
            <w:r>
              <w:rPr>
                <w:color w:val="000000"/>
                <w:sz w:val="20"/>
                <w:szCs w:val="20"/>
              </w:rPr>
              <w:t>КС-8 ТА 84 УТ-9,2/153</w:t>
            </w:r>
          </w:p>
        </w:tc>
        <w:tc>
          <w:tcPr>
            <w:tcW w:w="530" w:type="pct"/>
            <w:tcBorders>
              <w:top w:val="nil"/>
              <w:left w:val="single" w:color="auto" w:sz="4" w:space="0"/>
              <w:bottom w:val="single" w:color="auto" w:sz="4" w:space="0"/>
              <w:right w:val="single" w:color="auto" w:sz="4" w:space="0"/>
            </w:tcBorders>
            <w:shd w:val="clear" w:color="auto" w:fill="auto"/>
            <w:vAlign w:val="center"/>
          </w:tcPr>
          <w:p w14:paraId="3571E034">
            <w:pPr>
              <w:spacing w:after="0" w:line="240" w:lineRule="auto"/>
              <w:ind w:firstLine="0"/>
              <w:jc w:val="center"/>
              <w:rPr>
                <w:sz w:val="20"/>
                <w:szCs w:val="20"/>
              </w:rPr>
            </w:pPr>
            <w:r>
              <w:rPr>
                <w:color w:val="000000"/>
                <w:sz w:val="20"/>
                <w:szCs w:val="20"/>
              </w:rPr>
              <w:t>2,79</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67C27991">
            <w:pPr>
              <w:spacing w:after="0" w:line="240" w:lineRule="auto"/>
              <w:ind w:firstLine="0"/>
              <w:jc w:val="center"/>
              <w:rPr>
                <w:sz w:val="20"/>
                <w:szCs w:val="20"/>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14:paraId="22F4C1B1">
            <w:pPr>
              <w:spacing w:after="0" w:line="240" w:lineRule="auto"/>
              <w:ind w:firstLine="0"/>
              <w:jc w:val="center"/>
              <w:rPr>
                <w:sz w:val="20"/>
                <w:szCs w:val="20"/>
              </w:rPr>
            </w:pPr>
          </w:p>
        </w:tc>
        <w:tc>
          <w:tcPr>
            <w:tcW w:w="211" w:type="pct"/>
            <w:vMerge w:val="continue"/>
            <w:shd w:val="clear" w:color="auto" w:fill="auto"/>
            <w:vAlign w:val="center"/>
          </w:tcPr>
          <w:p w14:paraId="5437F4AA">
            <w:pPr>
              <w:spacing w:after="0" w:line="240" w:lineRule="auto"/>
              <w:ind w:firstLine="0"/>
              <w:jc w:val="center"/>
              <w:rPr>
                <w:sz w:val="20"/>
                <w:szCs w:val="20"/>
              </w:rPr>
            </w:pPr>
          </w:p>
        </w:tc>
        <w:tc>
          <w:tcPr>
            <w:tcW w:w="425" w:type="pct"/>
            <w:vMerge w:val="continue"/>
            <w:shd w:val="clear" w:color="auto" w:fill="auto"/>
            <w:vAlign w:val="center"/>
          </w:tcPr>
          <w:p w14:paraId="2E69140A">
            <w:pPr>
              <w:spacing w:after="0" w:line="240" w:lineRule="auto"/>
              <w:ind w:firstLine="0"/>
              <w:jc w:val="center"/>
              <w:rPr>
                <w:sz w:val="20"/>
                <w:szCs w:val="20"/>
              </w:rPr>
            </w:pPr>
          </w:p>
        </w:tc>
        <w:tc>
          <w:tcPr>
            <w:tcW w:w="341" w:type="pct"/>
            <w:vMerge w:val="continue"/>
            <w:vAlign w:val="center"/>
          </w:tcPr>
          <w:p w14:paraId="1526EF0F">
            <w:pPr>
              <w:spacing w:after="0" w:line="240" w:lineRule="auto"/>
              <w:ind w:firstLine="0"/>
              <w:rPr>
                <w:sz w:val="20"/>
                <w:szCs w:val="20"/>
              </w:rPr>
            </w:pPr>
          </w:p>
        </w:tc>
        <w:tc>
          <w:tcPr>
            <w:tcW w:w="512" w:type="pct"/>
            <w:vMerge w:val="continue"/>
            <w:vAlign w:val="center"/>
          </w:tcPr>
          <w:p w14:paraId="3BF06640">
            <w:pPr>
              <w:spacing w:after="0" w:line="240" w:lineRule="auto"/>
              <w:ind w:firstLine="0"/>
              <w:rPr>
                <w:sz w:val="20"/>
                <w:szCs w:val="20"/>
              </w:rPr>
            </w:pPr>
          </w:p>
        </w:tc>
        <w:tc>
          <w:tcPr>
            <w:tcW w:w="506" w:type="pct"/>
            <w:vMerge w:val="continue"/>
            <w:vAlign w:val="center"/>
          </w:tcPr>
          <w:p w14:paraId="620A05E0">
            <w:pPr>
              <w:spacing w:after="0" w:line="240" w:lineRule="auto"/>
              <w:ind w:firstLine="0"/>
              <w:rPr>
                <w:sz w:val="20"/>
                <w:szCs w:val="20"/>
              </w:rPr>
            </w:pPr>
          </w:p>
        </w:tc>
      </w:tr>
    </w:tbl>
    <w:p w14:paraId="6FFCB2E8">
      <w:pPr>
        <w:widowControl w:val="0"/>
        <w:spacing w:after="0" w:line="240" w:lineRule="auto"/>
        <w:ind w:firstLine="0"/>
        <w:jc w:val="both"/>
        <w:rPr>
          <w:bCs/>
          <w:sz w:val="24"/>
          <w:szCs w:val="24"/>
        </w:rPr>
      </w:pPr>
    </w:p>
    <w:p w14:paraId="06AC3FD4">
      <w:pPr>
        <w:keepNext/>
        <w:keepLines/>
        <w:spacing w:after="0" w:line="240" w:lineRule="auto"/>
        <w:ind w:firstLine="0"/>
        <w:jc w:val="both"/>
        <w:rPr>
          <w:iCs/>
          <w:color w:val="000000"/>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4</w:t>
      </w:r>
      <w:r>
        <w:rPr>
          <w:bCs/>
          <w:sz w:val="24"/>
          <w:szCs w:val="24"/>
        </w:rPr>
        <w:fldChar w:fldCharType="end"/>
      </w:r>
      <w:r>
        <w:rPr>
          <w:bCs/>
          <w:sz w:val="24"/>
          <w:szCs w:val="24"/>
        </w:rPr>
        <w:t xml:space="preserve"> – </w:t>
      </w:r>
      <w:r>
        <w:rPr>
          <w:sz w:val="24"/>
          <w:szCs w:val="24"/>
        </w:rPr>
        <w:t xml:space="preserve">Режимная карта водогрейного котла типа </w:t>
      </w:r>
      <w:r>
        <w:rPr>
          <w:iCs/>
          <w:color w:val="000000"/>
          <w:sz w:val="24"/>
          <w:szCs w:val="24"/>
        </w:rPr>
        <w:t>ВВД-1,8 котельной «2БВК»</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7119"/>
        <w:gridCol w:w="2394"/>
        <w:gridCol w:w="1808"/>
        <w:gridCol w:w="1434"/>
        <w:gridCol w:w="1428"/>
      </w:tblGrid>
      <w:tr w14:paraId="518F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32" w:type="pct"/>
            <w:vMerge w:val="restart"/>
            <w:tcMar>
              <w:left w:w="28" w:type="dxa"/>
              <w:right w:w="28" w:type="dxa"/>
            </w:tcMar>
            <w:vAlign w:val="center"/>
          </w:tcPr>
          <w:p w14:paraId="6531001C">
            <w:pPr>
              <w:spacing w:after="0" w:line="240" w:lineRule="auto"/>
              <w:ind w:firstLine="0"/>
              <w:jc w:val="center"/>
              <w:rPr>
                <w:bCs/>
                <w:sz w:val="20"/>
                <w:szCs w:val="20"/>
              </w:rPr>
            </w:pPr>
            <w:r>
              <w:rPr>
                <w:bCs/>
                <w:sz w:val="20"/>
                <w:szCs w:val="20"/>
              </w:rPr>
              <w:t>№ п/п</w:t>
            </w:r>
          </w:p>
        </w:tc>
        <w:tc>
          <w:tcPr>
            <w:tcW w:w="2343" w:type="pct"/>
            <w:vMerge w:val="restart"/>
            <w:tcMar>
              <w:left w:w="28" w:type="dxa"/>
              <w:right w:w="28" w:type="dxa"/>
            </w:tcMar>
            <w:vAlign w:val="center"/>
          </w:tcPr>
          <w:p w14:paraId="759A2925">
            <w:pPr>
              <w:spacing w:after="0" w:line="240" w:lineRule="auto"/>
              <w:ind w:firstLine="0"/>
              <w:jc w:val="center"/>
              <w:rPr>
                <w:bCs/>
                <w:sz w:val="20"/>
                <w:szCs w:val="20"/>
              </w:rPr>
            </w:pPr>
            <w:r>
              <w:rPr>
                <w:bCs/>
                <w:sz w:val="20"/>
                <w:szCs w:val="20"/>
              </w:rPr>
              <w:t>Наименование</w:t>
            </w:r>
          </w:p>
        </w:tc>
        <w:tc>
          <w:tcPr>
            <w:tcW w:w="788" w:type="pct"/>
            <w:vMerge w:val="restart"/>
            <w:tcMar>
              <w:left w:w="28" w:type="dxa"/>
              <w:right w:w="28" w:type="dxa"/>
            </w:tcMar>
            <w:vAlign w:val="center"/>
          </w:tcPr>
          <w:p w14:paraId="345586D8">
            <w:pPr>
              <w:spacing w:after="0" w:line="240" w:lineRule="auto"/>
              <w:ind w:firstLine="0"/>
              <w:jc w:val="center"/>
              <w:rPr>
                <w:bCs/>
                <w:sz w:val="20"/>
                <w:szCs w:val="20"/>
              </w:rPr>
            </w:pPr>
            <w:r>
              <w:rPr>
                <w:bCs/>
                <w:sz w:val="20"/>
                <w:szCs w:val="20"/>
              </w:rPr>
              <w:t>Единица измерения</w:t>
            </w:r>
          </w:p>
        </w:tc>
        <w:tc>
          <w:tcPr>
            <w:tcW w:w="1537" w:type="pct"/>
            <w:gridSpan w:val="3"/>
            <w:shd w:val="clear" w:color="auto" w:fill="auto"/>
            <w:noWrap/>
            <w:tcMar>
              <w:left w:w="28" w:type="dxa"/>
              <w:right w:w="28" w:type="dxa"/>
            </w:tcMar>
            <w:vAlign w:val="center"/>
          </w:tcPr>
          <w:p w14:paraId="39E7E615">
            <w:pPr>
              <w:spacing w:after="0" w:line="240" w:lineRule="auto"/>
              <w:ind w:firstLine="0"/>
              <w:jc w:val="center"/>
              <w:rPr>
                <w:bCs/>
                <w:sz w:val="20"/>
                <w:szCs w:val="20"/>
              </w:rPr>
            </w:pPr>
            <w:r>
              <w:rPr>
                <w:bCs/>
                <w:sz w:val="20"/>
                <w:szCs w:val="20"/>
              </w:rPr>
              <w:t>Режим</w:t>
            </w:r>
          </w:p>
        </w:tc>
      </w:tr>
      <w:tr w14:paraId="1C51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32" w:type="pct"/>
            <w:vMerge w:val="continue"/>
            <w:tcMar>
              <w:left w:w="28" w:type="dxa"/>
              <w:right w:w="28" w:type="dxa"/>
            </w:tcMar>
            <w:vAlign w:val="center"/>
          </w:tcPr>
          <w:p w14:paraId="501D0177">
            <w:pPr>
              <w:spacing w:after="0" w:line="240" w:lineRule="auto"/>
              <w:ind w:firstLine="0"/>
              <w:rPr>
                <w:bCs/>
                <w:sz w:val="20"/>
                <w:szCs w:val="20"/>
              </w:rPr>
            </w:pPr>
          </w:p>
        </w:tc>
        <w:tc>
          <w:tcPr>
            <w:tcW w:w="2343" w:type="pct"/>
            <w:vMerge w:val="continue"/>
            <w:tcMar>
              <w:left w:w="28" w:type="dxa"/>
              <w:right w:w="28" w:type="dxa"/>
            </w:tcMar>
            <w:vAlign w:val="center"/>
          </w:tcPr>
          <w:p w14:paraId="78B360D8">
            <w:pPr>
              <w:spacing w:after="0" w:line="240" w:lineRule="auto"/>
              <w:ind w:firstLine="0"/>
              <w:rPr>
                <w:bCs/>
                <w:sz w:val="20"/>
                <w:szCs w:val="20"/>
              </w:rPr>
            </w:pPr>
          </w:p>
        </w:tc>
        <w:tc>
          <w:tcPr>
            <w:tcW w:w="788" w:type="pct"/>
            <w:vMerge w:val="continue"/>
            <w:tcMar>
              <w:left w:w="28" w:type="dxa"/>
              <w:right w:w="28" w:type="dxa"/>
            </w:tcMar>
            <w:vAlign w:val="center"/>
          </w:tcPr>
          <w:p w14:paraId="254B0764">
            <w:pPr>
              <w:spacing w:after="0" w:line="240" w:lineRule="auto"/>
              <w:ind w:firstLine="0"/>
              <w:rPr>
                <w:bCs/>
                <w:sz w:val="20"/>
                <w:szCs w:val="20"/>
              </w:rPr>
            </w:pPr>
          </w:p>
        </w:tc>
        <w:tc>
          <w:tcPr>
            <w:tcW w:w="595" w:type="pct"/>
            <w:shd w:val="clear" w:color="auto" w:fill="auto"/>
            <w:noWrap/>
            <w:tcMar>
              <w:left w:w="28" w:type="dxa"/>
              <w:right w:w="28" w:type="dxa"/>
            </w:tcMar>
            <w:vAlign w:val="center"/>
          </w:tcPr>
          <w:p w14:paraId="270D2D99">
            <w:pPr>
              <w:spacing w:after="0" w:line="240" w:lineRule="auto"/>
              <w:ind w:firstLine="0"/>
              <w:jc w:val="center"/>
              <w:rPr>
                <w:bCs/>
                <w:sz w:val="20"/>
                <w:szCs w:val="20"/>
              </w:rPr>
            </w:pPr>
            <w:r>
              <w:rPr>
                <w:bCs/>
                <w:sz w:val="20"/>
                <w:szCs w:val="20"/>
              </w:rPr>
              <w:t>1</w:t>
            </w:r>
          </w:p>
        </w:tc>
        <w:tc>
          <w:tcPr>
            <w:tcW w:w="472" w:type="pct"/>
            <w:shd w:val="clear" w:color="auto" w:fill="auto"/>
            <w:noWrap/>
            <w:tcMar>
              <w:left w:w="28" w:type="dxa"/>
              <w:right w:w="28" w:type="dxa"/>
            </w:tcMar>
            <w:vAlign w:val="center"/>
          </w:tcPr>
          <w:p w14:paraId="01FB952B">
            <w:pPr>
              <w:spacing w:after="0" w:line="240" w:lineRule="auto"/>
              <w:ind w:firstLine="0"/>
              <w:jc w:val="center"/>
              <w:rPr>
                <w:bCs/>
                <w:sz w:val="20"/>
                <w:szCs w:val="20"/>
              </w:rPr>
            </w:pPr>
            <w:r>
              <w:rPr>
                <w:bCs/>
                <w:sz w:val="20"/>
                <w:szCs w:val="20"/>
              </w:rPr>
              <w:t>2</w:t>
            </w:r>
          </w:p>
        </w:tc>
        <w:tc>
          <w:tcPr>
            <w:tcW w:w="470" w:type="pct"/>
            <w:tcMar>
              <w:left w:w="28" w:type="dxa"/>
              <w:right w:w="28" w:type="dxa"/>
            </w:tcMar>
            <w:vAlign w:val="center"/>
          </w:tcPr>
          <w:p w14:paraId="7FE05741">
            <w:pPr>
              <w:spacing w:after="0" w:line="240" w:lineRule="auto"/>
              <w:ind w:firstLine="0"/>
              <w:jc w:val="center"/>
              <w:rPr>
                <w:bCs/>
                <w:sz w:val="20"/>
                <w:szCs w:val="20"/>
              </w:rPr>
            </w:pPr>
            <w:r>
              <w:rPr>
                <w:bCs/>
                <w:sz w:val="20"/>
                <w:szCs w:val="20"/>
              </w:rPr>
              <w:t>3</w:t>
            </w:r>
          </w:p>
        </w:tc>
      </w:tr>
      <w:tr w14:paraId="4A51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79FCD91">
            <w:pPr>
              <w:spacing w:after="0" w:line="240" w:lineRule="auto"/>
              <w:ind w:firstLine="0"/>
              <w:jc w:val="center"/>
              <w:rPr>
                <w:sz w:val="20"/>
                <w:szCs w:val="20"/>
              </w:rPr>
            </w:pPr>
            <w:r>
              <w:rPr>
                <w:sz w:val="20"/>
                <w:szCs w:val="20"/>
              </w:rPr>
              <w:t>1</w:t>
            </w:r>
          </w:p>
        </w:tc>
        <w:tc>
          <w:tcPr>
            <w:tcW w:w="2343" w:type="pct"/>
            <w:shd w:val="clear" w:color="auto" w:fill="auto"/>
            <w:tcMar>
              <w:left w:w="28" w:type="dxa"/>
              <w:right w:w="28" w:type="dxa"/>
            </w:tcMar>
            <w:vAlign w:val="center"/>
          </w:tcPr>
          <w:p w14:paraId="51AB3FC5">
            <w:pPr>
              <w:spacing w:after="0" w:line="240" w:lineRule="auto"/>
              <w:ind w:firstLine="0"/>
              <w:rPr>
                <w:sz w:val="20"/>
                <w:szCs w:val="20"/>
              </w:rPr>
            </w:pPr>
            <w:r>
              <w:rPr>
                <w:sz w:val="20"/>
                <w:szCs w:val="20"/>
              </w:rPr>
              <w:t>Теплопроизводительность</w:t>
            </w:r>
          </w:p>
        </w:tc>
        <w:tc>
          <w:tcPr>
            <w:tcW w:w="788" w:type="pct"/>
            <w:shd w:val="clear" w:color="auto" w:fill="auto"/>
            <w:noWrap/>
            <w:tcMar>
              <w:left w:w="28" w:type="dxa"/>
              <w:right w:w="28" w:type="dxa"/>
            </w:tcMar>
            <w:vAlign w:val="center"/>
          </w:tcPr>
          <w:p w14:paraId="19C4F22F">
            <w:pPr>
              <w:spacing w:after="0" w:line="240" w:lineRule="auto"/>
              <w:ind w:firstLine="0"/>
              <w:jc w:val="center"/>
              <w:rPr>
                <w:sz w:val="20"/>
                <w:szCs w:val="20"/>
              </w:rPr>
            </w:pPr>
            <w:r>
              <w:rPr>
                <w:sz w:val="20"/>
                <w:szCs w:val="20"/>
              </w:rPr>
              <w:t>Гкал/ч</w:t>
            </w:r>
          </w:p>
        </w:tc>
        <w:tc>
          <w:tcPr>
            <w:tcW w:w="595" w:type="pct"/>
            <w:shd w:val="clear" w:color="auto" w:fill="auto"/>
            <w:noWrap/>
            <w:tcMar>
              <w:left w:w="28" w:type="dxa"/>
              <w:right w:w="28" w:type="dxa"/>
            </w:tcMar>
            <w:vAlign w:val="center"/>
          </w:tcPr>
          <w:p w14:paraId="002729D4">
            <w:pPr>
              <w:spacing w:after="0" w:line="240" w:lineRule="auto"/>
              <w:ind w:firstLine="0"/>
              <w:jc w:val="center"/>
              <w:rPr>
                <w:sz w:val="20"/>
                <w:szCs w:val="20"/>
              </w:rPr>
            </w:pPr>
            <w:r>
              <w:rPr>
                <w:sz w:val="20"/>
                <w:szCs w:val="20"/>
              </w:rPr>
              <w:t>0,43</w:t>
            </w:r>
          </w:p>
        </w:tc>
        <w:tc>
          <w:tcPr>
            <w:tcW w:w="472" w:type="pct"/>
            <w:shd w:val="clear" w:color="auto" w:fill="auto"/>
            <w:noWrap/>
            <w:tcMar>
              <w:left w:w="28" w:type="dxa"/>
              <w:right w:w="28" w:type="dxa"/>
            </w:tcMar>
            <w:vAlign w:val="center"/>
          </w:tcPr>
          <w:p w14:paraId="5E4D3C00">
            <w:pPr>
              <w:spacing w:after="0" w:line="240" w:lineRule="auto"/>
              <w:ind w:firstLine="0"/>
              <w:jc w:val="center"/>
              <w:rPr>
                <w:sz w:val="20"/>
                <w:szCs w:val="20"/>
              </w:rPr>
            </w:pPr>
            <w:r>
              <w:rPr>
                <w:sz w:val="20"/>
                <w:szCs w:val="20"/>
              </w:rPr>
              <w:t>0,71</w:t>
            </w:r>
          </w:p>
        </w:tc>
        <w:tc>
          <w:tcPr>
            <w:tcW w:w="470" w:type="pct"/>
            <w:tcMar>
              <w:left w:w="28" w:type="dxa"/>
              <w:right w:w="28" w:type="dxa"/>
            </w:tcMar>
            <w:vAlign w:val="center"/>
          </w:tcPr>
          <w:p w14:paraId="488AABD1">
            <w:pPr>
              <w:spacing w:after="0" w:line="240" w:lineRule="auto"/>
              <w:ind w:firstLine="0"/>
              <w:jc w:val="center"/>
              <w:rPr>
                <w:sz w:val="20"/>
                <w:szCs w:val="20"/>
              </w:rPr>
            </w:pPr>
            <w:r>
              <w:rPr>
                <w:sz w:val="20"/>
                <w:szCs w:val="20"/>
              </w:rPr>
              <w:t>0,88</w:t>
            </w:r>
          </w:p>
        </w:tc>
      </w:tr>
      <w:tr w14:paraId="7CAB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E82213C">
            <w:pPr>
              <w:spacing w:after="0" w:line="240" w:lineRule="auto"/>
              <w:ind w:firstLine="0"/>
              <w:jc w:val="center"/>
              <w:rPr>
                <w:sz w:val="20"/>
                <w:szCs w:val="20"/>
              </w:rPr>
            </w:pPr>
            <w:r>
              <w:rPr>
                <w:sz w:val="20"/>
                <w:szCs w:val="20"/>
              </w:rPr>
              <w:t>2</w:t>
            </w:r>
          </w:p>
        </w:tc>
        <w:tc>
          <w:tcPr>
            <w:tcW w:w="2343" w:type="pct"/>
            <w:shd w:val="clear" w:color="auto" w:fill="auto"/>
            <w:tcMar>
              <w:left w:w="28" w:type="dxa"/>
              <w:right w:w="28" w:type="dxa"/>
            </w:tcMar>
            <w:vAlign w:val="center"/>
          </w:tcPr>
          <w:p w14:paraId="51A80F18">
            <w:pPr>
              <w:spacing w:after="0" w:line="240" w:lineRule="auto"/>
              <w:ind w:firstLine="0"/>
              <w:rPr>
                <w:sz w:val="20"/>
                <w:szCs w:val="20"/>
              </w:rPr>
            </w:pPr>
            <w:r>
              <w:rPr>
                <w:sz w:val="20"/>
                <w:szCs w:val="20"/>
              </w:rPr>
              <w:t>Температура воды на выходе из котла</w:t>
            </w:r>
          </w:p>
        </w:tc>
        <w:tc>
          <w:tcPr>
            <w:tcW w:w="788" w:type="pct"/>
            <w:shd w:val="clear" w:color="auto" w:fill="auto"/>
            <w:noWrap/>
            <w:tcMar>
              <w:left w:w="28" w:type="dxa"/>
              <w:right w:w="28" w:type="dxa"/>
            </w:tcMar>
            <w:vAlign w:val="center"/>
          </w:tcPr>
          <w:p w14:paraId="1E2BEF31">
            <w:pPr>
              <w:spacing w:after="0" w:line="240" w:lineRule="auto"/>
              <w:ind w:firstLine="0"/>
              <w:jc w:val="center"/>
              <w:rPr>
                <w:sz w:val="20"/>
                <w:szCs w:val="20"/>
              </w:rPr>
            </w:pPr>
            <w:r>
              <w:rPr>
                <w:sz w:val="20"/>
                <w:szCs w:val="20"/>
                <w:vertAlign w:val="superscript"/>
              </w:rPr>
              <w:t>о</w:t>
            </w:r>
            <w:r>
              <w:rPr>
                <w:sz w:val="20"/>
                <w:szCs w:val="20"/>
              </w:rPr>
              <w:t>С</w:t>
            </w:r>
          </w:p>
        </w:tc>
        <w:tc>
          <w:tcPr>
            <w:tcW w:w="595" w:type="pct"/>
            <w:shd w:val="clear" w:color="auto" w:fill="auto"/>
            <w:noWrap/>
            <w:tcMar>
              <w:left w:w="28" w:type="dxa"/>
              <w:right w:w="28" w:type="dxa"/>
            </w:tcMar>
            <w:vAlign w:val="center"/>
          </w:tcPr>
          <w:p w14:paraId="73A5CB71">
            <w:pPr>
              <w:spacing w:after="0" w:line="240" w:lineRule="auto"/>
              <w:ind w:firstLine="0"/>
              <w:jc w:val="center"/>
              <w:rPr>
                <w:sz w:val="20"/>
                <w:szCs w:val="20"/>
              </w:rPr>
            </w:pPr>
            <w:r>
              <w:rPr>
                <w:sz w:val="20"/>
                <w:szCs w:val="20"/>
              </w:rPr>
              <w:t>78</w:t>
            </w:r>
          </w:p>
        </w:tc>
        <w:tc>
          <w:tcPr>
            <w:tcW w:w="472" w:type="pct"/>
            <w:shd w:val="clear" w:color="auto" w:fill="auto"/>
            <w:noWrap/>
            <w:tcMar>
              <w:left w:w="28" w:type="dxa"/>
              <w:right w:w="28" w:type="dxa"/>
            </w:tcMar>
            <w:vAlign w:val="center"/>
          </w:tcPr>
          <w:p w14:paraId="753D19F0">
            <w:pPr>
              <w:spacing w:after="0" w:line="240" w:lineRule="auto"/>
              <w:ind w:firstLine="0"/>
              <w:jc w:val="center"/>
              <w:rPr>
                <w:sz w:val="20"/>
                <w:szCs w:val="20"/>
              </w:rPr>
            </w:pPr>
            <w:r>
              <w:rPr>
                <w:sz w:val="20"/>
                <w:szCs w:val="20"/>
              </w:rPr>
              <w:t>84</w:t>
            </w:r>
          </w:p>
        </w:tc>
        <w:tc>
          <w:tcPr>
            <w:tcW w:w="470" w:type="pct"/>
            <w:tcMar>
              <w:left w:w="28" w:type="dxa"/>
              <w:right w:w="28" w:type="dxa"/>
            </w:tcMar>
            <w:vAlign w:val="center"/>
          </w:tcPr>
          <w:p w14:paraId="21827675">
            <w:pPr>
              <w:spacing w:after="0" w:line="240" w:lineRule="auto"/>
              <w:ind w:firstLine="0"/>
              <w:jc w:val="center"/>
              <w:rPr>
                <w:sz w:val="20"/>
                <w:szCs w:val="20"/>
              </w:rPr>
            </w:pPr>
            <w:r>
              <w:rPr>
                <w:sz w:val="20"/>
                <w:szCs w:val="20"/>
              </w:rPr>
              <w:t>88</w:t>
            </w:r>
          </w:p>
        </w:tc>
      </w:tr>
      <w:tr w14:paraId="285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42042E6">
            <w:pPr>
              <w:spacing w:after="0" w:line="240" w:lineRule="auto"/>
              <w:ind w:firstLine="0"/>
              <w:jc w:val="center"/>
              <w:rPr>
                <w:sz w:val="20"/>
                <w:szCs w:val="20"/>
              </w:rPr>
            </w:pPr>
            <w:r>
              <w:rPr>
                <w:sz w:val="20"/>
                <w:szCs w:val="20"/>
              </w:rPr>
              <w:t>3</w:t>
            </w:r>
          </w:p>
        </w:tc>
        <w:tc>
          <w:tcPr>
            <w:tcW w:w="2343" w:type="pct"/>
            <w:shd w:val="clear" w:color="auto" w:fill="auto"/>
            <w:tcMar>
              <w:left w:w="28" w:type="dxa"/>
              <w:right w:w="28" w:type="dxa"/>
            </w:tcMar>
            <w:vAlign w:val="center"/>
          </w:tcPr>
          <w:p w14:paraId="016AE81C">
            <w:pPr>
              <w:spacing w:after="0" w:line="240" w:lineRule="auto"/>
              <w:ind w:firstLine="0"/>
              <w:rPr>
                <w:sz w:val="20"/>
                <w:szCs w:val="20"/>
              </w:rPr>
            </w:pPr>
            <w:r>
              <w:rPr>
                <w:sz w:val="20"/>
                <w:szCs w:val="20"/>
              </w:rPr>
              <w:t>Температура воды на входе в котёл</w:t>
            </w:r>
          </w:p>
        </w:tc>
        <w:tc>
          <w:tcPr>
            <w:tcW w:w="788" w:type="pct"/>
            <w:shd w:val="clear" w:color="auto" w:fill="auto"/>
            <w:noWrap/>
            <w:tcMar>
              <w:left w:w="28" w:type="dxa"/>
              <w:right w:w="28" w:type="dxa"/>
            </w:tcMar>
            <w:vAlign w:val="center"/>
          </w:tcPr>
          <w:p w14:paraId="154F9664">
            <w:pPr>
              <w:spacing w:after="0" w:line="240" w:lineRule="auto"/>
              <w:ind w:firstLine="0"/>
              <w:jc w:val="center"/>
              <w:rPr>
                <w:sz w:val="20"/>
                <w:szCs w:val="20"/>
                <w:vertAlign w:val="superscript"/>
              </w:rPr>
            </w:pPr>
            <w:r>
              <w:rPr>
                <w:sz w:val="20"/>
                <w:szCs w:val="20"/>
                <w:vertAlign w:val="superscript"/>
              </w:rPr>
              <w:t>о</w:t>
            </w:r>
            <w:r>
              <w:rPr>
                <w:sz w:val="20"/>
                <w:szCs w:val="20"/>
              </w:rPr>
              <w:t>С</w:t>
            </w:r>
          </w:p>
        </w:tc>
        <w:tc>
          <w:tcPr>
            <w:tcW w:w="595" w:type="pct"/>
            <w:shd w:val="clear" w:color="auto" w:fill="auto"/>
            <w:noWrap/>
            <w:tcMar>
              <w:left w:w="28" w:type="dxa"/>
              <w:right w:w="28" w:type="dxa"/>
            </w:tcMar>
            <w:vAlign w:val="center"/>
          </w:tcPr>
          <w:p w14:paraId="741BDC7C">
            <w:pPr>
              <w:spacing w:after="0" w:line="240" w:lineRule="auto"/>
              <w:ind w:firstLine="0"/>
              <w:jc w:val="center"/>
              <w:rPr>
                <w:sz w:val="20"/>
                <w:szCs w:val="20"/>
              </w:rPr>
            </w:pPr>
            <w:r>
              <w:rPr>
                <w:sz w:val="20"/>
                <w:szCs w:val="20"/>
              </w:rPr>
              <w:t>70</w:t>
            </w:r>
          </w:p>
        </w:tc>
        <w:tc>
          <w:tcPr>
            <w:tcW w:w="472" w:type="pct"/>
            <w:shd w:val="clear" w:color="auto" w:fill="auto"/>
            <w:noWrap/>
            <w:tcMar>
              <w:left w:w="28" w:type="dxa"/>
              <w:right w:w="28" w:type="dxa"/>
            </w:tcMar>
            <w:vAlign w:val="center"/>
          </w:tcPr>
          <w:p w14:paraId="5945D5AA">
            <w:pPr>
              <w:spacing w:after="0" w:line="240" w:lineRule="auto"/>
              <w:ind w:firstLine="0"/>
              <w:jc w:val="center"/>
              <w:rPr>
                <w:sz w:val="20"/>
                <w:szCs w:val="20"/>
              </w:rPr>
            </w:pPr>
            <w:r>
              <w:rPr>
                <w:sz w:val="20"/>
                <w:szCs w:val="20"/>
              </w:rPr>
              <w:t>71</w:t>
            </w:r>
          </w:p>
        </w:tc>
        <w:tc>
          <w:tcPr>
            <w:tcW w:w="470" w:type="pct"/>
            <w:tcMar>
              <w:left w:w="28" w:type="dxa"/>
              <w:right w:w="28" w:type="dxa"/>
            </w:tcMar>
            <w:vAlign w:val="center"/>
          </w:tcPr>
          <w:p w14:paraId="4075CA67">
            <w:pPr>
              <w:spacing w:after="0" w:line="240" w:lineRule="auto"/>
              <w:ind w:firstLine="0"/>
              <w:jc w:val="center"/>
              <w:rPr>
                <w:sz w:val="20"/>
                <w:szCs w:val="20"/>
              </w:rPr>
            </w:pPr>
            <w:r>
              <w:rPr>
                <w:sz w:val="20"/>
                <w:szCs w:val="20"/>
              </w:rPr>
              <w:t>72</w:t>
            </w:r>
          </w:p>
        </w:tc>
      </w:tr>
      <w:tr w14:paraId="5594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6803357">
            <w:pPr>
              <w:spacing w:after="0" w:line="240" w:lineRule="auto"/>
              <w:ind w:firstLine="0"/>
              <w:jc w:val="center"/>
              <w:rPr>
                <w:sz w:val="20"/>
                <w:szCs w:val="20"/>
              </w:rPr>
            </w:pPr>
            <w:r>
              <w:rPr>
                <w:sz w:val="20"/>
                <w:szCs w:val="20"/>
              </w:rPr>
              <w:t>4</w:t>
            </w:r>
          </w:p>
        </w:tc>
        <w:tc>
          <w:tcPr>
            <w:tcW w:w="2343" w:type="pct"/>
            <w:shd w:val="clear" w:color="auto" w:fill="auto"/>
            <w:tcMar>
              <w:left w:w="28" w:type="dxa"/>
              <w:right w:w="28" w:type="dxa"/>
            </w:tcMar>
            <w:vAlign w:val="center"/>
          </w:tcPr>
          <w:p w14:paraId="4474804C">
            <w:pPr>
              <w:spacing w:after="0" w:line="240" w:lineRule="auto"/>
              <w:ind w:firstLine="0"/>
              <w:rPr>
                <w:sz w:val="20"/>
                <w:szCs w:val="20"/>
              </w:rPr>
            </w:pPr>
            <w:r>
              <w:rPr>
                <w:sz w:val="20"/>
                <w:szCs w:val="20"/>
              </w:rPr>
              <w:t>Давление воды на входе в котлоагрегат</w:t>
            </w:r>
          </w:p>
        </w:tc>
        <w:tc>
          <w:tcPr>
            <w:tcW w:w="788" w:type="pct"/>
            <w:shd w:val="clear" w:color="auto" w:fill="auto"/>
            <w:noWrap/>
            <w:tcMar>
              <w:left w:w="28" w:type="dxa"/>
              <w:right w:w="28" w:type="dxa"/>
            </w:tcMar>
            <w:vAlign w:val="center"/>
          </w:tcPr>
          <w:p w14:paraId="61D724A9">
            <w:pPr>
              <w:spacing w:after="0" w:line="240" w:lineRule="auto"/>
              <w:ind w:firstLine="0"/>
              <w:jc w:val="center"/>
              <w:rPr>
                <w:sz w:val="20"/>
                <w:szCs w:val="20"/>
              </w:rPr>
            </w:pPr>
            <w:r>
              <w:rPr>
                <w:sz w:val="20"/>
                <w:szCs w:val="20"/>
              </w:rPr>
              <w:t>МПа</w:t>
            </w:r>
          </w:p>
        </w:tc>
        <w:tc>
          <w:tcPr>
            <w:tcW w:w="595" w:type="pct"/>
            <w:shd w:val="clear" w:color="auto" w:fill="auto"/>
            <w:noWrap/>
            <w:tcMar>
              <w:left w:w="28" w:type="dxa"/>
              <w:right w:w="28" w:type="dxa"/>
            </w:tcMar>
            <w:vAlign w:val="center"/>
          </w:tcPr>
          <w:p w14:paraId="48BB2FB2">
            <w:pPr>
              <w:spacing w:after="0" w:line="240" w:lineRule="auto"/>
              <w:ind w:firstLine="0"/>
              <w:jc w:val="center"/>
              <w:rPr>
                <w:sz w:val="20"/>
                <w:szCs w:val="20"/>
              </w:rPr>
            </w:pPr>
            <w:r>
              <w:rPr>
                <w:sz w:val="20"/>
                <w:szCs w:val="20"/>
              </w:rPr>
              <w:t>0,51</w:t>
            </w:r>
          </w:p>
        </w:tc>
        <w:tc>
          <w:tcPr>
            <w:tcW w:w="472" w:type="pct"/>
            <w:shd w:val="clear" w:color="auto" w:fill="auto"/>
            <w:noWrap/>
            <w:tcMar>
              <w:left w:w="28" w:type="dxa"/>
              <w:right w:w="28" w:type="dxa"/>
            </w:tcMar>
            <w:vAlign w:val="center"/>
          </w:tcPr>
          <w:p w14:paraId="09DF60C2">
            <w:pPr>
              <w:spacing w:after="0" w:line="240" w:lineRule="auto"/>
              <w:ind w:firstLine="0"/>
              <w:jc w:val="center"/>
              <w:rPr>
                <w:sz w:val="20"/>
                <w:szCs w:val="20"/>
              </w:rPr>
            </w:pPr>
            <w:r>
              <w:rPr>
                <w:sz w:val="20"/>
                <w:szCs w:val="20"/>
              </w:rPr>
              <w:t>0,51</w:t>
            </w:r>
          </w:p>
        </w:tc>
        <w:tc>
          <w:tcPr>
            <w:tcW w:w="470" w:type="pct"/>
            <w:tcMar>
              <w:left w:w="28" w:type="dxa"/>
              <w:right w:w="28" w:type="dxa"/>
            </w:tcMar>
            <w:vAlign w:val="center"/>
          </w:tcPr>
          <w:p w14:paraId="529CBF8B">
            <w:pPr>
              <w:spacing w:after="0" w:line="240" w:lineRule="auto"/>
              <w:ind w:firstLine="0"/>
              <w:jc w:val="center"/>
              <w:rPr>
                <w:sz w:val="20"/>
                <w:szCs w:val="20"/>
              </w:rPr>
            </w:pPr>
            <w:r>
              <w:rPr>
                <w:sz w:val="20"/>
                <w:szCs w:val="20"/>
              </w:rPr>
              <w:t>0,51</w:t>
            </w:r>
          </w:p>
        </w:tc>
      </w:tr>
      <w:tr w14:paraId="0D7E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48438C4">
            <w:pPr>
              <w:spacing w:after="0" w:line="240" w:lineRule="auto"/>
              <w:ind w:firstLine="0"/>
              <w:jc w:val="center"/>
              <w:rPr>
                <w:sz w:val="20"/>
                <w:szCs w:val="20"/>
              </w:rPr>
            </w:pPr>
            <w:r>
              <w:rPr>
                <w:sz w:val="20"/>
                <w:szCs w:val="20"/>
              </w:rPr>
              <w:t>5</w:t>
            </w:r>
          </w:p>
        </w:tc>
        <w:tc>
          <w:tcPr>
            <w:tcW w:w="2343" w:type="pct"/>
            <w:shd w:val="clear" w:color="auto" w:fill="auto"/>
            <w:tcMar>
              <w:left w:w="28" w:type="dxa"/>
              <w:right w:w="28" w:type="dxa"/>
            </w:tcMar>
            <w:vAlign w:val="center"/>
          </w:tcPr>
          <w:p w14:paraId="39E108BE">
            <w:pPr>
              <w:spacing w:after="0" w:line="240" w:lineRule="auto"/>
              <w:ind w:firstLine="0"/>
              <w:rPr>
                <w:sz w:val="20"/>
                <w:szCs w:val="20"/>
              </w:rPr>
            </w:pPr>
            <w:r>
              <w:rPr>
                <w:sz w:val="20"/>
                <w:szCs w:val="20"/>
              </w:rPr>
              <w:t>Давление воды на выходе из котла</w:t>
            </w:r>
          </w:p>
        </w:tc>
        <w:tc>
          <w:tcPr>
            <w:tcW w:w="788" w:type="pct"/>
            <w:shd w:val="clear" w:color="auto" w:fill="auto"/>
            <w:noWrap/>
            <w:tcMar>
              <w:left w:w="28" w:type="dxa"/>
              <w:right w:w="28" w:type="dxa"/>
            </w:tcMar>
            <w:vAlign w:val="center"/>
          </w:tcPr>
          <w:p w14:paraId="6A083A33">
            <w:pPr>
              <w:spacing w:after="0" w:line="240" w:lineRule="auto"/>
              <w:ind w:firstLine="0"/>
              <w:jc w:val="center"/>
              <w:rPr>
                <w:sz w:val="20"/>
                <w:szCs w:val="20"/>
              </w:rPr>
            </w:pPr>
            <w:r>
              <w:rPr>
                <w:sz w:val="20"/>
                <w:szCs w:val="20"/>
              </w:rPr>
              <w:t>кгс/см</w:t>
            </w:r>
            <w:r>
              <w:rPr>
                <w:sz w:val="20"/>
                <w:szCs w:val="20"/>
                <w:vertAlign w:val="superscript"/>
              </w:rPr>
              <w:t>2</w:t>
            </w:r>
          </w:p>
        </w:tc>
        <w:tc>
          <w:tcPr>
            <w:tcW w:w="595" w:type="pct"/>
            <w:shd w:val="clear" w:color="auto" w:fill="auto"/>
            <w:noWrap/>
            <w:tcMar>
              <w:left w:w="28" w:type="dxa"/>
              <w:right w:w="28" w:type="dxa"/>
            </w:tcMar>
            <w:vAlign w:val="center"/>
          </w:tcPr>
          <w:p w14:paraId="727A9232">
            <w:pPr>
              <w:spacing w:after="0" w:line="240" w:lineRule="auto"/>
              <w:ind w:firstLine="0"/>
              <w:jc w:val="center"/>
              <w:rPr>
                <w:sz w:val="20"/>
                <w:szCs w:val="20"/>
              </w:rPr>
            </w:pPr>
            <w:r>
              <w:rPr>
                <w:sz w:val="20"/>
                <w:szCs w:val="20"/>
              </w:rPr>
              <w:t>5</w:t>
            </w:r>
          </w:p>
        </w:tc>
        <w:tc>
          <w:tcPr>
            <w:tcW w:w="472" w:type="pct"/>
            <w:shd w:val="clear" w:color="auto" w:fill="auto"/>
            <w:noWrap/>
            <w:tcMar>
              <w:left w:w="28" w:type="dxa"/>
              <w:right w:w="28" w:type="dxa"/>
            </w:tcMar>
            <w:vAlign w:val="center"/>
          </w:tcPr>
          <w:p w14:paraId="333CCBE8">
            <w:pPr>
              <w:spacing w:after="0" w:line="240" w:lineRule="auto"/>
              <w:ind w:firstLine="0"/>
              <w:jc w:val="center"/>
              <w:rPr>
                <w:sz w:val="20"/>
                <w:szCs w:val="20"/>
              </w:rPr>
            </w:pPr>
            <w:r>
              <w:rPr>
                <w:sz w:val="20"/>
                <w:szCs w:val="20"/>
              </w:rPr>
              <w:t>5</w:t>
            </w:r>
          </w:p>
        </w:tc>
        <w:tc>
          <w:tcPr>
            <w:tcW w:w="470" w:type="pct"/>
            <w:tcMar>
              <w:left w:w="28" w:type="dxa"/>
              <w:right w:w="28" w:type="dxa"/>
            </w:tcMar>
            <w:vAlign w:val="center"/>
          </w:tcPr>
          <w:p w14:paraId="6E19E7FD">
            <w:pPr>
              <w:spacing w:after="0" w:line="240" w:lineRule="auto"/>
              <w:ind w:firstLine="0"/>
              <w:jc w:val="center"/>
              <w:rPr>
                <w:sz w:val="20"/>
                <w:szCs w:val="20"/>
              </w:rPr>
            </w:pPr>
            <w:r>
              <w:rPr>
                <w:sz w:val="20"/>
                <w:szCs w:val="20"/>
              </w:rPr>
              <w:t>5</w:t>
            </w:r>
          </w:p>
        </w:tc>
      </w:tr>
      <w:tr w14:paraId="361E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C09408E">
            <w:pPr>
              <w:spacing w:after="0" w:line="240" w:lineRule="auto"/>
              <w:ind w:firstLine="0"/>
              <w:jc w:val="center"/>
              <w:rPr>
                <w:sz w:val="20"/>
                <w:szCs w:val="20"/>
              </w:rPr>
            </w:pPr>
            <w:r>
              <w:rPr>
                <w:sz w:val="20"/>
                <w:szCs w:val="20"/>
              </w:rPr>
              <w:t>6</w:t>
            </w:r>
          </w:p>
        </w:tc>
        <w:tc>
          <w:tcPr>
            <w:tcW w:w="2343" w:type="pct"/>
            <w:shd w:val="clear" w:color="auto" w:fill="auto"/>
            <w:tcMar>
              <w:left w:w="28" w:type="dxa"/>
              <w:right w:w="28" w:type="dxa"/>
            </w:tcMar>
            <w:vAlign w:val="center"/>
          </w:tcPr>
          <w:p w14:paraId="14D7CE4D">
            <w:pPr>
              <w:spacing w:after="0" w:line="240" w:lineRule="auto"/>
              <w:ind w:firstLine="0"/>
              <w:rPr>
                <w:sz w:val="20"/>
                <w:szCs w:val="20"/>
              </w:rPr>
            </w:pPr>
            <w:r>
              <w:rPr>
                <w:sz w:val="20"/>
                <w:szCs w:val="20"/>
              </w:rPr>
              <w:t>Давление газа в коллекторе</w:t>
            </w:r>
          </w:p>
        </w:tc>
        <w:tc>
          <w:tcPr>
            <w:tcW w:w="788" w:type="pct"/>
            <w:shd w:val="clear" w:color="auto" w:fill="auto"/>
            <w:noWrap/>
            <w:tcMar>
              <w:left w:w="28" w:type="dxa"/>
              <w:right w:w="28" w:type="dxa"/>
            </w:tcMar>
            <w:vAlign w:val="center"/>
          </w:tcPr>
          <w:p w14:paraId="6645AA78">
            <w:pPr>
              <w:spacing w:after="0" w:line="240" w:lineRule="auto"/>
              <w:ind w:firstLine="0"/>
              <w:jc w:val="center"/>
              <w:rPr>
                <w:sz w:val="20"/>
                <w:szCs w:val="20"/>
              </w:rPr>
            </w:pPr>
            <w:r>
              <w:rPr>
                <w:sz w:val="20"/>
                <w:szCs w:val="20"/>
              </w:rPr>
              <w:t>кгс/см</w:t>
            </w:r>
            <w:r>
              <w:rPr>
                <w:sz w:val="20"/>
                <w:szCs w:val="20"/>
                <w:vertAlign w:val="superscript"/>
              </w:rPr>
              <w:t>2</w:t>
            </w:r>
          </w:p>
        </w:tc>
        <w:tc>
          <w:tcPr>
            <w:tcW w:w="595" w:type="pct"/>
            <w:shd w:val="clear" w:color="auto" w:fill="auto"/>
            <w:noWrap/>
            <w:tcMar>
              <w:left w:w="28" w:type="dxa"/>
              <w:right w:w="28" w:type="dxa"/>
            </w:tcMar>
            <w:vAlign w:val="center"/>
          </w:tcPr>
          <w:p w14:paraId="69F398B6">
            <w:pPr>
              <w:spacing w:after="0" w:line="240" w:lineRule="auto"/>
              <w:ind w:firstLine="0"/>
              <w:jc w:val="center"/>
              <w:rPr>
                <w:sz w:val="20"/>
                <w:szCs w:val="20"/>
              </w:rPr>
            </w:pPr>
            <w:r>
              <w:rPr>
                <w:sz w:val="20"/>
                <w:szCs w:val="20"/>
              </w:rPr>
              <w:t>0,35</w:t>
            </w:r>
          </w:p>
        </w:tc>
        <w:tc>
          <w:tcPr>
            <w:tcW w:w="472" w:type="pct"/>
            <w:shd w:val="clear" w:color="auto" w:fill="auto"/>
            <w:noWrap/>
            <w:tcMar>
              <w:left w:w="28" w:type="dxa"/>
              <w:right w:w="28" w:type="dxa"/>
            </w:tcMar>
            <w:vAlign w:val="center"/>
          </w:tcPr>
          <w:p w14:paraId="61F13A00">
            <w:pPr>
              <w:spacing w:after="0" w:line="240" w:lineRule="auto"/>
              <w:ind w:firstLine="0"/>
              <w:jc w:val="center"/>
              <w:rPr>
                <w:sz w:val="20"/>
                <w:szCs w:val="20"/>
              </w:rPr>
            </w:pPr>
            <w:r>
              <w:rPr>
                <w:sz w:val="20"/>
                <w:szCs w:val="20"/>
              </w:rPr>
              <w:t>0,34</w:t>
            </w:r>
          </w:p>
        </w:tc>
        <w:tc>
          <w:tcPr>
            <w:tcW w:w="470" w:type="pct"/>
            <w:tcMar>
              <w:left w:w="28" w:type="dxa"/>
              <w:right w:w="28" w:type="dxa"/>
            </w:tcMar>
            <w:vAlign w:val="center"/>
          </w:tcPr>
          <w:p w14:paraId="2B3C6A60">
            <w:pPr>
              <w:spacing w:after="0" w:line="240" w:lineRule="auto"/>
              <w:ind w:firstLine="0"/>
              <w:jc w:val="center"/>
              <w:rPr>
                <w:sz w:val="20"/>
                <w:szCs w:val="20"/>
              </w:rPr>
            </w:pPr>
            <w:r>
              <w:rPr>
                <w:sz w:val="20"/>
                <w:szCs w:val="20"/>
              </w:rPr>
              <w:t>0,33</w:t>
            </w:r>
          </w:p>
        </w:tc>
      </w:tr>
      <w:tr w14:paraId="36D0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0B9CBFC">
            <w:pPr>
              <w:spacing w:after="0" w:line="240" w:lineRule="auto"/>
              <w:ind w:firstLine="0"/>
              <w:jc w:val="center"/>
              <w:rPr>
                <w:sz w:val="20"/>
                <w:szCs w:val="20"/>
              </w:rPr>
            </w:pPr>
            <w:r>
              <w:rPr>
                <w:sz w:val="20"/>
                <w:szCs w:val="20"/>
              </w:rPr>
              <w:t>7</w:t>
            </w:r>
          </w:p>
        </w:tc>
        <w:tc>
          <w:tcPr>
            <w:tcW w:w="2343" w:type="pct"/>
            <w:shd w:val="clear" w:color="auto" w:fill="auto"/>
            <w:tcMar>
              <w:left w:w="28" w:type="dxa"/>
              <w:right w:w="28" w:type="dxa"/>
            </w:tcMar>
            <w:vAlign w:val="center"/>
          </w:tcPr>
          <w:p w14:paraId="18655402">
            <w:pPr>
              <w:spacing w:after="0" w:line="240" w:lineRule="auto"/>
              <w:ind w:firstLine="0"/>
              <w:rPr>
                <w:sz w:val="20"/>
                <w:szCs w:val="20"/>
              </w:rPr>
            </w:pPr>
            <w:r>
              <w:rPr>
                <w:sz w:val="20"/>
                <w:szCs w:val="20"/>
              </w:rPr>
              <w:t>Давление газа перед горелкой</w:t>
            </w:r>
          </w:p>
        </w:tc>
        <w:tc>
          <w:tcPr>
            <w:tcW w:w="788" w:type="pct"/>
            <w:shd w:val="clear" w:color="auto" w:fill="auto"/>
            <w:noWrap/>
            <w:tcMar>
              <w:left w:w="28" w:type="dxa"/>
              <w:right w:w="28" w:type="dxa"/>
            </w:tcMar>
            <w:vAlign w:val="center"/>
          </w:tcPr>
          <w:p w14:paraId="6F7D3A0B">
            <w:pPr>
              <w:spacing w:after="0" w:line="240" w:lineRule="auto"/>
              <w:ind w:firstLine="0"/>
              <w:jc w:val="center"/>
              <w:rPr>
                <w:sz w:val="20"/>
                <w:szCs w:val="20"/>
              </w:rPr>
            </w:pPr>
            <w:r>
              <w:rPr>
                <w:sz w:val="20"/>
                <w:szCs w:val="20"/>
              </w:rPr>
              <w:t>кгс/см</w:t>
            </w:r>
            <w:r>
              <w:rPr>
                <w:sz w:val="20"/>
                <w:szCs w:val="20"/>
                <w:vertAlign w:val="superscript"/>
              </w:rPr>
              <w:t>2</w:t>
            </w:r>
          </w:p>
        </w:tc>
        <w:tc>
          <w:tcPr>
            <w:tcW w:w="595" w:type="pct"/>
            <w:shd w:val="clear" w:color="auto" w:fill="auto"/>
            <w:noWrap/>
            <w:tcMar>
              <w:left w:w="28" w:type="dxa"/>
              <w:right w:w="28" w:type="dxa"/>
            </w:tcMar>
            <w:vAlign w:val="center"/>
          </w:tcPr>
          <w:p w14:paraId="0B8E5D59">
            <w:pPr>
              <w:spacing w:after="0" w:line="240" w:lineRule="auto"/>
              <w:ind w:firstLine="0"/>
              <w:jc w:val="center"/>
              <w:rPr>
                <w:sz w:val="20"/>
                <w:szCs w:val="20"/>
              </w:rPr>
            </w:pPr>
            <w:r>
              <w:rPr>
                <w:sz w:val="20"/>
                <w:szCs w:val="20"/>
              </w:rPr>
              <w:t>0,06</w:t>
            </w:r>
          </w:p>
        </w:tc>
        <w:tc>
          <w:tcPr>
            <w:tcW w:w="472" w:type="pct"/>
            <w:shd w:val="clear" w:color="auto" w:fill="auto"/>
            <w:noWrap/>
            <w:tcMar>
              <w:left w:w="28" w:type="dxa"/>
              <w:right w:w="28" w:type="dxa"/>
            </w:tcMar>
            <w:vAlign w:val="center"/>
          </w:tcPr>
          <w:p w14:paraId="1A40A9AA">
            <w:pPr>
              <w:spacing w:after="0" w:line="240" w:lineRule="auto"/>
              <w:ind w:firstLine="0"/>
              <w:jc w:val="center"/>
              <w:rPr>
                <w:sz w:val="20"/>
                <w:szCs w:val="20"/>
              </w:rPr>
            </w:pPr>
            <w:r>
              <w:rPr>
                <w:sz w:val="20"/>
                <w:szCs w:val="20"/>
              </w:rPr>
              <w:t>0,14</w:t>
            </w:r>
          </w:p>
        </w:tc>
        <w:tc>
          <w:tcPr>
            <w:tcW w:w="470" w:type="pct"/>
            <w:tcMar>
              <w:left w:w="28" w:type="dxa"/>
              <w:right w:w="28" w:type="dxa"/>
            </w:tcMar>
            <w:vAlign w:val="center"/>
          </w:tcPr>
          <w:p w14:paraId="563C0A53">
            <w:pPr>
              <w:spacing w:after="0" w:line="240" w:lineRule="auto"/>
              <w:ind w:firstLine="0"/>
              <w:jc w:val="center"/>
              <w:rPr>
                <w:sz w:val="20"/>
                <w:szCs w:val="20"/>
              </w:rPr>
            </w:pPr>
            <w:r>
              <w:rPr>
                <w:sz w:val="20"/>
                <w:szCs w:val="20"/>
              </w:rPr>
              <w:t>0,21</w:t>
            </w:r>
          </w:p>
        </w:tc>
      </w:tr>
      <w:tr w14:paraId="47C8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AF2463A">
            <w:pPr>
              <w:spacing w:after="0" w:line="240" w:lineRule="auto"/>
              <w:ind w:firstLine="0"/>
              <w:jc w:val="center"/>
              <w:rPr>
                <w:sz w:val="20"/>
                <w:szCs w:val="20"/>
              </w:rPr>
            </w:pPr>
            <w:r>
              <w:rPr>
                <w:sz w:val="20"/>
                <w:szCs w:val="20"/>
              </w:rPr>
              <w:t>8</w:t>
            </w:r>
          </w:p>
        </w:tc>
        <w:tc>
          <w:tcPr>
            <w:tcW w:w="2343" w:type="pct"/>
            <w:shd w:val="clear" w:color="auto" w:fill="auto"/>
            <w:tcMar>
              <w:left w:w="28" w:type="dxa"/>
              <w:right w:w="28" w:type="dxa"/>
            </w:tcMar>
            <w:vAlign w:val="center"/>
          </w:tcPr>
          <w:p w14:paraId="11C29A66">
            <w:pPr>
              <w:spacing w:after="0" w:line="240" w:lineRule="auto"/>
              <w:ind w:firstLine="0"/>
              <w:rPr>
                <w:sz w:val="20"/>
                <w:szCs w:val="20"/>
              </w:rPr>
            </w:pPr>
            <w:r>
              <w:rPr>
                <w:sz w:val="20"/>
                <w:szCs w:val="20"/>
              </w:rPr>
              <w:t>Расход газа</w:t>
            </w:r>
          </w:p>
        </w:tc>
        <w:tc>
          <w:tcPr>
            <w:tcW w:w="788" w:type="pct"/>
            <w:shd w:val="clear" w:color="auto" w:fill="auto"/>
            <w:noWrap/>
            <w:tcMar>
              <w:left w:w="28" w:type="dxa"/>
              <w:right w:w="28" w:type="dxa"/>
            </w:tcMar>
            <w:vAlign w:val="center"/>
          </w:tcPr>
          <w:p w14:paraId="778CF32D">
            <w:pPr>
              <w:spacing w:after="0" w:line="240" w:lineRule="auto"/>
              <w:ind w:firstLine="0"/>
              <w:jc w:val="center"/>
              <w:rPr>
                <w:sz w:val="20"/>
                <w:szCs w:val="20"/>
              </w:rPr>
            </w:pPr>
            <w:r>
              <w:rPr>
                <w:sz w:val="20"/>
                <w:szCs w:val="20"/>
              </w:rPr>
              <w:t>нм</w:t>
            </w:r>
            <w:r>
              <w:rPr>
                <w:sz w:val="20"/>
                <w:szCs w:val="20"/>
                <w:vertAlign w:val="superscript"/>
              </w:rPr>
              <w:t>3</w:t>
            </w:r>
            <w:r>
              <w:rPr>
                <w:sz w:val="20"/>
                <w:szCs w:val="20"/>
              </w:rPr>
              <w:t>/ч</w:t>
            </w:r>
          </w:p>
        </w:tc>
        <w:tc>
          <w:tcPr>
            <w:tcW w:w="595" w:type="pct"/>
            <w:shd w:val="clear" w:color="auto" w:fill="auto"/>
            <w:noWrap/>
            <w:tcMar>
              <w:left w:w="28" w:type="dxa"/>
              <w:right w:w="28" w:type="dxa"/>
            </w:tcMar>
            <w:vAlign w:val="center"/>
          </w:tcPr>
          <w:p w14:paraId="0E81D8FA">
            <w:pPr>
              <w:spacing w:after="0" w:line="240" w:lineRule="auto"/>
              <w:ind w:firstLine="0"/>
              <w:jc w:val="center"/>
              <w:rPr>
                <w:sz w:val="20"/>
                <w:szCs w:val="20"/>
              </w:rPr>
            </w:pPr>
            <w:r>
              <w:rPr>
                <w:sz w:val="20"/>
                <w:szCs w:val="20"/>
              </w:rPr>
              <w:t>69,9</w:t>
            </w:r>
          </w:p>
        </w:tc>
        <w:tc>
          <w:tcPr>
            <w:tcW w:w="472" w:type="pct"/>
            <w:shd w:val="clear" w:color="auto" w:fill="auto"/>
            <w:noWrap/>
            <w:tcMar>
              <w:left w:w="28" w:type="dxa"/>
              <w:right w:w="28" w:type="dxa"/>
            </w:tcMar>
            <w:vAlign w:val="center"/>
          </w:tcPr>
          <w:p w14:paraId="29773B26">
            <w:pPr>
              <w:spacing w:after="0" w:line="240" w:lineRule="auto"/>
              <w:ind w:firstLine="0"/>
              <w:jc w:val="center"/>
              <w:rPr>
                <w:sz w:val="20"/>
                <w:szCs w:val="20"/>
              </w:rPr>
            </w:pPr>
            <w:r>
              <w:rPr>
                <w:sz w:val="20"/>
                <w:szCs w:val="20"/>
              </w:rPr>
              <w:t>107,3</w:t>
            </w:r>
          </w:p>
        </w:tc>
        <w:tc>
          <w:tcPr>
            <w:tcW w:w="470" w:type="pct"/>
            <w:tcMar>
              <w:left w:w="28" w:type="dxa"/>
              <w:right w:w="28" w:type="dxa"/>
            </w:tcMar>
            <w:vAlign w:val="center"/>
          </w:tcPr>
          <w:p w14:paraId="4FB98269">
            <w:pPr>
              <w:spacing w:after="0" w:line="240" w:lineRule="auto"/>
              <w:ind w:firstLine="0"/>
              <w:jc w:val="center"/>
              <w:rPr>
                <w:sz w:val="20"/>
                <w:szCs w:val="20"/>
              </w:rPr>
            </w:pPr>
            <w:r>
              <w:rPr>
                <w:sz w:val="20"/>
                <w:szCs w:val="20"/>
              </w:rPr>
              <w:t>131</w:t>
            </w:r>
          </w:p>
        </w:tc>
      </w:tr>
      <w:tr w14:paraId="001B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75B3049">
            <w:pPr>
              <w:spacing w:after="0" w:line="240" w:lineRule="auto"/>
              <w:ind w:firstLine="0"/>
              <w:jc w:val="center"/>
              <w:rPr>
                <w:sz w:val="20"/>
                <w:szCs w:val="20"/>
              </w:rPr>
            </w:pPr>
            <w:r>
              <w:rPr>
                <w:sz w:val="20"/>
                <w:szCs w:val="20"/>
              </w:rPr>
              <w:t>9</w:t>
            </w:r>
          </w:p>
        </w:tc>
        <w:tc>
          <w:tcPr>
            <w:tcW w:w="2343" w:type="pct"/>
            <w:shd w:val="clear" w:color="auto" w:fill="auto"/>
            <w:tcMar>
              <w:left w:w="28" w:type="dxa"/>
              <w:right w:w="28" w:type="dxa"/>
            </w:tcMar>
            <w:vAlign w:val="center"/>
          </w:tcPr>
          <w:p w14:paraId="428862B7">
            <w:pPr>
              <w:spacing w:after="0" w:line="240" w:lineRule="auto"/>
              <w:ind w:firstLine="0"/>
              <w:rPr>
                <w:sz w:val="20"/>
                <w:szCs w:val="20"/>
              </w:rPr>
            </w:pPr>
            <w:r>
              <w:rPr>
                <w:sz w:val="20"/>
                <w:szCs w:val="20"/>
              </w:rPr>
              <w:t>Разрежение за топкой</w:t>
            </w:r>
          </w:p>
        </w:tc>
        <w:tc>
          <w:tcPr>
            <w:tcW w:w="788" w:type="pct"/>
            <w:shd w:val="clear" w:color="auto" w:fill="auto"/>
            <w:noWrap/>
            <w:tcMar>
              <w:left w:w="28" w:type="dxa"/>
              <w:right w:w="28" w:type="dxa"/>
            </w:tcMar>
            <w:vAlign w:val="center"/>
          </w:tcPr>
          <w:p w14:paraId="40069791">
            <w:pPr>
              <w:spacing w:after="0" w:line="240" w:lineRule="auto"/>
              <w:ind w:firstLine="0"/>
              <w:jc w:val="center"/>
              <w:rPr>
                <w:sz w:val="20"/>
                <w:szCs w:val="20"/>
              </w:rPr>
            </w:pPr>
            <w:r>
              <w:rPr>
                <w:sz w:val="20"/>
                <w:szCs w:val="20"/>
              </w:rPr>
              <w:t>Па</w:t>
            </w:r>
          </w:p>
        </w:tc>
        <w:tc>
          <w:tcPr>
            <w:tcW w:w="595" w:type="pct"/>
            <w:shd w:val="clear" w:color="auto" w:fill="auto"/>
            <w:noWrap/>
            <w:tcMar>
              <w:left w:w="28" w:type="dxa"/>
              <w:right w:w="28" w:type="dxa"/>
            </w:tcMar>
            <w:vAlign w:val="center"/>
          </w:tcPr>
          <w:p w14:paraId="421B88CE">
            <w:pPr>
              <w:spacing w:after="0" w:line="240" w:lineRule="auto"/>
              <w:ind w:firstLine="0"/>
              <w:jc w:val="center"/>
              <w:rPr>
                <w:sz w:val="20"/>
                <w:szCs w:val="20"/>
              </w:rPr>
            </w:pPr>
            <w:r>
              <w:rPr>
                <w:sz w:val="20"/>
                <w:szCs w:val="20"/>
              </w:rPr>
              <w:t>58</w:t>
            </w:r>
          </w:p>
        </w:tc>
        <w:tc>
          <w:tcPr>
            <w:tcW w:w="472" w:type="pct"/>
            <w:shd w:val="clear" w:color="auto" w:fill="auto"/>
            <w:noWrap/>
            <w:tcMar>
              <w:left w:w="28" w:type="dxa"/>
              <w:right w:w="28" w:type="dxa"/>
            </w:tcMar>
            <w:vAlign w:val="center"/>
          </w:tcPr>
          <w:p w14:paraId="316ED4F6">
            <w:pPr>
              <w:spacing w:after="0" w:line="240" w:lineRule="auto"/>
              <w:ind w:firstLine="0"/>
              <w:jc w:val="center"/>
              <w:rPr>
                <w:sz w:val="20"/>
                <w:szCs w:val="20"/>
              </w:rPr>
            </w:pPr>
            <w:r>
              <w:rPr>
                <w:sz w:val="20"/>
                <w:szCs w:val="20"/>
              </w:rPr>
              <w:t>60</w:t>
            </w:r>
          </w:p>
        </w:tc>
        <w:tc>
          <w:tcPr>
            <w:tcW w:w="470" w:type="pct"/>
            <w:tcMar>
              <w:left w:w="28" w:type="dxa"/>
              <w:right w:w="28" w:type="dxa"/>
            </w:tcMar>
            <w:vAlign w:val="center"/>
          </w:tcPr>
          <w:p w14:paraId="32716436">
            <w:pPr>
              <w:spacing w:after="0" w:line="240" w:lineRule="auto"/>
              <w:ind w:firstLine="0"/>
              <w:jc w:val="center"/>
              <w:rPr>
                <w:sz w:val="20"/>
                <w:szCs w:val="20"/>
              </w:rPr>
            </w:pPr>
            <w:r>
              <w:rPr>
                <w:sz w:val="20"/>
                <w:szCs w:val="20"/>
              </w:rPr>
              <w:t>60</w:t>
            </w:r>
          </w:p>
        </w:tc>
      </w:tr>
      <w:tr w14:paraId="21D3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DEEF938">
            <w:pPr>
              <w:spacing w:after="0" w:line="240" w:lineRule="auto"/>
              <w:ind w:firstLine="0"/>
              <w:jc w:val="center"/>
              <w:rPr>
                <w:sz w:val="20"/>
                <w:szCs w:val="20"/>
              </w:rPr>
            </w:pPr>
            <w:r>
              <w:rPr>
                <w:sz w:val="20"/>
                <w:szCs w:val="20"/>
              </w:rPr>
              <w:t>10</w:t>
            </w:r>
          </w:p>
        </w:tc>
        <w:tc>
          <w:tcPr>
            <w:tcW w:w="2343" w:type="pct"/>
            <w:shd w:val="clear" w:color="auto" w:fill="auto"/>
            <w:tcMar>
              <w:left w:w="28" w:type="dxa"/>
              <w:right w:w="28" w:type="dxa"/>
            </w:tcMar>
            <w:vAlign w:val="center"/>
          </w:tcPr>
          <w:p w14:paraId="160C726F">
            <w:pPr>
              <w:spacing w:after="0" w:line="240" w:lineRule="auto"/>
              <w:ind w:firstLine="0"/>
              <w:rPr>
                <w:sz w:val="20"/>
                <w:szCs w:val="20"/>
              </w:rPr>
            </w:pPr>
            <w:r>
              <w:rPr>
                <w:sz w:val="20"/>
                <w:szCs w:val="20"/>
              </w:rPr>
              <w:t>Температура воздуха перед горелкой</w:t>
            </w:r>
          </w:p>
        </w:tc>
        <w:tc>
          <w:tcPr>
            <w:tcW w:w="788" w:type="pct"/>
            <w:shd w:val="clear" w:color="auto" w:fill="auto"/>
            <w:noWrap/>
            <w:tcMar>
              <w:left w:w="28" w:type="dxa"/>
              <w:right w:w="28" w:type="dxa"/>
            </w:tcMar>
            <w:vAlign w:val="center"/>
          </w:tcPr>
          <w:p w14:paraId="5C4FDCAA">
            <w:pPr>
              <w:spacing w:after="0" w:line="240" w:lineRule="auto"/>
              <w:ind w:firstLine="0"/>
              <w:jc w:val="center"/>
              <w:rPr>
                <w:sz w:val="20"/>
                <w:szCs w:val="20"/>
              </w:rPr>
            </w:pPr>
            <w:r>
              <w:rPr>
                <w:sz w:val="20"/>
                <w:szCs w:val="20"/>
                <w:vertAlign w:val="superscript"/>
              </w:rPr>
              <w:t>о</w:t>
            </w:r>
            <w:r>
              <w:rPr>
                <w:sz w:val="20"/>
                <w:szCs w:val="20"/>
              </w:rPr>
              <w:t>С</w:t>
            </w:r>
          </w:p>
        </w:tc>
        <w:tc>
          <w:tcPr>
            <w:tcW w:w="595" w:type="pct"/>
            <w:shd w:val="clear" w:color="auto" w:fill="auto"/>
            <w:noWrap/>
            <w:tcMar>
              <w:left w:w="28" w:type="dxa"/>
              <w:right w:w="28" w:type="dxa"/>
            </w:tcMar>
            <w:vAlign w:val="center"/>
          </w:tcPr>
          <w:p w14:paraId="7CCC2DA2">
            <w:pPr>
              <w:spacing w:after="0" w:line="240" w:lineRule="auto"/>
              <w:ind w:firstLine="0"/>
              <w:jc w:val="center"/>
              <w:rPr>
                <w:sz w:val="20"/>
                <w:szCs w:val="20"/>
              </w:rPr>
            </w:pPr>
            <w:r>
              <w:rPr>
                <w:sz w:val="20"/>
                <w:szCs w:val="20"/>
              </w:rPr>
              <w:t>25</w:t>
            </w:r>
          </w:p>
        </w:tc>
        <w:tc>
          <w:tcPr>
            <w:tcW w:w="472" w:type="pct"/>
            <w:shd w:val="clear" w:color="auto" w:fill="auto"/>
            <w:noWrap/>
            <w:tcMar>
              <w:left w:w="28" w:type="dxa"/>
              <w:right w:w="28" w:type="dxa"/>
            </w:tcMar>
            <w:vAlign w:val="center"/>
          </w:tcPr>
          <w:p w14:paraId="3F7869BC">
            <w:pPr>
              <w:spacing w:after="0" w:line="240" w:lineRule="auto"/>
              <w:ind w:firstLine="0"/>
              <w:jc w:val="center"/>
              <w:rPr>
                <w:sz w:val="20"/>
                <w:szCs w:val="20"/>
              </w:rPr>
            </w:pPr>
            <w:r>
              <w:rPr>
                <w:sz w:val="20"/>
                <w:szCs w:val="20"/>
              </w:rPr>
              <w:t>25</w:t>
            </w:r>
          </w:p>
        </w:tc>
        <w:tc>
          <w:tcPr>
            <w:tcW w:w="470" w:type="pct"/>
            <w:tcMar>
              <w:left w:w="28" w:type="dxa"/>
              <w:right w:w="28" w:type="dxa"/>
            </w:tcMar>
            <w:vAlign w:val="center"/>
          </w:tcPr>
          <w:p w14:paraId="4D656875">
            <w:pPr>
              <w:spacing w:after="0" w:line="240" w:lineRule="auto"/>
              <w:ind w:firstLine="0"/>
              <w:jc w:val="center"/>
              <w:rPr>
                <w:sz w:val="20"/>
                <w:szCs w:val="20"/>
              </w:rPr>
            </w:pPr>
            <w:r>
              <w:rPr>
                <w:sz w:val="20"/>
                <w:szCs w:val="20"/>
              </w:rPr>
              <w:t>25</w:t>
            </w:r>
          </w:p>
        </w:tc>
      </w:tr>
      <w:tr w14:paraId="6E83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6D295CC">
            <w:pPr>
              <w:spacing w:after="0" w:line="240" w:lineRule="auto"/>
              <w:ind w:firstLine="0"/>
              <w:jc w:val="center"/>
              <w:rPr>
                <w:sz w:val="20"/>
                <w:szCs w:val="20"/>
              </w:rPr>
            </w:pPr>
            <w:r>
              <w:rPr>
                <w:sz w:val="20"/>
                <w:szCs w:val="20"/>
              </w:rPr>
              <w:t>11</w:t>
            </w:r>
          </w:p>
        </w:tc>
        <w:tc>
          <w:tcPr>
            <w:tcW w:w="2343" w:type="pct"/>
            <w:shd w:val="clear" w:color="auto" w:fill="auto"/>
            <w:tcMar>
              <w:left w:w="28" w:type="dxa"/>
              <w:right w:w="28" w:type="dxa"/>
            </w:tcMar>
            <w:vAlign w:val="center"/>
          </w:tcPr>
          <w:p w14:paraId="2C62C53A">
            <w:pPr>
              <w:spacing w:after="0" w:line="240" w:lineRule="auto"/>
              <w:ind w:firstLine="0"/>
              <w:rPr>
                <w:sz w:val="20"/>
                <w:szCs w:val="20"/>
              </w:rPr>
            </w:pPr>
            <w:r>
              <w:rPr>
                <w:sz w:val="20"/>
                <w:szCs w:val="20"/>
              </w:rPr>
              <w:t>Температура уходящих газов после котлоагрегата</w:t>
            </w:r>
          </w:p>
        </w:tc>
        <w:tc>
          <w:tcPr>
            <w:tcW w:w="788" w:type="pct"/>
            <w:shd w:val="clear" w:color="auto" w:fill="auto"/>
            <w:noWrap/>
            <w:tcMar>
              <w:left w:w="28" w:type="dxa"/>
              <w:right w:w="28" w:type="dxa"/>
            </w:tcMar>
            <w:vAlign w:val="center"/>
          </w:tcPr>
          <w:p w14:paraId="18816B85">
            <w:pPr>
              <w:spacing w:after="0" w:line="240" w:lineRule="auto"/>
              <w:ind w:firstLine="0"/>
              <w:jc w:val="center"/>
              <w:rPr>
                <w:sz w:val="20"/>
                <w:szCs w:val="20"/>
              </w:rPr>
            </w:pPr>
            <w:r>
              <w:rPr>
                <w:sz w:val="20"/>
                <w:szCs w:val="20"/>
                <w:vertAlign w:val="superscript"/>
              </w:rPr>
              <w:t>о</w:t>
            </w:r>
            <w:r>
              <w:rPr>
                <w:sz w:val="20"/>
                <w:szCs w:val="20"/>
              </w:rPr>
              <w:t>С</w:t>
            </w:r>
          </w:p>
        </w:tc>
        <w:tc>
          <w:tcPr>
            <w:tcW w:w="595" w:type="pct"/>
            <w:shd w:val="clear" w:color="auto" w:fill="auto"/>
            <w:noWrap/>
            <w:tcMar>
              <w:left w:w="28" w:type="dxa"/>
              <w:right w:w="28" w:type="dxa"/>
            </w:tcMar>
            <w:vAlign w:val="center"/>
          </w:tcPr>
          <w:p w14:paraId="788FB72A">
            <w:pPr>
              <w:spacing w:after="0" w:line="240" w:lineRule="auto"/>
              <w:ind w:firstLine="0"/>
              <w:jc w:val="center"/>
              <w:rPr>
                <w:sz w:val="20"/>
                <w:szCs w:val="20"/>
              </w:rPr>
            </w:pPr>
            <w:r>
              <w:rPr>
                <w:sz w:val="20"/>
                <w:szCs w:val="20"/>
              </w:rPr>
              <w:t>204</w:t>
            </w:r>
          </w:p>
        </w:tc>
        <w:tc>
          <w:tcPr>
            <w:tcW w:w="472" w:type="pct"/>
            <w:shd w:val="clear" w:color="auto" w:fill="auto"/>
            <w:noWrap/>
            <w:tcMar>
              <w:left w:w="28" w:type="dxa"/>
              <w:right w:w="28" w:type="dxa"/>
            </w:tcMar>
            <w:vAlign w:val="center"/>
          </w:tcPr>
          <w:p w14:paraId="360DD7AB">
            <w:pPr>
              <w:spacing w:after="0" w:line="240" w:lineRule="auto"/>
              <w:ind w:firstLine="0"/>
              <w:jc w:val="center"/>
              <w:rPr>
                <w:sz w:val="20"/>
                <w:szCs w:val="20"/>
              </w:rPr>
            </w:pPr>
            <w:r>
              <w:rPr>
                <w:sz w:val="20"/>
                <w:szCs w:val="20"/>
              </w:rPr>
              <w:t>239</w:t>
            </w:r>
          </w:p>
        </w:tc>
        <w:tc>
          <w:tcPr>
            <w:tcW w:w="470" w:type="pct"/>
            <w:tcMar>
              <w:left w:w="28" w:type="dxa"/>
              <w:right w:w="28" w:type="dxa"/>
            </w:tcMar>
            <w:vAlign w:val="center"/>
          </w:tcPr>
          <w:p w14:paraId="153F1B1F">
            <w:pPr>
              <w:spacing w:after="0" w:line="240" w:lineRule="auto"/>
              <w:ind w:firstLine="0"/>
              <w:jc w:val="center"/>
              <w:rPr>
                <w:sz w:val="20"/>
                <w:szCs w:val="20"/>
              </w:rPr>
            </w:pPr>
            <w:r>
              <w:rPr>
                <w:sz w:val="20"/>
                <w:szCs w:val="20"/>
              </w:rPr>
              <w:t>265</w:t>
            </w:r>
          </w:p>
        </w:tc>
      </w:tr>
      <w:tr w14:paraId="3D19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B8F9E98">
            <w:pPr>
              <w:spacing w:after="0" w:line="240" w:lineRule="auto"/>
              <w:ind w:firstLine="0"/>
              <w:jc w:val="center"/>
              <w:rPr>
                <w:sz w:val="20"/>
                <w:szCs w:val="20"/>
              </w:rPr>
            </w:pPr>
            <w:r>
              <w:rPr>
                <w:sz w:val="20"/>
                <w:szCs w:val="20"/>
              </w:rPr>
              <w:t>12</w:t>
            </w:r>
          </w:p>
        </w:tc>
        <w:tc>
          <w:tcPr>
            <w:tcW w:w="2343" w:type="pct"/>
            <w:shd w:val="clear" w:color="auto" w:fill="auto"/>
            <w:tcMar>
              <w:left w:w="28" w:type="dxa"/>
              <w:right w:w="28" w:type="dxa"/>
            </w:tcMar>
            <w:vAlign w:val="center"/>
          </w:tcPr>
          <w:p w14:paraId="72A7980D">
            <w:pPr>
              <w:spacing w:after="0" w:line="240" w:lineRule="auto"/>
              <w:ind w:firstLine="0"/>
              <w:rPr>
                <w:sz w:val="20"/>
                <w:szCs w:val="20"/>
              </w:rPr>
            </w:pPr>
            <w:r>
              <w:rPr>
                <w:sz w:val="20"/>
                <w:szCs w:val="20"/>
              </w:rPr>
              <w:t>Состав уходящих газов после котлоагрегата</w:t>
            </w:r>
          </w:p>
        </w:tc>
        <w:tc>
          <w:tcPr>
            <w:tcW w:w="788" w:type="pct"/>
            <w:shd w:val="clear" w:color="auto" w:fill="auto"/>
            <w:noWrap/>
            <w:tcMar>
              <w:left w:w="28" w:type="dxa"/>
              <w:right w:w="28" w:type="dxa"/>
            </w:tcMar>
            <w:vAlign w:val="center"/>
          </w:tcPr>
          <w:p w14:paraId="6E788D71">
            <w:pPr>
              <w:spacing w:after="0" w:line="240" w:lineRule="auto"/>
              <w:ind w:firstLine="0"/>
              <w:jc w:val="center"/>
              <w:rPr>
                <w:sz w:val="20"/>
                <w:szCs w:val="20"/>
              </w:rPr>
            </w:pPr>
            <w:r>
              <w:rPr>
                <w:sz w:val="20"/>
                <w:szCs w:val="20"/>
              </w:rPr>
              <w:t> </w:t>
            </w:r>
          </w:p>
        </w:tc>
        <w:tc>
          <w:tcPr>
            <w:tcW w:w="595" w:type="pct"/>
            <w:shd w:val="clear" w:color="auto" w:fill="auto"/>
            <w:noWrap/>
            <w:tcMar>
              <w:left w:w="28" w:type="dxa"/>
              <w:right w:w="28" w:type="dxa"/>
            </w:tcMar>
            <w:vAlign w:val="center"/>
          </w:tcPr>
          <w:p w14:paraId="2E45A2BE">
            <w:pPr>
              <w:spacing w:after="0" w:line="240" w:lineRule="auto"/>
              <w:ind w:firstLine="0"/>
              <w:jc w:val="center"/>
              <w:rPr>
                <w:sz w:val="20"/>
                <w:szCs w:val="20"/>
              </w:rPr>
            </w:pPr>
          </w:p>
        </w:tc>
        <w:tc>
          <w:tcPr>
            <w:tcW w:w="472" w:type="pct"/>
            <w:shd w:val="clear" w:color="auto" w:fill="auto"/>
            <w:noWrap/>
            <w:tcMar>
              <w:left w:w="28" w:type="dxa"/>
              <w:right w:w="28" w:type="dxa"/>
            </w:tcMar>
            <w:vAlign w:val="center"/>
          </w:tcPr>
          <w:p w14:paraId="6C64472C">
            <w:pPr>
              <w:spacing w:after="0" w:line="240" w:lineRule="auto"/>
              <w:ind w:firstLine="0"/>
              <w:jc w:val="center"/>
              <w:rPr>
                <w:sz w:val="20"/>
                <w:szCs w:val="20"/>
              </w:rPr>
            </w:pPr>
          </w:p>
        </w:tc>
        <w:tc>
          <w:tcPr>
            <w:tcW w:w="470" w:type="pct"/>
            <w:tcMar>
              <w:left w:w="28" w:type="dxa"/>
              <w:right w:w="28" w:type="dxa"/>
            </w:tcMar>
            <w:vAlign w:val="center"/>
          </w:tcPr>
          <w:p w14:paraId="615B56E8">
            <w:pPr>
              <w:spacing w:after="0" w:line="240" w:lineRule="auto"/>
              <w:ind w:firstLine="0"/>
              <w:jc w:val="center"/>
              <w:rPr>
                <w:sz w:val="20"/>
                <w:szCs w:val="20"/>
              </w:rPr>
            </w:pPr>
          </w:p>
        </w:tc>
      </w:tr>
      <w:tr w14:paraId="6537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7170A5B">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51A5187F">
            <w:pPr>
              <w:spacing w:after="0" w:line="240" w:lineRule="auto"/>
              <w:ind w:firstLine="0"/>
              <w:jc w:val="right"/>
              <w:rPr>
                <w:sz w:val="20"/>
                <w:szCs w:val="20"/>
              </w:rPr>
            </w:pPr>
            <w:r>
              <w:rPr>
                <w:sz w:val="20"/>
                <w:szCs w:val="20"/>
              </w:rPr>
              <w:t>углекислый газ CO</w:t>
            </w:r>
            <w:r>
              <w:rPr>
                <w:sz w:val="20"/>
                <w:szCs w:val="20"/>
                <w:vertAlign w:val="subscript"/>
              </w:rPr>
              <w:t>2</w:t>
            </w:r>
          </w:p>
        </w:tc>
        <w:tc>
          <w:tcPr>
            <w:tcW w:w="788" w:type="pct"/>
            <w:shd w:val="clear" w:color="auto" w:fill="auto"/>
            <w:noWrap/>
            <w:tcMar>
              <w:left w:w="28" w:type="dxa"/>
              <w:right w:w="28" w:type="dxa"/>
            </w:tcMar>
            <w:vAlign w:val="center"/>
          </w:tcPr>
          <w:p w14:paraId="55D851D9">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4953D6D5">
            <w:pPr>
              <w:spacing w:after="0" w:line="240" w:lineRule="auto"/>
              <w:ind w:firstLine="0"/>
              <w:jc w:val="center"/>
              <w:rPr>
                <w:sz w:val="20"/>
                <w:szCs w:val="20"/>
              </w:rPr>
            </w:pPr>
            <w:r>
              <w:rPr>
                <w:sz w:val="20"/>
                <w:szCs w:val="20"/>
              </w:rPr>
              <w:t>6,1</w:t>
            </w:r>
          </w:p>
        </w:tc>
        <w:tc>
          <w:tcPr>
            <w:tcW w:w="472" w:type="pct"/>
            <w:shd w:val="clear" w:color="auto" w:fill="auto"/>
            <w:noWrap/>
            <w:tcMar>
              <w:left w:w="28" w:type="dxa"/>
              <w:right w:w="28" w:type="dxa"/>
            </w:tcMar>
            <w:vAlign w:val="center"/>
          </w:tcPr>
          <w:p w14:paraId="5432AF04">
            <w:pPr>
              <w:spacing w:after="0" w:line="240" w:lineRule="auto"/>
              <w:ind w:firstLine="0"/>
              <w:jc w:val="center"/>
              <w:rPr>
                <w:sz w:val="20"/>
                <w:szCs w:val="20"/>
              </w:rPr>
            </w:pPr>
            <w:r>
              <w:rPr>
                <w:sz w:val="20"/>
                <w:szCs w:val="20"/>
              </w:rPr>
              <w:t>8,3</w:t>
            </w:r>
          </w:p>
        </w:tc>
        <w:tc>
          <w:tcPr>
            <w:tcW w:w="470" w:type="pct"/>
            <w:tcMar>
              <w:left w:w="28" w:type="dxa"/>
              <w:right w:w="28" w:type="dxa"/>
            </w:tcMar>
            <w:vAlign w:val="center"/>
          </w:tcPr>
          <w:p w14:paraId="60A1F65B">
            <w:pPr>
              <w:spacing w:after="0" w:line="240" w:lineRule="auto"/>
              <w:ind w:firstLine="0"/>
              <w:jc w:val="center"/>
              <w:rPr>
                <w:sz w:val="20"/>
                <w:szCs w:val="20"/>
              </w:rPr>
            </w:pPr>
            <w:r>
              <w:rPr>
                <w:sz w:val="20"/>
                <w:szCs w:val="20"/>
              </w:rPr>
              <w:t>9,2</w:t>
            </w:r>
          </w:p>
        </w:tc>
      </w:tr>
      <w:tr w14:paraId="5CE1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0FBCA16">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77DECB61">
            <w:pPr>
              <w:spacing w:after="0" w:line="240" w:lineRule="auto"/>
              <w:ind w:firstLine="0"/>
              <w:jc w:val="right"/>
              <w:rPr>
                <w:sz w:val="20"/>
                <w:szCs w:val="20"/>
              </w:rPr>
            </w:pPr>
            <w:r>
              <w:rPr>
                <w:sz w:val="20"/>
                <w:szCs w:val="20"/>
              </w:rPr>
              <w:t>кислород O</w:t>
            </w:r>
            <w:r>
              <w:rPr>
                <w:sz w:val="20"/>
                <w:szCs w:val="20"/>
                <w:vertAlign w:val="subscript"/>
              </w:rPr>
              <w:t>2</w:t>
            </w:r>
          </w:p>
        </w:tc>
        <w:tc>
          <w:tcPr>
            <w:tcW w:w="788" w:type="pct"/>
            <w:shd w:val="clear" w:color="auto" w:fill="auto"/>
            <w:noWrap/>
            <w:tcMar>
              <w:left w:w="28" w:type="dxa"/>
              <w:right w:w="28" w:type="dxa"/>
            </w:tcMar>
            <w:vAlign w:val="center"/>
          </w:tcPr>
          <w:p w14:paraId="0D024625">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7C9D9C9F">
            <w:pPr>
              <w:spacing w:after="0" w:line="240" w:lineRule="auto"/>
              <w:ind w:firstLine="0"/>
              <w:jc w:val="center"/>
              <w:rPr>
                <w:sz w:val="20"/>
                <w:szCs w:val="20"/>
              </w:rPr>
            </w:pPr>
            <w:r>
              <w:rPr>
                <w:sz w:val="20"/>
                <w:szCs w:val="20"/>
              </w:rPr>
              <w:t>10,4</w:t>
            </w:r>
          </w:p>
        </w:tc>
        <w:tc>
          <w:tcPr>
            <w:tcW w:w="472" w:type="pct"/>
            <w:shd w:val="clear" w:color="auto" w:fill="auto"/>
            <w:noWrap/>
            <w:tcMar>
              <w:left w:w="28" w:type="dxa"/>
              <w:right w:w="28" w:type="dxa"/>
            </w:tcMar>
            <w:vAlign w:val="center"/>
          </w:tcPr>
          <w:p w14:paraId="0038D0FF">
            <w:pPr>
              <w:spacing w:after="0" w:line="240" w:lineRule="auto"/>
              <w:ind w:firstLine="0"/>
              <w:jc w:val="center"/>
              <w:rPr>
                <w:sz w:val="20"/>
                <w:szCs w:val="20"/>
              </w:rPr>
            </w:pPr>
            <w:r>
              <w:rPr>
                <w:sz w:val="20"/>
                <w:szCs w:val="20"/>
              </w:rPr>
              <w:t>6,7</w:t>
            </w:r>
          </w:p>
        </w:tc>
        <w:tc>
          <w:tcPr>
            <w:tcW w:w="470" w:type="pct"/>
            <w:tcMar>
              <w:left w:w="28" w:type="dxa"/>
              <w:right w:w="28" w:type="dxa"/>
            </w:tcMar>
            <w:vAlign w:val="center"/>
          </w:tcPr>
          <w:p w14:paraId="32E36556">
            <w:pPr>
              <w:spacing w:after="0" w:line="240" w:lineRule="auto"/>
              <w:ind w:firstLine="0"/>
              <w:jc w:val="center"/>
              <w:rPr>
                <w:sz w:val="20"/>
                <w:szCs w:val="20"/>
              </w:rPr>
            </w:pPr>
            <w:r>
              <w:rPr>
                <w:sz w:val="20"/>
                <w:szCs w:val="20"/>
              </w:rPr>
              <w:t>5,1</w:t>
            </w:r>
          </w:p>
        </w:tc>
      </w:tr>
      <w:tr w14:paraId="2E12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81791E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67C0DA09">
            <w:pPr>
              <w:spacing w:after="0" w:line="240" w:lineRule="auto"/>
              <w:ind w:firstLine="0"/>
              <w:jc w:val="right"/>
              <w:rPr>
                <w:sz w:val="20"/>
                <w:szCs w:val="20"/>
              </w:rPr>
            </w:pPr>
            <w:r>
              <w:rPr>
                <w:sz w:val="20"/>
                <w:szCs w:val="20"/>
              </w:rPr>
              <w:t>окись углерода CO</w:t>
            </w:r>
          </w:p>
        </w:tc>
        <w:tc>
          <w:tcPr>
            <w:tcW w:w="788" w:type="pct"/>
            <w:shd w:val="clear" w:color="auto" w:fill="auto"/>
            <w:noWrap/>
            <w:tcMar>
              <w:left w:w="28" w:type="dxa"/>
              <w:right w:w="28" w:type="dxa"/>
            </w:tcMar>
            <w:vAlign w:val="center"/>
          </w:tcPr>
          <w:p w14:paraId="62C7CB77">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6CD05989">
            <w:pPr>
              <w:spacing w:after="0" w:line="240" w:lineRule="auto"/>
              <w:ind w:firstLine="0"/>
              <w:jc w:val="center"/>
              <w:rPr>
                <w:sz w:val="20"/>
                <w:szCs w:val="20"/>
              </w:rPr>
            </w:pPr>
            <w:r>
              <w:rPr>
                <w:sz w:val="20"/>
                <w:szCs w:val="20"/>
              </w:rPr>
              <w:t>0</w:t>
            </w:r>
          </w:p>
        </w:tc>
        <w:tc>
          <w:tcPr>
            <w:tcW w:w="472" w:type="pct"/>
            <w:shd w:val="clear" w:color="auto" w:fill="auto"/>
            <w:noWrap/>
            <w:tcMar>
              <w:left w:w="28" w:type="dxa"/>
              <w:right w:w="28" w:type="dxa"/>
            </w:tcMar>
            <w:vAlign w:val="center"/>
          </w:tcPr>
          <w:p w14:paraId="77049FC3">
            <w:pPr>
              <w:spacing w:after="0" w:line="240" w:lineRule="auto"/>
              <w:ind w:firstLine="0"/>
              <w:jc w:val="center"/>
              <w:rPr>
                <w:sz w:val="20"/>
                <w:szCs w:val="20"/>
              </w:rPr>
            </w:pPr>
            <w:r>
              <w:rPr>
                <w:sz w:val="20"/>
                <w:szCs w:val="20"/>
              </w:rPr>
              <w:t>0</w:t>
            </w:r>
          </w:p>
        </w:tc>
        <w:tc>
          <w:tcPr>
            <w:tcW w:w="470" w:type="pct"/>
            <w:tcMar>
              <w:left w:w="28" w:type="dxa"/>
              <w:right w:w="28" w:type="dxa"/>
            </w:tcMar>
            <w:vAlign w:val="center"/>
          </w:tcPr>
          <w:p w14:paraId="23989033">
            <w:pPr>
              <w:spacing w:after="0" w:line="240" w:lineRule="auto"/>
              <w:ind w:firstLine="0"/>
              <w:jc w:val="center"/>
              <w:rPr>
                <w:sz w:val="20"/>
                <w:szCs w:val="20"/>
              </w:rPr>
            </w:pPr>
            <w:r>
              <w:rPr>
                <w:sz w:val="20"/>
                <w:szCs w:val="20"/>
              </w:rPr>
              <w:t>0</w:t>
            </w:r>
          </w:p>
        </w:tc>
      </w:tr>
      <w:tr w14:paraId="0117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57E8B3D">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6282A737">
            <w:pPr>
              <w:spacing w:after="0" w:line="240" w:lineRule="auto"/>
              <w:ind w:firstLine="0"/>
              <w:jc w:val="right"/>
              <w:rPr>
                <w:sz w:val="20"/>
                <w:szCs w:val="20"/>
              </w:rPr>
            </w:pPr>
            <w:r>
              <w:rPr>
                <w:sz w:val="20"/>
                <w:szCs w:val="20"/>
              </w:rPr>
              <w:t xml:space="preserve">двуокись серы </w:t>
            </w:r>
            <w:r>
              <w:rPr>
                <w:sz w:val="20"/>
                <w:szCs w:val="20"/>
                <w:lang w:val="en-US"/>
              </w:rPr>
              <w:t>S</w:t>
            </w:r>
            <w:r>
              <w:rPr>
                <w:sz w:val="20"/>
                <w:szCs w:val="20"/>
              </w:rPr>
              <w:t>O</w:t>
            </w:r>
            <w:r>
              <w:rPr>
                <w:sz w:val="20"/>
                <w:szCs w:val="20"/>
                <w:vertAlign w:val="subscript"/>
              </w:rPr>
              <w:t>2</w:t>
            </w:r>
          </w:p>
        </w:tc>
        <w:tc>
          <w:tcPr>
            <w:tcW w:w="788" w:type="pct"/>
            <w:shd w:val="clear" w:color="auto" w:fill="auto"/>
            <w:noWrap/>
            <w:tcMar>
              <w:left w:w="28" w:type="dxa"/>
              <w:right w:w="28" w:type="dxa"/>
            </w:tcMar>
            <w:vAlign w:val="center"/>
          </w:tcPr>
          <w:p w14:paraId="71974053">
            <w:pPr>
              <w:spacing w:after="0" w:line="240" w:lineRule="auto"/>
              <w:ind w:firstLine="0"/>
              <w:jc w:val="center"/>
              <w:rPr>
                <w:sz w:val="20"/>
                <w:szCs w:val="20"/>
              </w:rPr>
            </w:pPr>
            <w:r>
              <w:rPr>
                <w:sz w:val="20"/>
                <w:szCs w:val="20"/>
              </w:rPr>
              <w:t>мг/м</w:t>
            </w:r>
            <w:r>
              <w:rPr>
                <w:sz w:val="20"/>
                <w:szCs w:val="20"/>
                <w:vertAlign w:val="superscript"/>
              </w:rPr>
              <w:t>3</w:t>
            </w:r>
          </w:p>
        </w:tc>
        <w:tc>
          <w:tcPr>
            <w:tcW w:w="595" w:type="pct"/>
            <w:shd w:val="clear" w:color="auto" w:fill="auto"/>
            <w:noWrap/>
            <w:tcMar>
              <w:left w:w="28" w:type="dxa"/>
              <w:right w:w="28" w:type="dxa"/>
            </w:tcMar>
            <w:vAlign w:val="center"/>
          </w:tcPr>
          <w:p w14:paraId="0DFF679F">
            <w:pPr>
              <w:spacing w:after="0" w:line="240" w:lineRule="auto"/>
              <w:ind w:firstLine="0"/>
              <w:jc w:val="center"/>
              <w:rPr>
                <w:sz w:val="20"/>
                <w:szCs w:val="20"/>
              </w:rPr>
            </w:pPr>
            <w:r>
              <w:rPr>
                <w:sz w:val="20"/>
                <w:szCs w:val="20"/>
              </w:rPr>
              <w:t>0</w:t>
            </w:r>
          </w:p>
        </w:tc>
        <w:tc>
          <w:tcPr>
            <w:tcW w:w="472" w:type="pct"/>
            <w:shd w:val="clear" w:color="auto" w:fill="auto"/>
            <w:noWrap/>
            <w:tcMar>
              <w:left w:w="28" w:type="dxa"/>
              <w:right w:w="28" w:type="dxa"/>
            </w:tcMar>
            <w:vAlign w:val="center"/>
          </w:tcPr>
          <w:p w14:paraId="319536BF">
            <w:pPr>
              <w:spacing w:after="0" w:line="240" w:lineRule="auto"/>
              <w:ind w:firstLine="0"/>
              <w:jc w:val="center"/>
              <w:rPr>
                <w:sz w:val="20"/>
                <w:szCs w:val="20"/>
              </w:rPr>
            </w:pPr>
            <w:r>
              <w:rPr>
                <w:sz w:val="20"/>
                <w:szCs w:val="20"/>
              </w:rPr>
              <w:t>0</w:t>
            </w:r>
          </w:p>
        </w:tc>
        <w:tc>
          <w:tcPr>
            <w:tcW w:w="470" w:type="pct"/>
            <w:tcMar>
              <w:left w:w="28" w:type="dxa"/>
              <w:right w:w="28" w:type="dxa"/>
            </w:tcMar>
            <w:vAlign w:val="center"/>
          </w:tcPr>
          <w:p w14:paraId="4BBE19D6">
            <w:pPr>
              <w:spacing w:after="0" w:line="240" w:lineRule="auto"/>
              <w:ind w:firstLine="0"/>
              <w:jc w:val="center"/>
              <w:rPr>
                <w:sz w:val="20"/>
                <w:szCs w:val="20"/>
              </w:rPr>
            </w:pPr>
            <w:r>
              <w:rPr>
                <w:sz w:val="20"/>
                <w:szCs w:val="20"/>
              </w:rPr>
              <w:t>0</w:t>
            </w:r>
          </w:p>
        </w:tc>
      </w:tr>
      <w:tr w14:paraId="14D3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D801F1D">
            <w:pPr>
              <w:spacing w:after="0" w:line="240" w:lineRule="auto"/>
              <w:ind w:firstLine="0"/>
              <w:jc w:val="center"/>
              <w:rPr>
                <w:sz w:val="20"/>
                <w:szCs w:val="20"/>
              </w:rPr>
            </w:pPr>
            <w:r>
              <w:rPr>
                <w:sz w:val="20"/>
                <w:szCs w:val="20"/>
              </w:rPr>
              <w:t>13</w:t>
            </w:r>
          </w:p>
        </w:tc>
        <w:tc>
          <w:tcPr>
            <w:tcW w:w="2343" w:type="pct"/>
            <w:shd w:val="clear" w:color="auto" w:fill="auto"/>
            <w:tcMar>
              <w:left w:w="28" w:type="dxa"/>
              <w:right w:w="28" w:type="dxa"/>
            </w:tcMar>
            <w:vAlign w:val="center"/>
          </w:tcPr>
          <w:p w14:paraId="7A0A64B0">
            <w:pPr>
              <w:spacing w:after="0" w:line="240" w:lineRule="auto"/>
              <w:ind w:firstLine="0"/>
              <w:rPr>
                <w:sz w:val="20"/>
                <w:szCs w:val="20"/>
              </w:rPr>
            </w:pPr>
            <w:r>
              <w:rPr>
                <w:sz w:val="20"/>
                <w:szCs w:val="20"/>
              </w:rPr>
              <w:t>Коэфф. избытка воздуха</w:t>
            </w:r>
          </w:p>
        </w:tc>
        <w:tc>
          <w:tcPr>
            <w:tcW w:w="788" w:type="pct"/>
            <w:shd w:val="clear" w:color="auto" w:fill="auto"/>
            <w:noWrap/>
            <w:tcMar>
              <w:left w:w="28" w:type="dxa"/>
              <w:right w:w="28" w:type="dxa"/>
            </w:tcMar>
            <w:vAlign w:val="center"/>
          </w:tcPr>
          <w:p w14:paraId="3D26F049">
            <w:pPr>
              <w:spacing w:after="0" w:line="240" w:lineRule="auto"/>
              <w:ind w:firstLine="0"/>
              <w:jc w:val="center"/>
              <w:rPr>
                <w:sz w:val="20"/>
                <w:szCs w:val="20"/>
              </w:rPr>
            </w:pPr>
          </w:p>
        </w:tc>
        <w:tc>
          <w:tcPr>
            <w:tcW w:w="595" w:type="pct"/>
            <w:shd w:val="clear" w:color="auto" w:fill="auto"/>
            <w:noWrap/>
            <w:tcMar>
              <w:left w:w="28" w:type="dxa"/>
              <w:right w:w="28" w:type="dxa"/>
            </w:tcMar>
            <w:vAlign w:val="center"/>
          </w:tcPr>
          <w:p w14:paraId="670AB6C4">
            <w:pPr>
              <w:spacing w:after="0" w:line="240" w:lineRule="auto"/>
              <w:ind w:firstLine="0"/>
              <w:jc w:val="center"/>
              <w:rPr>
                <w:sz w:val="20"/>
                <w:szCs w:val="20"/>
                <w:lang w:val="en-US"/>
              </w:rPr>
            </w:pPr>
            <w:r>
              <w:rPr>
                <w:sz w:val="20"/>
                <w:szCs w:val="20"/>
                <w:lang w:val="en-US"/>
              </w:rPr>
              <w:t>1</w:t>
            </w:r>
            <w:r>
              <w:rPr>
                <w:sz w:val="20"/>
                <w:szCs w:val="20"/>
              </w:rPr>
              <w:t>,</w:t>
            </w:r>
            <w:r>
              <w:rPr>
                <w:sz w:val="20"/>
                <w:szCs w:val="20"/>
                <w:lang w:val="en-US"/>
              </w:rPr>
              <w:t>88</w:t>
            </w:r>
          </w:p>
        </w:tc>
        <w:tc>
          <w:tcPr>
            <w:tcW w:w="472" w:type="pct"/>
            <w:shd w:val="clear" w:color="auto" w:fill="auto"/>
            <w:noWrap/>
            <w:tcMar>
              <w:left w:w="28" w:type="dxa"/>
              <w:right w:w="28" w:type="dxa"/>
            </w:tcMar>
            <w:vAlign w:val="center"/>
          </w:tcPr>
          <w:p w14:paraId="775EA803">
            <w:pPr>
              <w:spacing w:after="0" w:line="240" w:lineRule="auto"/>
              <w:ind w:firstLine="0"/>
              <w:jc w:val="center"/>
              <w:rPr>
                <w:sz w:val="20"/>
                <w:szCs w:val="20"/>
                <w:lang w:val="en-US"/>
              </w:rPr>
            </w:pPr>
            <w:r>
              <w:rPr>
                <w:sz w:val="20"/>
                <w:szCs w:val="20"/>
                <w:lang w:val="en-US"/>
              </w:rPr>
              <w:t>1</w:t>
            </w:r>
            <w:r>
              <w:rPr>
                <w:sz w:val="20"/>
                <w:szCs w:val="20"/>
              </w:rPr>
              <w:t>,</w:t>
            </w:r>
            <w:r>
              <w:rPr>
                <w:sz w:val="20"/>
                <w:szCs w:val="20"/>
                <w:lang w:val="en-US"/>
              </w:rPr>
              <w:t>42</w:t>
            </w:r>
          </w:p>
        </w:tc>
        <w:tc>
          <w:tcPr>
            <w:tcW w:w="470" w:type="pct"/>
            <w:tcMar>
              <w:left w:w="28" w:type="dxa"/>
              <w:right w:w="28" w:type="dxa"/>
            </w:tcMar>
            <w:vAlign w:val="center"/>
          </w:tcPr>
          <w:p w14:paraId="7D46F1E9">
            <w:pPr>
              <w:spacing w:after="0" w:line="240" w:lineRule="auto"/>
              <w:ind w:firstLine="0"/>
              <w:jc w:val="center"/>
              <w:rPr>
                <w:sz w:val="20"/>
                <w:szCs w:val="20"/>
              </w:rPr>
            </w:pPr>
            <w:r>
              <w:rPr>
                <w:sz w:val="20"/>
                <w:szCs w:val="20"/>
              </w:rPr>
              <w:t>1,29</w:t>
            </w:r>
          </w:p>
        </w:tc>
      </w:tr>
      <w:tr w14:paraId="75D1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1A74B6E">
            <w:pPr>
              <w:spacing w:after="0" w:line="240" w:lineRule="auto"/>
              <w:ind w:firstLine="0"/>
              <w:jc w:val="center"/>
              <w:rPr>
                <w:sz w:val="20"/>
                <w:szCs w:val="20"/>
              </w:rPr>
            </w:pPr>
            <w:r>
              <w:rPr>
                <w:sz w:val="20"/>
                <w:szCs w:val="20"/>
              </w:rPr>
              <w:t>14</w:t>
            </w:r>
          </w:p>
        </w:tc>
        <w:tc>
          <w:tcPr>
            <w:tcW w:w="2343" w:type="pct"/>
            <w:shd w:val="clear" w:color="auto" w:fill="auto"/>
            <w:tcMar>
              <w:left w:w="28" w:type="dxa"/>
              <w:right w:w="28" w:type="dxa"/>
            </w:tcMar>
            <w:vAlign w:val="center"/>
          </w:tcPr>
          <w:p w14:paraId="7050C07A">
            <w:pPr>
              <w:spacing w:after="0" w:line="240" w:lineRule="auto"/>
              <w:ind w:firstLine="0"/>
              <w:rPr>
                <w:sz w:val="20"/>
                <w:szCs w:val="20"/>
              </w:rPr>
            </w:pPr>
            <w:r>
              <w:rPr>
                <w:sz w:val="20"/>
                <w:szCs w:val="20"/>
              </w:rPr>
              <w:t>Потери тепла:</w:t>
            </w:r>
          </w:p>
        </w:tc>
        <w:tc>
          <w:tcPr>
            <w:tcW w:w="788" w:type="pct"/>
            <w:shd w:val="clear" w:color="auto" w:fill="auto"/>
            <w:noWrap/>
            <w:tcMar>
              <w:left w:w="28" w:type="dxa"/>
              <w:right w:w="28" w:type="dxa"/>
            </w:tcMar>
            <w:vAlign w:val="center"/>
          </w:tcPr>
          <w:p w14:paraId="1A9A285E">
            <w:pPr>
              <w:spacing w:after="0" w:line="240" w:lineRule="auto"/>
              <w:ind w:firstLine="0"/>
              <w:jc w:val="center"/>
              <w:rPr>
                <w:sz w:val="20"/>
                <w:szCs w:val="20"/>
              </w:rPr>
            </w:pPr>
          </w:p>
        </w:tc>
        <w:tc>
          <w:tcPr>
            <w:tcW w:w="595" w:type="pct"/>
            <w:shd w:val="clear" w:color="auto" w:fill="auto"/>
            <w:noWrap/>
            <w:tcMar>
              <w:left w:w="28" w:type="dxa"/>
              <w:right w:w="28" w:type="dxa"/>
            </w:tcMar>
            <w:vAlign w:val="center"/>
          </w:tcPr>
          <w:p w14:paraId="1D775355">
            <w:pPr>
              <w:spacing w:after="0" w:line="240" w:lineRule="auto"/>
              <w:ind w:firstLine="0"/>
              <w:jc w:val="center"/>
              <w:rPr>
                <w:sz w:val="20"/>
                <w:szCs w:val="20"/>
              </w:rPr>
            </w:pPr>
          </w:p>
        </w:tc>
        <w:tc>
          <w:tcPr>
            <w:tcW w:w="472" w:type="pct"/>
            <w:shd w:val="clear" w:color="auto" w:fill="auto"/>
            <w:noWrap/>
            <w:tcMar>
              <w:left w:w="28" w:type="dxa"/>
              <w:right w:w="28" w:type="dxa"/>
            </w:tcMar>
            <w:vAlign w:val="center"/>
          </w:tcPr>
          <w:p w14:paraId="534106ED">
            <w:pPr>
              <w:spacing w:after="0" w:line="240" w:lineRule="auto"/>
              <w:ind w:firstLine="0"/>
              <w:jc w:val="center"/>
              <w:rPr>
                <w:sz w:val="20"/>
                <w:szCs w:val="20"/>
              </w:rPr>
            </w:pPr>
          </w:p>
        </w:tc>
        <w:tc>
          <w:tcPr>
            <w:tcW w:w="470" w:type="pct"/>
            <w:tcMar>
              <w:left w:w="28" w:type="dxa"/>
              <w:right w:w="28" w:type="dxa"/>
            </w:tcMar>
            <w:vAlign w:val="center"/>
          </w:tcPr>
          <w:p w14:paraId="52F09D8D">
            <w:pPr>
              <w:spacing w:after="0" w:line="240" w:lineRule="auto"/>
              <w:ind w:firstLine="0"/>
              <w:jc w:val="center"/>
              <w:rPr>
                <w:sz w:val="20"/>
                <w:szCs w:val="20"/>
              </w:rPr>
            </w:pPr>
          </w:p>
        </w:tc>
      </w:tr>
      <w:tr w14:paraId="1DD8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0E9319E">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33CC1250">
            <w:pPr>
              <w:spacing w:after="0" w:line="240" w:lineRule="auto"/>
              <w:ind w:firstLine="0"/>
              <w:jc w:val="right"/>
              <w:rPr>
                <w:sz w:val="20"/>
                <w:szCs w:val="20"/>
              </w:rPr>
            </w:pPr>
            <w:r>
              <w:rPr>
                <w:sz w:val="20"/>
                <w:szCs w:val="20"/>
              </w:rPr>
              <w:t>с уходящими газами</w:t>
            </w:r>
          </w:p>
        </w:tc>
        <w:tc>
          <w:tcPr>
            <w:tcW w:w="788" w:type="pct"/>
            <w:shd w:val="clear" w:color="auto" w:fill="auto"/>
            <w:noWrap/>
            <w:tcMar>
              <w:left w:w="28" w:type="dxa"/>
              <w:right w:w="28" w:type="dxa"/>
            </w:tcMar>
            <w:vAlign w:val="center"/>
          </w:tcPr>
          <w:p w14:paraId="00E1B1BF">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5198722A">
            <w:pPr>
              <w:spacing w:after="0" w:line="240" w:lineRule="auto"/>
              <w:ind w:firstLine="0"/>
              <w:jc w:val="center"/>
              <w:rPr>
                <w:sz w:val="20"/>
                <w:szCs w:val="20"/>
              </w:rPr>
            </w:pPr>
            <w:r>
              <w:rPr>
                <w:sz w:val="20"/>
                <w:szCs w:val="20"/>
                <w:lang w:val="en-US"/>
              </w:rPr>
              <w:t>1</w:t>
            </w:r>
            <w:r>
              <w:rPr>
                <w:sz w:val="20"/>
                <w:szCs w:val="20"/>
              </w:rPr>
              <w:t>2</w:t>
            </w:r>
            <w:r>
              <w:rPr>
                <w:sz w:val="20"/>
                <w:szCs w:val="20"/>
                <w:lang w:val="en-US"/>
              </w:rPr>
              <w:t>,92</w:t>
            </w:r>
          </w:p>
        </w:tc>
        <w:tc>
          <w:tcPr>
            <w:tcW w:w="472" w:type="pct"/>
            <w:shd w:val="clear" w:color="auto" w:fill="auto"/>
            <w:noWrap/>
            <w:tcMar>
              <w:left w:w="28" w:type="dxa"/>
              <w:right w:w="28" w:type="dxa"/>
            </w:tcMar>
            <w:vAlign w:val="center"/>
          </w:tcPr>
          <w:p w14:paraId="1FB7973F">
            <w:pPr>
              <w:spacing w:after="0" w:line="240" w:lineRule="auto"/>
              <w:ind w:firstLine="0"/>
              <w:jc w:val="center"/>
              <w:rPr>
                <w:sz w:val="20"/>
                <w:szCs w:val="20"/>
              </w:rPr>
            </w:pPr>
            <w:r>
              <w:rPr>
                <w:sz w:val="20"/>
                <w:szCs w:val="20"/>
              </w:rPr>
              <w:t>11,93</w:t>
            </w:r>
          </w:p>
        </w:tc>
        <w:tc>
          <w:tcPr>
            <w:tcW w:w="470" w:type="pct"/>
            <w:tcMar>
              <w:left w:w="28" w:type="dxa"/>
              <w:right w:w="28" w:type="dxa"/>
            </w:tcMar>
            <w:vAlign w:val="center"/>
          </w:tcPr>
          <w:p w14:paraId="7BE60588">
            <w:pPr>
              <w:spacing w:after="0" w:line="240" w:lineRule="auto"/>
              <w:ind w:firstLine="0"/>
              <w:jc w:val="center"/>
              <w:rPr>
                <w:sz w:val="20"/>
                <w:szCs w:val="20"/>
              </w:rPr>
            </w:pPr>
            <w:r>
              <w:rPr>
                <w:sz w:val="20"/>
                <w:szCs w:val="20"/>
              </w:rPr>
              <w:t>12,33</w:t>
            </w:r>
          </w:p>
        </w:tc>
      </w:tr>
      <w:tr w14:paraId="656C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FD7431C">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56199F1B">
            <w:pPr>
              <w:spacing w:after="0" w:line="240" w:lineRule="auto"/>
              <w:ind w:firstLine="0"/>
              <w:jc w:val="right"/>
              <w:rPr>
                <w:sz w:val="20"/>
                <w:szCs w:val="20"/>
              </w:rPr>
            </w:pPr>
            <w:r>
              <w:rPr>
                <w:sz w:val="20"/>
                <w:szCs w:val="20"/>
              </w:rPr>
              <w:t>от химнедожога</w:t>
            </w:r>
          </w:p>
        </w:tc>
        <w:tc>
          <w:tcPr>
            <w:tcW w:w="788" w:type="pct"/>
            <w:shd w:val="clear" w:color="auto" w:fill="auto"/>
            <w:noWrap/>
            <w:tcMar>
              <w:left w:w="28" w:type="dxa"/>
              <w:right w:w="28" w:type="dxa"/>
            </w:tcMar>
            <w:vAlign w:val="center"/>
          </w:tcPr>
          <w:p w14:paraId="05E64B2F">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026334FA">
            <w:pPr>
              <w:spacing w:after="0" w:line="240" w:lineRule="auto"/>
              <w:ind w:firstLine="0"/>
              <w:jc w:val="center"/>
              <w:rPr>
                <w:sz w:val="20"/>
                <w:szCs w:val="20"/>
              </w:rPr>
            </w:pPr>
            <w:r>
              <w:rPr>
                <w:sz w:val="20"/>
                <w:szCs w:val="20"/>
              </w:rPr>
              <w:t>0</w:t>
            </w:r>
          </w:p>
        </w:tc>
        <w:tc>
          <w:tcPr>
            <w:tcW w:w="472" w:type="pct"/>
            <w:shd w:val="clear" w:color="auto" w:fill="auto"/>
            <w:noWrap/>
            <w:tcMar>
              <w:left w:w="28" w:type="dxa"/>
              <w:right w:w="28" w:type="dxa"/>
            </w:tcMar>
            <w:vAlign w:val="center"/>
          </w:tcPr>
          <w:p w14:paraId="0A750EE2">
            <w:pPr>
              <w:spacing w:after="0" w:line="240" w:lineRule="auto"/>
              <w:ind w:firstLine="0"/>
              <w:jc w:val="center"/>
              <w:rPr>
                <w:sz w:val="20"/>
                <w:szCs w:val="20"/>
              </w:rPr>
            </w:pPr>
            <w:r>
              <w:rPr>
                <w:sz w:val="20"/>
                <w:szCs w:val="20"/>
              </w:rPr>
              <w:t>0</w:t>
            </w:r>
          </w:p>
        </w:tc>
        <w:tc>
          <w:tcPr>
            <w:tcW w:w="470" w:type="pct"/>
            <w:tcMar>
              <w:left w:w="28" w:type="dxa"/>
              <w:right w:w="28" w:type="dxa"/>
            </w:tcMar>
            <w:vAlign w:val="center"/>
          </w:tcPr>
          <w:p w14:paraId="364C0E0D">
            <w:pPr>
              <w:spacing w:after="0" w:line="240" w:lineRule="auto"/>
              <w:ind w:firstLine="0"/>
              <w:jc w:val="center"/>
              <w:rPr>
                <w:sz w:val="20"/>
                <w:szCs w:val="20"/>
              </w:rPr>
            </w:pPr>
            <w:r>
              <w:rPr>
                <w:sz w:val="20"/>
                <w:szCs w:val="20"/>
              </w:rPr>
              <w:t>0</w:t>
            </w:r>
          </w:p>
        </w:tc>
      </w:tr>
      <w:tr w14:paraId="1430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8052B6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464CC3A4">
            <w:pPr>
              <w:spacing w:after="0" w:line="240" w:lineRule="auto"/>
              <w:ind w:firstLine="0"/>
              <w:jc w:val="right"/>
              <w:rPr>
                <w:sz w:val="20"/>
                <w:szCs w:val="20"/>
              </w:rPr>
            </w:pPr>
            <w:r>
              <w:rPr>
                <w:sz w:val="20"/>
                <w:szCs w:val="20"/>
              </w:rPr>
              <w:t>в окр. среду</w:t>
            </w:r>
          </w:p>
        </w:tc>
        <w:tc>
          <w:tcPr>
            <w:tcW w:w="788" w:type="pct"/>
            <w:shd w:val="clear" w:color="auto" w:fill="auto"/>
            <w:noWrap/>
            <w:tcMar>
              <w:left w:w="28" w:type="dxa"/>
              <w:right w:w="28" w:type="dxa"/>
            </w:tcMar>
            <w:vAlign w:val="center"/>
          </w:tcPr>
          <w:p w14:paraId="6D0DB874">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1CAC80B7">
            <w:pPr>
              <w:spacing w:after="0" w:line="240" w:lineRule="auto"/>
              <w:ind w:firstLine="0"/>
              <w:jc w:val="center"/>
              <w:rPr>
                <w:sz w:val="20"/>
                <w:szCs w:val="20"/>
              </w:rPr>
            </w:pPr>
            <w:r>
              <w:rPr>
                <w:sz w:val="20"/>
                <w:szCs w:val="20"/>
              </w:rPr>
              <w:t>12,59</w:t>
            </w:r>
          </w:p>
        </w:tc>
        <w:tc>
          <w:tcPr>
            <w:tcW w:w="472" w:type="pct"/>
            <w:shd w:val="clear" w:color="auto" w:fill="auto"/>
            <w:noWrap/>
            <w:tcMar>
              <w:left w:w="28" w:type="dxa"/>
              <w:right w:w="28" w:type="dxa"/>
            </w:tcMar>
            <w:vAlign w:val="center"/>
          </w:tcPr>
          <w:p w14:paraId="6654E489">
            <w:pPr>
              <w:spacing w:after="0" w:line="240" w:lineRule="auto"/>
              <w:ind w:firstLine="0"/>
              <w:jc w:val="center"/>
              <w:rPr>
                <w:sz w:val="20"/>
                <w:szCs w:val="20"/>
              </w:rPr>
            </w:pPr>
            <w:r>
              <w:rPr>
                <w:sz w:val="20"/>
                <w:szCs w:val="20"/>
              </w:rPr>
              <w:t>7,55</w:t>
            </w:r>
          </w:p>
        </w:tc>
        <w:tc>
          <w:tcPr>
            <w:tcW w:w="470" w:type="pct"/>
            <w:tcMar>
              <w:left w:w="28" w:type="dxa"/>
              <w:right w:w="28" w:type="dxa"/>
            </w:tcMar>
            <w:vAlign w:val="center"/>
          </w:tcPr>
          <w:p w14:paraId="2215B17E">
            <w:pPr>
              <w:spacing w:after="0" w:line="240" w:lineRule="auto"/>
              <w:ind w:firstLine="0"/>
              <w:jc w:val="center"/>
              <w:rPr>
                <w:sz w:val="20"/>
                <w:szCs w:val="20"/>
              </w:rPr>
            </w:pPr>
            <w:r>
              <w:rPr>
                <w:sz w:val="20"/>
                <w:szCs w:val="20"/>
              </w:rPr>
              <w:t>6,14</w:t>
            </w:r>
          </w:p>
        </w:tc>
      </w:tr>
      <w:tr w14:paraId="74B0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41E9642">
            <w:pPr>
              <w:spacing w:after="0" w:line="240" w:lineRule="auto"/>
              <w:ind w:firstLine="0"/>
              <w:jc w:val="center"/>
              <w:rPr>
                <w:sz w:val="20"/>
                <w:szCs w:val="20"/>
              </w:rPr>
            </w:pPr>
            <w:r>
              <w:rPr>
                <w:sz w:val="20"/>
                <w:szCs w:val="20"/>
              </w:rPr>
              <w:t>15</w:t>
            </w:r>
          </w:p>
        </w:tc>
        <w:tc>
          <w:tcPr>
            <w:tcW w:w="2343" w:type="pct"/>
            <w:shd w:val="clear" w:color="auto" w:fill="auto"/>
            <w:tcMar>
              <w:left w:w="28" w:type="dxa"/>
              <w:right w:w="28" w:type="dxa"/>
            </w:tcMar>
            <w:vAlign w:val="center"/>
          </w:tcPr>
          <w:p w14:paraId="2202550D">
            <w:pPr>
              <w:spacing w:after="0" w:line="240" w:lineRule="auto"/>
              <w:ind w:firstLine="0"/>
              <w:rPr>
                <w:sz w:val="20"/>
                <w:szCs w:val="20"/>
              </w:rPr>
            </w:pPr>
            <w:r>
              <w:rPr>
                <w:sz w:val="20"/>
                <w:szCs w:val="20"/>
              </w:rPr>
              <w:t>Коэфф. полезного действия котла (брутто)</w:t>
            </w:r>
          </w:p>
        </w:tc>
        <w:tc>
          <w:tcPr>
            <w:tcW w:w="788" w:type="pct"/>
            <w:shd w:val="clear" w:color="auto" w:fill="auto"/>
            <w:noWrap/>
            <w:tcMar>
              <w:left w:w="28" w:type="dxa"/>
              <w:right w:w="28" w:type="dxa"/>
            </w:tcMar>
            <w:vAlign w:val="center"/>
          </w:tcPr>
          <w:p w14:paraId="7D7EEE56">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1FF02BBC">
            <w:pPr>
              <w:spacing w:after="0" w:line="240" w:lineRule="auto"/>
              <w:ind w:firstLine="0"/>
              <w:jc w:val="center"/>
              <w:rPr>
                <w:sz w:val="20"/>
                <w:szCs w:val="20"/>
              </w:rPr>
            </w:pPr>
            <w:r>
              <w:rPr>
                <w:sz w:val="20"/>
                <w:szCs w:val="20"/>
              </w:rPr>
              <w:t>74,49</w:t>
            </w:r>
          </w:p>
        </w:tc>
        <w:tc>
          <w:tcPr>
            <w:tcW w:w="472" w:type="pct"/>
            <w:shd w:val="clear" w:color="auto" w:fill="auto"/>
            <w:noWrap/>
            <w:tcMar>
              <w:left w:w="28" w:type="dxa"/>
              <w:right w:w="28" w:type="dxa"/>
            </w:tcMar>
            <w:vAlign w:val="center"/>
          </w:tcPr>
          <w:p w14:paraId="1F243BED">
            <w:pPr>
              <w:spacing w:after="0" w:line="240" w:lineRule="auto"/>
              <w:ind w:firstLine="0"/>
              <w:jc w:val="center"/>
              <w:rPr>
                <w:sz w:val="20"/>
                <w:szCs w:val="20"/>
              </w:rPr>
            </w:pPr>
            <w:r>
              <w:rPr>
                <w:sz w:val="20"/>
                <w:szCs w:val="20"/>
              </w:rPr>
              <w:t>80,51</w:t>
            </w:r>
          </w:p>
        </w:tc>
        <w:tc>
          <w:tcPr>
            <w:tcW w:w="470" w:type="pct"/>
            <w:tcMar>
              <w:left w:w="28" w:type="dxa"/>
              <w:right w:w="28" w:type="dxa"/>
            </w:tcMar>
            <w:vAlign w:val="center"/>
          </w:tcPr>
          <w:p w14:paraId="31ACA9FE">
            <w:pPr>
              <w:spacing w:after="0" w:line="240" w:lineRule="auto"/>
              <w:ind w:firstLine="0"/>
              <w:jc w:val="center"/>
              <w:rPr>
                <w:sz w:val="20"/>
                <w:szCs w:val="20"/>
              </w:rPr>
            </w:pPr>
            <w:r>
              <w:rPr>
                <w:sz w:val="20"/>
                <w:szCs w:val="20"/>
              </w:rPr>
              <w:t>81,54</w:t>
            </w:r>
          </w:p>
        </w:tc>
      </w:tr>
      <w:tr w14:paraId="6424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9B07ACD">
            <w:pPr>
              <w:spacing w:after="0" w:line="240" w:lineRule="auto"/>
              <w:ind w:firstLine="0"/>
              <w:jc w:val="center"/>
              <w:rPr>
                <w:sz w:val="20"/>
                <w:szCs w:val="20"/>
              </w:rPr>
            </w:pPr>
            <w:r>
              <w:rPr>
                <w:sz w:val="20"/>
                <w:szCs w:val="20"/>
              </w:rPr>
              <w:t>16</w:t>
            </w:r>
          </w:p>
        </w:tc>
        <w:tc>
          <w:tcPr>
            <w:tcW w:w="2343" w:type="pct"/>
            <w:shd w:val="clear" w:color="auto" w:fill="auto"/>
            <w:tcMar>
              <w:left w:w="28" w:type="dxa"/>
              <w:right w:w="28" w:type="dxa"/>
            </w:tcMar>
            <w:vAlign w:val="center"/>
          </w:tcPr>
          <w:p w14:paraId="70D8B95A">
            <w:pPr>
              <w:spacing w:after="0" w:line="240" w:lineRule="auto"/>
              <w:ind w:firstLine="0"/>
              <w:rPr>
                <w:sz w:val="20"/>
                <w:szCs w:val="20"/>
              </w:rPr>
            </w:pPr>
            <w:r>
              <w:rPr>
                <w:sz w:val="20"/>
                <w:szCs w:val="20"/>
              </w:rPr>
              <w:t>Удельный расход условного топлива на выработку 1 Гкал</w:t>
            </w:r>
          </w:p>
        </w:tc>
        <w:tc>
          <w:tcPr>
            <w:tcW w:w="788" w:type="pct"/>
            <w:shd w:val="clear" w:color="auto" w:fill="auto"/>
            <w:noWrap/>
            <w:tcMar>
              <w:left w:w="28" w:type="dxa"/>
              <w:right w:w="28" w:type="dxa"/>
            </w:tcMar>
            <w:vAlign w:val="center"/>
          </w:tcPr>
          <w:p w14:paraId="23C6E153">
            <w:pPr>
              <w:spacing w:after="0" w:line="240" w:lineRule="auto"/>
              <w:ind w:firstLine="0"/>
              <w:jc w:val="center"/>
              <w:rPr>
                <w:sz w:val="20"/>
                <w:szCs w:val="20"/>
              </w:rPr>
            </w:pPr>
            <w:r>
              <w:rPr>
                <w:sz w:val="20"/>
                <w:szCs w:val="20"/>
              </w:rPr>
              <w:t>кг.у.т/Гкал</w:t>
            </w:r>
          </w:p>
        </w:tc>
        <w:tc>
          <w:tcPr>
            <w:tcW w:w="595" w:type="pct"/>
            <w:shd w:val="clear" w:color="auto" w:fill="auto"/>
            <w:noWrap/>
            <w:tcMar>
              <w:left w:w="28" w:type="dxa"/>
              <w:right w:w="28" w:type="dxa"/>
            </w:tcMar>
            <w:vAlign w:val="center"/>
          </w:tcPr>
          <w:p w14:paraId="266CED9D">
            <w:pPr>
              <w:spacing w:after="0" w:line="240" w:lineRule="auto"/>
              <w:ind w:firstLine="0"/>
              <w:jc w:val="center"/>
              <w:rPr>
                <w:sz w:val="20"/>
                <w:szCs w:val="20"/>
              </w:rPr>
            </w:pPr>
            <w:r>
              <w:rPr>
                <w:sz w:val="20"/>
                <w:szCs w:val="20"/>
              </w:rPr>
              <w:t>191,8</w:t>
            </w:r>
          </w:p>
        </w:tc>
        <w:tc>
          <w:tcPr>
            <w:tcW w:w="472" w:type="pct"/>
            <w:shd w:val="clear" w:color="auto" w:fill="auto"/>
            <w:noWrap/>
            <w:tcMar>
              <w:left w:w="28" w:type="dxa"/>
              <w:right w:w="28" w:type="dxa"/>
            </w:tcMar>
            <w:vAlign w:val="center"/>
          </w:tcPr>
          <w:p w14:paraId="2A391B5F">
            <w:pPr>
              <w:spacing w:after="0" w:line="240" w:lineRule="auto"/>
              <w:ind w:firstLine="0"/>
              <w:jc w:val="center"/>
              <w:rPr>
                <w:sz w:val="20"/>
                <w:szCs w:val="20"/>
              </w:rPr>
            </w:pPr>
            <w:r>
              <w:rPr>
                <w:sz w:val="20"/>
                <w:szCs w:val="20"/>
              </w:rPr>
              <w:t>177,4</w:t>
            </w:r>
          </w:p>
        </w:tc>
        <w:tc>
          <w:tcPr>
            <w:tcW w:w="470" w:type="pct"/>
            <w:tcMar>
              <w:left w:w="28" w:type="dxa"/>
              <w:right w:w="28" w:type="dxa"/>
            </w:tcMar>
            <w:vAlign w:val="center"/>
          </w:tcPr>
          <w:p w14:paraId="53891CD2">
            <w:pPr>
              <w:spacing w:after="0" w:line="240" w:lineRule="auto"/>
              <w:ind w:firstLine="0"/>
              <w:jc w:val="center"/>
              <w:rPr>
                <w:sz w:val="20"/>
                <w:szCs w:val="20"/>
              </w:rPr>
            </w:pPr>
            <w:r>
              <w:rPr>
                <w:sz w:val="20"/>
                <w:szCs w:val="20"/>
              </w:rPr>
              <w:t>175,2</w:t>
            </w:r>
          </w:p>
        </w:tc>
      </w:tr>
    </w:tbl>
    <w:p w14:paraId="65C48B71">
      <w:pPr>
        <w:spacing w:after="0" w:line="240" w:lineRule="auto"/>
        <w:ind w:firstLine="0"/>
        <w:jc w:val="both"/>
        <w:rPr>
          <w:sz w:val="24"/>
          <w:szCs w:val="24"/>
        </w:rPr>
      </w:pPr>
    </w:p>
    <w:p w14:paraId="2280479A">
      <w:pPr>
        <w:keepNext/>
        <w:keepLines/>
        <w:spacing w:after="0" w:line="240" w:lineRule="auto"/>
        <w:ind w:firstLine="0"/>
        <w:jc w:val="both"/>
        <w:rPr>
          <w:iCs/>
          <w:color w:val="000000"/>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5</w:t>
      </w:r>
      <w:r>
        <w:rPr>
          <w:bCs/>
          <w:sz w:val="24"/>
          <w:szCs w:val="24"/>
        </w:rPr>
        <w:fldChar w:fldCharType="end"/>
      </w:r>
      <w:r>
        <w:rPr>
          <w:bCs/>
          <w:sz w:val="24"/>
          <w:szCs w:val="24"/>
        </w:rPr>
        <w:t xml:space="preserve"> – </w:t>
      </w:r>
      <w:r>
        <w:rPr>
          <w:sz w:val="24"/>
          <w:szCs w:val="24"/>
        </w:rPr>
        <w:t xml:space="preserve">Режимная карта водогрейного котла типа </w:t>
      </w:r>
      <w:r>
        <w:rPr>
          <w:iCs/>
          <w:color w:val="000000"/>
          <w:sz w:val="24"/>
          <w:szCs w:val="24"/>
        </w:rPr>
        <w:t>NOVITER NWT 3,5-1-115 № 1 котельной №2 МУП «БКС»</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7119"/>
        <w:gridCol w:w="2394"/>
        <w:gridCol w:w="1808"/>
        <w:gridCol w:w="1434"/>
        <w:gridCol w:w="1428"/>
      </w:tblGrid>
      <w:tr w14:paraId="3EC4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32" w:type="pct"/>
            <w:vMerge w:val="restart"/>
            <w:tcMar>
              <w:left w:w="28" w:type="dxa"/>
              <w:right w:w="28" w:type="dxa"/>
            </w:tcMar>
            <w:vAlign w:val="center"/>
          </w:tcPr>
          <w:p w14:paraId="01CE3257">
            <w:pPr>
              <w:spacing w:after="0" w:line="240" w:lineRule="auto"/>
              <w:ind w:firstLine="0"/>
              <w:jc w:val="center"/>
              <w:rPr>
                <w:bCs/>
                <w:sz w:val="20"/>
                <w:szCs w:val="20"/>
              </w:rPr>
            </w:pPr>
            <w:r>
              <w:rPr>
                <w:bCs/>
                <w:sz w:val="20"/>
                <w:szCs w:val="20"/>
              </w:rPr>
              <w:t>№ п/п</w:t>
            </w:r>
          </w:p>
        </w:tc>
        <w:tc>
          <w:tcPr>
            <w:tcW w:w="2343" w:type="pct"/>
            <w:vMerge w:val="restart"/>
            <w:tcMar>
              <w:left w:w="28" w:type="dxa"/>
              <w:right w:w="28" w:type="dxa"/>
            </w:tcMar>
            <w:vAlign w:val="center"/>
          </w:tcPr>
          <w:p w14:paraId="0517A54B">
            <w:pPr>
              <w:spacing w:after="0" w:line="240" w:lineRule="auto"/>
              <w:ind w:firstLine="0"/>
              <w:jc w:val="center"/>
              <w:rPr>
                <w:bCs/>
                <w:sz w:val="20"/>
                <w:szCs w:val="20"/>
              </w:rPr>
            </w:pPr>
            <w:r>
              <w:rPr>
                <w:bCs/>
                <w:sz w:val="20"/>
                <w:szCs w:val="20"/>
              </w:rPr>
              <w:t>Наименование</w:t>
            </w:r>
          </w:p>
        </w:tc>
        <w:tc>
          <w:tcPr>
            <w:tcW w:w="788" w:type="pct"/>
            <w:vMerge w:val="restart"/>
            <w:tcMar>
              <w:left w:w="28" w:type="dxa"/>
              <w:right w:w="28" w:type="dxa"/>
            </w:tcMar>
            <w:vAlign w:val="center"/>
          </w:tcPr>
          <w:p w14:paraId="73D0A3B9">
            <w:pPr>
              <w:spacing w:after="0" w:line="240" w:lineRule="auto"/>
              <w:ind w:firstLine="0"/>
              <w:jc w:val="center"/>
              <w:rPr>
                <w:bCs/>
                <w:sz w:val="20"/>
                <w:szCs w:val="20"/>
              </w:rPr>
            </w:pPr>
            <w:r>
              <w:rPr>
                <w:bCs/>
                <w:sz w:val="20"/>
                <w:szCs w:val="20"/>
              </w:rPr>
              <w:t>Единица измерения</w:t>
            </w:r>
          </w:p>
        </w:tc>
        <w:tc>
          <w:tcPr>
            <w:tcW w:w="1537" w:type="pct"/>
            <w:gridSpan w:val="3"/>
            <w:shd w:val="clear" w:color="auto" w:fill="auto"/>
            <w:noWrap/>
            <w:tcMar>
              <w:left w:w="28" w:type="dxa"/>
              <w:right w:w="28" w:type="dxa"/>
            </w:tcMar>
            <w:vAlign w:val="center"/>
          </w:tcPr>
          <w:p w14:paraId="36C12F85">
            <w:pPr>
              <w:spacing w:after="0" w:line="240" w:lineRule="auto"/>
              <w:ind w:firstLine="0"/>
              <w:jc w:val="center"/>
              <w:rPr>
                <w:bCs/>
                <w:sz w:val="20"/>
                <w:szCs w:val="20"/>
              </w:rPr>
            </w:pPr>
            <w:r>
              <w:rPr>
                <w:bCs/>
                <w:sz w:val="20"/>
                <w:szCs w:val="20"/>
              </w:rPr>
              <w:t>Режим</w:t>
            </w:r>
          </w:p>
        </w:tc>
      </w:tr>
      <w:tr w14:paraId="26FD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Merge w:val="continue"/>
            <w:tcMar>
              <w:left w:w="28" w:type="dxa"/>
              <w:right w:w="28" w:type="dxa"/>
            </w:tcMar>
            <w:vAlign w:val="center"/>
          </w:tcPr>
          <w:p w14:paraId="6EE1B4CF">
            <w:pPr>
              <w:spacing w:after="0" w:line="240" w:lineRule="auto"/>
              <w:ind w:firstLine="0"/>
              <w:rPr>
                <w:bCs/>
                <w:sz w:val="20"/>
                <w:szCs w:val="20"/>
              </w:rPr>
            </w:pPr>
          </w:p>
        </w:tc>
        <w:tc>
          <w:tcPr>
            <w:tcW w:w="2343" w:type="pct"/>
            <w:vMerge w:val="continue"/>
            <w:tcMar>
              <w:left w:w="28" w:type="dxa"/>
              <w:right w:w="28" w:type="dxa"/>
            </w:tcMar>
            <w:vAlign w:val="center"/>
          </w:tcPr>
          <w:p w14:paraId="3F23322D">
            <w:pPr>
              <w:spacing w:after="0" w:line="240" w:lineRule="auto"/>
              <w:ind w:firstLine="0"/>
              <w:rPr>
                <w:bCs/>
                <w:sz w:val="20"/>
                <w:szCs w:val="20"/>
              </w:rPr>
            </w:pPr>
          </w:p>
        </w:tc>
        <w:tc>
          <w:tcPr>
            <w:tcW w:w="788" w:type="pct"/>
            <w:vMerge w:val="continue"/>
            <w:tcMar>
              <w:left w:w="28" w:type="dxa"/>
              <w:right w:w="28" w:type="dxa"/>
            </w:tcMar>
            <w:vAlign w:val="center"/>
          </w:tcPr>
          <w:p w14:paraId="0CDAB52B">
            <w:pPr>
              <w:spacing w:after="0" w:line="240" w:lineRule="auto"/>
              <w:ind w:firstLine="0"/>
              <w:rPr>
                <w:bCs/>
                <w:sz w:val="20"/>
                <w:szCs w:val="20"/>
              </w:rPr>
            </w:pPr>
          </w:p>
        </w:tc>
        <w:tc>
          <w:tcPr>
            <w:tcW w:w="595" w:type="pct"/>
            <w:shd w:val="clear" w:color="auto" w:fill="auto"/>
            <w:noWrap/>
            <w:tcMar>
              <w:left w:w="28" w:type="dxa"/>
              <w:right w:w="28" w:type="dxa"/>
            </w:tcMar>
            <w:vAlign w:val="center"/>
          </w:tcPr>
          <w:p w14:paraId="70D31C99">
            <w:pPr>
              <w:spacing w:after="0" w:line="240" w:lineRule="auto"/>
              <w:ind w:firstLine="0"/>
              <w:jc w:val="center"/>
              <w:rPr>
                <w:bCs/>
                <w:sz w:val="20"/>
                <w:szCs w:val="20"/>
              </w:rPr>
            </w:pPr>
            <w:r>
              <w:rPr>
                <w:bCs/>
                <w:sz w:val="20"/>
                <w:szCs w:val="20"/>
              </w:rPr>
              <w:t>1</w:t>
            </w:r>
          </w:p>
        </w:tc>
        <w:tc>
          <w:tcPr>
            <w:tcW w:w="472" w:type="pct"/>
            <w:shd w:val="clear" w:color="auto" w:fill="auto"/>
            <w:noWrap/>
            <w:tcMar>
              <w:left w:w="28" w:type="dxa"/>
              <w:right w:w="28" w:type="dxa"/>
            </w:tcMar>
            <w:vAlign w:val="center"/>
          </w:tcPr>
          <w:p w14:paraId="69A7399F">
            <w:pPr>
              <w:spacing w:after="0" w:line="240" w:lineRule="auto"/>
              <w:ind w:firstLine="0"/>
              <w:jc w:val="center"/>
              <w:rPr>
                <w:bCs/>
                <w:sz w:val="20"/>
                <w:szCs w:val="20"/>
              </w:rPr>
            </w:pPr>
            <w:r>
              <w:rPr>
                <w:bCs/>
                <w:sz w:val="20"/>
                <w:szCs w:val="20"/>
              </w:rPr>
              <w:t>2</w:t>
            </w:r>
          </w:p>
        </w:tc>
        <w:tc>
          <w:tcPr>
            <w:tcW w:w="470" w:type="pct"/>
            <w:tcMar>
              <w:left w:w="28" w:type="dxa"/>
              <w:right w:w="28" w:type="dxa"/>
            </w:tcMar>
            <w:vAlign w:val="center"/>
          </w:tcPr>
          <w:p w14:paraId="5E6B25DA">
            <w:pPr>
              <w:spacing w:after="0" w:line="240" w:lineRule="auto"/>
              <w:ind w:firstLine="0"/>
              <w:jc w:val="center"/>
              <w:rPr>
                <w:bCs/>
                <w:sz w:val="20"/>
                <w:szCs w:val="20"/>
              </w:rPr>
            </w:pPr>
            <w:r>
              <w:rPr>
                <w:bCs/>
                <w:sz w:val="20"/>
                <w:szCs w:val="20"/>
              </w:rPr>
              <w:t>3</w:t>
            </w:r>
          </w:p>
        </w:tc>
      </w:tr>
      <w:tr w14:paraId="0694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86EEF6E">
            <w:pPr>
              <w:spacing w:after="0" w:line="240" w:lineRule="auto"/>
              <w:ind w:firstLine="0"/>
              <w:jc w:val="center"/>
              <w:rPr>
                <w:sz w:val="20"/>
                <w:szCs w:val="20"/>
              </w:rPr>
            </w:pPr>
            <w:r>
              <w:rPr>
                <w:sz w:val="20"/>
                <w:szCs w:val="20"/>
              </w:rPr>
              <w:t>1</w:t>
            </w:r>
          </w:p>
        </w:tc>
        <w:tc>
          <w:tcPr>
            <w:tcW w:w="2343" w:type="pct"/>
            <w:shd w:val="clear" w:color="auto" w:fill="auto"/>
            <w:tcMar>
              <w:left w:w="28" w:type="dxa"/>
              <w:right w:w="28" w:type="dxa"/>
            </w:tcMar>
            <w:vAlign w:val="center"/>
          </w:tcPr>
          <w:p w14:paraId="18C0C606">
            <w:pPr>
              <w:spacing w:after="0" w:line="240" w:lineRule="auto"/>
              <w:ind w:firstLine="0"/>
              <w:rPr>
                <w:sz w:val="20"/>
                <w:szCs w:val="20"/>
              </w:rPr>
            </w:pPr>
            <w:r>
              <w:rPr>
                <w:sz w:val="20"/>
                <w:szCs w:val="20"/>
              </w:rPr>
              <w:t>Теплопроизводительность</w:t>
            </w:r>
          </w:p>
        </w:tc>
        <w:tc>
          <w:tcPr>
            <w:tcW w:w="788" w:type="pct"/>
            <w:shd w:val="clear" w:color="auto" w:fill="auto"/>
            <w:noWrap/>
            <w:tcMar>
              <w:left w:w="28" w:type="dxa"/>
              <w:right w:w="28" w:type="dxa"/>
            </w:tcMar>
            <w:vAlign w:val="center"/>
          </w:tcPr>
          <w:p w14:paraId="372F9296">
            <w:pPr>
              <w:spacing w:after="0" w:line="240" w:lineRule="auto"/>
              <w:ind w:firstLine="0"/>
              <w:jc w:val="center"/>
              <w:rPr>
                <w:sz w:val="20"/>
                <w:szCs w:val="20"/>
              </w:rPr>
            </w:pPr>
            <w:r>
              <w:rPr>
                <w:sz w:val="20"/>
                <w:szCs w:val="20"/>
              </w:rPr>
              <w:t>Гкал/ч</w:t>
            </w:r>
          </w:p>
        </w:tc>
        <w:tc>
          <w:tcPr>
            <w:tcW w:w="595" w:type="pct"/>
            <w:shd w:val="clear" w:color="auto" w:fill="auto"/>
            <w:noWrap/>
            <w:tcMar>
              <w:left w:w="28" w:type="dxa"/>
              <w:right w:w="28" w:type="dxa"/>
            </w:tcMar>
            <w:vAlign w:val="center"/>
          </w:tcPr>
          <w:p w14:paraId="1234F8A7">
            <w:pPr>
              <w:spacing w:after="0" w:line="240" w:lineRule="auto"/>
              <w:ind w:firstLine="0"/>
              <w:jc w:val="center"/>
              <w:rPr>
                <w:sz w:val="20"/>
                <w:szCs w:val="20"/>
                <w:lang w:val="en-US"/>
              </w:rPr>
            </w:pPr>
            <w:r>
              <w:rPr>
                <w:sz w:val="20"/>
                <w:szCs w:val="20"/>
                <w:lang w:val="en-US"/>
              </w:rPr>
              <w:t>1</w:t>
            </w:r>
            <w:r>
              <w:rPr>
                <w:sz w:val="20"/>
                <w:szCs w:val="20"/>
              </w:rPr>
              <w:t>,</w:t>
            </w:r>
            <w:r>
              <w:rPr>
                <w:sz w:val="20"/>
                <w:szCs w:val="20"/>
                <w:lang w:val="en-US"/>
              </w:rPr>
              <w:t>052</w:t>
            </w:r>
          </w:p>
        </w:tc>
        <w:tc>
          <w:tcPr>
            <w:tcW w:w="472" w:type="pct"/>
            <w:shd w:val="clear" w:color="auto" w:fill="auto"/>
            <w:noWrap/>
            <w:tcMar>
              <w:left w:w="28" w:type="dxa"/>
              <w:right w:w="28" w:type="dxa"/>
            </w:tcMar>
            <w:vAlign w:val="center"/>
          </w:tcPr>
          <w:p w14:paraId="3785B557">
            <w:pPr>
              <w:spacing w:after="0" w:line="240" w:lineRule="auto"/>
              <w:ind w:firstLine="0"/>
              <w:jc w:val="center"/>
              <w:rPr>
                <w:sz w:val="20"/>
                <w:szCs w:val="20"/>
              </w:rPr>
            </w:pPr>
            <w:r>
              <w:rPr>
                <w:sz w:val="20"/>
                <w:szCs w:val="20"/>
              </w:rPr>
              <w:t>2,30</w:t>
            </w:r>
          </w:p>
        </w:tc>
        <w:tc>
          <w:tcPr>
            <w:tcW w:w="470" w:type="pct"/>
            <w:tcMar>
              <w:left w:w="28" w:type="dxa"/>
              <w:right w:w="28" w:type="dxa"/>
            </w:tcMar>
            <w:vAlign w:val="center"/>
          </w:tcPr>
          <w:p w14:paraId="061D3C5C">
            <w:pPr>
              <w:spacing w:after="0" w:line="240" w:lineRule="auto"/>
              <w:ind w:firstLine="0"/>
              <w:jc w:val="center"/>
              <w:rPr>
                <w:sz w:val="20"/>
                <w:szCs w:val="20"/>
              </w:rPr>
            </w:pPr>
            <w:r>
              <w:rPr>
                <w:sz w:val="20"/>
                <w:szCs w:val="20"/>
              </w:rPr>
              <w:t>2,97</w:t>
            </w:r>
          </w:p>
        </w:tc>
      </w:tr>
      <w:tr w14:paraId="471F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11EA025">
            <w:pPr>
              <w:spacing w:after="0" w:line="240" w:lineRule="auto"/>
              <w:ind w:firstLine="0"/>
              <w:jc w:val="center"/>
              <w:rPr>
                <w:sz w:val="20"/>
                <w:szCs w:val="20"/>
              </w:rPr>
            </w:pPr>
            <w:r>
              <w:rPr>
                <w:sz w:val="20"/>
                <w:szCs w:val="20"/>
              </w:rPr>
              <w:t>2</w:t>
            </w:r>
          </w:p>
        </w:tc>
        <w:tc>
          <w:tcPr>
            <w:tcW w:w="2343" w:type="pct"/>
            <w:shd w:val="clear" w:color="auto" w:fill="auto"/>
            <w:tcMar>
              <w:left w:w="28" w:type="dxa"/>
              <w:right w:w="28" w:type="dxa"/>
            </w:tcMar>
            <w:vAlign w:val="center"/>
          </w:tcPr>
          <w:p w14:paraId="2138500D">
            <w:pPr>
              <w:spacing w:after="0" w:line="240" w:lineRule="auto"/>
              <w:ind w:firstLine="0"/>
              <w:rPr>
                <w:sz w:val="20"/>
                <w:szCs w:val="20"/>
              </w:rPr>
            </w:pPr>
            <w:r>
              <w:rPr>
                <w:sz w:val="20"/>
                <w:szCs w:val="20"/>
              </w:rPr>
              <w:t>Расход натурального топлива</w:t>
            </w:r>
          </w:p>
        </w:tc>
        <w:tc>
          <w:tcPr>
            <w:tcW w:w="788" w:type="pct"/>
            <w:shd w:val="clear" w:color="auto" w:fill="auto"/>
            <w:noWrap/>
            <w:tcMar>
              <w:left w:w="28" w:type="dxa"/>
              <w:right w:w="28" w:type="dxa"/>
            </w:tcMar>
            <w:vAlign w:val="center"/>
          </w:tcPr>
          <w:p w14:paraId="14C96F50">
            <w:pPr>
              <w:spacing w:after="0" w:line="240" w:lineRule="auto"/>
              <w:ind w:firstLine="0"/>
              <w:jc w:val="center"/>
              <w:rPr>
                <w:sz w:val="20"/>
                <w:szCs w:val="20"/>
              </w:rPr>
            </w:pPr>
            <w:r>
              <w:rPr>
                <w:sz w:val="20"/>
                <w:szCs w:val="20"/>
              </w:rPr>
              <w:t>м</w:t>
            </w:r>
            <w:r>
              <w:rPr>
                <w:sz w:val="20"/>
                <w:szCs w:val="20"/>
                <w:vertAlign w:val="superscript"/>
              </w:rPr>
              <w:t>3</w:t>
            </w:r>
            <w:r>
              <w:rPr>
                <w:sz w:val="20"/>
                <w:szCs w:val="20"/>
              </w:rPr>
              <w:t>/ч</w:t>
            </w:r>
          </w:p>
        </w:tc>
        <w:tc>
          <w:tcPr>
            <w:tcW w:w="595" w:type="pct"/>
            <w:shd w:val="clear" w:color="auto" w:fill="auto"/>
            <w:noWrap/>
            <w:tcMar>
              <w:left w:w="28" w:type="dxa"/>
              <w:right w:w="28" w:type="dxa"/>
            </w:tcMar>
            <w:vAlign w:val="center"/>
          </w:tcPr>
          <w:p w14:paraId="234B8097">
            <w:pPr>
              <w:spacing w:after="0" w:line="240" w:lineRule="auto"/>
              <w:ind w:firstLine="0"/>
              <w:jc w:val="center"/>
              <w:rPr>
                <w:sz w:val="20"/>
                <w:szCs w:val="20"/>
              </w:rPr>
            </w:pPr>
            <w:r>
              <w:rPr>
                <w:sz w:val="20"/>
                <w:szCs w:val="20"/>
              </w:rPr>
              <w:t>149</w:t>
            </w:r>
          </w:p>
        </w:tc>
        <w:tc>
          <w:tcPr>
            <w:tcW w:w="472" w:type="pct"/>
            <w:shd w:val="clear" w:color="auto" w:fill="auto"/>
            <w:noWrap/>
            <w:tcMar>
              <w:left w:w="28" w:type="dxa"/>
              <w:right w:w="28" w:type="dxa"/>
            </w:tcMar>
            <w:vAlign w:val="center"/>
          </w:tcPr>
          <w:p w14:paraId="54E34D71">
            <w:pPr>
              <w:spacing w:after="0" w:line="240" w:lineRule="auto"/>
              <w:ind w:firstLine="0"/>
              <w:jc w:val="center"/>
              <w:rPr>
                <w:sz w:val="20"/>
                <w:szCs w:val="20"/>
              </w:rPr>
            </w:pPr>
            <w:r>
              <w:rPr>
                <w:sz w:val="20"/>
                <w:szCs w:val="20"/>
              </w:rPr>
              <w:t>312</w:t>
            </w:r>
          </w:p>
        </w:tc>
        <w:tc>
          <w:tcPr>
            <w:tcW w:w="470" w:type="pct"/>
            <w:tcMar>
              <w:left w:w="28" w:type="dxa"/>
              <w:right w:w="28" w:type="dxa"/>
            </w:tcMar>
            <w:vAlign w:val="center"/>
          </w:tcPr>
          <w:p w14:paraId="024E5314">
            <w:pPr>
              <w:spacing w:after="0" w:line="240" w:lineRule="auto"/>
              <w:ind w:firstLine="0"/>
              <w:jc w:val="center"/>
              <w:rPr>
                <w:sz w:val="20"/>
                <w:szCs w:val="20"/>
              </w:rPr>
            </w:pPr>
            <w:r>
              <w:rPr>
                <w:sz w:val="20"/>
                <w:szCs w:val="20"/>
              </w:rPr>
              <w:t>412</w:t>
            </w:r>
          </w:p>
        </w:tc>
      </w:tr>
      <w:tr w14:paraId="2C63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42C3E25">
            <w:pPr>
              <w:spacing w:after="0" w:line="240" w:lineRule="auto"/>
              <w:ind w:firstLine="0"/>
              <w:jc w:val="center"/>
              <w:rPr>
                <w:sz w:val="20"/>
                <w:szCs w:val="20"/>
              </w:rPr>
            </w:pPr>
            <w:r>
              <w:rPr>
                <w:sz w:val="20"/>
                <w:szCs w:val="20"/>
              </w:rPr>
              <w:t>3</w:t>
            </w:r>
          </w:p>
        </w:tc>
        <w:tc>
          <w:tcPr>
            <w:tcW w:w="2343" w:type="pct"/>
            <w:shd w:val="clear" w:color="auto" w:fill="auto"/>
            <w:tcMar>
              <w:left w:w="28" w:type="dxa"/>
              <w:right w:w="28" w:type="dxa"/>
            </w:tcMar>
            <w:vAlign w:val="center"/>
          </w:tcPr>
          <w:p w14:paraId="7B0EEEFA">
            <w:pPr>
              <w:spacing w:after="0" w:line="240" w:lineRule="auto"/>
              <w:ind w:firstLine="0"/>
              <w:rPr>
                <w:sz w:val="20"/>
                <w:szCs w:val="20"/>
              </w:rPr>
            </w:pPr>
            <w:r>
              <w:rPr>
                <w:sz w:val="20"/>
                <w:szCs w:val="20"/>
              </w:rPr>
              <w:t>Расход воды через котёл</w:t>
            </w:r>
          </w:p>
        </w:tc>
        <w:tc>
          <w:tcPr>
            <w:tcW w:w="788" w:type="pct"/>
            <w:shd w:val="clear" w:color="auto" w:fill="auto"/>
            <w:noWrap/>
            <w:tcMar>
              <w:left w:w="28" w:type="dxa"/>
              <w:right w:w="28" w:type="dxa"/>
            </w:tcMar>
            <w:vAlign w:val="center"/>
          </w:tcPr>
          <w:p w14:paraId="22EE8C0A">
            <w:pPr>
              <w:spacing w:after="0" w:line="240" w:lineRule="auto"/>
              <w:ind w:firstLine="0"/>
              <w:jc w:val="center"/>
              <w:rPr>
                <w:sz w:val="20"/>
                <w:szCs w:val="20"/>
              </w:rPr>
            </w:pPr>
            <w:r>
              <w:rPr>
                <w:sz w:val="20"/>
                <w:szCs w:val="20"/>
              </w:rPr>
              <w:t>т/ч</w:t>
            </w:r>
          </w:p>
        </w:tc>
        <w:tc>
          <w:tcPr>
            <w:tcW w:w="1537" w:type="pct"/>
            <w:gridSpan w:val="3"/>
            <w:shd w:val="clear" w:color="auto" w:fill="auto"/>
            <w:noWrap/>
            <w:tcMar>
              <w:left w:w="28" w:type="dxa"/>
              <w:right w:w="28" w:type="dxa"/>
            </w:tcMar>
            <w:vAlign w:val="center"/>
          </w:tcPr>
          <w:p w14:paraId="2EFD82B3">
            <w:pPr>
              <w:spacing w:after="0" w:line="240" w:lineRule="auto"/>
              <w:ind w:firstLine="0"/>
              <w:jc w:val="center"/>
              <w:rPr>
                <w:sz w:val="20"/>
                <w:szCs w:val="20"/>
              </w:rPr>
            </w:pPr>
            <w:r>
              <w:rPr>
                <w:sz w:val="20"/>
                <w:szCs w:val="20"/>
              </w:rPr>
              <w:t>Не менее 36</w:t>
            </w:r>
          </w:p>
        </w:tc>
      </w:tr>
      <w:tr w14:paraId="7076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8AEB7CA">
            <w:pPr>
              <w:spacing w:after="0" w:line="240" w:lineRule="auto"/>
              <w:ind w:firstLine="0"/>
              <w:jc w:val="center"/>
              <w:rPr>
                <w:sz w:val="20"/>
                <w:szCs w:val="20"/>
              </w:rPr>
            </w:pPr>
            <w:r>
              <w:rPr>
                <w:sz w:val="20"/>
                <w:szCs w:val="20"/>
              </w:rPr>
              <w:t>4</w:t>
            </w:r>
          </w:p>
        </w:tc>
        <w:tc>
          <w:tcPr>
            <w:tcW w:w="2343" w:type="pct"/>
            <w:shd w:val="clear" w:color="auto" w:fill="auto"/>
            <w:tcMar>
              <w:left w:w="28" w:type="dxa"/>
              <w:right w:w="28" w:type="dxa"/>
            </w:tcMar>
            <w:vAlign w:val="center"/>
          </w:tcPr>
          <w:p w14:paraId="44BADBD8">
            <w:pPr>
              <w:spacing w:after="0" w:line="240" w:lineRule="auto"/>
              <w:ind w:firstLine="0"/>
              <w:rPr>
                <w:sz w:val="20"/>
                <w:szCs w:val="20"/>
              </w:rPr>
            </w:pPr>
            <w:r>
              <w:rPr>
                <w:sz w:val="20"/>
                <w:szCs w:val="20"/>
              </w:rPr>
              <w:t>Давление воды на выходе из котла</w:t>
            </w:r>
          </w:p>
        </w:tc>
        <w:tc>
          <w:tcPr>
            <w:tcW w:w="788" w:type="pct"/>
            <w:shd w:val="clear" w:color="auto" w:fill="auto"/>
            <w:noWrap/>
            <w:tcMar>
              <w:left w:w="28" w:type="dxa"/>
              <w:right w:w="28" w:type="dxa"/>
            </w:tcMar>
            <w:vAlign w:val="center"/>
          </w:tcPr>
          <w:p w14:paraId="66CFD567">
            <w:pPr>
              <w:spacing w:after="0" w:line="240" w:lineRule="auto"/>
              <w:ind w:firstLine="0"/>
              <w:jc w:val="center"/>
              <w:rPr>
                <w:sz w:val="20"/>
                <w:szCs w:val="20"/>
                <w:vertAlign w:val="superscript"/>
              </w:rPr>
            </w:pPr>
            <w:r>
              <w:rPr>
                <w:sz w:val="20"/>
                <w:szCs w:val="20"/>
              </w:rPr>
              <w:t>МПа</w:t>
            </w:r>
          </w:p>
        </w:tc>
        <w:tc>
          <w:tcPr>
            <w:tcW w:w="1537" w:type="pct"/>
            <w:gridSpan w:val="3"/>
            <w:shd w:val="clear" w:color="auto" w:fill="auto"/>
            <w:noWrap/>
            <w:tcMar>
              <w:left w:w="28" w:type="dxa"/>
              <w:right w:w="28" w:type="dxa"/>
            </w:tcMar>
            <w:vAlign w:val="center"/>
          </w:tcPr>
          <w:p w14:paraId="54179646">
            <w:pPr>
              <w:spacing w:after="0" w:line="240" w:lineRule="auto"/>
              <w:ind w:firstLine="0"/>
              <w:jc w:val="center"/>
              <w:rPr>
                <w:sz w:val="20"/>
                <w:szCs w:val="20"/>
              </w:rPr>
            </w:pPr>
            <w:r>
              <w:rPr>
                <w:sz w:val="20"/>
                <w:szCs w:val="20"/>
              </w:rPr>
              <w:t>Не менее 0,4</w:t>
            </w:r>
          </w:p>
        </w:tc>
      </w:tr>
      <w:tr w14:paraId="393F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406E533">
            <w:pPr>
              <w:spacing w:after="0" w:line="240" w:lineRule="auto"/>
              <w:ind w:firstLine="0"/>
              <w:jc w:val="center"/>
              <w:rPr>
                <w:sz w:val="20"/>
                <w:szCs w:val="20"/>
              </w:rPr>
            </w:pPr>
            <w:r>
              <w:rPr>
                <w:sz w:val="20"/>
                <w:szCs w:val="20"/>
              </w:rPr>
              <w:t>5</w:t>
            </w:r>
          </w:p>
        </w:tc>
        <w:tc>
          <w:tcPr>
            <w:tcW w:w="2343" w:type="pct"/>
            <w:shd w:val="clear" w:color="auto" w:fill="auto"/>
            <w:tcMar>
              <w:left w:w="28" w:type="dxa"/>
              <w:right w:w="28" w:type="dxa"/>
            </w:tcMar>
            <w:vAlign w:val="center"/>
          </w:tcPr>
          <w:p w14:paraId="682EC719">
            <w:pPr>
              <w:spacing w:after="0" w:line="240" w:lineRule="auto"/>
              <w:ind w:firstLine="0"/>
              <w:rPr>
                <w:sz w:val="20"/>
                <w:szCs w:val="20"/>
              </w:rPr>
            </w:pPr>
            <w:r>
              <w:rPr>
                <w:sz w:val="20"/>
                <w:szCs w:val="20"/>
              </w:rPr>
              <w:t>Давление газа перед горелкой</w:t>
            </w:r>
          </w:p>
        </w:tc>
        <w:tc>
          <w:tcPr>
            <w:tcW w:w="788" w:type="pct"/>
            <w:shd w:val="clear" w:color="auto" w:fill="auto"/>
            <w:noWrap/>
            <w:tcMar>
              <w:left w:w="28" w:type="dxa"/>
              <w:right w:w="28" w:type="dxa"/>
            </w:tcMar>
            <w:vAlign w:val="center"/>
          </w:tcPr>
          <w:p w14:paraId="407FF0A5">
            <w:pPr>
              <w:spacing w:after="0" w:line="240" w:lineRule="auto"/>
              <w:ind w:firstLine="0"/>
              <w:jc w:val="center"/>
              <w:rPr>
                <w:sz w:val="20"/>
                <w:szCs w:val="20"/>
              </w:rPr>
            </w:pPr>
            <w:r>
              <w:rPr>
                <w:sz w:val="20"/>
                <w:szCs w:val="20"/>
              </w:rPr>
              <w:t>кПа</w:t>
            </w:r>
          </w:p>
        </w:tc>
        <w:tc>
          <w:tcPr>
            <w:tcW w:w="595" w:type="pct"/>
            <w:shd w:val="clear" w:color="auto" w:fill="auto"/>
            <w:noWrap/>
            <w:tcMar>
              <w:left w:w="28" w:type="dxa"/>
              <w:right w:w="28" w:type="dxa"/>
            </w:tcMar>
            <w:vAlign w:val="center"/>
          </w:tcPr>
          <w:p w14:paraId="30AB54D7">
            <w:pPr>
              <w:spacing w:after="0" w:line="240" w:lineRule="auto"/>
              <w:ind w:firstLine="0"/>
              <w:jc w:val="center"/>
              <w:rPr>
                <w:sz w:val="20"/>
                <w:szCs w:val="20"/>
              </w:rPr>
            </w:pPr>
            <w:r>
              <w:rPr>
                <w:sz w:val="20"/>
                <w:szCs w:val="20"/>
              </w:rPr>
              <w:t>0,02</w:t>
            </w:r>
          </w:p>
        </w:tc>
        <w:tc>
          <w:tcPr>
            <w:tcW w:w="472" w:type="pct"/>
            <w:shd w:val="clear" w:color="auto" w:fill="auto"/>
            <w:noWrap/>
            <w:tcMar>
              <w:left w:w="28" w:type="dxa"/>
              <w:right w:w="28" w:type="dxa"/>
            </w:tcMar>
            <w:vAlign w:val="center"/>
          </w:tcPr>
          <w:p w14:paraId="2BEA3B1B">
            <w:pPr>
              <w:spacing w:after="0" w:line="240" w:lineRule="auto"/>
              <w:ind w:firstLine="0"/>
              <w:jc w:val="center"/>
              <w:rPr>
                <w:sz w:val="20"/>
                <w:szCs w:val="20"/>
              </w:rPr>
            </w:pPr>
            <w:r>
              <w:rPr>
                <w:sz w:val="20"/>
                <w:szCs w:val="20"/>
              </w:rPr>
              <w:t>0,05</w:t>
            </w:r>
          </w:p>
        </w:tc>
        <w:tc>
          <w:tcPr>
            <w:tcW w:w="470" w:type="pct"/>
            <w:tcMar>
              <w:left w:w="28" w:type="dxa"/>
              <w:right w:w="28" w:type="dxa"/>
            </w:tcMar>
            <w:vAlign w:val="center"/>
          </w:tcPr>
          <w:p w14:paraId="0C66F8F7">
            <w:pPr>
              <w:spacing w:after="0" w:line="240" w:lineRule="auto"/>
              <w:ind w:firstLine="0"/>
              <w:jc w:val="center"/>
              <w:rPr>
                <w:sz w:val="20"/>
                <w:szCs w:val="20"/>
              </w:rPr>
            </w:pPr>
            <w:r>
              <w:rPr>
                <w:sz w:val="20"/>
                <w:szCs w:val="20"/>
              </w:rPr>
              <w:t>0,06</w:t>
            </w:r>
          </w:p>
        </w:tc>
      </w:tr>
      <w:tr w14:paraId="148D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83CB1C4">
            <w:pPr>
              <w:spacing w:after="0" w:line="240" w:lineRule="auto"/>
              <w:ind w:firstLine="0"/>
              <w:jc w:val="center"/>
              <w:rPr>
                <w:sz w:val="20"/>
                <w:szCs w:val="20"/>
              </w:rPr>
            </w:pPr>
            <w:r>
              <w:rPr>
                <w:sz w:val="20"/>
                <w:szCs w:val="20"/>
              </w:rPr>
              <w:t>6</w:t>
            </w:r>
          </w:p>
        </w:tc>
        <w:tc>
          <w:tcPr>
            <w:tcW w:w="2343" w:type="pct"/>
            <w:shd w:val="clear" w:color="auto" w:fill="auto"/>
            <w:tcMar>
              <w:left w:w="28" w:type="dxa"/>
              <w:right w:w="28" w:type="dxa"/>
            </w:tcMar>
            <w:vAlign w:val="center"/>
          </w:tcPr>
          <w:p w14:paraId="4C21B654">
            <w:pPr>
              <w:spacing w:after="0" w:line="240" w:lineRule="auto"/>
              <w:ind w:firstLine="0"/>
              <w:rPr>
                <w:sz w:val="20"/>
                <w:szCs w:val="20"/>
              </w:rPr>
            </w:pPr>
            <w:r>
              <w:rPr>
                <w:sz w:val="20"/>
                <w:szCs w:val="20"/>
              </w:rPr>
              <w:t>Давление воздуха перед горелкой</w:t>
            </w:r>
          </w:p>
        </w:tc>
        <w:tc>
          <w:tcPr>
            <w:tcW w:w="788" w:type="pct"/>
            <w:shd w:val="clear" w:color="auto" w:fill="auto"/>
            <w:noWrap/>
            <w:tcMar>
              <w:left w:w="28" w:type="dxa"/>
              <w:right w:w="28" w:type="dxa"/>
            </w:tcMar>
            <w:vAlign w:val="center"/>
          </w:tcPr>
          <w:p w14:paraId="319D4C55">
            <w:pPr>
              <w:spacing w:after="0" w:line="240" w:lineRule="auto"/>
              <w:ind w:firstLine="0"/>
              <w:jc w:val="center"/>
              <w:rPr>
                <w:sz w:val="20"/>
                <w:szCs w:val="20"/>
              </w:rPr>
            </w:pPr>
            <w:r>
              <w:rPr>
                <w:sz w:val="20"/>
                <w:szCs w:val="20"/>
              </w:rPr>
              <w:t>Па</w:t>
            </w:r>
          </w:p>
        </w:tc>
        <w:tc>
          <w:tcPr>
            <w:tcW w:w="595" w:type="pct"/>
            <w:shd w:val="clear" w:color="auto" w:fill="auto"/>
            <w:noWrap/>
            <w:tcMar>
              <w:left w:w="28" w:type="dxa"/>
              <w:right w:w="28" w:type="dxa"/>
            </w:tcMar>
            <w:vAlign w:val="center"/>
          </w:tcPr>
          <w:p w14:paraId="4E118258">
            <w:pPr>
              <w:spacing w:after="0" w:line="240" w:lineRule="auto"/>
              <w:ind w:firstLine="0"/>
              <w:jc w:val="center"/>
              <w:rPr>
                <w:sz w:val="20"/>
                <w:szCs w:val="20"/>
              </w:rPr>
            </w:pPr>
            <w:r>
              <w:rPr>
                <w:sz w:val="20"/>
                <w:szCs w:val="20"/>
              </w:rPr>
              <w:t>9</w:t>
            </w:r>
          </w:p>
        </w:tc>
        <w:tc>
          <w:tcPr>
            <w:tcW w:w="472" w:type="pct"/>
            <w:shd w:val="clear" w:color="auto" w:fill="auto"/>
            <w:noWrap/>
            <w:tcMar>
              <w:left w:w="28" w:type="dxa"/>
              <w:right w:w="28" w:type="dxa"/>
            </w:tcMar>
            <w:vAlign w:val="center"/>
          </w:tcPr>
          <w:p w14:paraId="2FECDE85">
            <w:pPr>
              <w:spacing w:after="0" w:line="240" w:lineRule="auto"/>
              <w:ind w:firstLine="0"/>
              <w:jc w:val="center"/>
              <w:rPr>
                <w:sz w:val="20"/>
                <w:szCs w:val="20"/>
              </w:rPr>
            </w:pPr>
            <w:r>
              <w:rPr>
                <w:sz w:val="20"/>
                <w:szCs w:val="20"/>
              </w:rPr>
              <w:t>12</w:t>
            </w:r>
          </w:p>
        </w:tc>
        <w:tc>
          <w:tcPr>
            <w:tcW w:w="470" w:type="pct"/>
            <w:tcMar>
              <w:left w:w="28" w:type="dxa"/>
              <w:right w:w="28" w:type="dxa"/>
            </w:tcMar>
            <w:vAlign w:val="center"/>
          </w:tcPr>
          <w:p w14:paraId="46DF35DF">
            <w:pPr>
              <w:spacing w:after="0" w:line="240" w:lineRule="auto"/>
              <w:ind w:firstLine="0"/>
              <w:jc w:val="center"/>
              <w:rPr>
                <w:sz w:val="20"/>
                <w:szCs w:val="20"/>
              </w:rPr>
            </w:pPr>
            <w:r>
              <w:rPr>
                <w:sz w:val="20"/>
                <w:szCs w:val="20"/>
              </w:rPr>
              <w:t>28</w:t>
            </w:r>
          </w:p>
        </w:tc>
      </w:tr>
      <w:tr w14:paraId="480F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43C3F03">
            <w:pPr>
              <w:spacing w:after="0" w:line="240" w:lineRule="auto"/>
              <w:ind w:firstLine="0"/>
              <w:jc w:val="center"/>
              <w:rPr>
                <w:sz w:val="20"/>
                <w:szCs w:val="20"/>
              </w:rPr>
            </w:pPr>
            <w:r>
              <w:rPr>
                <w:sz w:val="20"/>
                <w:szCs w:val="20"/>
              </w:rPr>
              <w:t>7</w:t>
            </w:r>
          </w:p>
        </w:tc>
        <w:tc>
          <w:tcPr>
            <w:tcW w:w="2343" w:type="pct"/>
            <w:shd w:val="clear" w:color="auto" w:fill="auto"/>
            <w:tcMar>
              <w:left w:w="28" w:type="dxa"/>
              <w:right w:w="28" w:type="dxa"/>
            </w:tcMar>
            <w:vAlign w:val="center"/>
          </w:tcPr>
          <w:p w14:paraId="79C57B88">
            <w:pPr>
              <w:spacing w:after="0" w:line="240" w:lineRule="auto"/>
              <w:ind w:firstLine="0"/>
              <w:rPr>
                <w:sz w:val="20"/>
                <w:szCs w:val="20"/>
              </w:rPr>
            </w:pPr>
            <w:r>
              <w:rPr>
                <w:sz w:val="20"/>
                <w:szCs w:val="20"/>
              </w:rPr>
              <w:t>Температура воды на входе в котел</w:t>
            </w:r>
          </w:p>
        </w:tc>
        <w:tc>
          <w:tcPr>
            <w:tcW w:w="788" w:type="pct"/>
            <w:shd w:val="clear" w:color="auto" w:fill="auto"/>
            <w:noWrap/>
            <w:tcMar>
              <w:left w:w="28" w:type="dxa"/>
              <w:right w:w="28" w:type="dxa"/>
            </w:tcMar>
            <w:vAlign w:val="center"/>
          </w:tcPr>
          <w:p w14:paraId="0919AED9">
            <w:pPr>
              <w:spacing w:after="0" w:line="240" w:lineRule="auto"/>
              <w:ind w:firstLine="0"/>
              <w:jc w:val="center"/>
              <w:rPr>
                <w:sz w:val="20"/>
                <w:szCs w:val="20"/>
              </w:rPr>
            </w:pPr>
            <w:r>
              <w:rPr>
                <w:sz w:val="20"/>
                <w:szCs w:val="20"/>
                <w:vertAlign w:val="superscript"/>
              </w:rPr>
              <w:t>о</w:t>
            </w:r>
            <w:r>
              <w:rPr>
                <w:sz w:val="20"/>
                <w:szCs w:val="20"/>
              </w:rPr>
              <w:t>С</w:t>
            </w:r>
          </w:p>
        </w:tc>
        <w:tc>
          <w:tcPr>
            <w:tcW w:w="1537" w:type="pct"/>
            <w:gridSpan w:val="3"/>
            <w:shd w:val="clear" w:color="auto" w:fill="auto"/>
            <w:noWrap/>
            <w:tcMar>
              <w:left w:w="28" w:type="dxa"/>
              <w:right w:w="28" w:type="dxa"/>
            </w:tcMar>
            <w:vAlign w:val="center"/>
          </w:tcPr>
          <w:p w14:paraId="3848FD54">
            <w:pPr>
              <w:spacing w:after="0" w:line="240" w:lineRule="auto"/>
              <w:ind w:firstLine="0"/>
              <w:jc w:val="center"/>
              <w:rPr>
                <w:sz w:val="20"/>
                <w:szCs w:val="20"/>
              </w:rPr>
            </w:pPr>
            <w:r>
              <w:rPr>
                <w:sz w:val="20"/>
                <w:szCs w:val="20"/>
              </w:rPr>
              <w:t>Не менее 50</w:t>
            </w:r>
          </w:p>
        </w:tc>
      </w:tr>
      <w:tr w14:paraId="65FC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55CD01D">
            <w:pPr>
              <w:spacing w:after="0" w:line="240" w:lineRule="auto"/>
              <w:ind w:firstLine="0"/>
              <w:jc w:val="center"/>
              <w:rPr>
                <w:sz w:val="20"/>
                <w:szCs w:val="20"/>
              </w:rPr>
            </w:pPr>
            <w:r>
              <w:rPr>
                <w:sz w:val="20"/>
                <w:szCs w:val="20"/>
              </w:rPr>
              <w:t>8</w:t>
            </w:r>
          </w:p>
        </w:tc>
        <w:tc>
          <w:tcPr>
            <w:tcW w:w="2343" w:type="pct"/>
            <w:shd w:val="clear" w:color="auto" w:fill="auto"/>
            <w:tcMar>
              <w:left w:w="28" w:type="dxa"/>
              <w:right w:w="28" w:type="dxa"/>
            </w:tcMar>
            <w:vAlign w:val="center"/>
          </w:tcPr>
          <w:p w14:paraId="0D5DF86C">
            <w:pPr>
              <w:spacing w:after="0" w:line="240" w:lineRule="auto"/>
              <w:ind w:firstLine="0"/>
              <w:rPr>
                <w:sz w:val="20"/>
                <w:szCs w:val="20"/>
              </w:rPr>
            </w:pPr>
            <w:r>
              <w:rPr>
                <w:sz w:val="20"/>
                <w:szCs w:val="20"/>
              </w:rPr>
              <w:t>Температура воды на выходе из котла</w:t>
            </w:r>
          </w:p>
        </w:tc>
        <w:tc>
          <w:tcPr>
            <w:tcW w:w="788" w:type="pct"/>
            <w:shd w:val="clear" w:color="auto" w:fill="auto"/>
            <w:noWrap/>
            <w:tcMar>
              <w:left w:w="28" w:type="dxa"/>
              <w:right w:w="28" w:type="dxa"/>
            </w:tcMar>
            <w:vAlign w:val="center"/>
          </w:tcPr>
          <w:p w14:paraId="3E8BE0CC">
            <w:pPr>
              <w:spacing w:after="0" w:line="240" w:lineRule="auto"/>
              <w:ind w:firstLine="0"/>
              <w:jc w:val="center"/>
              <w:rPr>
                <w:sz w:val="20"/>
                <w:szCs w:val="20"/>
              </w:rPr>
            </w:pPr>
            <w:r>
              <w:rPr>
                <w:sz w:val="20"/>
                <w:szCs w:val="20"/>
                <w:vertAlign w:val="superscript"/>
              </w:rPr>
              <w:t>о</w:t>
            </w:r>
            <w:r>
              <w:rPr>
                <w:sz w:val="20"/>
                <w:szCs w:val="20"/>
              </w:rPr>
              <w:t>С</w:t>
            </w:r>
          </w:p>
        </w:tc>
        <w:tc>
          <w:tcPr>
            <w:tcW w:w="1537" w:type="pct"/>
            <w:gridSpan w:val="3"/>
            <w:shd w:val="clear" w:color="auto" w:fill="auto"/>
            <w:noWrap/>
            <w:tcMar>
              <w:left w:w="28" w:type="dxa"/>
              <w:right w:w="28" w:type="dxa"/>
            </w:tcMar>
            <w:vAlign w:val="center"/>
          </w:tcPr>
          <w:p w14:paraId="060AD201">
            <w:pPr>
              <w:spacing w:after="0" w:line="240" w:lineRule="auto"/>
              <w:ind w:firstLine="0"/>
              <w:jc w:val="center"/>
              <w:rPr>
                <w:sz w:val="20"/>
                <w:szCs w:val="20"/>
              </w:rPr>
            </w:pPr>
            <w:r>
              <w:rPr>
                <w:sz w:val="20"/>
                <w:szCs w:val="20"/>
              </w:rPr>
              <w:t>Не более 90</w:t>
            </w:r>
          </w:p>
        </w:tc>
      </w:tr>
      <w:tr w14:paraId="3D29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C45617B">
            <w:pPr>
              <w:spacing w:after="0" w:line="240" w:lineRule="auto"/>
              <w:ind w:firstLine="0"/>
              <w:jc w:val="center"/>
              <w:rPr>
                <w:sz w:val="20"/>
                <w:szCs w:val="20"/>
              </w:rPr>
            </w:pPr>
            <w:r>
              <w:rPr>
                <w:sz w:val="20"/>
                <w:szCs w:val="20"/>
              </w:rPr>
              <w:t>9</w:t>
            </w:r>
          </w:p>
        </w:tc>
        <w:tc>
          <w:tcPr>
            <w:tcW w:w="2343" w:type="pct"/>
            <w:shd w:val="clear" w:color="auto" w:fill="auto"/>
            <w:tcMar>
              <w:left w:w="28" w:type="dxa"/>
              <w:right w:w="28" w:type="dxa"/>
            </w:tcMar>
            <w:vAlign w:val="center"/>
          </w:tcPr>
          <w:p w14:paraId="5516E661">
            <w:pPr>
              <w:spacing w:after="0" w:line="240" w:lineRule="auto"/>
              <w:ind w:firstLine="0"/>
              <w:rPr>
                <w:sz w:val="20"/>
                <w:szCs w:val="20"/>
              </w:rPr>
            </w:pPr>
            <w:r>
              <w:rPr>
                <w:sz w:val="20"/>
                <w:szCs w:val="20"/>
              </w:rPr>
              <w:t>Температура уходящих газов</w:t>
            </w:r>
          </w:p>
        </w:tc>
        <w:tc>
          <w:tcPr>
            <w:tcW w:w="788" w:type="pct"/>
            <w:shd w:val="clear" w:color="auto" w:fill="auto"/>
            <w:noWrap/>
            <w:tcMar>
              <w:left w:w="28" w:type="dxa"/>
              <w:right w:w="28" w:type="dxa"/>
            </w:tcMar>
            <w:vAlign w:val="center"/>
          </w:tcPr>
          <w:p w14:paraId="66B7BDFB">
            <w:pPr>
              <w:spacing w:after="0" w:line="240" w:lineRule="auto"/>
              <w:ind w:firstLine="0"/>
              <w:jc w:val="center"/>
              <w:rPr>
                <w:sz w:val="20"/>
                <w:szCs w:val="20"/>
              </w:rPr>
            </w:pPr>
            <w:r>
              <w:rPr>
                <w:sz w:val="20"/>
                <w:szCs w:val="20"/>
                <w:vertAlign w:val="superscript"/>
              </w:rPr>
              <w:t>о</w:t>
            </w:r>
            <w:r>
              <w:rPr>
                <w:sz w:val="20"/>
                <w:szCs w:val="20"/>
              </w:rPr>
              <w:t>С</w:t>
            </w:r>
          </w:p>
        </w:tc>
        <w:tc>
          <w:tcPr>
            <w:tcW w:w="595" w:type="pct"/>
            <w:shd w:val="clear" w:color="auto" w:fill="auto"/>
            <w:noWrap/>
            <w:tcMar>
              <w:left w:w="28" w:type="dxa"/>
              <w:right w:w="28" w:type="dxa"/>
            </w:tcMar>
            <w:vAlign w:val="center"/>
          </w:tcPr>
          <w:p w14:paraId="72B99A59">
            <w:pPr>
              <w:spacing w:after="0" w:line="240" w:lineRule="auto"/>
              <w:ind w:firstLine="0"/>
              <w:jc w:val="center"/>
              <w:rPr>
                <w:sz w:val="20"/>
                <w:szCs w:val="20"/>
              </w:rPr>
            </w:pPr>
            <w:r>
              <w:rPr>
                <w:sz w:val="20"/>
                <w:szCs w:val="20"/>
              </w:rPr>
              <w:t>125</w:t>
            </w:r>
          </w:p>
        </w:tc>
        <w:tc>
          <w:tcPr>
            <w:tcW w:w="472" w:type="pct"/>
            <w:shd w:val="clear" w:color="auto" w:fill="auto"/>
            <w:noWrap/>
            <w:tcMar>
              <w:left w:w="28" w:type="dxa"/>
              <w:right w:w="28" w:type="dxa"/>
            </w:tcMar>
            <w:vAlign w:val="center"/>
          </w:tcPr>
          <w:p w14:paraId="26B05121">
            <w:pPr>
              <w:spacing w:after="0" w:line="240" w:lineRule="auto"/>
              <w:ind w:firstLine="0"/>
              <w:jc w:val="center"/>
              <w:rPr>
                <w:sz w:val="20"/>
                <w:szCs w:val="20"/>
              </w:rPr>
            </w:pPr>
            <w:r>
              <w:rPr>
                <w:sz w:val="20"/>
                <w:szCs w:val="20"/>
              </w:rPr>
              <w:t>170</w:t>
            </w:r>
          </w:p>
        </w:tc>
        <w:tc>
          <w:tcPr>
            <w:tcW w:w="470" w:type="pct"/>
            <w:tcMar>
              <w:left w:w="28" w:type="dxa"/>
              <w:right w:w="28" w:type="dxa"/>
            </w:tcMar>
            <w:vAlign w:val="center"/>
          </w:tcPr>
          <w:p w14:paraId="33E766F8">
            <w:pPr>
              <w:spacing w:after="0" w:line="240" w:lineRule="auto"/>
              <w:ind w:firstLine="0"/>
              <w:jc w:val="center"/>
              <w:rPr>
                <w:sz w:val="20"/>
                <w:szCs w:val="20"/>
              </w:rPr>
            </w:pPr>
            <w:r>
              <w:rPr>
                <w:sz w:val="20"/>
                <w:szCs w:val="20"/>
              </w:rPr>
              <w:t>181</w:t>
            </w:r>
          </w:p>
        </w:tc>
      </w:tr>
      <w:tr w14:paraId="10EF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B4BBFBD">
            <w:pPr>
              <w:spacing w:after="0" w:line="240" w:lineRule="auto"/>
              <w:ind w:firstLine="0"/>
              <w:jc w:val="center"/>
              <w:rPr>
                <w:sz w:val="20"/>
                <w:szCs w:val="20"/>
              </w:rPr>
            </w:pPr>
            <w:r>
              <w:rPr>
                <w:sz w:val="20"/>
                <w:szCs w:val="20"/>
              </w:rPr>
              <w:t>10</w:t>
            </w:r>
          </w:p>
        </w:tc>
        <w:tc>
          <w:tcPr>
            <w:tcW w:w="2343" w:type="pct"/>
            <w:shd w:val="clear" w:color="auto" w:fill="auto"/>
            <w:tcMar>
              <w:left w:w="28" w:type="dxa"/>
              <w:right w:w="28" w:type="dxa"/>
            </w:tcMar>
            <w:vAlign w:val="center"/>
          </w:tcPr>
          <w:p w14:paraId="6C8F491A">
            <w:pPr>
              <w:spacing w:after="0" w:line="240" w:lineRule="auto"/>
              <w:ind w:firstLine="0"/>
              <w:rPr>
                <w:sz w:val="20"/>
                <w:szCs w:val="20"/>
              </w:rPr>
            </w:pPr>
            <w:r>
              <w:rPr>
                <w:sz w:val="20"/>
                <w:szCs w:val="20"/>
              </w:rPr>
              <w:t>Состав уходящих газов после котлоагрегата</w:t>
            </w:r>
          </w:p>
        </w:tc>
        <w:tc>
          <w:tcPr>
            <w:tcW w:w="788" w:type="pct"/>
            <w:shd w:val="clear" w:color="auto" w:fill="auto"/>
            <w:noWrap/>
            <w:tcMar>
              <w:left w:w="28" w:type="dxa"/>
              <w:right w:w="28" w:type="dxa"/>
            </w:tcMar>
            <w:vAlign w:val="center"/>
          </w:tcPr>
          <w:p w14:paraId="17F74A82">
            <w:pPr>
              <w:spacing w:after="0" w:line="240" w:lineRule="auto"/>
              <w:ind w:firstLine="0"/>
              <w:jc w:val="center"/>
              <w:rPr>
                <w:sz w:val="20"/>
                <w:szCs w:val="20"/>
              </w:rPr>
            </w:pPr>
            <w:r>
              <w:rPr>
                <w:sz w:val="20"/>
                <w:szCs w:val="20"/>
              </w:rPr>
              <w:t> </w:t>
            </w:r>
          </w:p>
        </w:tc>
        <w:tc>
          <w:tcPr>
            <w:tcW w:w="595" w:type="pct"/>
            <w:shd w:val="clear" w:color="auto" w:fill="auto"/>
            <w:noWrap/>
            <w:tcMar>
              <w:left w:w="28" w:type="dxa"/>
              <w:right w:w="28" w:type="dxa"/>
            </w:tcMar>
            <w:vAlign w:val="center"/>
          </w:tcPr>
          <w:p w14:paraId="7D040A4E">
            <w:pPr>
              <w:spacing w:after="0" w:line="240" w:lineRule="auto"/>
              <w:ind w:firstLine="0"/>
              <w:jc w:val="center"/>
              <w:rPr>
                <w:sz w:val="20"/>
                <w:szCs w:val="20"/>
              </w:rPr>
            </w:pPr>
          </w:p>
        </w:tc>
        <w:tc>
          <w:tcPr>
            <w:tcW w:w="472" w:type="pct"/>
            <w:shd w:val="clear" w:color="auto" w:fill="auto"/>
            <w:noWrap/>
            <w:tcMar>
              <w:left w:w="28" w:type="dxa"/>
              <w:right w:w="28" w:type="dxa"/>
            </w:tcMar>
            <w:vAlign w:val="center"/>
          </w:tcPr>
          <w:p w14:paraId="07C79D52">
            <w:pPr>
              <w:spacing w:after="0" w:line="240" w:lineRule="auto"/>
              <w:ind w:firstLine="0"/>
              <w:jc w:val="center"/>
              <w:rPr>
                <w:sz w:val="20"/>
                <w:szCs w:val="20"/>
              </w:rPr>
            </w:pPr>
          </w:p>
        </w:tc>
        <w:tc>
          <w:tcPr>
            <w:tcW w:w="470" w:type="pct"/>
            <w:tcMar>
              <w:left w:w="28" w:type="dxa"/>
              <w:right w:w="28" w:type="dxa"/>
            </w:tcMar>
            <w:vAlign w:val="center"/>
          </w:tcPr>
          <w:p w14:paraId="651A8471">
            <w:pPr>
              <w:spacing w:after="0" w:line="240" w:lineRule="auto"/>
              <w:ind w:firstLine="0"/>
              <w:jc w:val="center"/>
              <w:rPr>
                <w:sz w:val="20"/>
                <w:szCs w:val="20"/>
              </w:rPr>
            </w:pPr>
          </w:p>
        </w:tc>
      </w:tr>
      <w:tr w14:paraId="4A40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3F61C2A">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00D14683">
            <w:pPr>
              <w:spacing w:after="0" w:line="240" w:lineRule="auto"/>
              <w:ind w:firstLine="0"/>
              <w:jc w:val="right"/>
              <w:rPr>
                <w:sz w:val="20"/>
                <w:szCs w:val="20"/>
              </w:rPr>
            </w:pPr>
            <w:r>
              <w:rPr>
                <w:sz w:val="20"/>
                <w:szCs w:val="20"/>
              </w:rPr>
              <w:t>углекислый газ CO</w:t>
            </w:r>
            <w:r>
              <w:rPr>
                <w:sz w:val="20"/>
                <w:szCs w:val="20"/>
                <w:vertAlign w:val="subscript"/>
              </w:rPr>
              <w:t>2</w:t>
            </w:r>
          </w:p>
        </w:tc>
        <w:tc>
          <w:tcPr>
            <w:tcW w:w="788" w:type="pct"/>
            <w:shd w:val="clear" w:color="auto" w:fill="auto"/>
            <w:noWrap/>
            <w:tcMar>
              <w:left w:w="28" w:type="dxa"/>
              <w:right w:w="28" w:type="dxa"/>
            </w:tcMar>
            <w:vAlign w:val="center"/>
          </w:tcPr>
          <w:p w14:paraId="0A65E223">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64D07B40">
            <w:pPr>
              <w:spacing w:after="0" w:line="240" w:lineRule="auto"/>
              <w:ind w:firstLine="0"/>
              <w:jc w:val="center"/>
              <w:rPr>
                <w:sz w:val="20"/>
                <w:szCs w:val="20"/>
              </w:rPr>
            </w:pPr>
            <w:r>
              <w:rPr>
                <w:sz w:val="20"/>
                <w:szCs w:val="20"/>
              </w:rPr>
              <w:t>6,3</w:t>
            </w:r>
          </w:p>
        </w:tc>
        <w:tc>
          <w:tcPr>
            <w:tcW w:w="472" w:type="pct"/>
            <w:shd w:val="clear" w:color="auto" w:fill="auto"/>
            <w:noWrap/>
            <w:tcMar>
              <w:left w:w="28" w:type="dxa"/>
              <w:right w:w="28" w:type="dxa"/>
            </w:tcMar>
            <w:vAlign w:val="center"/>
          </w:tcPr>
          <w:p w14:paraId="6FADA2D8">
            <w:pPr>
              <w:spacing w:after="0" w:line="240" w:lineRule="auto"/>
              <w:ind w:firstLine="0"/>
              <w:jc w:val="center"/>
              <w:rPr>
                <w:sz w:val="20"/>
                <w:szCs w:val="20"/>
              </w:rPr>
            </w:pPr>
            <w:r>
              <w:rPr>
                <w:sz w:val="20"/>
                <w:szCs w:val="20"/>
              </w:rPr>
              <w:t>9,4</w:t>
            </w:r>
          </w:p>
        </w:tc>
        <w:tc>
          <w:tcPr>
            <w:tcW w:w="470" w:type="pct"/>
            <w:tcMar>
              <w:left w:w="28" w:type="dxa"/>
              <w:right w:w="28" w:type="dxa"/>
            </w:tcMar>
            <w:vAlign w:val="center"/>
          </w:tcPr>
          <w:p w14:paraId="083F11DF">
            <w:pPr>
              <w:spacing w:after="0" w:line="240" w:lineRule="auto"/>
              <w:ind w:firstLine="0"/>
              <w:jc w:val="center"/>
              <w:rPr>
                <w:sz w:val="20"/>
                <w:szCs w:val="20"/>
              </w:rPr>
            </w:pPr>
            <w:r>
              <w:rPr>
                <w:sz w:val="20"/>
                <w:szCs w:val="20"/>
              </w:rPr>
              <w:t>10,4</w:t>
            </w:r>
          </w:p>
        </w:tc>
      </w:tr>
      <w:tr w14:paraId="05AF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D1B6472">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1A546066">
            <w:pPr>
              <w:spacing w:after="0" w:line="240" w:lineRule="auto"/>
              <w:ind w:firstLine="0"/>
              <w:jc w:val="right"/>
              <w:rPr>
                <w:sz w:val="20"/>
                <w:szCs w:val="20"/>
              </w:rPr>
            </w:pPr>
            <w:r>
              <w:rPr>
                <w:sz w:val="20"/>
                <w:szCs w:val="20"/>
              </w:rPr>
              <w:t>кислород O</w:t>
            </w:r>
            <w:r>
              <w:rPr>
                <w:sz w:val="20"/>
                <w:szCs w:val="20"/>
                <w:vertAlign w:val="subscript"/>
              </w:rPr>
              <w:t>2</w:t>
            </w:r>
          </w:p>
        </w:tc>
        <w:tc>
          <w:tcPr>
            <w:tcW w:w="788" w:type="pct"/>
            <w:shd w:val="clear" w:color="auto" w:fill="auto"/>
            <w:noWrap/>
            <w:tcMar>
              <w:left w:w="28" w:type="dxa"/>
              <w:right w:w="28" w:type="dxa"/>
            </w:tcMar>
            <w:vAlign w:val="center"/>
          </w:tcPr>
          <w:p w14:paraId="530B0B17">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6CDC9A15">
            <w:pPr>
              <w:spacing w:after="0" w:line="240" w:lineRule="auto"/>
              <w:ind w:firstLine="0"/>
              <w:jc w:val="center"/>
              <w:rPr>
                <w:sz w:val="20"/>
                <w:szCs w:val="20"/>
              </w:rPr>
            </w:pPr>
            <w:r>
              <w:rPr>
                <w:sz w:val="20"/>
                <w:szCs w:val="20"/>
              </w:rPr>
              <w:t>9,9</w:t>
            </w:r>
          </w:p>
        </w:tc>
        <w:tc>
          <w:tcPr>
            <w:tcW w:w="472" w:type="pct"/>
            <w:shd w:val="clear" w:color="auto" w:fill="auto"/>
            <w:noWrap/>
            <w:tcMar>
              <w:left w:w="28" w:type="dxa"/>
              <w:right w:w="28" w:type="dxa"/>
            </w:tcMar>
            <w:vAlign w:val="center"/>
          </w:tcPr>
          <w:p w14:paraId="2EA868D1">
            <w:pPr>
              <w:spacing w:after="0" w:line="240" w:lineRule="auto"/>
              <w:ind w:firstLine="0"/>
              <w:jc w:val="center"/>
              <w:rPr>
                <w:sz w:val="20"/>
                <w:szCs w:val="20"/>
              </w:rPr>
            </w:pPr>
            <w:r>
              <w:rPr>
                <w:sz w:val="20"/>
                <w:szCs w:val="20"/>
              </w:rPr>
              <w:t>4,2</w:t>
            </w:r>
          </w:p>
        </w:tc>
        <w:tc>
          <w:tcPr>
            <w:tcW w:w="470" w:type="pct"/>
            <w:tcMar>
              <w:left w:w="28" w:type="dxa"/>
              <w:right w:w="28" w:type="dxa"/>
            </w:tcMar>
            <w:vAlign w:val="center"/>
          </w:tcPr>
          <w:p w14:paraId="17821926">
            <w:pPr>
              <w:spacing w:after="0" w:line="240" w:lineRule="auto"/>
              <w:ind w:firstLine="0"/>
              <w:jc w:val="center"/>
              <w:rPr>
                <w:sz w:val="20"/>
                <w:szCs w:val="20"/>
              </w:rPr>
            </w:pPr>
            <w:r>
              <w:rPr>
                <w:sz w:val="20"/>
                <w:szCs w:val="20"/>
              </w:rPr>
              <w:t>3,8</w:t>
            </w:r>
          </w:p>
        </w:tc>
      </w:tr>
      <w:tr w14:paraId="5E7A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1FA095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44AE1A89">
            <w:pPr>
              <w:spacing w:after="0" w:line="240" w:lineRule="auto"/>
              <w:ind w:firstLine="0"/>
              <w:jc w:val="right"/>
              <w:rPr>
                <w:sz w:val="20"/>
                <w:szCs w:val="20"/>
              </w:rPr>
            </w:pPr>
            <w:r>
              <w:rPr>
                <w:sz w:val="20"/>
                <w:szCs w:val="20"/>
              </w:rPr>
              <w:t>окись углерода CO</w:t>
            </w:r>
          </w:p>
        </w:tc>
        <w:tc>
          <w:tcPr>
            <w:tcW w:w="788" w:type="pct"/>
            <w:shd w:val="clear" w:color="auto" w:fill="auto"/>
            <w:noWrap/>
            <w:tcMar>
              <w:left w:w="28" w:type="dxa"/>
              <w:right w:w="28" w:type="dxa"/>
            </w:tcMar>
            <w:vAlign w:val="center"/>
          </w:tcPr>
          <w:p w14:paraId="5AB12E57">
            <w:pPr>
              <w:spacing w:after="0" w:line="240" w:lineRule="auto"/>
              <w:ind w:firstLine="0"/>
              <w:jc w:val="center"/>
              <w:rPr>
                <w:sz w:val="20"/>
                <w:szCs w:val="20"/>
              </w:rPr>
            </w:pPr>
            <w:r>
              <w:rPr>
                <w:sz w:val="20"/>
                <w:szCs w:val="20"/>
              </w:rPr>
              <w:t>ррм</w:t>
            </w:r>
          </w:p>
        </w:tc>
        <w:tc>
          <w:tcPr>
            <w:tcW w:w="595" w:type="pct"/>
            <w:shd w:val="clear" w:color="auto" w:fill="auto"/>
            <w:noWrap/>
            <w:tcMar>
              <w:left w:w="28" w:type="dxa"/>
              <w:right w:w="28" w:type="dxa"/>
            </w:tcMar>
            <w:vAlign w:val="center"/>
          </w:tcPr>
          <w:p w14:paraId="38D9B20B">
            <w:pPr>
              <w:spacing w:after="0" w:line="240" w:lineRule="auto"/>
              <w:ind w:firstLine="0"/>
              <w:jc w:val="center"/>
              <w:rPr>
                <w:sz w:val="20"/>
                <w:szCs w:val="20"/>
              </w:rPr>
            </w:pPr>
            <w:r>
              <w:rPr>
                <w:sz w:val="20"/>
                <w:szCs w:val="20"/>
              </w:rPr>
              <w:t>17</w:t>
            </w:r>
          </w:p>
        </w:tc>
        <w:tc>
          <w:tcPr>
            <w:tcW w:w="472" w:type="pct"/>
            <w:shd w:val="clear" w:color="auto" w:fill="auto"/>
            <w:noWrap/>
            <w:tcMar>
              <w:left w:w="28" w:type="dxa"/>
              <w:right w:w="28" w:type="dxa"/>
            </w:tcMar>
            <w:vAlign w:val="center"/>
          </w:tcPr>
          <w:p w14:paraId="3163A089">
            <w:pPr>
              <w:spacing w:after="0" w:line="240" w:lineRule="auto"/>
              <w:ind w:firstLine="0"/>
              <w:jc w:val="center"/>
              <w:rPr>
                <w:sz w:val="20"/>
                <w:szCs w:val="20"/>
              </w:rPr>
            </w:pPr>
            <w:r>
              <w:rPr>
                <w:sz w:val="20"/>
                <w:szCs w:val="20"/>
              </w:rPr>
              <w:t>11</w:t>
            </w:r>
          </w:p>
        </w:tc>
        <w:tc>
          <w:tcPr>
            <w:tcW w:w="470" w:type="pct"/>
            <w:tcMar>
              <w:left w:w="28" w:type="dxa"/>
              <w:right w:w="28" w:type="dxa"/>
            </w:tcMar>
            <w:vAlign w:val="center"/>
          </w:tcPr>
          <w:p w14:paraId="62D27EE5">
            <w:pPr>
              <w:spacing w:after="0" w:line="240" w:lineRule="auto"/>
              <w:ind w:firstLine="0"/>
              <w:jc w:val="center"/>
              <w:rPr>
                <w:sz w:val="20"/>
                <w:szCs w:val="20"/>
              </w:rPr>
            </w:pPr>
            <w:r>
              <w:rPr>
                <w:sz w:val="20"/>
                <w:szCs w:val="20"/>
              </w:rPr>
              <w:t>8</w:t>
            </w:r>
          </w:p>
        </w:tc>
      </w:tr>
      <w:tr w14:paraId="30A7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E82D57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79775EFE">
            <w:pPr>
              <w:spacing w:after="0" w:line="240" w:lineRule="auto"/>
              <w:ind w:firstLine="0"/>
              <w:jc w:val="right"/>
              <w:rPr>
                <w:sz w:val="20"/>
                <w:szCs w:val="20"/>
              </w:rPr>
            </w:pPr>
            <w:r>
              <w:rPr>
                <w:sz w:val="20"/>
                <w:szCs w:val="20"/>
              </w:rPr>
              <w:t xml:space="preserve">окись азота </w:t>
            </w:r>
            <w:r>
              <w:rPr>
                <w:sz w:val="20"/>
                <w:szCs w:val="20"/>
                <w:lang w:val="en-US"/>
              </w:rPr>
              <w:t>N</w:t>
            </w:r>
            <w:r>
              <w:rPr>
                <w:sz w:val="20"/>
                <w:szCs w:val="20"/>
              </w:rPr>
              <w:t>O</w:t>
            </w:r>
          </w:p>
        </w:tc>
        <w:tc>
          <w:tcPr>
            <w:tcW w:w="788" w:type="pct"/>
            <w:shd w:val="clear" w:color="auto" w:fill="auto"/>
            <w:noWrap/>
            <w:tcMar>
              <w:left w:w="28" w:type="dxa"/>
              <w:right w:w="28" w:type="dxa"/>
            </w:tcMar>
            <w:vAlign w:val="center"/>
          </w:tcPr>
          <w:p w14:paraId="382C5883">
            <w:pPr>
              <w:spacing w:after="0" w:line="240" w:lineRule="auto"/>
              <w:ind w:firstLine="0"/>
              <w:jc w:val="center"/>
              <w:rPr>
                <w:sz w:val="20"/>
                <w:szCs w:val="20"/>
              </w:rPr>
            </w:pPr>
            <w:r>
              <w:rPr>
                <w:sz w:val="20"/>
                <w:szCs w:val="20"/>
              </w:rPr>
              <w:t>ррм</w:t>
            </w:r>
          </w:p>
        </w:tc>
        <w:tc>
          <w:tcPr>
            <w:tcW w:w="595" w:type="pct"/>
            <w:shd w:val="clear" w:color="auto" w:fill="auto"/>
            <w:noWrap/>
            <w:tcMar>
              <w:left w:w="28" w:type="dxa"/>
              <w:right w:w="28" w:type="dxa"/>
            </w:tcMar>
            <w:vAlign w:val="center"/>
          </w:tcPr>
          <w:p w14:paraId="0E9B0BA4">
            <w:pPr>
              <w:spacing w:after="0" w:line="240" w:lineRule="auto"/>
              <w:ind w:firstLine="0"/>
              <w:jc w:val="center"/>
              <w:rPr>
                <w:sz w:val="20"/>
                <w:szCs w:val="20"/>
                <w:lang w:val="en-US"/>
              </w:rPr>
            </w:pPr>
            <w:r>
              <w:rPr>
                <w:sz w:val="20"/>
                <w:szCs w:val="20"/>
                <w:lang w:val="en-US"/>
              </w:rPr>
              <w:t>22</w:t>
            </w:r>
          </w:p>
        </w:tc>
        <w:tc>
          <w:tcPr>
            <w:tcW w:w="472" w:type="pct"/>
            <w:shd w:val="clear" w:color="auto" w:fill="auto"/>
            <w:noWrap/>
            <w:tcMar>
              <w:left w:w="28" w:type="dxa"/>
              <w:right w:w="28" w:type="dxa"/>
            </w:tcMar>
            <w:vAlign w:val="center"/>
          </w:tcPr>
          <w:p w14:paraId="3B2E176C">
            <w:pPr>
              <w:spacing w:after="0" w:line="240" w:lineRule="auto"/>
              <w:ind w:firstLine="0"/>
              <w:jc w:val="center"/>
              <w:rPr>
                <w:sz w:val="20"/>
                <w:szCs w:val="20"/>
                <w:lang w:val="en-US"/>
              </w:rPr>
            </w:pPr>
            <w:r>
              <w:rPr>
                <w:sz w:val="20"/>
                <w:szCs w:val="20"/>
                <w:lang w:val="en-US"/>
              </w:rPr>
              <w:t>56</w:t>
            </w:r>
          </w:p>
        </w:tc>
        <w:tc>
          <w:tcPr>
            <w:tcW w:w="470" w:type="pct"/>
            <w:tcMar>
              <w:left w:w="28" w:type="dxa"/>
              <w:right w:w="28" w:type="dxa"/>
            </w:tcMar>
            <w:vAlign w:val="center"/>
          </w:tcPr>
          <w:p w14:paraId="29CBCF78">
            <w:pPr>
              <w:spacing w:after="0" w:line="240" w:lineRule="auto"/>
              <w:ind w:firstLine="0"/>
              <w:jc w:val="center"/>
              <w:rPr>
                <w:sz w:val="20"/>
                <w:szCs w:val="20"/>
                <w:lang w:val="en-US"/>
              </w:rPr>
            </w:pPr>
            <w:r>
              <w:rPr>
                <w:sz w:val="20"/>
                <w:szCs w:val="20"/>
                <w:lang w:val="en-US"/>
              </w:rPr>
              <w:t>65</w:t>
            </w:r>
          </w:p>
        </w:tc>
      </w:tr>
      <w:tr w14:paraId="7D2F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676ADED">
            <w:pPr>
              <w:spacing w:after="0" w:line="240" w:lineRule="auto"/>
              <w:ind w:firstLine="0"/>
              <w:jc w:val="center"/>
              <w:rPr>
                <w:sz w:val="20"/>
                <w:szCs w:val="20"/>
              </w:rPr>
            </w:pPr>
            <w:r>
              <w:rPr>
                <w:sz w:val="20"/>
                <w:szCs w:val="20"/>
              </w:rPr>
              <w:t>11</w:t>
            </w:r>
          </w:p>
        </w:tc>
        <w:tc>
          <w:tcPr>
            <w:tcW w:w="2343" w:type="pct"/>
            <w:shd w:val="clear" w:color="auto" w:fill="auto"/>
            <w:tcMar>
              <w:left w:w="28" w:type="dxa"/>
              <w:right w:w="28" w:type="dxa"/>
            </w:tcMar>
            <w:vAlign w:val="center"/>
          </w:tcPr>
          <w:p w14:paraId="44574CBD">
            <w:pPr>
              <w:spacing w:after="0" w:line="240" w:lineRule="auto"/>
              <w:ind w:firstLine="0"/>
              <w:rPr>
                <w:sz w:val="20"/>
                <w:szCs w:val="20"/>
              </w:rPr>
            </w:pPr>
            <w:r>
              <w:rPr>
                <w:sz w:val="20"/>
                <w:szCs w:val="20"/>
              </w:rPr>
              <w:t>Коэфф. избытка воздуха</w:t>
            </w:r>
          </w:p>
        </w:tc>
        <w:tc>
          <w:tcPr>
            <w:tcW w:w="788" w:type="pct"/>
            <w:shd w:val="clear" w:color="auto" w:fill="auto"/>
            <w:noWrap/>
            <w:tcMar>
              <w:left w:w="28" w:type="dxa"/>
              <w:right w:w="28" w:type="dxa"/>
            </w:tcMar>
            <w:vAlign w:val="center"/>
          </w:tcPr>
          <w:p w14:paraId="03671E38">
            <w:pPr>
              <w:spacing w:after="0" w:line="240" w:lineRule="auto"/>
              <w:ind w:firstLine="0"/>
              <w:jc w:val="center"/>
              <w:rPr>
                <w:sz w:val="20"/>
                <w:szCs w:val="20"/>
              </w:rPr>
            </w:pPr>
          </w:p>
        </w:tc>
        <w:tc>
          <w:tcPr>
            <w:tcW w:w="595" w:type="pct"/>
            <w:shd w:val="clear" w:color="auto" w:fill="auto"/>
            <w:noWrap/>
            <w:tcMar>
              <w:left w:w="28" w:type="dxa"/>
              <w:right w:w="28" w:type="dxa"/>
            </w:tcMar>
            <w:vAlign w:val="center"/>
          </w:tcPr>
          <w:p w14:paraId="7F40B7D1">
            <w:pPr>
              <w:spacing w:after="0" w:line="240" w:lineRule="auto"/>
              <w:ind w:firstLine="0"/>
              <w:jc w:val="center"/>
              <w:rPr>
                <w:sz w:val="20"/>
                <w:szCs w:val="20"/>
              </w:rPr>
            </w:pPr>
            <w:r>
              <w:rPr>
                <w:sz w:val="20"/>
                <w:szCs w:val="20"/>
                <w:lang w:val="en-US"/>
              </w:rPr>
              <w:t>1</w:t>
            </w:r>
            <w:r>
              <w:rPr>
                <w:sz w:val="20"/>
                <w:szCs w:val="20"/>
              </w:rPr>
              <w:t>,89</w:t>
            </w:r>
          </w:p>
        </w:tc>
        <w:tc>
          <w:tcPr>
            <w:tcW w:w="472" w:type="pct"/>
            <w:shd w:val="clear" w:color="auto" w:fill="auto"/>
            <w:noWrap/>
            <w:tcMar>
              <w:left w:w="28" w:type="dxa"/>
              <w:right w:w="28" w:type="dxa"/>
            </w:tcMar>
            <w:vAlign w:val="center"/>
          </w:tcPr>
          <w:p w14:paraId="50FA7E74">
            <w:pPr>
              <w:spacing w:after="0" w:line="240" w:lineRule="auto"/>
              <w:ind w:firstLine="0"/>
              <w:jc w:val="center"/>
              <w:rPr>
                <w:sz w:val="20"/>
                <w:szCs w:val="20"/>
              </w:rPr>
            </w:pPr>
            <w:r>
              <w:rPr>
                <w:sz w:val="20"/>
                <w:szCs w:val="20"/>
              </w:rPr>
              <w:t>1,26</w:t>
            </w:r>
          </w:p>
        </w:tc>
        <w:tc>
          <w:tcPr>
            <w:tcW w:w="470" w:type="pct"/>
            <w:tcMar>
              <w:left w:w="28" w:type="dxa"/>
              <w:right w:w="28" w:type="dxa"/>
            </w:tcMar>
            <w:vAlign w:val="center"/>
          </w:tcPr>
          <w:p w14:paraId="7C95CB8B">
            <w:pPr>
              <w:spacing w:after="0" w:line="240" w:lineRule="auto"/>
              <w:ind w:firstLine="0"/>
              <w:jc w:val="center"/>
              <w:rPr>
                <w:sz w:val="20"/>
                <w:szCs w:val="20"/>
              </w:rPr>
            </w:pPr>
            <w:r>
              <w:rPr>
                <w:sz w:val="20"/>
                <w:szCs w:val="20"/>
              </w:rPr>
              <w:t>1,2</w:t>
            </w:r>
          </w:p>
        </w:tc>
      </w:tr>
      <w:tr w14:paraId="352B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9DCB93D">
            <w:pPr>
              <w:spacing w:after="0" w:line="240" w:lineRule="auto"/>
              <w:ind w:firstLine="0"/>
              <w:jc w:val="center"/>
              <w:rPr>
                <w:sz w:val="20"/>
                <w:szCs w:val="20"/>
              </w:rPr>
            </w:pPr>
            <w:r>
              <w:rPr>
                <w:sz w:val="20"/>
                <w:szCs w:val="20"/>
              </w:rPr>
              <w:t>12</w:t>
            </w:r>
          </w:p>
        </w:tc>
        <w:tc>
          <w:tcPr>
            <w:tcW w:w="2343" w:type="pct"/>
            <w:shd w:val="clear" w:color="auto" w:fill="auto"/>
            <w:tcMar>
              <w:left w:w="28" w:type="dxa"/>
              <w:right w:w="28" w:type="dxa"/>
            </w:tcMar>
            <w:vAlign w:val="center"/>
          </w:tcPr>
          <w:p w14:paraId="59FB201A">
            <w:pPr>
              <w:spacing w:after="0" w:line="240" w:lineRule="auto"/>
              <w:ind w:firstLine="0"/>
              <w:rPr>
                <w:sz w:val="20"/>
                <w:szCs w:val="20"/>
              </w:rPr>
            </w:pPr>
            <w:r>
              <w:rPr>
                <w:sz w:val="20"/>
                <w:szCs w:val="20"/>
              </w:rPr>
              <w:t>Потери тепла:</w:t>
            </w:r>
          </w:p>
        </w:tc>
        <w:tc>
          <w:tcPr>
            <w:tcW w:w="788" w:type="pct"/>
            <w:shd w:val="clear" w:color="auto" w:fill="auto"/>
            <w:noWrap/>
            <w:tcMar>
              <w:left w:w="28" w:type="dxa"/>
              <w:right w:w="28" w:type="dxa"/>
            </w:tcMar>
            <w:vAlign w:val="center"/>
          </w:tcPr>
          <w:p w14:paraId="7CACA412">
            <w:pPr>
              <w:spacing w:after="0" w:line="240" w:lineRule="auto"/>
              <w:ind w:firstLine="0"/>
              <w:jc w:val="center"/>
              <w:rPr>
                <w:sz w:val="20"/>
                <w:szCs w:val="20"/>
              </w:rPr>
            </w:pPr>
          </w:p>
        </w:tc>
        <w:tc>
          <w:tcPr>
            <w:tcW w:w="595" w:type="pct"/>
            <w:shd w:val="clear" w:color="auto" w:fill="auto"/>
            <w:noWrap/>
            <w:tcMar>
              <w:left w:w="28" w:type="dxa"/>
              <w:right w:w="28" w:type="dxa"/>
            </w:tcMar>
            <w:vAlign w:val="center"/>
          </w:tcPr>
          <w:p w14:paraId="6FCC6289">
            <w:pPr>
              <w:spacing w:after="0" w:line="240" w:lineRule="auto"/>
              <w:ind w:firstLine="0"/>
              <w:jc w:val="center"/>
              <w:rPr>
                <w:sz w:val="20"/>
                <w:szCs w:val="20"/>
              </w:rPr>
            </w:pPr>
          </w:p>
        </w:tc>
        <w:tc>
          <w:tcPr>
            <w:tcW w:w="472" w:type="pct"/>
            <w:shd w:val="clear" w:color="auto" w:fill="auto"/>
            <w:noWrap/>
            <w:tcMar>
              <w:left w:w="28" w:type="dxa"/>
              <w:right w:w="28" w:type="dxa"/>
            </w:tcMar>
            <w:vAlign w:val="center"/>
          </w:tcPr>
          <w:p w14:paraId="7C623BBD">
            <w:pPr>
              <w:spacing w:after="0" w:line="240" w:lineRule="auto"/>
              <w:ind w:firstLine="0"/>
              <w:jc w:val="center"/>
              <w:rPr>
                <w:sz w:val="20"/>
                <w:szCs w:val="20"/>
              </w:rPr>
            </w:pPr>
          </w:p>
        </w:tc>
        <w:tc>
          <w:tcPr>
            <w:tcW w:w="470" w:type="pct"/>
            <w:tcMar>
              <w:left w:w="28" w:type="dxa"/>
              <w:right w:w="28" w:type="dxa"/>
            </w:tcMar>
            <w:vAlign w:val="center"/>
          </w:tcPr>
          <w:p w14:paraId="2BDB3959">
            <w:pPr>
              <w:spacing w:after="0" w:line="240" w:lineRule="auto"/>
              <w:ind w:firstLine="0"/>
              <w:jc w:val="center"/>
              <w:rPr>
                <w:sz w:val="20"/>
                <w:szCs w:val="20"/>
              </w:rPr>
            </w:pPr>
          </w:p>
        </w:tc>
      </w:tr>
      <w:tr w14:paraId="7674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29D6EB8">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1C470E32">
            <w:pPr>
              <w:spacing w:after="0" w:line="240" w:lineRule="auto"/>
              <w:ind w:firstLine="0"/>
              <w:jc w:val="right"/>
              <w:rPr>
                <w:sz w:val="20"/>
                <w:szCs w:val="20"/>
              </w:rPr>
            </w:pPr>
            <w:r>
              <w:rPr>
                <w:sz w:val="20"/>
                <w:szCs w:val="20"/>
              </w:rPr>
              <w:t>с уходящими газами</w:t>
            </w:r>
          </w:p>
        </w:tc>
        <w:tc>
          <w:tcPr>
            <w:tcW w:w="788" w:type="pct"/>
            <w:shd w:val="clear" w:color="auto" w:fill="auto"/>
            <w:noWrap/>
            <w:tcMar>
              <w:left w:w="28" w:type="dxa"/>
              <w:right w:w="28" w:type="dxa"/>
            </w:tcMar>
            <w:vAlign w:val="center"/>
          </w:tcPr>
          <w:p w14:paraId="0265C3D9">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45583320">
            <w:pPr>
              <w:spacing w:after="0" w:line="240" w:lineRule="auto"/>
              <w:ind w:firstLine="0"/>
              <w:jc w:val="center"/>
              <w:rPr>
                <w:sz w:val="20"/>
                <w:szCs w:val="20"/>
              </w:rPr>
            </w:pPr>
            <w:r>
              <w:rPr>
                <w:sz w:val="20"/>
                <w:szCs w:val="20"/>
              </w:rPr>
              <w:t>7,21</w:t>
            </w:r>
          </w:p>
        </w:tc>
        <w:tc>
          <w:tcPr>
            <w:tcW w:w="472" w:type="pct"/>
            <w:shd w:val="clear" w:color="auto" w:fill="auto"/>
            <w:noWrap/>
            <w:tcMar>
              <w:left w:w="28" w:type="dxa"/>
              <w:right w:w="28" w:type="dxa"/>
            </w:tcMar>
            <w:vAlign w:val="center"/>
          </w:tcPr>
          <w:p w14:paraId="5E75837F">
            <w:pPr>
              <w:spacing w:after="0" w:line="240" w:lineRule="auto"/>
              <w:ind w:firstLine="0"/>
              <w:jc w:val="center"/>
              <w:rPr>
                <w:sz w:val="20"/>
                <w:szCs w:val="20"/>
              </w:rPr>
            </w:pPr>
            <w:r>
              <w:rPr>
                <w:sz w:val="20"/>
                <w:szCs w:val="20"/>
              </w:rPr>
              <w:t>7,81</w:t>
            </w:r>
          </w:p>
        </w:tc>
        <w:tc>
          <w:tcPr>
            <w:tcW w:w="470" w:type="pct"/>
            <w:tcMar>
              <w:left w:w="28" w:type="dxa"/>
              <w:right w:w="28" w:type="dxa"/>
            </w:tcMar>
            <w:vAlign w:val="center"/>
          </w:tcPr>
          <w:p w14:paraId="057E6920">
            <w:pPr>
              <w:spacing w:after="0" w:line="240" w:lineRule="auto"/>
              <w:ind w:firstLine="0"/>
              <w:jc w:val="center"/>
              <w:rPr>
                <w:sz w:val="20"/>
                <w:szCs w:val="20"/>
              </w:rPr>
            </w:pPr>
            <w:r>
              <w:rPr>
                <w:sz w:val="20"/>
                <w:szCs w:val="20"/>
              </w:rPr>
              <w:t>8,06</w:t>
            </w:r>
          </w:p>
        </w:tc>
      </w:tr>
      <w:tr w14:paraId="5AB3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B24F042">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57A3C79D">
            <w:pPr>
              <w:spacing w:after="0" w:line="240" w:lineRule="auto"/>
              <w:ind w:firstLine="0"/>
              <w:jc w:val="right"/>
              <w:rPr>
                <w:sz w:val="20"/>
                <w:szCs w:val="20"/>
              </w:rPr>
            </w:pPr>
            <w:r>
              <w:rPr>
                <w:sz w:val="20"/>
                <w:szCs w:val="20"/>
              </w:rPr>
              <w:t>от химнедожога</w:t>
            </w:r>
          </w:p>
        </w:tc>
        <w:tc>
          <w:tcPr>
            <w:tcW w:w="788" w:type="pct"/>
            <w:shd w:val="clear" w:color="auto" w:fill="auto"/>
            <w:noWrap/>
            <w:tcMar>
              <w:left w:w="28" w:type="dxa"/>
              <w:right w:w="28" w:type="dxa"/>
            </w:tcMar>
            <w:vAlign w:val="center"/>
          </w:tcPr>
          <w:p w14:paraId="2E574DF7">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745D5BE1">
            <w:pPr>
              <w:spacing w:after="0" w:line="240" w:lineRule="auto"/>
              <w:ind w:firstLine="0"/>
              <w:jc w:val="center"/>
              <w:rPr>
                <w:sz w:val="20"/>
                <w:szCs w:val="20"/>
              </w:rPr>
            </w:pPr>
            <w:r>
              <w:rPr>
                <w:sz w:val="20"/>
                <w:szCs w:val="20"/>
              </w:rPr>
              <w:t>0,05</w:t>
            </w:r>
          </w:p>
        </w:tc>
        <w:tc>
          <w:tcPr>
            <w:tcW w:w="472" w:type="pct"/>
            <w:shd w:val="clear" w:color="auto" w:fill="auto"/>
            <w:noWrap/>
            <w:tcMar>
              <w:left w:w="28" w:type="dxa"/>
              <w:right w:w="28" w:type="dxa"/>
            </w:tcMar>
            <w:vAlign w:val="center"/>
          </w:tcPr>
          <w:p w14:paraId="610B3E5F">
            <w:pPr>
              <w:spacing w:after="0" w:line="240" w:lineRule="auto"/>
              <w:ind w:firstLine="0"/>
              <w:jc w:val="center"/>
              <w:rPr>
                <w:sz w:val="20"/>
                <w:szCs w:val="20"/>
              </w:rPr>
            </w:pPr>
            <w:r>
              <w:rPr>
                <w:sz w:val="20"/>
                <w:szCs w:val="20"/>
              </w:rPr>
              <w:t>0,033</w:t>
            </w:r>
          </w:p>
        </w:tc>
        <w:tc>
          <w:tcPr>
            <w:tcW w:w="470" w:type="pct"/>
            <w:tcMar>
              <w:left w:w="28" w:type="dxa"/>
              <w:right w:w="28" w:type="dxa"/>
            </w:tcMar>
            <w:vAlign w:val="center"/>
          </w:tcPr>
          <w:p w14:paraId="1560971E">
            <w:pPr>
              <w:spacing w:after="0" w:line="240" w:lineRule="auto"/>
              <w:ind w:firstLine="0"/>
              <w:jc w:val="center"/>
              <w:rPr>
                <w:sz w:val="20"/>
                <w:szCs w:val="20"/>
              </w:rPr>
            </w:pPr>
            <w:r>
              <w:rPr>
                <w:sz w:val="20"/>
                <w:szCs w:val="20"/>
              </w:rPr>
              <w:t>0,033</w:t>
            </w:r>
          </w:p>
        </w:tc>
      </w:tr>
      <w:tr w14:paraId="7EA6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0444894">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3251510C">
            <w:pPr>
              <w:spacing w:after="0" w:line="240" w:lineRule="auto"/>
              <w:ind w:firstLine="0"/>
              <w:jc w:val="right"/>
              <w:rPr>
                <w:sz w:val="20"/>
                <w:szCs w:val="20"/>
              </w:rPr>
            </w:pPr>
            <w:r>
              <w:rPr>
                <w:sz w:val="20"/>
                <w:szCs w:val="20"/>
              </w:rPr>
              <w:t>в окр. среду</w:t>
            </w:r>
          </w:p>
        </w:tc>
        <w:tc>
          <w:tcPr>
            <w:tcW w:w="788" w:type="pct"/>
            <w:shd w:val="clear" w:color="auto" w:fill="auto"/>
            <w:noWrap/>
            <w:tcMar>
              <w:left w:w="28" w:type="dxa"/>
              <w:right w:w="28" w:type="dxa"/>
            </w:tcMar>
            <w:vAlign w:val="center"/>
          </w:tcPr>
          <w:p w14:paraId="3ACFD3BB">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0641541A">
            <w:pPr>
              <w:spacing w:after="0" w:line="240" w:lineRule="auto"/>
              <w:ind w:firstLine="0"/>
              <w:jc w:val="center"/>
              <w:rPr>
                <w:sz w:val="20"/>
                <w:szCs w:val="20"/>
              </w:rPr>
            </w:pPr>
            <w:r>
              <w:rPr>
                <w:sz w:val="20"/>
                <w:szCs w:val="20"/>
              </w:rPr>
              <w:t>1,14</w:t>
            </w:r>
          </w:p>
        </w:tc>
        <w:tc>
          <w:tcPr>
            <w:tcW w:w="472" w:type="pct"/>
            <w:shd w:val="clear" w:color="auto" w:fill="auto"/>
            <w:noWrap/>
            <w:tcMar>
              <w:left w:w="28" w:type="dxa"/>
              <w:right w:w="28" w:type="dxa"/>
            </w:tcMar>
            <w:vAlign w:val="center"/>
          </w:tcPr>
          <w:p w14:paraId="64142C6A">
            <w:pPr>
              <w:spacing w:after="0" w:line="240" w:lineRule="auto"/>
              <w:ind w:firstLine="0"/>
              <w:jc w:val="center"/>
              <w:rPr>
                <w:sz w:val="20"/>
                <w:szCs w:val="20"/>
              </w:rPr>
            </w:pPr>
            <w:r>
              <w:rPr>
                <w:sz w:val="20"/>
                <w:szCs w:val="20"/>
              </w:rPr>
              <w:t>0,52</w:t>
            </w:r>
          </w:p>
        </w:tc>
        <w:tc>
          <w:tcPr>
            <w:tcW w:w="470" w:type="pct"/>
            <w:tcMar>
              <w:left w:w="28" w:type="dxa"/>
              <w:right w:w="28" w:type="dxa"/>
            </w:tcMar>
            <w:vAlign w:val="center"/>
          </w:tcPr>
          <w:p w14:paraId="41B78FDA">
            <w:pPr>
              <w:spacing w:after="0" w:line="240" w:lineRule="auto"/>
              <w:ind w:firstLine="0"/>
              <w:jc w:val="center"/>
              <w:rPr>
                <w:sz w:val="20"/>
                <w:szCs w:val="20"/>
              </w:rPr>
            </w:pPr>
            <w:r>
              <w:rPr>
                <w:sz w:val="20"/>
                <w:szCs w:val="20"/>
              </w:rPr>
              <w:t>0,4</w:t>
            </w:r>
          </w:p>
        </w:tc>
      </w:tr>
      <w:tr w14:paraId="16CE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103CA71">
            <w:pPr>
              <w:spacing w:after="0" w:line="240" w:lineRule="auto"/>
              <w:ind w:firstLine="0"/>
              <w:jc w:val="center"/>
              <w:rPr>
                <w:sz w:val="20"/>
                <w:szCs w:val="20"/>
              </w:rPr>
            </w:pPr>
            <w:r>
              <w:rPr>
                <w:sz w:val="20"/>
                <w:szCs w:val="20"/>
              </w:rPr>
              <w:t>13</w:t>
            </w:r>
          </w:p>
        </w:tc>
        <w:tc>
          <w:tcPr>
            <w:tcW w:w="2343" w:type="pct"/>
            <w:shd w:val="clear" w:color="auto" w:fill="auto"/>
            <w:tcMar>
              <w:left w:w="28" w:type="dxa"/>
              <w:right w:w="28" w:type="dxa"/>
            </w:tcMar>
            <w:vAlign w:val="center"/>
          </w:tcPr>
          <w:p w14:paraId="2541F573">
            <w:pPr>
              <w:spacing w:after="0" w:line="240" w:lineRule="auto"/>
              <w:ind w:firstLine="0"/>
              <w:rPr>
                <w:sz w:val="20"/>
                <w:szCs w:val="20"/>
              </w:rPr>
            </w:pPr>
            <w:r>
              <w:rPr>
                <w:sz w:val="20"/>
                <w:szCs w:val="20"/>
              </w:rPr>
              <w:t>Коэфф. полезного действия котла (брутто)</w:t>
            </w:r>
          </w:p>
        </w:tc>
        <w:tc>
          <w:tcPr>
            <w:tcW w:w="788" w:type="pct"/>
            <w:shd w:val="clear" w:color="auto" w:fill="auto"/>
            <w:noWrap/>
            <w:tcMar>
              <w:left w:w="28" w:type="dxa"/>
              <w:right w:w="28" w:type="dxa"/>
            </w:tcMar>
            <w:vAlign w:val="center"/>
          </w:tcPr>
          <w:p w14:paraId="6D0BC52C">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097B35D1">
            <w:pPr>
              <w:spacing w:after="0" w:line="240" w:lineRule="auto"/>
              <w:ind w:firstLine="0"/>
              <w:jc w:val="center"/>
              <w:rPr>
                <w:sz w:val="20"/>
                <w:szCs w:val="20"/>
              </w:rPr>
            </w:pPr>
            <w:r>
              <w:rPr>
                <w:sz w:val="20"/>
                <w:szCs w:val="20"/>
              </w:rPr>
              <w:t>87,5</w:t>
            </w:r>
          </w:p>
        </w:tc>
        <w:tc>
          <w:tcPr>
            <w:tcW w:w="472" w:type="pct"/>
            <w:shd w:val="clear" w:color="auto" w:fill="auto"/>
            <w:noWrap/>
            <w:tcMar>
              <w:left w:w="28" w:type="dxa"/>
              <w:right w:w="28" w:type="dxa"/>
            </w:tcMar>
            <w:vAlign w:val="center"/>
          </w:tcPr>
          <w:p w14:paraId="19A04FC5">
            <w:pPr>
              <w:spacing w:after="0" w:line="240" w:lineRule="auto"/>
              <w:ind w:firstLine="0"/>
              <w:jc w:val="center"/>
              <w:rPr>
                <w:sz w:val="20"/>
                <w:szCs w:val="20"/>
              </w:rPr>
            </w:pPr>
            <w:r>
              <w:rPr>
                <w:sz w:val="20"/>
                <w:szCs w:val="20"/>
              </w:rPr>
              <w:t>88,0</w:t>
            </w:r>
          </w:p>
        </w:tc>
        <w:tc>
          <w:tcPr>
            <w:tcW w:w="470" w:type="pct"/>
            <w:tcMar>
              <w:left w:w="28" w:type="dxa"/>
              <w:right w:w="28" w:type="dxa"/>
            </w:tcMar>
            <w:vAlign w:val="center"/>
          </w:tcPr>
          <w:p w14:paraId="0C530ED1">
            <w:pPr>
              <w:spacing w:after="0" w:line="240" w:lineRule="auto"/>
              <w:ind w:firstLine="0"/>
              <w:jc w:val="center"/>
              <w:rPr>
                <w:sz w:val="20"/>
                <w:szCs w:val="20"/>
              </w:rPr>
            </w:pPr>
            <w:r>
              <w:rPr>
                <w:sz w:val="20"/>
                <w:szCs w:val="20"/>
              </w:rPr>
              <w:t>88,0</w:t>
            </w:r>
          </w:p>
        </w:tc>
      </w:tr>
      <w:tr w14:paraId="6110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4456803">
            <w:pPr>
              <w:spacing w:after="0" w:line="240" w:lineRule="auto"/>
              <w:ind w:firstLine="0"/>
              <w:jc w:val="center"/>
              <w:rPr>
                <w:sz w:val="20"/>
                <w:szCs w:val="20"/>
              </w:rPr>
            </w:pPr>
            <w:r>
              <w:rPr>
                <w:sz w:val="20"/>
                <w:szCs w:val="20"/>
              </w:rPr>
              <w:t>11</w:t>
            </w:r>
          </w:p>
        </w:tc>
        <w:tc>
          <w:tcPr>
            <w:tcW w:w="2343" w:type="pct"/>
            <w:shd w:val="clear" w:color="auto" w:fill="auto"/>
            <w:tcMar>
              <w:left w:w="28" w:type="dxa"/>
              <w:right w:w="28" w:type="dxa"/>
            </w:tcMar>
            <w:vAlign w:val="center"/>
          </w:tcPr>
          <w:p w14:paraId="502A285F">
            <w:pPr>
              <w:spacing w:after="0" w:line="240" w:lineRule="auto"/>
              <w:ind w:firstLine="0"/>
              <w:rPr>
                <w:sz w:val="20"/>
                <w:szCs w:val="20"/>
              </w:rPr>
            </w:pPr>
            <w:r>
              <w:rPr>
                <w:sz w:val="20"/>
                <w:szCs w:val="20"/>
              </w:rPr>
              <w:t>Удельный расход условного топлива на выработку 1 Гкал</w:t>
            </w:r>
          </w:p>
        </w:tc>
        <w:tc>
          <w:tcPr>
            <w:tcW w:w="788" w:type="pct"/>
            <w:shd w:val="clear" w:color="auto" w:fill="auto"/>
            <w:noWrap/>
            <w:tcMar>
              <w:left w:w="28" w:type="dxa"/>
              <w:right w:w="28" w:type="dxa"/>
            </w:tcMar>
            <w:vAlign w:val="center"/>
          </w:tcPr>
          <w:p w14:paraId="3A5F1E86">
            <w:pPr>
              <w:spacing w:after="0" w:line="240" w:lineRule="auto"/>
              <w:ind w:firstLine="0"/>
              <w:jc w:val="center"/>
              <w:rPr>
                <w:sz w:val="20"/>
                <w:szCs w:val="20"/>
              </w:rPr>
            </w:pPr>
            <w:r>
              <w:rPr>
                <w:sz w:val="20"/>
                <w:szCs w:val="20"/>
              </w:rPr>
              <w:t>кг.у.т/Гкал</w:t>
            </w:r>
          </w:p>
        </w:tc>
        <w:tc>
          <w:tcPr>
            <w:tcW w:w="595" w:type="pct"/>
            <w:shd w:val="clear" w:color="auto" w:fill="auto"/>
            <w:noWrap/>
            <w:tcMar>
              <w:left w:w="28" w:type="dxa"/>
              <w:right w:w="28" w:type="dxa"/>
            </w:tcMar>
            <w:vAlign w:val="center"/>
          </w:tcPr>
          <w:p w14:paraId="5ED15CC1">
            <w:pPr>
              <w:spacing w:after="0" w:line="240" w:lineRule="auto"/>
              <w:ind w:firstLine="0"/>
              <w:jc w:val="center"/>
              <w:rPr>
                <w:sz w:val="20"/>
                <w:szCs w:val="20"/>
              </w:rPr>
            </w:pPr>
            <w:r>
              <w:rPr>
                <w:sz w:val="20"/>
                <w:szCs w:val="20"/>
              </w:rPr>
              <w:t>164,4</w:t>
            </w:r>
          </w:p>
        </w:tc>
        <w:tc>
          <w:tcPr>
            <w:tcW w:w="472" w:type="pct"/>
            <w:shd w:val="clear" w:color="auto" w:fill="auto"/>
            <w:noWrap/>
            <w:tcMar>
              <w:left w:w="28" w:type="dxa"/>
              <w:right w:w="28" w:type="dxa"/>
            </w:tcMar>
            <w:vAlign w:val="center"/>
          </w:tcPr>
          <w:p w14:paraId="3E3E34F0">
            <w:pPr>
              <w:spacing w:after="0" w:line="240" w:lineRule="auto"/>
              <w:ind w:firstLine="0"/>
              <w:jc w:val="center"/>
              <w:rPr>
                <w:sz w:val="20"/>
                <w:szCs w:val="20"/>
              </w:rPr>
            </w:pPr>
            <w:r>
              <w:rPr>
                <w:sz w:val="20"/>
                <w:szCs w:val="20"/>
              </w:rPr>
              <w:t>164,8</w:t>
            </w:r>
          </w:p>
        </w:tc>
        <w:tc>
          <w:tcPr>
            <w:tcW w:w="470" w:type="pct"/>
            <w:tcMar>
              <w:left w:w="28" w:type="dxa"/>
              <w:right w:w="28" w:type="dxa"/>
            </w:tcMar>
            <w:vAlign w:val="center"/>
          </w:tcPr>
          <w:p w14:paraId="55A820D3">
            <w:pPr>
              <w:spacing w:after="0" w:line="240" w:lineRule="auto"/>
              <w:ind w:firstLine="0"/>
              <w:jc w:val="center"/>
              <w:rPr>
                <w:sz w:val="20"/>
                <w:szCs w:val="20"/>
              </w:rPr>
            </w:pPr>
            <w:r>
              <w:rPr>
                <w:sz w:val="20"/>
                <w:szCs w:val="20"/>
              </w:rPr>
              <w:t>165,8</w:t>
            </w:r>
          </w:p>
        </w:tc>
      </w:tr>
    </w:tbl>
    <w:p w14:paraId="6200A9D8">
      <w:pPr>
        <w:spacing w:after="0" w:line="240" w:lineRule="auto"/>
        <w:ind w:firstLine="0"/>
        <w:rPr>
          <w:bCs/>
          <w:sz w:val="24"/>
          <w:szCs w:val="24"/>
        </w:rPr>
      </w:pPr>
    </w:p>
    <w:p w14:paraId="036DA203">
      <w:pPr>
        <w:keepNext/>
        <w:keepLines/>
        <w:spacing w:after="0" w:line="240" w:lineRule="auto"/>
        <w:ind w:firstLine="0"/>
        <w:jc w:val="both"/>
        <w:rPr>
          <w:iCs/>
          <w:color w:val="000000"/>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6</w:t>
      </w:r>
      <w:r>
        <w:rPr>
          <w:bCs/>
          <w:sz w:val="24"/>
          <w:szCs w:val="24"/>
        </w:rPr>
        <w:fldChar w:fldCharType="end"/>
      </w:r>
      <w:r>
        <w:rPr>
          <w:bCs/>
          <w:sz w:val="24"/>
          <w:szCs w:val="24"/>
        </w:rPr>
        <w:t xml:space="preserve"> – </w:t>
      </w:r>
      <w:r>
        <w:rPr>
          <w:sz w:val="24"/>
          <w:szCs w:val="24"/>
        </w:rPr>
        <w:t xml:space="preserve">Режимная карта водогрейного котла типа </w:t>
      </w:r>
      <w:r>
        <w:rPr>
          <w:iCs/>
          <w:color w:val="000000"/>
          <w:sz w:val="24"/>
          <w:szCs w:val="24"/>
        </w:rPr>
        <w:t>NOVITER NWT 3,5-1-115 № 2 котельной №2 МУП «БКС»</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7119"/>
        <w:gridCol w:w="2394"/>
        <w:gridCol w:w="1808"/>
        <w:gridCol w:w="1434"/>
        <w:gridCol w:w="1428"/>
      </w:tblGrid>
      <w:tr w14:paraId="76E6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trPr>
        <w:tc>
          <w:tcPr>
            <w:tcW w:w="332" w:type="pct"/>
            <w:vMerge w:val="restart"/>
            <w:tcMar>
              <w:left w:w="28" w:type="dxa"/>
              <w:right w:w="28" w:type="dxa"/>
            </w:tcMar>
            <w:vAlign w:val="center"/>
          </w:tcPr>
          <w:p w14:paraId="3B01DE7E">
            <w:pPr>
              <w:spacing w:after="0" w:line="240" w:lineRule="auto"/>
              <w:ind w:firstLine="0"/>
              <w:jc w:val="center"/>
              <w:rPr>
                <w:bCs/>
                <w:sz w:val="20"/>
                <w:szCs w:val="20"/>
              </w:rPr>
            </w:pPr>
            <w:r>
              <w:rPr>
                <w:bCs/>
                <w:sz w:val="20"/>
                <w:szCs w:val="20"/>
              </w:rPr>
              <w:t>№ п/п</w:t>
            </w:r>
          </w:p>
        </w:tc>
        <w:tc>
          <w:tcPr>
            <w:tcW w:w="2343" w:type="pct"/>
            <w:vMerge w:val="restart"/>
            <w:tcMar>
              <w:left w:w="28" w:type="dxa"/>
              <w:right w:w="28" w:type="dxa"/>
            </w:tcMar>
            <w:vAlign w:val="center"/>
          </w:tcPr>
          <w:p w14:paraId="2A3A5B94">
            <w:pPr>
              <w:spacing w:after="0" w:line="240" w:lineRule="auto"/>
              <w:ind w:firstLine="0"/>
              <w:jc w:val="center"/>
              <w:rPr>
                <w:bCs/>
                <w:sz w:val="20"/>
                <w:szCs w:val="20"/>
              </w:rPr>
            </w:pPr>
            <w:r>
              <w:rPr>
                <w:bCs/>
                <w:sz w:val="20"/>
                <w:szCs w:val="20"/>
              </w:rPr>
              <w:t>Наименование</w:t>
            </w:r>
          </w:p>
        </w:tc>
        <w:tc>
          <w:tcPr>
            <w:tcW w:w="788" w:type="pct"/>
            <w:vMerge w:val="restart"/>
            <w:tcMar>
              <w:left w:w="28" w:type="dxa"/>
              <w:right w:w="28" w:type="dxa"/>
            </w:tcMar>
            <w:vAlign w:val="center"/>
          </w:tcPr>
          <w:p w14:paraId="6207947C">
            <w:pPr>
              <w:spacing w:after="0" w:line="240" w:lineRule="auto"/>
              <w:ind w:firstLine="0"/>
              <w:jc w:val="center"/>
              <w:rPr>
                <w:bCs/>
                <w:sz w:val="20"/>
                <w:szCs w:val="20"/>
              </w:rPr>
            </w:pPr>
            <w:r>
              <w:rPr>
                <w:bCs/>
                <w:sz w:val="20"/>
                <w:szCs w:val="20"/>
              </w:rPr>
              <w:t>Единица измерения</w:t>
            </w:r>
          </w:p>
        </w:tc>
        <w:tc>
          <w:tcPr>
            <w:tcW w:w="1537" w:type="pct"/>
            <w:gridSpan w:val="3"/>
            <w:shd w:val="clear" w:color="auto" w:fill="auto"/>
            <w:noWrap/>
            <w:tcMar>
              <w:left w:w="28" w:type="dxa"/>
              <w:right w:w="28" w:type="dxa"/>
            </w:tcMar>
            <w:vAlign w:val="center"/>
          </w:tcPr>
          <w:p w14:paraId="32D34858">
            <w:pPr>
              <w:spacing w:after="0" w:line="240" w:lineRule="auto"/>
              <w:ind w:firstLine="0"/>
              <w:jc w:val="center"/>
              <w:rPr>
                <w:bCs/>
                <w:sz w:val="20"/>
                <w:szCs w:val="20"/>
              </w:rPr>
            </w:pPr>
            <w:r>
              <w:rPr>
                <w:bCs/>
                <w:sz w:val="20"/>
                <w:szCs w:val="20"/>
              </w:rPr>
              <w:t>Режим</w:t>
            </w:r>
          </w:p>
        </w:tc>
      </w:tr>
      <w:tr w14:paraId="336F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Merge w:val="continue"/>
            <w:tcMar>
              <w:left w:w="28" w:type="dxa"/>
              <w:right w:w="28" w:type="dxa"/>
            </w:tcMar>
            <w:vAlign w:val="center"/>
          </w:tcPr>
          <w:p w14:paraId="6757609E">
            <w:pPr>
              <w:spacing w:after="0" w:line="240" w:lineRule="auto"/>
              <w:ind w:firstLine="0"/>
              <w:rPr>
                <w:bCs/>
                <w:sz w:val="20"/>
                <w:szCs w:val="20"/>
              </w:rPr>
            </w:pPr>
          </w:p>
        </w:tc>
        <w:tc>
          <w:tcPr>
            <w:tcW w:w="2343" w:type="pct"/>
            <w:vMerge w:val="continue"/>
            <w:tcMar>
              <w:left w:w="28" w:type="dxa"/>
              <w:right w:w="28" w:type="dxa"/>
            </w:tcMar>
            <w:vAlign w:val="center"/>
          </w:tcPr>
          <w:p w14:paraId="6F9C27BD">
            <w:pPr>
              <w:spacing w:after="0" w:line="240" w:lineRule="auto"/>
              <w:ind w:firstLine="0"/>
              <w:rPr>
                <w:bCs/>
                <w:sz w:val="20"/>
                <w:szCs w:val="20"/>
              </w:rPr>
            </w:pPr>
          </w:p>
        </w:tc>
        <w:tc>
          <w:tcPr>
            <w:tcW w:w="788" w:type="pct"/>
            <w:vMerge w:val="continue"/>
            <w:tcMar>
              <w:left w:w="28" w:type="dxa"/>
              <w:right w:w="28" w:type="dxa"/>
            </w:tcMar>
            <w:vAlign w:val="center"/>
          </w:tcPr>
          <w:p w14:paraId="3A110454">
            <w:pPr>
              <w:spacing w:after="0" w:line="240" w:lineRule="auto"/>
              <w:ind w:firstLine="0"/>
              <w:rPr>
                <w:bCs/>
                <w:sz w:val="20"/>
                <w:szCs w:val="20"/>
              </w:rPr>
            </w:pPr>
          </w:p>
        </w:tc>
        <w:tc>
          <w:tcPr>
            <w:tcW w:w="595" w:type="pct"/>
            <w:shd w:val="clear" w:color="auto" w:fill="auto"/>
            <w:noWrap/>
            <w:tcMar>
              <w:left w:w="28" w:type="dxa"/>
              <w:right w:w="28" w:type="dxa"/>
            </w:tcMar>
            <w:vAlign w:val="center"/>
          </w:tcPr>
          <w:p w14:paraId="76F79DFF">
            <w:pPr>
              <w:spacing w:after="0" w:line="240" w:lineRule="auto"/>
              <w:ind w:firstLine="0"/>
              <w:jc w:val="center"/>
              <w:rPr>
                <w:bCs/>
                <w:sz w:val="20"/>
                <w:szCs w:val="20"/>
              </w:rPr>
            </w:pPr>
            <w:r>
              <w:rPr>
                <w:bCs/>
                <w:sz w:val="20"/>
                <w:szCs w:val="20"/>
              </w:rPr>
              <w:t>1</w:t>
            </w:r>
          </w:p>
        </w:tc>
        <w:tc>
          <w:tcPr>
            <w:tcW w:w="472" w:type="pct"/>
            <w:shd w:val="clear" w:color="auto" w:fill="auto"/>
            <w:noWrap/>
            <w:tcMar>
              <w:left w:w="28" w:type="dxa"/>
              <w:right w:w="28" w:type="dxa"/>
            </w:tcMar>
            <w:vAlign w:val="center"/>
          </w:tcPr>
          <w:p w14:paraId="2EC83E20">
            <w:pPr>
              <w:spacing w:after="0" w:line="240" w:lineRule="auto"/>
              <w:ind w:firstLine="0"/>
              <w:jc w:val="center"/>
              <w:rPr>
                <w:bCs/>
                <w:sz w:val="20"/>
                <w:szCs w:val="20"/>
              </w:rPr>
            </w:pPr>
            <w:r>
              <w:rPr>
                <w:bCs/>
                <w:sz w:val="20"/>
                <w:szCs w:val="20"/>
              </w:rPr>
              <w:t>2</w:t>
            </w:r>
          </w:p>
        </w:tc>
        <w:tc>
          <w:tcPr>
            <w:tcW w:w="470" w:type="pct"/>
            <w:tcMar>
              <w:left w:w="28" w:type="dxa"/>
              <w:right w:w="28" w:type="dxa"/>
            </w:tcMar>
            <w:vAlign w:val="center"/>
          </w:tcPr>
          <w:p w14:paraId="5FF663AF">
            <w:pPr>
              <w:spacing w:after="0" w:line="240" w:lineRule="auto"/>
              <w:ind w:firstLine="0"/>
              <w:jc w:val="center"/>
              <w:rPr>
                <w:bCs/>
                <w:sz w:val="20"/>
                <w:szCs w:val="20"/>
              </w:rPr>
            </w:pPr>
            <w:r>
              <w:rPr>
                <w:bCs/>
                <w:sz w:val="20"/>
                <w:szCs w:val="20"/>
              </w:rPr>
              <w:t>3</w:t>
            </w:r>
          </w:p>
        </w:tc>
      </w:tr>
      <w:tr w14:paraId="074F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B2B4200">
            <w:pPr>
              <w:spacing w:after="0" w:line="240" w:lineRule="auto"/>
              <w:ind w:firstLine="0"/>
              <w:jc w:val="center"/>
              <w:rPr>
                <w:sz w:val="20"/>
                <w:szCs w:val="20"/>
              </w:rPr>
            </w:pPr>
            <w:r>
              <w:rPr>
                <w:sz w:val="20"/>
                <w:szCs w:val="20"/>
              </w:rPr>
              <w:t>1</w:t>
            </w:r>
          </w:p>
        </w:tc>
        <w:tc>
          <w:tcPr>
            <w:tcW w:w="2343" w:type="pct"/>
            <w:shd w:val="clear" w:color="auto" w:fill="auto"/>
            <w:tcMar>
              <w:left w:w="28" w:type="dxa"/>
              <w:right w:w="28" w:type="dxa"/>
            </w:tcMar>
            <w:vAlign w:val="center"/>
          </w:tcPr>
          <w:p w14:paraId="00DF036F">
            <w:pPr>
              <w:spacing w:after="0" w:line="240" w:lineRule="auto"/>
              <w:ind w:firstLine="0"/>
              <w:rPr>
                <w:sz w:val="20"/>
                <w:szCs w:val="20"/>
              </w:rPr>
            </w:pPr>
            <w:r>
              <w:rPr>
                <w:sz w:val="20"/>
                <w:szCs w:val="20"/>
              </w:rPr>
              <w:t>Теплопроизводительность</w:t>
            </w:r>
          </w:p>
        </w:tc>
        <w:tc>
          <w:tcPr>
            <w:tcW w:w="788" w:type="pct"/>
            <w:shd w:val="clear" w:color="auto" w:fill="auto"/>
            <w:noWrap/>
            <w:tcMar>
              <w:left w:w="28" w:type="dxa"/>
              <w:right w:w="28" w:type="dxa"/>
            </w:tcMar>
            <w:vAlign w:val="center"/>
          </w:tcPr>
          <w:p w14:paraId="4B597A43">
            <w:pPr>
              <w:spacing w:after="0" w:line="240" w:lineRule="auto"/>
              <w:ind w:firstLine="0"/>
              <w:jc w:val="center"/>
              <w:rPr>
                <w:sz w:val="20"/>
                <w:szCs w:val="20"/>
              </w:rPr>
            </w:pPr>
            <w:r>
              <w:rPr>
                <w:sz w:val="20"/>
                <w:szCs w:val="20"/>
              </w:rPr>
              <w:t>Гкал/ч</w:t>
            </w:r>
          </w:p>
        </w:tc>
        <w:tc>
          <w:tcPr>
            <w:tcW w:w="595" w:type="pct"/>
            <w:shd w:val="clear" w:color="auto" w:fill="auto"/>
            <w:noWrap/>
            <w:tcMar>
              <w:left w:w="28" w:type="dxa"/>
              <w:right w:w="28" w:type="dxa"/>
            </w:tcMar>
            <w:vAlign w:val="center"/>
          </w:tcPr>
          <w:p w14:paraId="624FE311">
            <w:pPr>
              <w:spacing w:after="0" w:line="240" w:lineRule="auto"/>
              <w:ind w:firstLine="0"/>
              <w:jc w:val="center"/>
              <w:rPr>
                <w:sz w:val="20"/>
                <w:szCs w:val="20"/>
              </w:rPr>
            </w:pPr>
            <w:r>
              <w:rPr>
                <w:sz w:val="20"/>
                <w:szCs w:val="20"/>
                <w:lang w:val="en-US"/>
              </w:rPr>
              <w:t>1</w:t>
            </w:r>
            <w:r>
              <w:rPr>
                <w:sz w:val="20"/>
                <w:szCs w:val="20"/>
              </w:rPr>
              <w:t>,</w:t>
            </w:r>
            <w:r>
              <w:rPr>
                <w:sz w:val="20"/>
                <w:szCs w:val="20"/>
                <w:lang w:val="en-US"/>
              </w:rPr>
              <w:t>05</w:t>
            </w:r>
            <w:r>
              <w:rPr>
                <w:sz w:val="20"/>
                <w:szCs w:val="20"/>
              </w:rPr>
              <w:t>4</w:t>
            </w:r>
          </w:p>
        </w:tc>
        <w:tc>
          <w:tcPr>
            <w:tcW w:w="472" w:type="pct"/>
            <w:shd w:val="clear" w:color="auto" w:fill="auto"/>
            <w:noWrap/>
            <w:tcMar>
              <w:left w:w="28" w:type="dxa"/>
              <w:right w:w="28" w:type="dxa"/>
            </w:tcMar>
            <w:vAlign w:val="center"/>
          </w:tcPr>
          <w:p w14:paraId="1FB2ABEA">
            <w:pPr>
              <w:spacing w:after="0" w:line="240" w:lineRule="auto"/>
              <w:ind w:firstLine="0"/>
              <w:jc w:val="center"/>
              <w:rPr>
                <w:sz w:val="20"/>
                <w:szCs w:val="20"/>
              </w:rPr>
            </w:pPr>
            <w:r>
              <w:rPr>
                <w:sz w:val="20"/>
                <w:szCs w:val="20"/>
              </w:rPr>
              <w:t>2,30</w:t>
            </w:r>
          </w:p>
        </w:tc>
        <w:tc>
          <w:tcPr>
            <w:tcW w:w="470" w:type="pct"/>
            <w:tcMar>
              <w:left w:w="28" w:type="dxa"/>
              <w:right w:w="28" w:type="dxa"/>
            </w:tcMar>
            <w:vAlign w:val="center"/>
          </w:tcPr>
          <w:p w14:paraId="1B4F8029">
            <w:pPr>
              <w:spacing w:after="0" w:line="240" w:lineRule="auto"/>
              <w:ind w:firstLine="0"/>
              <w:jc w:val="center"/>
              <w:rPr>
                <w:sz w:val="20"/>
                <w:szCs w:val="20"/>
              </w:rPr>
            </w:pPr>
            <w:r>
              <w:rPr>
                <w:sz w:val="20"/>
                <w:szCs w:val="20"/>
              </w:rPr>
              <w:t>2,97</w:t>
            </w:r>
          </w:p>
        </w:tc>
      </w:tr>
      <w:tr w14:paraId="2458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3152488">
            <w:pPr>
              <w:spacing w:after="0" w:line="240" w:lineRule="auto"/>
              <w:ind w:firstLine="0"/>
              <w:jc w:val="center"/>
              <w:rPr>
                <w:sz w:val="20"/>
                <w:szCs w:val="20"/>
              </w:rPr>
            </w:pPr>
            <w:r>
              <w:rPr>
                <w:sz w:val="20"/>
                <w:szCs w:val="20"/>
              </w:rPr>
              <w:t>2</w:t>
            </w:r>
          </w:p>
        </w:tc>
        <w:tc>
          <w:tcPr>
            <w:tcW w:w="2343" w:type="pct"/>
            <w:shd w:val="clear" w:color="auto" w:fill="auto"/>
            <w:tcMar>
              <w:left w:w="28" w:type="dxa"/>
              <w:right w:w="28" w:type="dxa"/>
            </w:tcMar>
            <w:vAlign w:val="center"/>
          </w:tcPr>
          <w:p w14:paraId="1CF60348">
            <w:pPr>
              <w:spacing w:after="0" w:line="240" w:lineRule="auto"/>
              <w:ind w:firstLine="0"/>
              <w:rPr>
                <w:sz w:val="20"/>
                <w:szCs w:val="20"/>
              </w:rPr>
            </w:pPr>
            <w:r>
              <w:rPr>
                <w:sz w:val="20"/>
                <w:szCs w:val="20"/>
              </w:rPr>
              <w:t>Расход натурального топлива</w:t>
            </w:r>
          </w:p>
        </w:tc>
        <w:tc>
          <w:tcPr>
            <w:tcW w:w="788" w:type="pct"/>
            <w:shd w:val="clear" w:color="auto" w:fill="auto"/>
            <w:noWrap/>
            <w:tcMar>
              <w:left w:w="28" w:type="dxa"/>
              <w:right w:w="28" w:type="dxa"/>
            </w:tcMar>
            <w:vAlign w:val="center"/>
          </w:tcPr>
          <w:p w14:paraId="444A567B">
            <w:pPr>
              <w:spacing w:after="0" w:line="240" w:lineRule="auto"/>
              <w:ind w:firstLine="0"/>
              <w:jc w:val="center"/>
              <w:rPr>
                <w:sz w:val="20"/>
                <w:szCs w:val="20"/>
              </w:rPr>
            </w:pPr>
            <w:r>
              <w:rPr>
                <w:sz w:val="20"/>
                <w:szCs w:val="20"/>
              </w:rPr>
              <w:t>м</w:t>
            </w:r>
            <w:r>
              <w:rPr>
                <w:sz w:val="20"/>
                <w:szCs w:val="20"/>
                <w:vertAlign w:val="superscript"/>
              </w:rPr>
              <w:t>3</w:t>
            </w:r>
            <w:r>
              <w:rPr>
                <w:sz w:val="20"/>
                <w:szCs w:val="20"/>
              </w:rPr>
              <w:t>/ч</w:t>
            </w:r>
          </w:p>
        </w:tc>
        <w:tc>
          <w:tcPr>
            <w:tcW w:w="595" w:type="pct"/>
            <w:shd w:val="clear" w:color="auto" w:fill="auto"/>
            <w:noWrap/>
            <w:tcMar>
              <w:left w:w="28" w:type="dxa"/>
              <w:right w:w="28" w:type="dxa"/>
            </w:tcMar>
            <w:vAlign w:val="center"/>
          </w:tcPr>
          <w:p w14:paraId="6649E5BE">
            <w:pPr>
              <w:spacing w:after="0" w:line="240" w:lineRule="auto"/>
              <w:ind w:firstLine="0"/>
              <w:jc w:val="center"/>
              <w:rPr>
                <w:sz w:val="20"/>
                <w:szCs w:val="20"/>
              </w:rPr>
            </w:pPr>
            <w:r>
              <w:rPr>
                <w:sz w:val="20"/>
                <w:szCs w:val="20"/>
              </w:rPr>
              <w:t>149</w:t>
            </w:r>
          </w:p>
        </w:tc>
        <w:tc>
          <w:tcPr>
            <w:tcW w:w="472" w:type="pct"/>
            <w:shd w:val="clear" w:color="auto" w:fill="auto"/>
            <w:noWrap/>
            <w:tcMar>
              <w:left w:w="28" w:type="dxa"/>
              <w:right w:w="28" w:type="dxa"/>
            </w:tcMar>
            <w:vAlign w:val="center"/>
          </w:tcPr>
          <w:p w14:paraId="578975BF">
            <w:pPr>
              <w:spacing w:after="0" w:line="240" w:lineRule="auto"/>
              <w:ind w:firstLine="0"/>
              <w:jc w:val="center"/>
              <w:rPr>
                <w:sz w:val="20"/>
                <w:szCs w:val="20"/>
              </w:rPr>
            </w:pPr>
            <w:r>
              <w:rPr>
                <w:sz w:val="20"/>
                <w:szCs w:val="20"/>
              </w:rPr>
              <w:t>312</w:t>
            </w:r>
          </w:p>
        </w:tc>
        <w:tc>
          <w:tcPr>
            <w:tcW w:w="470" w:type="pct"/>
            <w:tcMar>
              <w:left w:w="28" w:type="dxa"/>
              <w:right w:w="28" w:type="dxa"/>
            </w:tcMar>
            <w:vAlign w:val="center"/>
          </w:tcPr>
          <w:p w14:paraId="0D5B1D24">
            <w:pPr>
              <w:spacing w:after="0" w:line="240" w:lineRule="auto"/>
              <w:ind w:firstLine="0"/>
              <w:jc w:val="center"/>
              <w:rPr>
                <w:sz w:val="20"/>
                <w:szCs w:val="20"/>
              </w:rPr>
            </w:pPr>
            <w:r>
              <w:rPr>
                <w:sz w:val="20"/>
                <w:szCs w:val="20"/>
              </w:rPr>
              <w:t>413</w:t>
            </w:r>
          </w:p>
        </w:tc>
      </w:tr>
      <w:tr w14:paraId="3F8F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32" w:type="pct"/>
            <w:shd w:val="clear" w:color="auto" w:fill="auto"/>
            <w:noWrap/>
            <w:tcMar>
              <w:left w:w="28" w:type="dxa"/>
              <w:right w:w="28" w:type="dxa"/>
            </w:tcMar>
            <w:vAlign w:val="center"/>
          </w:tcPr>
          <w:p w14:paraId="440726EC">
            <w:pPr>
              <w:spacing w:after="0" w:line="240" w:lineRule="auto"/>
              <w:ind w:firstLine="0"/>
              <w:jc w:val="center"/>
              <w:rPr>
                <w:sz w:val="20"/>
                <w:szCs w:val="20"/>
              </w:rPr>
            </w:pPr>
            <w:r>
              <w:rPr>
                <w:sz w:val="20"/>
                <w:szCs w:val="20"/>
              </w:rPr>
              <w:t>3</w:t>
            </w:r>
          </w:p>
        </w:tc>
        <w:tc>
          <w:tcPr>
            <w:tcW w:w="2343" w:type="pct"/>
            <w:shd w:val="clear" w:color="auto" w:fill="auto"/>
            <w:tcMar>
              <w:left w:w="28" w:type="dxa"/>
              <w:right w:w="28" w:type="dxa"/>
            </w:tcMar>
            <w:vAlign w:val="center"/>
          </w:tcPr>
          <w:p w14:paraId="76CF9E67">
            <w:pPr>
              <w:spacing w:after="0" w:line="240" w:lineRule="auto"/>
              <w:ind w:firstLine="0"/>
              <w:rPr>
                <w:sz w:val="20"/>
                <w:szCs w:val="20"/>
              </w:rPr>
            </w:pPr>
            <w:r>
              <w:rPr>
                <w:sz w:val="20"/>
                <w:szCs w:val="20"/>
              </w:rPr>
              <w:t>Расход воды через котёл</w:t>
            </w:r>
          </w:p>
        </w:tc>
        <w:tc>
          <w:tcPr>
            <w:tcW w:w="788" w:type="pct"/>
            <w:shd w:val="clear" w:color="auto" w:fill="auto"/>
            <w:noWrap/>
            <w:tcMar>
              <w:left w:w="28" w:type="dxa"/>
              <w:right w:w="28" w:type="dxa"/>
            </w:tcMar>
            <w:vAlign w:val="center"/>
          </w:tcPr>
          <w:p w14:paraId="0D7D3584">
            <w:pPr>
              <w:spacing w:after="0" w:line="240" w:lineRule="auto"/>
              <w:ind w:firstLine="0"/>
              <w:jc w:val="center"/>
              <w:rPr>
                <w:sz w:val="20"/>
                <w:szCs w:val="20"/>
              </w:rPr>
            </w:pPr>
            <w:r>
              <w:rPr>
                <w:sz w:val="20"/>
                <w:szCs w:val="20"/>
              </w:rPr>
              <w:t>т/ч</w:t>
            </w:r>
          </w:p>
        </w:tc>
        <w:tc>
          <w:tcPr>
            <w:tcW w:w="1537" w:type="pct"/>
            <w:gridSpan w:val="3"/>
            <w:shd w:val="clear" w:color="auto" w:fill="auto"/>
            <w:noWrap/>
            <w:tcMar>
              <w:left w:w="28" w:type="dxa"/>
              <w:right w:w="28" w:type="dxa"/>
            </w:tcMar>
            <w:vAlign w:val="center"/>
          </w:tcPr>
          <w:p w14:paraId="05D0CE14">
            <w:pPr>
              <w:spacing w:after="0" w:line="240" w:lineRule="auto"/>
              <w:ind w:firstLine="0"/>
              <w:jc w:val="center"/>
              <w:rPr>
                <w:sz w:val="20"/>
                <w:szCs w:val="20"/>
              </w:rPr>
            </w:pPr>
            <w:r>
              <w:rPr>
                <w:sz w:val="20"/>
                <w:szCs w:val="20"/>
              </w:rPr>
              <w:t>Не менее 36</w:t>
            </w:r>
          </w:p>
        </w:tc>
      </w:tr>
      <w:tr w14:paraId="5BC7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64AF0811">
            <w:pPr>
              <w:spacing w:after="0" w:line="240" w:lineRule="auto"/>
              <w:ind w:firstLine="0"/>
              <w:jc w:val="center"/>
              <w:rPr>
                <w:sz w:val="20"/>
                <w:szCs w:val="20"/>
              </w:rPr>
            </w:pPr>
            <w:r>
              <w:rPr>
                <w:sz w:val="20"/>
                <w:szCs w:val="20"/>
              </w:rPr>
              <w:t>4</w:t>
            </w:r>
          </w:p>
        </w:tc>
        <w:tc>
          <w:tcPr>
            <w:tcW w:w="2343" w:type="pct"/>
            <w:shd w:val="clear" w:color="auto" w:fill="auto"/>
            <w:tcMar>
              <w:left w:w="28" w:type="dxa"/>
              <w:right w:w="28" w:type="dxa"/>
            </w:tcMar>
            <w:vAlign w:val="center"/>
          </w:tcPr>
          <w:p w14:paraId="5E4E2A3F">
            <w:pPr>
              <w:spacing w:after="0" w:line="240" w:lineRule="auto"/>
              <w:ind w:firstLine="0"/>
              <w:rPr>
                <w:sz w:val="20"/>
                <w:szCs w:val="20"/>
              </w:rPr>
            </w:pPr>
            <w:r>
              <w:rPr>
                <w:sz w:val="20"/>
                <w:szCs w:val="20"/>
              </w:rPr>
              <w:t>Давление воды на выходе из котла</w:t>
            </w:r>
          </w:p>
        </w:tc>
        <w:tc>
          <w:tcPr>
            <w:tcW w:w="788" w:type="pct"/>
            <w:shd w:val="clear" w:color="auto" w:fill="auto"/>
            <w:noWrap/>
            <w:tcMar>
              <w:left w:w="28" w:type="dxa"/>
              <w:right w:w="28" w:type="dxa"/>
            </w:tcMar>
            <w:vAlign w:val="center"/>
          </w:tcPr>
          <w:p w14:paraId="3D34A022">
            <w:pPr>
              <w:spacing w:after="0" w:line="240" w:lineRule="auto"/>
              <w:ind w:firstLine="0"/>
              <w:jc w:val="center"/>
              <w:rPr>
                <w:sz w:val="20"/>
                <w:szCs w:val="20"/>
                <w:vertAlign w:val="superscript"/>
              </w:rPr>
            </w:pPr>
            <w:r>
              <w:rPr>
                <w:sz w:val="20"/>
                <w:szCs w:val="20"/>
              </w:rPr>
              <w:t>МПа</w:t>
            </w:r>
          </w:p>
        </w:tc>
        <w:tc>
          <w:tcPr>
            <w:tcW w:w="1537" w:type="pct"/>
            <w:gridSpan w:val="3"/>
            <w:shd w:val="clear" w:color="auto" w:fill="auto"/>
            <w:noWrap/>
            <w:tcMar>
              <w:left w:w="28" w:type="dxa"/>
              <w:right w:w="28" w:type="dxa"/>
            </w:tcMar>
            <w:vAlign w:val="center"/>
          </w:tcPr>
          <w:p w14:paraId="3120333D">
            <w:pPr>
              <w:spacing w:after="0" w:line="240" w:lineRule="auto"/>
              <w:ind w:firstLine="0"/>
              <w:jc w:val="center"/>
              <w:rPr>
                <w:sz w:val="20"/>
                <w:szCs w:val="20"/>
              </w:rPr>
            </w:pPr>
            <w:r>
              <w:rPr>
                <w:sz w:val="20"/>
                <w:szCs w:val="20"/>
              </w:rPr>
              <w:t>Не менее 0,4</w:t>
            </w:r>
          </w:p>
        </w:tc>
      </w:tr>
      <w:tr w14:paraId="4E7F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1C06ABE">
            <w:pPr>
              <w:spacing w:after="0" w:line="240" w:lineRule="auto"/>
              <w:ind w:firstLine="0"/>
              <w:jc w:val="center"/>
              <w:rPr>
                <w:sz w:val="20"/>
                <w:szCs w:val="20"/>
              </w:rPr>
            </w:pPr>
            <w:r>
              <w:rPr>
                <w:sz w:val="20"/>
                <w:szCs w:val="20"/>
              </w:rPr>
              <w:t>5</w:t>
            </w:r>
          </w:p>
        </w:tc>
        <w:tc>
          <w:tcPr>
            <w:tcW w:w="2343" w:type="pct"/>
            <w:shd w:val="clear" w:color="auto" w:fill="auto"/>
            <w:tcMar>
              <w:left w:w="28" w:type="dxa"/>
              <w:right w:w="28" w:type="dxa"/>
            </w:tcMar>
            <w:vAlign w:val="center"/>
          </w:tcPr>
          <w:p w14:paraId="4F724284">
            <w:pPr>
              <w:spacing w:after="0" w:line="240" w:lineRule="auto"/>
              <w:ind w:firstLine="0"/>
              <w:rPr>
                <w:sz w:val="20"/>
                <w:szCs w:val="20"/>
              </w:rPr>
            </w:pPr>
            <w:r>
              <w:rPr>
                <w:sz w:val="20"/>
                <w:szCs w:val="20"/>
              </w:rPr>
              <w:t>Давление газа перед горелкой</w:t>
            </w:r>
          </w:p>
        </w:tc>
        <w:tc>
          <w:tcPr>
            <w:tcW w:w="788" w:type="pct"/>
            <w:shd w:val="clear" w:color="auto" w:fill="auto"/>
            <w:noWrap/>
            <w:tcMar>
              <w:left w:w="28" w:type="dxa"/>
              <w:right w:w="28" w:type="dxa"/>
            </w:tcMar>
            <w:vAlign w:val="center"/>
          </w:tcPr>
          <w:p w14:paraId="6CE1B217">
            <w:pPr>
              <w:spacing w:after="0" w:line="240" w:lineRule="auto"/>
              <w:ind w:firstLine="0"/>
              <w:jc w:val="center"/>
              <w:rPr>
                <w:sz w:val="20"/>
                <w:szCs w:val="20"/>
              </w:rPr>
            </w:pPr>
            <w:r>
              <w:rPr>
                <w:sz w:val="20"/>
                <w:szCs w:val="20"/>
              </w:rPr>
              <w:t>кПа</w:t>
            </w:r>
          </w:p>
        </w:tc>
        <w:tc>
          <w:tcPr>
            <w:tcW w:w="595" w:type="pct"/>
            <w:shd w:val="clear" w:color="auto" w:fill="auto"/>
            <w:noWrap/>
            <w:tcMar>
              <w:left w:w="28" w:type="dxa"/>
              <w:right w:w="28" w:type="dxa"/>
            </w:tcMar>
            <w:vAlign w:val="center"/>
          </w:tcPr>
          <w:p w14:paraId="555F4CFC">
            <w:pPr>
              <w:spacing w:after="0" w:line="240" w:lineRule="auto"/>
              <w:ind w:firstLine="0"/>
              <w:jc w:val="center"/>
              <w:rPr>
                <w:sz w:val="20"/>
                <w:szCs w:val="20"/>
              </w:rPr>
            </w:pPr>
            <w:r>
              <w:rPr>
                <w:sz w:val="20"/>
                <w:szCs w:val="20"/>
              </w:rPr>
              <w:t>0,02</w:t>
            </w:r>
          </w:p>
        </w:tc>
        <w:tc>
          <w:tcPr>
            <w:tcW w:w="472" w:type="pct"/>
            <w:shd w:val="clear" w:color="auto" w:fill="auto"/>
            <w:noWrap/>
            <w:tcMar>
              <w:left w:w="28" w:type="dxa"/>
              <w:right w:w="28" w:type="dxa"/>
            </w:tcMar>
            <w:vAlign w:val="center"/>
          </w:tcPr>
          <w:p w14:paraId="000BA340">
            <w:pPr>
              <w:spacing w:after="0" w:line="240" w:lineRule="auto"/>
              <w:ind w:firstLine="0"/>
              <w:jc w:val="center"/>
              <w:rPr>
                <w:sz w:val="20"/>
                <w:szCs w:val="20"/>
              </w:rPr>
            </w:pPr>
            <w:r>
              <w:rPr>
                <w:sz w:val="20"/>
                <w:szCs w:val="20"/>
              </w:rPr>
              <w:t>0,05</w:t>
            </w:r>
          </w:p>
        </w:tc>
        <w:tc>
          <w:tcPr>
            <w:tcW w:w="470" w:type="pct"/>
            <w:tcMar>
              <w:left w:w="28" w:type="dxa"/>
              <w:right w:w="28" w:type="dxa"/>
            </w:tcMar>
            <w:vAlign w:val="center"/>
          </w:tcPr>
          <w:p w14:paraId="1D7FFA17">
            <w:pPr>
              <w:spacing w:after="0" w:line="240" w:lineRule="auto"/>
              <w:ind w:firstLine="0"/>
              <w:jc w:val="center"/>
              <w:rPr>
                <w:sz w:val="20"/>
                <w:szCs w:val="20"/>
              </w:rPr>
            </w:pPr>
            <w:r>
              <w:rPr>
                <w:sz w:val="20"/>
                <w:szCs w:val="20"/>
              </w:rPr>
              <w:t>0,06</w:t>
            </w:r>
          </w:p>
        </w:tc>
      </w:tr>
      <w:tr w14:paraId="6955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FD762C2">
            <w:pPr>
              <w:spacing w:after="0" w:line="240" w:lineRule="auto"/>
              <w:ind w:firstLine="0"/>
              <w:jc w:val="center"/>
              <w:rPr>
                <w:sz w:val="20"/>
                <w:szCs w:val="20"/>
              </w:rPr>
            </w:pPr>
            <w:r>
              <w:rPr>
                <w:sz w:val="20"/>
                <w:szCs w:val="20"/>
              </w:rPr>
              <w:t>6</w:t>
            </w:r>
          </w:p>
        </w:tc>
        <w:tc>
          <w:tcPr>
            <w:tcW w:w="2343" w:type="pct"/>
            <w:shd w:val="clear" w:color="auto" w:fill="auto"/>
            <w:tcMar>
              <w:left w:w="28" w:type="dxa"/>
              <w:right w:w="28" w:type="dxa"/>
            </w:tcMar>
            <w:vAlign w:val="center"/>
          </w:tcPr>
          <w:p w14:paraId="3D773D6C">
            <w:pPr>
              <w:spacing w:after="0" w:line="240" w:lineRule="auto"/>
              <w:ind w:firstLine="0"/>
              <w:rPr>
                <w:sz w:val="20"/>
                <w:szCs w:val="20"/>
              </w:rPr>
            </w:pPr>
            <w:r>
              <w:rPr>
                <w:sz w:val="20"/>
                <w:szCs w:val="20"/>
              </w:rPr>
              <w:t>Давление воздуха перед горелкой</w:t>
            </w:r>
          </w:p>
        </w:tc>
        <w:tc>
          <w:tcPr>
            <w:tcW w:w="788" w:type="pct"/>
            <w:shd w:val="clear" w:color="auto" w:fill="auto"/>
            <w:noWrap/>
            <w:tcMar>
              <w:left w:w="28" w:type="dxa"/>
              <w:right w:w="28" w:type="dxa"/>
            </w:tcMar>
            <w:vAlign w:val="center"/>
          </w:tcPr>
          <w:p w14:paraId="51421EDE">
            <w:pPr>
              <w:spacing w:after="0" w:line="240" w:lineRule="auto"/>
              <w:ind w:firstLine="0"/>
              <w:jc w:val="center"/>
              <w:rPr>
                <w:sz w:val="20"/>
                <w:szCs w:val="20"/>
              </w:rPr>
            </w:pPr>
            <w:r>
              <w:rPr>
                <w:sz w:val="20"/>
                <w:szCs w:val="20"/>
              </w:rPr>
              <w:t>Па</w:t>
            </w:r>
          </w:p>
        </w:tc>
        <w:tc>
          <w:tcPr>
            <w:tcW w:w="595" w:type="pct"/>
            <w:shd w:val="clear" w:color="auto" w:fill="auto"/>
            <w:noWrap/>
            <w:tcMar>
              <w:left w:w="28" w:type="dxa"/>
              <w:right w:w="28" w:type="dxa"/>
            </w:tcMar>
            <w:vAlign w:val="center"/>
          </w:tcPr>
          <w:p w14:paraId="688AB191">
            <w:pPr>
              <w:spacing w:after="0" w:line="240" w:lineRule="auto"/>
              <w:ind w:firstLine="0"/>
              <w:jc w:val="center"/>
              <w:rPr>
                <w:sz w:val="20"/>
                <w:szCs w:val="20"/>
              </w:rPr>
            </w:pPr>
            <w:r>
              <w:rPr>
                <w:sz w:val="20"/>
                <w:szCs w:val="20"/>
              </w:rPr>
              <w:t>9</w:t>
            </w:r>
          </w:p>
        </w:tc>
        <w:tc>
          <w:tcPr>
            <w:tcW w:w="472" w:type="pct"/>
            <w:shd w:val="clear" w:color="auto" w:fill="auto"/>
            <w:noWrap/>
            <w:tcMar>
              <w:left w:w="28" w:type="dxa"/>
              <w:right w:w="28" w:type="dxa"/>
            </w:tcMar>
            <w:vAlign w:val="center"/>
          </w:tcPr>
          <w:p w14:paraId="2A537A08">
            <w:pPr>
              <w:spacing w:after="0" w:line="240" w:lineRule="auto"/>
              <w:ind w:firstLine="0"/>
              <w:jc w:val="center"/>
              <w:rPr>
                <w:sz w:val="20"/>
                <w:szCs w:val="20"/>
              </w:rPr>
            </w:pPr>
            <w:r>
              <w:rPr>
                <w:sz w:val="20"/>
                <w:szCs w:val="20"/>
              </w:rPr>
              <w:t>12</w:t>
            </w:r>
          </w:p>
        </w:tc>
        <w:tc>
          <w:tcPr>
            <w:tcW w:w="470" w:type="pct"/>
            <w:tcMar>
              <w:left w:w="28" w:type="dxa"/>
              <w:right w:w="28" w:type="dxa"/>
            </w:tcMar>
            <w:vAlign w:val="center"/>
          </w:tcPr>
          <w:p w14:paraId="66C129CD">
            <w:pPr>
              <w:spacing w:after="0" w:line="240" w:lineRule="auto"/>
              <w:ind w:firstLine="0"/>
              <w:jc w:val="center"/>
              <w:rPr>
                <w:sz w:val="20"/>
                <w:szCs w:val="20"/>
              </w:rPr>
            </w:pPr>
            <w:r>
              <w:rPr>
                <w:sz w:val="20"/>
                <w:szCs w:val="20"/>
              </w:rPr>
              <w:t>28</w:t>
            </w:r>
          </w:p>
        </w:tc>
      </w:tr>
      <w:tr w14:paraId="7C0C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B36B65C">
            <w:pPr>
              <w:spacing w:after="0" w:line="240" w:lineRule="auto"/>
              <w:ind w:firstLine="0"/>
              <w:jc w:val="center"/>
              <w:rPr>
                <w:sz w:val="20"/>
                <w:szCs w:val="20"/>
              </w:rPr>
            </w:pPr>
            <w:r>
              <w:rPr>
                <w:sz w:val="20"/>
                <w:szCs w:val="20"/>
              </w:rPr>
              <w:t>7</w:t>
            </w:r>
          </w:p>
        </w:tc>
        <w:tc>
          <w:tcPr>
            <w:tcW w:w="2343" w:type="pct"/>
            <w:shd w:val="clear" w:color="auto" w:fill="auto"/>
            <w:tcMar>
              <w:left w:w="28" w:type="dxa"/>
              <w:right w:w="28" w:type="dxa"/>
            </w:tcMar>
            <w:vAlign w:val="center"/>
          </w:tcPr>
          <w:p w14:paraId="4570F8B3">
            <w:pPr>
              <w:spacing w:after="0" w:line="240" w:lineRule="auto"/>
              <w:ind w:firstLine="0"/>
              <w:rPr>
                <w:sz w:val="20"/>
                <w:szCs w:val="20"/>
              </w:rPr>
            </w:pPr>
            <w:r>
              <w:rPr>
                <w:sz w:val="20"/>
                <w:szCs w:val="20"/>
              </w:rPr>
              <w:t>Температура воды на входе в котел</w:t>
            </w:r>
          </w:p>
        </w:tc>
        <w:tc>
          <w:tcPr>
            <w:tcW w:w="788" w:type="pct"/>
            <w:shd w:val="clear" w:color="auto" w:fill="auto"/>
            <w:noWrap/>
            <w:tcMar>
              <w:left w:w="28" w:type="dxa"/>
              <w:right w:w="28" w:type="dxa"/>
            </w:tcMar>
            <w:vAlign w:val="center"/>
          </w:tcPr>
          <w:p w14:paraId="14566DD8">
            <w:pPr>
              <w:spacing w:after="0" w:line="240" w:lineRule="auto"/>
              <w:ind w:firstLine="0"/>
              <w:jc w:val="center"/>
              <w:rPr>
                <w:sz w:val="20"/>
                <w:szCs w:val="20"/>
              </w:rPr>
            </w:pPr>
            <w:r>
              <w:rPr>
                <w:sz w:val="20"/>
                <w:szCs w:val="20"/>
                <w:vertAlign w:val="superscript"/>
              </w:rPr>
              <w:t>о</w:t>
            </w:r>
            <w:r>
              <w:rPr>
                <w:sz w:val="20"/>
                <w:szCs w:val="20"/>
              </w:rPr>
              <w:t>С</w:t>
            </w:r>
          </w:p>
        </w:tc>
        <w:tc>
          <w:tcPr>
            <w:tcW w:w="1537" w:type="pct"/>
            <w:gridSpan w:val="3"/>
            <w:shd w:val="clear" w:color="auto" w:fill="auto"/>
            <w:noWrap/>
            <w:tcMar>
              <w:left w:w="28" w:type="dxa"/>
              <w:right w:w="28" w:type="dxa"/>
            </w:tcMar>
            <w:vAlign w:val="center"/>
          </w:tcPr>
          <w:p w14:paraId="531CB69E">
            <w:pPr>
              <w:spacing w:after="0" w:line="240" w:lineRule="auto"/>
              <w:ind w:firstLine="0"/>
              <w:jc w:val="center"/>
              <w:rPr>
                <w:sz w:val="20"/>
                <w:szCs w:val="20"/>
              </w:rPr>
            </w:pPr>
            <w:r>
              <w:rPr>
                <w:sz w:val="20"/>
                <w:szCs w:val="20"/>
              </w:rPr>
              <w:t>Не менее 50</w:t>
            </w:r>
          </w:p>
        </w:tc>
      </w:tr>
      <w:tr w14:paraId="15AD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ACF6914">
            <w:pPr>
              <w:spacing w:after="0" w:line="240" w:lineRule="auto"/>
              <w:ind w:firstLine="0"/>
              <w:jc w:val="center"/>
              <w:rPr>
                <w:sz w:val="20"/>
                <w:szCs w:val="20"/>
              </w:rPr>
            </w:pPr>
            <w:r>
              <w:rPr>
                <w:sz w:val="20"/>
                <w:szCs w:val="20"/>
              </w:rPr>
              <w:t>8</w:t>
            </w:r>
          </w:p>
        </w:tc>
        <w:tc>
          <w:tcPr>
            <w:tcW w:w="2343" w:type="pct"/>
            <w:shd w:val="clear" w:color="auto" w:fill="auto"/>
            <w:tcMar>
              <w:left w:w="28" w:type="dxa"/>
              <w:right w:w="28" w:type="dxa"/>
            </w:tcMar>
            <w:vAlign w:val="center"/>
          </w:tcPr>
          <w:p w14:paraId="1DAFE55A">
            <w:pPr>
              <w:spacing w:after="0" w:line="240" w:lineRule="auto"/>
              <w:ind w:firstLine="0"/>
              <w:rPr>
                <w:sz w:val="20"/>
                <w:szCs w:val="20"/>
              </w:rPr>
            </w:pPr>
            <w:r>
              <w:rPr>
                <w:sz w:val="20"/>
                <w:szCs w:val="20"/>
              </w:rPr>
              <w:t>Температура воды на выходе из котла</w:t>
            </w:r>
          </w:p>
        </w:tc>
        <w:tc>
          <w:tcPr>
            <w:tcW w:w="788" w:type="pct"/>
            <w:shd w:val="clear" w:color="auto" w:fill="auto"/>
            <w:noWrap/>
            <w:tcMar>
              <w:left w:w="28" w:type="dxa"/>
              <w:right w:w="28" w:type="dxa"/>
            </w:tcMar>
            <w:vAlign w:val="center"/>
          </w:tcPr>
          <w:p w14:paraId="7D586A06">
            <w:pPr>
              <w:spacing w:after="0" w:line="240" w:lineRule="auto"/>
              <w:ind w:firstLine="0"/>
              <w:jc w:val="center"/>
              <w:rPr>
                <w:sz w:val="20"/>
                <w:szCs w:val="20"/>
              </w:rPr>
            </w:pPr>
            <w:r>
              <w:rPr>
                <w:sz w:val="20"/>
                <w:szCs w:val="20"/>
                <w:vertAlign w:val="superscript"/>
              </w:rPr>
              <w:t>о</w:t>
            </w:r>
            <w:r>
              <w:rPr>
                <w:sz w:val="20"/>
                <w:szCs w:val="20"/>
              </w:rPr>
              <w:t>С</w:t>
            </w:r>
          </w:p>
        </w:tc>
        <w:tc>
          <w:tcPr>
            <w:tcW w:w="1537" w:type="pct"/>
            <w:gridSpan w:val="3"/>
            <w:shd w:val="clear" w:color="auto" w:fill="auto"/>
            <w:noWrap/>
            <w:tcMar>
              <w:left w:w="28" w:type="dxa"/>
              <w:right w:w="28" w:type="dxa"/>
            </w:tcMar>
            <w:vAlign w:val="center"/>
          </w:tcPr>
          <w:p w14:paraId="5F099507">
            <w:pPr>
              <w:spacing w:after="0" w:line="240" w:lineRule="auto"/>
              <w:ind w:firstLine="0"/>
              <w:jc w:val="center"/>
              <w:rPr>
                <w:sz w:val="20"/>
                <w:szCs w:val="20"/>
              </w:rPr>
            </w:pPr>
            <w:r>
              <w:rPr>
                <w:sz w:val="20"/>
                <w:szCs w:val="20"/>
              </w:rPr>
              <w:t>Не более 90</w:t>
            </w:r>
          </w:p>
        </w:tc>
      </w:tr>
      <w:tr w14:paraId="0CB3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5E24C16">
            <w:pPr>
              <w:spacing w:after="0" w:line="240" w:lineRule="auto"/>
              <w:ind w:firstLine="0"/>
              <w:jc w:val="center"/>
              <w:rPr>
                <w:sz w:val="20"/>
                <w:szCs w:val="20"/>
              </w:rPr>
            </w:pPr>
            <w:r>
              <w:rPr>
                <w:sz w:val="20"/>
                <w:szCs w:val="20"/>
              </w:rPr>
              <w:t>9</w:t>
            </w:r>
          </w:p>
        </w:tc>
        <w:tc>
          <w:tcPr>
            <w:tcW w:w="2343" w:type="pct"/>
            <w:shd w:val="clear" w:color="auto" w:fill="auto"/>
            <w:tcMar>
              <w:left w:w="28" w:type="dxa"/>
              <w:right w:w="28" w:type="dxa"/>
            </w:tcMar>
            <w:vAlign w:val="center"/>
          </w:tcPr>
          <w:p w14:paraId="0EB5BE4D">
            <w:pPr>
              <w:spacing w:after="0" w:line="240" w:lineRule="auto"/>
              <w:ind w:firstLine="0"/>
              <w:rPr>
                <w:sz w:val="20"/>
                <w:szCs w:val="20"/>
              </w:rPr>
            </w:pPr>
            <w:r>
              <w:rPr>
                <w:sz w:val="20"/>
                <w:szCs w:val="20"/>
              </w:rPr>
              <w:t>Температура уходящих газов</w:t>
            </w:r>
          </w:p>
        </w:tc>
        <w:tc>
          <w:tcPr>
            <w:tcW w:w="788" w:type="pct"/>
            <w:shd w:val="clear" w:color="auto" w:fill="auto"/>
            <w:noWrap/>
            <w:tcMar>
              <w:left w:w="28" w:type="dxa"/>
              <w:right w:w="28" w:type="dxa"/>
            </w:tcMar>
            <w:vAlign w:val="center"/>
          </w:tcPr>
          <w:p w14:paraId="09766437">
            <w:pPr>
              <w:spacing w:after="0" w:line="240" w:lineRule="auto"/>
              <w:ind w:firstLine="0"/>
              <w:jc w:val="center"/>
              <w:rPr>
                <w:sz w:val="20"/>
                <w:szCs w:val="20"/>
              </w:rPr>
            </w:pPr>
            <w:r>
              <w:rPr>
                <w:sz w:val="20"/>
                <w:szCs w:val="20"/>
                <w:vertAlign w:val="superscript"/>
              </w:rPr>
              <w:t>о</w:t>
            </w:r>
            <w:r>
              <w:rPr>
                <w:sz w:val="20"/>
                <w:szCs w:val="20"/>
              </w:rPr>
              <w:t>С</w:t>
            </w:r>
          </w:p>
        </w:tc>
        <w:tc>
          <w:tcPr>
            <w:tcW w:w="595" w:type="pct"/>
            <w:shd w:val="clear" w:color="auto" w:fill="auto"/>
            <w:noWrap/>
            <w:tcMar>
              <w:left w:w="28" w:type="dxa"/>
              <w:right w:w="28" w:type="dxa"/>
            </w:tcMar>
            <w:vAlign w:val="center"/>
          </w:tcPr>
          <w:p w14:paraId="21D42ABB">
            <w:pPr>
              <w:spacing w:after="0" w:line="240" w:lineRule="auto"/>
              <w:ind w:firstLine="0"/>
              <w:jc w:val="center"/>
              <w:rPr>
                <w:sz w:val="20"/>
                <w:szCs w:val="20"/>
              </w:rPr>
            </w:pPr>
            <w:r>
              <w:rPr>
                <w:sz w:val="20"/>
                <w:szCs w:val="20"/>
              </w:rPr>
              <w:t>121</w:t>
            </w:r>
          </w:p>
        </w:tc>
        <w:tc>
          <w:tcPr>
            <w:tcW w:w="472" w:type="pct"/>
            <w:shd w:val="clear" w:color="auto" w:fill="auto"/>
            <w:noWrap/>
            <w:tcMar>
              <w:left w:w="28" w:type="dxa"/>
              <w:right w:w="28" w:type="dxa"/>
            </w:tcMar>
            <w:vAlign w:val="center"/>
          </w:tcPr>
          <w:p w14:paraId="55270A7B">
            <w:pPr>
              <w:spacing w:after="0" w:line="240" w:lineRule="auto"/>
              <w:ind w:firstLine="0"/>
              <w:jc w:val="center"/>
              <w:rPr>
                <w:sz w:val="20"/>
                <w:szCs w:val="20"/>
              </w:rPr>
            </w:pPr>
            <w:r>
              <w:rPr>
                <w:sz w:val="20"/>
                <w:szCs w:val="20"/>
              </w:rPr>
              <w:t>170</w:t>
            </w:r>
          </w:p>
        </w:tc>
        <w:tc>
          <w:tcPr>
            <w:tcW w:w="470" w:type="pct"/>
            <w:tcMar>
              <w:left w:w="28" w:type="dxa"/>
              <w:right w:w="28" w:type="dxa"/>
            </w:tcMar>
            <w:vAlign w:val="center"/>
          </w:tcPr>
          <w:p w14:paraId="08E730BB">
            <w:pPr>
              <w:spacing w:after="0" w:line="240" w:lineRule="auto"/>
              <w:ind w:firstLine="0"/>
              <w:jc w:val="center"/>
              <w:rPr>
                <w:sz w:val="20"/>
                <w:szCs w:val="20"/>
              </w:rPr>
            </w:pPr>
            <w:r>
              <w:rPr>
                <w:sz w:val="20"/>
                <w:szCs w:val="20"/>
              </w:rPr>
              <w:t>181</w:t>
            </w:r>
          </w:p>
        </w:tc>
      </w:tr>
      <w:tr w14:paraId="3164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4B9B15C3">
            <w:pPr>
              <w:spacing w:after="0" w:line="240" w:lineRule="auto"/>
              <w:ind w:firstLine="0"/>
              <w:jc w:val="center"/>
              <w:rPr>
                <w:sz w:val="20"/>
                <w:szCs w:val="20"/>
              </w:rPr>
            </w:pPr>
            <w:r>
              <w:rPr>
                <w:sz w:val="20"/>
                <w:szCs w:val="20"/>
              </w:rPr>
              <w:t>10</w:t>
            </w:r>
          </w:p>
        </w:tc>
        <w:tc>
          <w:tcPr>
            <w:tcW w:w="2343" w:type="pct"/>
            <w:shd w:val="clear" w:color="auto" w:fill="auto"/>
            <w:tcMar>
              <w:left w:w="28" w:type="dxa"/>
              <w:right w:w="28" w:type="dxa"/>
            </w:tcMar>
            <w:vAlign w:val="center"/>
          </w:tcPr>
          <w:p w14:paraId="465493A6">
            <w:pPr>
              <w:spacing w:after="0" w:line="240" w:lineRule="auto"/>
              <w:ind w:firstLine="0"/>
              <w:rPr>
                <w:sz w:val="20"/>
                <w:szCs w:val="20"/>
              </w:rPr>
            </w:pPr>
            <w:r>
              <w:rPr>
                <w:sz w:val="20"/>
                <w:szCs w:val="20"/>
              </w:rPr>
              <w:t>Состав уходящих газов после котлоагрегата</w:t>
            </w:r>
          </w:p>
        </w:tc>
        <w:tc>
          <w:tcPr>
            <w:tcW w:w="788" w:type="pct"/>
            <w:shd w:val="clear" w:color="auto" w:fill="auto"/>
            <w:noWrap/>
            <w:tcMar>
              <w:left w:w="28" w:type="dxa"/>
              <w:right w:w="28" w:type="dxa"/>
            </w:tcMar>
            <w:vAlign w:val="center"/>
          </w:tcPr>
          <w:p w14:paraId="0CD5FCB6">
            <w:pPr>
              <w:spacing w:after="0" w:line="240" w:lineRule="auto"/>
              <w:ind w:firstLine="0"/>
              <w:jc w:val="center"/>
              <w:rPr>
                <w:sz w:val="20"/>
                <w:szCs w:val="20"/>
              </w:rPr>
            </w:pPr>
            <w:r>
              <w:rPr>
                <w:sz w:val="20"/>
                <w:szCs w:val="20"/>
              </w:rPr>
              <w:t> </w:t>
            </w:r>
          </w:p>
        </w:tc>
        <w:tc>
          <w:tcPr>
            <w:tcW w:w="595" w:type="pct"/>
            <w:shd w:val="clear" w:color="auto" w:fill="auto"/>
            <w:noWrap/>
            <w:tcMar>
              <w:left w:w="28" w:type="dxa"/>
              <w:right w:w="28" w:type="dxa"/>
            </w:tcMar>
            <w:vAlign w:val="center"/>
          </w:tcPr>
          <w:p w14:paraId="025EAB7A">
            <w:pPr>
              <w:spacing w:after="0" w:line="240" w:lineRule="auto"/>
              <w:ind w:firstLine="0"/>
              <w:jc w:val="center"/>
              <w:rPr>
                <w:sz w:val="20"/>
                <w:szCs w:val="20"/>
              </w:rPr>
            </w:pPr>
          </w:p>
        </w:tc>
        <w:tc>
          <w:tcPr>
            <w:tcW w:w="472" w:type="pct"/>
            <w:shd w:val="clear" w:color="auto" w:fill="auto"/>
            <w:noWrap/>
            <w:tcMar>
              <w:left w:w="28" w:type="dxa"/>
              <w:right w:w="28" w:type="dxa"/>
            </w:tcMar>
            <w:vAlign w:val="center"/>
          </w:tcPr>
          <w:p w14:paraId="14F7771E">
            <w:pPr>
              <w:spacing w:after="0" w:line="240" w:lineRule="auto"/>
              <w:ind w:firstLine="0"/>
              <w:jc w:val="center"/>
              <w:rPr>
                <w:sz w:val="20"/>
                <w:szCs w:val="20"/>
              </w:rPr>
            </w:pPr>
          </w:p>
        </w:tc>
        <w:tc>
          <w:tcPr>
            <w:tcW w:w="470" w:type="pct"/>
            <w:tcMar>
              <w:left w:w="28" w:type="dxa"/>
              <w:right w:w="28" w:type="dxa"/>
            </w:tcMar>
            <w:vAlign w:val="center"/>
          </w:tcPr>
          <w:p w14:paraId="405DF41B">
            <w:pPr>
              <w:spacing w:after="0" w:line="240" w:lineRule="auto"/>
              <w:ind w:firstLine="0"/>
              <w:jc w:val="center"/>
              <w:rPr>
                <w:sz w:val="20"/>
                <w:szCs w:val="20"/>
              </w:rPr>
            </w:pPr>
          </w:p>
        </w:tc>
      </w:tr>
      <w:tr w14:paraId="0FCE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3033FCA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2ED837CF">
            <w:pPr>
              <w:spacing w:after="0" w:line="240" w:lineRule="auto"/>
              <w:ind w:firstLine="0"/>
              <w:jc w:val="right"/>
              <w:rPr>
                <w:sz w:val="20"/>
                <w:szCs w:val="20"/>
              </w:rPr>
            </w:pPr>
            <w:r>
              <w:rPr>
                <w:sz w:val="20"/>
                <w:szCs w:val="20"/>
              </w:rPr>
              <w:t>углекислый газ CO</w:t>
            </w:r>
            <w:r>
              <w:rPr>
                <w:sz w:val="20"/>
                <w:szCs w:val="20"/>
                <w:vertAlign w:val="subscript"/>
              </w:rPr>
              <w:t>2</w:t>
            </w:r>
          </w:p>
        </w:tc>
        <w:tc>
          <w:tcPr>
            <w:tcW w:w="788" w:type="pct"/>
            <w:shd w:val="clear" w:color="auto" w:fill="auto"/>
            <w:noWrap/>
            <w:tcMar>
              <w:left w:w="28" w:type="dxa"/>
              <w:right w:w="28" w:type="dxa"/>
            </w:tcMar>
            <w:vAlign w:val="center"/>
          </w:tcPr>
          <w:p w14:paraId="154BC24D">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12F4C4A7">
            <w:pPr>
              <w:spacing w:after="0" w:line="240" w:lineRule="auto"/>
              <w:ind w:firstLine="0"/>
              <w:jc w:val="center"/>
              <w:rPr>
                <w:sz w:val="20"/>
                <w:szCs w:val="20"/>
              </w:rPr>
            </w:pPr>
            <w:r>
              <w:rPr>
                <w:sz w:val="20"/>
                <w:szCs w:val="20"/>
              </w:rPr>
              <w:t>6,2</w:t>
            </w:r>
          </w:p>
        </w:tc>
        <w:tc>
          <w:tcPr>
            <w:tcW w:w="472" w:type="pct"/>
            <w:shd w:val="clear" w:color="auto" w:fill="auto"/>
            <w:noWrap/>
            <w:tcMar>
              <w:left w:w="28" w:type="dxa"/>
              <w:right w:w="28" w:type="dxa"/>
            </w:tcMar>
            <w:vAlign w:val="center"/>
          </w:tcPr>
          <w:p w14:paraId="6FAB2CF5">
            <w:pPr>
              <w:spacing w:after="0" w:line="240" w:lineRule="auto"/>
              <w:ind w:firstLine="0"/>
              <w:jc w:val="center"/>
              <w:rPr>
                <w:sz w:val="20"/>
                <w:szCs w:val="20"/>
              </w:rPr>
            </w:pPr>
            <w:r>
              <w:rPr>
                <w:sz w:val="20"/>
                <w:szCs w:val="20"/>
              </w:rPr>
              <w:t>9,4</w:t>
            </w:r>
          </w:p>
        </w:tc>
        <w:tc>
          <w:tcPr>
            <w:tcW w:w="470" w:type="pct"/>
            <w:tcMar>
              <w:left w:w="28" w:type="dxa"/>
              <w:right w:w="28" w:type="dxa"/>
            </w:tcMar>
            <w:vAlign w:val="center"/>
          </w:tcPr>
          <w:p w14:paraId="2220F614">
            <w:pPr>
              <w:spacing w:after="0" w:line="240" w:lineRule="auto"/>
              <w:ind w:firstLine="0"/>
              <w:jc w:val="center"/>
              <w:rPr>
                <w:sz w:val="20"/>
                <w:szCs w:val="20"/>
              </w:rPr>
            </w:pPr>
            <w:r>
              <w:rPr>
                <w:sz w:val="20"/>
                <w:szCs w:val="20"/>
              </w:rPr>
              <w:t>10,4</w:t>
            </w:r>
          </w:p>
        </w:tc>
      </w:tr>
      <w:tr w14:paraId="5F05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BC7C4D9">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25DD6FED">
            <w:pPr>
              <w:spacing w:after="0" w:line="240" w:lineRule="auto"/>
              <w:ind w:firstLine="0"/>
              <w:jc w:val="right"/>
              <w:rPr>
                <w:sz w:val="20"/>
                <w:szCs w:val="20"/>
              </w:rPr>
            </w:pPr>
            <w:r>
              <w:rPr>
                <w:sz w:val="20"/>
                <w:szCs w:val="20"/>
              </w:rPr>
              <w:t>кислород O</w:t>
            </w:r>
            <w:r>
              <w:rPr>
                <w:sz w:val="20"/>
                <w:szCs w:val="20"/>
                <w:vertAlign w:val="subscript"/>
              </w:rPr>
              <w:t>2</w:t>
            </w:r>
          </w:p>
        </w:tc>
        <w:tc>
          <w:tcPr>
            <w:tcW w:w="788" w:type="pct"/>
            <w:shd w:val="clear" w:color="auto" w:fill="auto"/>
            <w:noWrap/>
            <w:tcMar>
              <w:left w:w="28" w:type="dxa"/>
              <w:right w:w="28" w:type="dxa"/>
            </w:tcMar>
            <w:vAlign w:val="center"/>
          </w:tcPr>
          <w:p w14:paraId="70FA11E5">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717B6F47">
            <w:pPr>
              <w:spacing w:after="0" w:line="240" w:lineRule="auto"/>
              <w:ind w:firstLine="0"/>
              <w:jc w:val="center"/>
              <w:rPr>
                <w:sz w:val="20"/>
                <w:szCs w:val="20"/>
              </w:rPr>
            </w:pPr>
            <w:r>
              <w:rPr>
                <w:sz w:val="20"/>
                <w:szCs w:val="20"/>
              </w:rPr>
              <w:t>9,8</w:t>
            </w:r>
          </w:p>
        </w:tc>
        <w:tc>
          <w:tcPr>
            <w:tcW w:w="472" w:type="pct"/>
            <w:shd w:val="clear" w:color="auto" w:fill="auto"/>
            <w:noWrap/>
            <w:tcMar>
              <w:left w:w="28" w:type="dxa"/>
              <w:right w:w="28" w:type="dxa"/>
            </w:tcMar>
            <w:vAlign w:val="center"/>
          </w:tcPr>
          <w:p w14:paraId="350A9BBE">
            <w:pPr>
              <w:spacing w:after="0" w:line="240" w:lineRule="auto"/>
              <w:ind w:firstLine="0"/>
              <w:jc w:val="center"/>
              <w:rPr>
                <w:sz w:val="20"/>
                <w:szCs w:val="20"/>
              </w:rPr>
            </w:pPr>
            <w:r>
              <w:rPr>
                <w:sz w:val="20"/>
                <w:szCs w:val="20"/>
              </w:rPr>
              <w:t>4,2</w:t>
            </w:r>
          </w:p>
        </w:tc>
        <w:tc>
          <w:tcPr>
            <w:tcW w:w="470" w:type="pct"/>
            <w:tcMar>
              <w:left w:w="28" w:type="dxa"/>
              <w:right w:w="28" w:type="dxa"/>
            </w:tcMar>
            <w:vAlign w:val="center"/>
          </w:tcPr>
          <w:p w14:paraId="71ACAB76">
            <w:pPr>
              <w:spacing w:after="0" w:line="240" w:lineRule="auto"/>
              <w:ind w:firstLine="0"/>
              <w:jc w:val="center"/>
              <w:rPr>
                <w:sz w:val="20"/>
                <w:szCs w:val="20"/>
              </w:rPr>
            </w:pPr>
            <w:r>
              <w:rPr>
                <w:sz w:val="20"/>
                <w:szCs w:val="20"/>
              </w:rPr>
              <w:t>3,8</w:t>
            </w:r>
          </w:p>
        </w:tc>
      </w:tr>
      <w:tr w14:paraId="6087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CF01851">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29D8B2DE">
            <w:pPr>
              <w:spacing w:after="0" w:line="240" w:lineRule="auto"/>
              <w:ind w:firstLine="0"/>
              <w:jc w:val="right"/>
              <w:rPr>
                <w:sz w:val="20"/>
                <w:szCs w:val="20"/>
              </w:rPr>
            </w:pPr>
            <w:r>
              <w:rPr>
                <w:sz w:val="20"/>
                <w:szCs w:val="20"/>
              </w:rPr>
              <w:t>окись углерода CO</w:t>
            </w:r>
          </w:p>
        </w:tc>
        <w:tc>
          <w:tcPr>
            <w:tcW w:w="788" w:type="pct"/>
            <w:shd w:val="clear" w:color="auto" w:fill="auto"/>
            <w:noWrap/>
            <w:tcMar>
              <w:left w:w="28" w:type="dxa"/>
              <w:right w:w="28" w:type="dxa"/>
            </w:tcMar>
            <w:vAlign w:val="center"/>
          </w:tcPr>
          <w:p w14:paraId="255EDDF2">
            <w:pPr>
              <w:spacing w:after="0" w:line="240" w:lineRule="auto"/>
              <w:ind w:firstLine="0"/>
              <w:jc w:val="center"/>
              <w:rPr>
                <w:sz w:val="20"/>
                <w:szCs w:val="20"/>
              </w:rPr>
            </w:pPr>
            <w:r>
              <w:rPr>
                <w:sz w:val="20"/>
                <w:szCs w:val="20"/>
              </w:rPr>
              <w:t>ррм</w:t>
            </w:r>
          </w:p>
        </w:tc>
        <w:tc>
          <w:tcPr>
            <w:tcW w:w="595" w:type="pct"/>
            <w:shd w:val="clear" w:color="auto" w:fill="auto"/>
            <w:noWrap/>
            <w:tcMar>
              <w:left w:w="28" w:type="dxa"/>
              <w:right w:w="28" w:type="dxa"/>
            </w:tcMar>
            <w:vAlign w:val="center"/>
          </w:tcPr>
          <w:p w14:paraId="08F7AE80">
            <w:pPr>
              <w:spacing w:after="0" w:line="240" w:lineRule="auto"/>
              <w:ind w:firstLine="0"/>
              <w:jc w:val="center"/>
              <w:rPr>
                <w:sz w:val="20"/>
                <w:szCs w:val="20"/>
              </w:rPr>
            </w:pPr>
            <w:r>
              <w:rPr>
                <w:sz w:val="20"/>
                <w:szCs w:val="20"/>
              </w:rPr>
              <w:t>18</w:t>
            </w:r>
          </w:p>
        </w:tc>
        <w:tc>
          <w:tcPr>
            <w:tcW w:w="472" w:type="pct"/>
            <w:shd w:val="clear" w:color="auto" w:fill="auto"/>
            <w:noWrap/>
            <w:tcMar>
              <w:left w:w="28" w:type="dxa"/>
              <w:right w:w="28" w:type="dxa"/>
            </w:tcMar>
            <w:vAlign w:val="center"/>
          </w:tcPr>
          <w:p w14:paraId="036564BF">
            <w:pPr>
              <w:spacing w:after="0" w:line="240" w:lineRule="auto"/>
              <w:ind w:firstLine="0"/>
              <w:jc w:val="center"/>
              <w:rPr>
                <w:sz w:val="20"/>
                <w:szCs w:val="20"/>
              </w:rPr>
            </w:pPr>
            <w:r>
              <w:rPr>
                <w:sz w:val="20"/>
                <w:szCs w:val="20"/>
              </w:rPr>
              <w:t>11</w:t>
            </w:r>
          </w:p>
        </w:tc>
        <w:tc>
          <w:tcPr>
            <w:tcW w:w="470" w:type="pct"/>
            <w:tcMar>
              <w:left w:w="28" w:type="dxa"/>
              <w:right w:w="28" w:type="dxa"/>
            </w:tcMar>
            <w:vAlign w:val="center"/>
          </w:tcPr>
          <w:p w14:paraId="70EA2CB1">
            <w:pPr>
              <w:spacing w:after="0" w:line="240" w:lineRule="auto"/>
              <w:ind w:firstLine="0"/>
              <w:jc w:val="center"/>
              <w:rPr>
                <w:sz w:val="20"/>
                <w:szCs w:val="20"/>
              </w:rPr>
            </w:pPr>
            <w:r>
              <w:rPr>
                <w:sz w:val="20"/>
                <w:szCs w:val="20"/>
              </w:rPr>
              <w:t>8</w:t>
            </w:r>
          </w:p>
        </w:tc>
      </w:tr>
      <w:tr w14:paraId="4054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09B6FD8">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4ED7C5D3">
            <w:pPr>
              <w:spacing w:after="0" w:line="240" w:lineRule="auto"/>
              <w:ind w:firstLine="0"/>
              <w:jc w:val="right"/>
              <w:rPr>
                <w:sz w:val="20"/>
                <w:szCs w:val="20"/>
              </w:rPr>
            </w:pPr>
            <w:r>
              <w:rPr>
                <w:sz w:val="20"/>
                <w:szCs w:val="20"/>
              </w:rPr>
              <w:t xml:space="preserve">окись азота </w:t>
            </w:r>
            <w:r>
              <w:rPr>
                <w:sz w:val="20"/>
                <w:szCs w:val="20"/>
                <w:lang w:val="en-US"/>
              </w:rPr>
              <w:t>N</w:t>
            </w:r>
            <w:r>
              <w:rPr>
                <w:sz w:val="20"/>
                <w:szCs w:val="20"/>
              </w:rPr>
              <w:t>O</w:t>
            </w:r>
          </w:p>
        </w:tc>
        <w:tc>
          <w:tcPr>
            <w:tcW w:w="788" w:type="pct"/>
            <w:shd w:val="clear" w:color="auto" w:fill="auto"/>
            <w:noWrap/>
            <w:tcMar>
              <w:left w:w="28" w:type="dxa"/>
              <w:right w:w="28" w:type="dxa"/>
            </w:tcMar>
            <w:vAlign w:val="center"/>
          </w:tcPr>
          <w:p w14:paraId="0D7211C6">
            <w:pPr>
              <w:spacing w:after="0" w:line="240" w:lineRule="auto"/>
              <w:ind w:firstLine="0"/>
              <w:jc w:val="center"/>
              <w:rPr>
                <w:sz w:val="20"/>
                <w:szCs w:val="20"/>
              </w:rPr>
            </w:pPr>
            <w:r>
              <w:rPr>
                <w:sz w:val="20"/>
                <w:szCs w:val="20"/>
              </w:rPr>
              <w:t>ррм</w:t>
            </w:r>
          </w:p>
        </w:tc>
        <w:tc>
          <w:tcPr>
            <w:tcW w:w="595" w:type="pct"/>
            <w:shd w:val="clear" w:color="auto" w:fill="auto"/>
            <w:noWrap/>
            <w:tcMar>
              <w:left w:w="28" w:type="dxa"/>
              <w:right w:w="28" w:type="dxa"/>
            </w:tcMar>
            <w:vAlign w:val="center"/>
          </w:tcPr>
          <w:p w14:paraId="7EBC50B4">
            <w:pPr>
              <w:spacing w:after="0" w:line="240" w:lineRule="auto"/>
              <w:ind w:firstLine="0"/>
              <w:jc w:val="center"/>
              <w:rPr>
                <w:sz w:val="20"/>
                <w:szCs w:val="20"/>
              </w:rPr>
            </w:pPr>
            <w:r>
              <w:rPr>
                <w:sz w:val="20"/>
                <w:szCs w:val="20"/>
              </w:rPr>
              <w:t>23</w:t>
            </w:r>
          </w:p>
        </w:tc>
        <w:tc>
          <w:tcPr>
            <w:tcW w:w="472" w:type="pct"/>
            <w:shd w:val="clear" w:color="auto" w:fill="auto"/>
            <w:noWrap/>
            <w:tcMar>
              <w:left w:w="28" w:type="dxa"/>
              <w:right w:w="28" w:type="dxa"/>
            </w:tcMar>
            <w:vAlign w:val="center"/>
          </w:tcPr>
          <w:p w14:paraId="158CF277">
            <w:pPr>
              <w:spacing w:after="0" w:line="240" w:lineRule="auto"/>
              <w:ind w:firstLine="0"/>
              <w:jc w:val="center"/>
              <w:rPr>
                <w:sz w:val="20"/>
                <w:szCs w:val="20"/>
              </w:rPr>
            </w:pPr>
            <w:r>
              <w:rPr>
                <w:sz w:val="20"/>
                <w:szCs w:val="20"/>
              </w:rPr>
              <w:t>56</w:t>
            </w:r>
          </w:p>
        </w:tc>
        <w:tc>
          <w:tcPr>
            <w:tcW w:w="470" w:type="pct"/>
            <w:tcMar>
              <w:left w:w="28" w:type="dxa"/>
              <w:right w:w="28" w:type="dxa"/>
            </w:tcMar>
            <w:vAlign w:val="center"/>
          </w:tcPr>
          <w:p w14:paraId="60285F6F">
            <w:pPr>
              <w:spacing w:after="0" w:line="240" w:lineRule="auto"/>
              <w:ind w:firstLine="0"/>
              <w:jc w:val="center"/>
              <w:rPr>
                <w:sz w:val="20"/>
                <w:szCs w:val="20"/>
              </w:rPr>
            </w:pPr>
            <w:r>
              <w:rPr>
                <w:sz w:val="20"/>
                <w:szCs w:val="20"/>
              </w:rPr>
              <w:t>65</w:t>
            </w:r>
          </w:p>
        </w:tc>
      </w:tr>
      <w:tr w14:paraId="5362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2D04B83A">
            <w:pPr>
              <w:spacing w:after="0" w:line="240" w:lineRule="auto"/>
              <w:ind w:firstLine="0"/>
              <w:jc w:val="center"/>
              <w:rPr>
                <w:sz w:val="20"/>
                <w:szCs w:val="20"/>
              </w:rPr>
            </w:pPr>
            <w:r>
              <w:rPr>
                <w:sz w:val="20"/>
                <w:szCs w:val="20"/>
              </w:rPr>
              <w:t>11</w:t>
            </w:r>
          </w:p>
        </w:tc>
        <w:tc>
          <w:tcPr>
            <w:tcW w:w="2343" w:type="pct"/>
            <w:shd w:val="clear" w:color="auto" w:fill="auto"/>
            <w:tcMar>
              <w:left w:w="28" w:type="dxa"/>
              <w:right w:w="28" w:type="dxa"/>
            </w:tcMar>
            <w:vAlign w:val="center"/>
          </w:tcPr>
          <w:p w14:paraId="3AD61772">
            <w:pPr>
              <w:spacing w:after="0" w:line="240" w:lineRule="auto"/>
              <w:ind w:firstLine="0"/>
              <w:rPr>
                <w:sz w:val="20"/>
                <w:szCs w:val="20"/>
              </w:rPr>
            </w:pPr>
            <w:r>
              <w:rPr>
                <w:sz w:val="20"/>
                <w:szCs w:val="20"/>
              </w:rPr>
              <w:t>Коэфф. избытка воздуха</w:t>
            </w:r>
          </w:p>
        </w:tc>
        <w:tc>
          <w:tcPr>
            <w:tcW w:w="788" w:type="pct"/>
            <w:shd w:val="clear" w:color="auto" w:fill="auto"/>
            <w:noWrap/>
            <w:tcMar>
              <w:left w:w="28" w:type="dxa"/>
              <w:right w:w="28" w:type="dxa"/>
            </w:tcMar>
            <w:vAlign w:val="center"/>
          </w:tcPr>
          <w:p w14:paraId="5EACF849">
            <w:pPr>
              <w:spacing w:after="0" w:line="240" w:lineRule="auto"/>
              <w:ind w:firstLine="0"/>
              <w:jc w:val="center"/>
              <w:rPr>
                <w:sz w:val="20"/>
                <w:szCs w:val="20"/>
              </w:rPr>
            </w:pPr>
          </w:p>
        </w:tc>
        <w:tc>
          <w:tcPr>
            <w:tcW w:w="595" w:type="pct"/>
            <w:shd w:val="clear" w:color="auto" w:fill="auto"/>
            <w:noWrap/>
            <w:tcMar>
              <w:left w:w="28" w:type="dxa"/>
              <w:right w:w="28" w:type="dxa"/>
            </w:tcMar>
            <w:vAlign w:val="center"/>
          </w:tcPr>
          <w:p w14:paraId="4F29DFB9">
            <w:pPr>
              <w:spacing w:after="0" w:line="240" w:lineRule="auto"/>
              <w:ind w:firstLine="0"/>
              <w:jc w:val="center"/>
              <w:rPr>
                <w:sz w:val="20"/>
                <w:szCs w:val="20"/>
              </w:rPr>
            </w:pPr>
            <w:r>
              <w:rPr>
                <w:sz w:val="20"/>
                <w:szCs w:val="20"/>
                <w:lang w:val="en-US"/>
              </w:rPr>
              <w:t>1</w:t>
            </w:r>
            <w:r>
              <w:rPr>
                <w:sz w:val="20"/>
                <w:szCs w:val="20"/>
              </w:rPr>
              <w:t>,9</w:t>
            </w:r>
          </w:p>
        </w:tc>
        <w:tc>
          <w:tcPr>
            <w:tcW w:w="472" w:type="pct"/>
            <w:shd w:val="clear" w:color="auto" w:fill="auto"/>
            <w:noWrap/>
            <w:tcMar>
              <w:left w:w="28" w:type="dxa"/>
              <w:right w:w="28" w:type="dxa"/>
            </w:tcMar>
            <w:vAlign w:val="center"/>
          </w:tcPr>
          <w:p w14:paraId="732F8B20">
            <w:pPr>
              <w:spacing w:after="0" w:line="240" w:lineRule="auto"/>
              <w:ind w:firstLine="0"/>
              <w:jc w:val="center"/>
              <w:rPr>
                <w:sz w:val="20"/>
                <w:szCs w:val="20"/>
              </w:rPr>
            </w:pPr>
            <w:r>
              <w:rPr>
                <w:sz w:val="20"/>
                <w:szCs w:val="20"/>
              </w:rPr>
              <w:t>1,26</w:t>
            </w:r>
          </w:p>
        </w:tc>
        <w:tc>
          <w:tcPr>
            <w:tcW w:w="470" w:type="pct"/>
            <w:tcMar>
              <w:left w:w="28" w:type="dxa"/>
              <w:right w:w="28" w:type="dxa"/>
            </w:tcMar>
            <w:vAlign w:val="center"/>
          </w:tcPr>
          <w:p w14:paraId="7944486D">
            <w:pPr>
              <w:spacing w:after="0" w:line="240" w:lineRule="auto"/>
              <w:ind w:firstLine="0"/>
              <w:jc w:val="center"/>
              <w:rPr>
                <w:sz w:val="20"/>
                <w:szCs w:val="20"/>
              </w:rPr>
            </w:pPr>
            <w:r>
              <w:rPr>
                <w:sz w:val="20"/>
                <w:szCs w:val="20"/>
              </w:rPr>
              <w:t>1,2</w:t>
            </w:r>
          </w:p>
        </w:tc>
      </w:tr>
      <w:tr w14:paraId="5CEE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137028E0">
            <w:pPr>
              <w:spacing w:after="0" w:line="240" w:lineRule="auto"/>
              <w:ind w:firstLine="0"/>
              <w:jc w:val="center"/>
              <w:rPr>
                <w:sz w:val="20"/>
                <w:szCs w:val="20"/>
              </w:rPr>
            </w:pPr>
            <w:r>
              <w:rPr>
                <w:sz w:val="20"/>
                <w:szCs w:val="20"/>
              </w:rPr>
              <w:t>12</w:t>
            </w:r>
          </w:p>
        </w:tc>
        <w:tc>
          <w:tcPr>
            <w:tcW w:w="2343" w:type="pct"/>
            <w:shd w:val="clear" w:color="auto" w:fill="auto"/>
            <w:tcMar>
              <w:left w:w="28" w:type="dxa"/>
              <w:right w:w="28" w:type="dxa"/>
            </w:tcMar>
            <w:vAlign w:val="center"/>
          </w:tcPr>
          <w:p w14:paraId="69078EA7">
            <w:pPr>
              <w:spacing w:after="0" w:line="240" w:lineRule="auto"/>
              <w:ind w:firstLine="0"/>
              <w:rPr>
                <w:sz w:val="20"/>
                <w:szCs w:val="20"/>
              </w:rPr>
            </w:pPr>
            <w:r>
              <w:rPr>
                <w:sz w:val="20"/>
                <w:szCs w:val="20"/>
              </w:rPr>
              <w:t>Потери тепла:</w:t>
            </w:r>
          </w:p>
        </w:tc>
        <w:tc>
          <w:tcPr>
            <w:tcW w:w="788" w:type="pct"/>
            <w:shd w:val="clear" w:color="auto" w:fill="auto"/>
            <w:noWrap/>
            <w:tcMar>
              <w:left w:w="28" w:type="dxa"/>
              <w:right w:w="28" w:type="dxa"/>
            </w:tcMar>
            <w:vAlign w:val="center"/>
          </w:tcPr>
          <w:p w14:paraId="4A758BA3">
            <w:pPr>
              <w:spacing w:after="0" w:line="240" w:lineRule="auto"/>
              <w:ind w:firstLine="0"/>
              <w:jc w:val="center"/>
              <w:rPr>
                <w:sz w:val="20"/>
                <w:szCs w:val="20"/>
              </w:rPr>
            </w:pPr>
          </w:p>
        </w:tc>
        <w:tc>
          <w:tcPr>
            <w:tcW w:w="595" w:type="pct"/>
            <w:shd w:val="clear" w:color="auto" w:fill="auto"/>
            <w:noWrap/>
            <w:tcMar>
              <w:left w:w="28" w:type="dxa"/>
              <w:right w:w="28" w:type="dxa"/>
            </w:tcMar>
            <w:vAlign w:val="center"/>
          </w:tcPr>
          <w:p w14:paraId="1CAD95D1">
            <w:pPr>
              <w:spacing w:after="0" w:line="240" w:lineRule="auto"/>
              <w:ind w:firstLine="0"/>
              <w:jc w:val="center"/>
              <w:rPr>
                <w:sz w:val="20"/>
                <w:szCs w:val="20"/>
              </w:rPr>
            </w:pPr>
          </w:p>
        </w:tc>
        <w:tc>
          <w:tcPr>
            <w:tcW w:w="472" w:type="pct"/>
            <w:shd w:val="clear" w:color="auto" w:fill="auto"/>
            <w:noWrap/>
            <w:tcMar>
              <w:left w:w="28" w:type="dxa"/>
              <w:right w:w="28" w:type="dxa"/>
            </w:tcMar>
            <w:vAlign w:val="center"/>
          </w:tcPr>
          <w:p w14:paraId="6467C355">
            <w:pPr>
              <w:spacing w:after="0" w:line="240" w:lineRule="auto"/>
              <w:ind w:firstLine="0"/>
              <w:jc w:val="center"/>
              <w:rPr>
                <w:sz w:val="20"/>
                <w:szCs w:val="20"/>
              </w:rPr>
            </w:pPr>
          </w:p>
        </w:tc>
        <w:tc>
          <w:tcPr>
            <w:tcW w:w="470" w:type="pct"/>
            <w:tcMar>
              <w:left w:w="28" w:type="dxa"/>
              <w:right w:w="28" w:type="dxa"/>
            </w:tcMar>
            <w:vAlign w:val="center"/>
          </w:tcPr>
          <w:p w14:paraId="0E6D8F19">
            <w:pPr>
              <w:spacing w:after="0" w:line="240" w:lineRule="auto"/>
              <w:ind w:firstLine="0"/>
              <w:jc w:val="center"/>
              <w:rPr>
                <w:sz w:val="20"/>
                <w:szCs w:val="20"/>
              </w:rPr>
            </w:pPr>
          </w:p>
        </w:tc>
      </w:tr>
      <w:tr w14:paraId="1BAB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6F5E4A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5F84301B">
            <w:pPr>
              <w:spacing w:after="0" w:line="240" w:lineRule="auto"/>
              <w:ind w:firstLine="0"/>
              <w:jc w:val="right"/>
              <w:rPr>
                <w:sz w:val="20"/>
                <w:szCs w:val="20"/>
              </w:rPr>
            </w:pPr>
            <w:r>
              <w:rPr>
                <w:sz w:val="20"/>
                <w:szCs w:val="20"/>
              </w:rPr>
              <w:t>с уходящими газами</w:t>
            </w:r>
          </w:p>
        </w:tc>
        <w:tc>
          <w:tcPr>
            <w:tcW w:w="788" w:type="pct"/>
            <w:shd w:val="clear" w:color="auto" w:fill="auto"/>
            <w:noWrap/>
            <w:tcMar>
              <w:left w:w="28" w:type="dxa"/>
              <w:right w:w="28" w:type="dxa"/>
            </w:tcMar>
            <w:vAlign w:val="center"/>
          </w:tcPr>
          <w:p w14:paraId="4F76D7BA">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6F521B2C">
            <w:pPr>
              <w:spacing w:after="0" w:line="240" w:lineRule="auto"/>
              <w:ind w:firstLine="0"/>
              <w:jc w:val="center"/>
              <w:rPr>
                <w:sz w:val="20"/>
                <w:szCs w:val="20"/>
              </w:rPr>
            </w:pPr>
            <w:r>
              <w:rPr>
                <w:sz w:val="20"/>
                <w:szCs w:val="20"/>
              </w:rPr>
              <w:t>7,24</w:t>
            </w:r>
          </w:p>
        </w:tc>
        <w:tc>
          <w:tcPr>
            <w:tcW w:w="472" w:type="pct"/>
            <w:shd w:val="clear" w:color="auto" w:fill="auto"/>
            <w:noWrap/>
            <w:tcMar>
              <w:left w:w="28" w:type="dxa"/>
              <w:right w:w="28" w:type="dxa"/>
            </w:tcMar>
            <w:vAlign w:val="center"/>
          </w:tcPr>
          <w:p w14:paraId="297C894B">
            <w:pPr>
              <w:spacing w:after="0" w:line="240" w:lineRule="auto"/>
              <w:ind w:firstLine="0"/>
              <w:jc w:val="center"/>
              <w:rPr>
                <w:sz w:val="20"/>
                <w:szCs w:val="20"/>
              </w:rPr>
            </w:pPr>
            <w:r>
              <w:rPr>
                <w:sz w:val="20"/>
                <w:szCs w:val="20"/>
              </w:rPr>
              <w:t>7,81</w:t>
            </w:r>
          </w:p>
        </w:tc>
        <w:tc>
          <w:tcPr>
            <w:tcW w:w="470" w:type="pct"/>
            <w:tcMar>
              <w:left w:w="28" w:type="dxa"/>
              <w:right w:w="28" w:type="dxa"/>
            </w:tcMar>
            <w:vAlign w:val="center"/>
          </w:tcPr>
          <w:p w14:paraId="78972414">
            <w:pPr>
              <w:spacing w:after="0" w:line="240" w:lineRule="auto"/>
              <w:ind w:firstLine="0"/>
              <w:jc w:val="center"/>
              <w:rPr>
                <w:sz w:val="20"/>
                <w:szCs w:val="20"/>
              </w:rPr>
            </w:pPr>
            <w:r>
              <w:rPr>
                <w:sz w:val="20"/>
                <w:szCs w:val="20"/>
              </w:rPr>
              <w:t>8,06</w:t>
            </w:r>
          </w:p>
        </w:tc>
      </w:tr>
      <w:tr w14:paraId="4EAF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71669CB7">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3D2084A9">
            <w:pPr>
              <w:spacing w:after="0" w:line="240" w:lineRule="auto"/>
              <w:ind w:firstLine="0"/>
              <w:jc w:val="right"/>
              <w:rPr>
                <w:sz w:val="20"/>
                <w:szCs w:val="20"/>
              </w:rPr>
            </w:pPr>
            <w:r>
              <w:rPr>
                <w:sz w:val="20"/>
                <w:szCs w:val="20"/>
              </w:rPr>
              <w:t>от химнедожога</w:t>
            </w:r>
          </w:p>
        </w:tc>
        <w:tc>
          <w:tcPr>
            <w:tcW w:w="788" w:type="pct"/>
            <w:shd w:val="clear" w:color="auto" w:fill="auto"/>
            <w:noWrap/>
            <w:tcMar>
              <w:left w:w="28" w:type="dxa"/>
              <w:right w:w="28" w:type="dxa"/>
            </w:tcMar>
            <w:vAlign w:val="center"/>
          </w:tcPr>
          <w:p w14:paraId="2578ADA4">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76A15DE8">
            <w:pPr>
              <w:spacing w:after="0" w:line="240" w:lineRule="auto"/>
              <w:ind w:firstLine="0"/>
              <w:jc w:val="center"/>
              <w:rPr>
                <w:sz w:val="20"/>
                <w:szCs w:val="20"/>
              </w:rPr>
            </w:pPr>
            <w:r>
              <w:rPr>
                <w:sz w:val="20"/>
                <w:szCs w:val="20"/>
              </w:rPr>
              <w:t>0,085</w:t>
            </w:r>
          </w:p>
        </w:tc>
        <w:tc>
          <w:tcPr>
            <w:tcW w:w="472" w:type="pct"/>
            <w:shd w:val="clear" w:color="auto" w:fill="auto"/>
            <w:noWrap/>
            <w:tcMar>
              <w:left w:w="28" w:type="dxa"/>
              <w:right w:w="28" w:type="dxa"/>
            </w:tcMar>
            <w:vAlign w:val="center"/>
          </w:tcPr>
          <w:p w14:paraId="74D19E8B">
            <w:pPr>
              <w:spacing w:after="0" w:line="240" w:lineRule="auto"/>
              <w:ind w:firstLine="0"/>
              <w:jc w:val="center"/>
              <w:rPr>
                <w:sz w:val="20"/>
                <w:szCs w:val="20"/>
              </w:rPr>
            </w:pPr>
            <w:r>
              <w:rPr>
                <w:sz w:val="20"/>
                <w:szCs w:val="20"/>
              </w:rPr>
              <w:t>0,033</w:t>
            </w:r>
          </w:p>
        </w:tc>
        <w:tc>
          <w:tcPr>
            <w:tcW w:w="470" w:type="pct"/>
            <w:tcMar>
              <w:left w:w="28" w:type="dxa"/>
              <w:right w:w="28" w:type="dxa"/>
            </w:tcMar>
            <w:vAlign w:val="center"/>
          </w:tcPr>
          <w:p w14:paraId="2F7C81BE">
            <w:pPr>
              <w:spacing w:after="0" w:line="240" w:lineRule="auto"/>
              <w:ind w:firstLine="0"/>
              <w:jc w:val="center"/>
              <w:rPr>
                <w:sz w:val="20"/>
                <w:szCs w:val="20"/>
              </w:rPr>
            </w:pPr>
            <w:r>
              <w:rPr>
                <w:sz w:val="20"/>
                <w:szCs w:val="20"/>
              </w:rPr>
              <w:t>0,033</w:t>
            </w:r>
          </w:p>
        </w:tc>
      </w:tr>
      <w:tr w14:paraId="598D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BF4BBA4">
            <w:pPr>
              <w:spacing w:after="0" w:line="240" w:lineRule="auto"/>
              <w:ind w:firstLine="0"/>
              <w:jc w:val="center"/>
              <w:rPr>
                <w:sz w:val="20"/>
                <w:szCs w:val="20"/>
              </w:rPr>
            </w:pPr>
          </w:p>
        </w:tc>
        <w:tc>
          <w:tcPr>
            <w:tcW w:w="2343" w:type="pct"/>
            <w:shd w:val="clear" w:color="auto" w:fill="auto"/>
            <w:tcMar>
              <w:left w:w="28" w:type="dxa"/>
              <w:right w:w="28" w:type="dxa"/>
            </w:tcMar>
            <w:vAlign w:val="center"/>
          </w:tcPr>
          <w:p w14:paraId="69701D19">
            <w:pPr>
              <w:spacing w:after="0" w:line="240" w:lineRule="auto"/>
              <w:ind w:firstLine="0"/>
              <w:jc w:val="right"/>
              <w:rPr>
                <w:sz w:val="20"/>
                <w:szCs w:val="20"/>
              </w:rPr>
            </w:pPr>
            <w:r>
              <w:rPr>
                <w:sz w:val="20"/>
                <w:szCs w:val="20"/>
              </w:rPr>
              <w:t>в окр. среду</w:t>
            </w:r>
          </w:p>
        </w:tc>
        <w:tc>
          <w:tcPr>
            <w:tcW w:w="788" w:type="pct"/>
            <w:shd w:val="clear" w:color="auto" w:fill="auto"/>
            <w:noWrap/>
            <w:tcMar>
              <w:left w:w="28" w:type="dxa"/>
              <w:right w:w="28" w:type="dxa"/>
            </w:tcMar>
            <w:vAlign w:val="center"/>
          </w:tcPr>
          <w:p w14:paraId="58CE4AF6">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6D24919D">
            <w:pPr>
              <w:spacing w:after="0" w:line="240" w:lineRule="auto"/>
              <w:ind w:firstLine="0"/>
              <w:jc w:val="center"/>
              <w:rPr>
                <w:sz w:val="20"/>
                <w:szCs w:val="20"/>
              </w:rPr>
            </w:pPr>
            <w:r>
              <w:rPr>
                <w:sz w:val="20"/>
                <w:szCs w:val="20"/>
              </w:rPr>
              <w:t>1,13</w:t>
            </w:r>
          </w:p>
        </w:tc>
        <w:tc>
          <w:tcPr>
            <w:tcW w:w="472" w:type="pct"/>
            <w:shd w:val="clear" w:color="auto" w:fill="auto"/>
            <w:noWrap/>
            <w:tcMar>
              <w:left w:w="28" w:type="dxa"/>
              <w:right w:w="28" w:type="dxa"/>
            </w:tcMar>
            <w:vAlign w:val="center"/>
          </w:tcPr>
          <w:p w14:paraId="0D34FEE5">
            <w:pPr>
              <w:spacing w:after="0" w:line="240" w:lineRule="auto"/>
              <w:ind w:firstLine="0"/>
              <w:jc w:val="center"/>
              <w:rPr>
                <w:sz w:val="20"/>
                <w:szCs w:val="20"/>
              </w:rPr>
            </w:pPr>
            <w:r>
              <w:rPr>
                <w:sz w:val="20"/>
                <w:szCs w:val="20"/>
              </w:rPr>
              <w:t>0,52</w:t>
            </w:r>
          </w:p>
        </w:tc>
        <w:tc>
          <w:tcPr>
            <w:tcW w:w="470" w:type="pct"/>
            <w:tcMar>
              <w:left w:w="28" w:type="dxa"/>
              <w:right w:w="28" w:type="dxa"/>
            </w:tcMar>
            <w:vAlign w:val="center"/>
          </w:tcPr>
          <w:p w14:paraId="0AE41412">
            <w:pPr>
              <w:spacing w:after="0" w:line="240" w:lineRule="auto"/>
              <w:ind w:firstLine="0"/>
              <w:jc w:val="center"/>
              <w:rPr>
                <w:sz w:val="20"/>
                <w:szCs w:val="20"/>
              </w:rPr>
            </w:pPr>
            <w:r>
              <w:rPr>
                <w:sz w:val="20"/>
                <w:szCs w:val="20"/>
              </w:rPr>
              <w:t>0,4</w:t>
            </w:r>
          </w:p>
        </w:tc>
      </w:tr>
      <w:tr w14:paraId="5AF3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530785DF">
            <w:pPr>
              <w:spacing w:after="0" w:line="240" w:lineRule="auto"/>
              <w:ind w:firstLine="0"/>
              <w:jc w:val="center"/>
              <w:rPr>
                <w:sz w:val="20"/>
                <w:szCs w:val="20"/>
              </w:rPr>
            </w:pPr>
            <w:r>
              <w:rPr>
                <w:sz w:val="20"/>
                <w:szCs w:val="20"/>
              </w:rPr>
              <w:t>13</w:t>
            </w:r>
          </w:p>
        </w:tc>
        <w:tc>
          <w:tcPr>
            <w:tcW w:w="2343" w:type="pct"/>
            <w:shd w:val="clear" w:color="auto" w:fill="auto"/>
            <w:tcMar>
              <w:left w:w="28" w:type="dxa"/>
              <w:right w:w="28" w:type="dxa"/>
            </w:tcMar>
            <w:vAlign w:val="center"/>
          </w:tcPr>
          <w:p w14:paraId="034818FF">
            <w:pPr>
              <w:spacing w:after="0" w:line="240" w:lineRule="auto"/>
              <w:ind w:firstLine="0"/>
              <w:rPr>
                <w:sz w:val="20"/>
                <w:szCs w:val="20"/>
              </w:rPr>
            </w:pPr>
            <w:r>
              <w:rPr>
                <w:sz w:val="20"/>
                <w:szCs w:val="20"/>
              </w:rPr>
              <w:t>Коэфф. полезного действия котла (брутто)</w:t>
            </w:r>
          </w:p>
        </w:tc>
        <w:tc>
          <w:tcPr>
            <w:tcW w:w="788" w:type="pct"/>
            <w:shd w:val="clear" w:color="auto" w:fill="auto"/>
            <w:noWrap/>
            <w:tcMar>
              <w:left w:w="28" w:type="dxa"/>
              <w:right w:w="28" w:type="dxa"/>
            </w:tcMar>
            <w:vAlign w:val="center"/>
          </w:tcPr>
          <w:p w14:paraId="3606E863">
            <w:pPr>
              <w:spacing w:after="0" w:line="240" w:lineRule="auto"/>
              <w:ind w:firstLine="0"/>
              <w:jc w:val="center"/>
              <w:rPr>
                <w:sz w:val="20"/>
                <w:szCs w:val="20"/>
              </w:rPr>
            </w:pPr>
            <w:r>
              <w:rPr>
                <w:sz w:val="20"/>
                <w:szCs w:val="20"/>
              </w:rPr>
              <w:t>%</w:t>
            </w:r>
          </w:p>
        </w:tc>
        <w:tc>
          <w:tcPr>
            <w:tcW w:w="595" w:type="pct"/>
            <w:shd w:val="clear" w:color="auto" w:fill="auto"/>
            <w:noWrap/>
            <w:tcMar>
              <w:left w:w="28" w:type="dxa"/>
              <w:right w:w="28" w:type="dxa"/>
            </w:tcMar>
            <w:vAlign w:val="center"/>
          </w:tcPr>
          <w:p w14:paraId="1772BADC">
            <w:pPr>
              <w:spacing w:after="0" w:line="240" w:lineRule="auto"/>
              <w:ind w:firstLine="0"/>
              <w:jc w:val="center"/>
              <w:rPr>
                <w:sz w:val="20"/>
                <w:szCs w:val="20"/>
              </w:rPr>
            </w:pPr>
            <w:r>
              <w:rPr>
                <w:sz w:val="20"/>
                <w:szCs w:val="20"/>
              </w:rPr>
              <w:t>87,7</w:t>
            </w:r>
          </w:p>
        </w:tc>
        <w:tc>
          <w:tcPr>
            <w:tcW w:w="472" w:type="pct"/>
            <w:shd w:val="clear" w:color="auto" w:fill="auto"/>
            <w:noWrap/>
            <w:tcMar>
              <w:left w:w="28" w:type="dxa"/>
              <w:right w:w="28" w:type="dxa"/>
            </w:tcMar>
            <w:vAlign w:val="center"/>
          </w:tcPr>
          <w:p w14:paraId="60825985">
            <w:pPr>
              <w:spacing w:after="0" w:line="240" w:lineRule="auto"/>
              <w:ind w:firstLine="0"/>
              <w:jc w:val="center"/>
              <w:rPr>
                <w:sz w:val="20"/>
                <w:szCs w:val="20"/>
              </w:rPr>
            </w:pPr>
            <w:r>
              <w:rPr>
                <w:sz w:val="20"/>
                <w:szCs w:val="20"/>
              </w:rPr>
              <w:t>89,0</w:t>
            </w:r>
          </w:p>
        </w:tc>
        <w:tc>
          <w:tcPr>
            <w:tcW w:w="470" w:type="pct"/>
            <w:tcMar>
              <w:left w:w="28" w:type="dxa"/>
              <w:right w:w="28" w:type="dxa"/>
            </w:tcMar>
            <w:vAlign w:val="center"/>
          </w:tcPr>
          <w:p w14:paraId="2798C429">
            <w:pPr>
              <w:spacing w:after="0" w:line="240" w:lineRule="auto"/>
              <w:ind w:firstLine="0"/>
              <w:jc w:val="center"/>
              <w:rPr>
                <w:sz w:val="20"/>
                <w:szCs w:val="20"/>
              </w:rPr>
            </w:pPr>
            <w:r>
              <w:rPr>
                <w:sz w:val="20"/>
                <w:szCs w:val="20"/>
              </w:rPr>
              <w:t>88,0</w:t>
            </w:r>
          </w:p>
        </w:tc>
      </w:tr>
      <w:tr w14:paraId="2D84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shd w:val="clear" w:color="auto" w:fill="auto"/>
            <w:noWrap/>
            <w:tcMar>
              <w:left w:w="28" w:type="dxa"/>
              <w:right w:w="28" w:type="dxa"/>
            </w:tcMar>
            <w:vAlign w:val="center"/>
          </w:tcPr>
          <w:p w14:paraId="0E4BD005">
            <w:pPr>
              <w:spacing w:after="0" w:line="240" w:lineRule="auto"/>
              <w:ind w:firstLine="0"/>
              <w:jc w:val="center"/>
              <w:rPr>
                <w:sz w:val="20"/>
                <w:szCs w:val="20"/>
              </w:rPr>
            </w:pPr>
            <w:r>
              <w:rPr>
                <w:sz w:val="20"/>
                <w:szCs w:val="20"/>
              </w:rPr>
              <w:t>11</w:t>
            </w:r>
          </w:p>
        </w:tc>
        <w:tc>
          <w:tcPr>
            <w:tcW w:w="2343" w:type="pct"/>
            <w:shd w:val="clear" w:color="auto" w:fill="auto"/>
            <w:tcMar>
              <w:left w:w="28" w:type="dxa"/>
              <w:right w:w="28" w:type="dxa"/>
            </w:tcMar>
            <w:vAlign w:val="center"/>
          </w:tcPr>
          <w:p w14:paraId="0C0F2AA0">
            <w:pPr>
              <w:spacing w:after="0" w:line="240" w:lineRule="auto"/>
              <w:ind w:firstLine="0"/>
              <w:rPr>
                <w:sz w:val="20"/>
                <w:szCs w:val="20"/>
              </w:rPr>
            </w:pPr>
            <w:r>
              <w:rPr>
                <w:sz w:val="20"/>
                <w:szCs w:val="20"/>
              </w:rPr>
              <w:t>Удельный расход условного топлива на выработку 1 Гкал</w:t>
            </w:r>
          </w:p>
        </w:tc>
        <w:tc>
          <w:tcPr>
            <w:tcW w:w="788" w:type="pct"/>
            <w:shd w:val="clear" w:color="auto" w:fill="auto"/>
            <w:noWrap/>
            <w:tcMar>
              <w:left w:w="28" w:type="dxa"/>
              <w:right w:w="28" w:type="dxa"/>
            </w:tcMar>
            <w:vAlign w:val="center"/>
          </w:tcPr>
          <w:p w14:paraId="1BB69921">
            <w:pPr>
              <w:spacing w:after="0" w:line="240" w:lineRule="auto"/>
              <w:ind w:firstLine="0"/>
              <w:jc w:val="center"/>
              <w:rPr>
                <w:sz w:val="20"/>
                <w:szCs w:val="20"/>
              </w:rPr>
            </w:pPr>
            <w:r>
              <w:rPr>
                <w:sz w:val="20"/>
                <w:szCs w:val="20"/>
              </w:rPr>
              <w:t>кг.у.т/Гкал</w:t>
            </w:r>
          </w:p>
        </w:tc>
        <w:tc>
          <w:tcPr>
            <w:tcW w:w="595" w:type="pct"/>
            <w:shd w:val="clear" w:color="auto" w:fill="auto"/>
            <w:noWrap/>
            <w:tcMar>
              <w:left w:w="28" w:type="dxa"/>
              <w:right w:w="28" w:type="dxa"/>
            </w:tcMar>
            <w:vAlign w:val="center"/>
          </w:tcPr>
          <w:p w14:paraId="08E4DA0E">
            <w:pPr>
              <w:spacing w:after="0" w:line="240" w:lineRule="auto"/>
              <w:ind w:firstLine="0"/>
              <w:jc w:val="center"/>
              <w:rPr>
                <w:sz w:val="20"/>
                <w:szCs w:val="20"/>
              </w:rPr>
            </w:pPr>
            <w:r>
              <w:rPr>
                <w:sz w:val="20"/>
                <w:szCs w:val="20"/>
              </w:rPr>
              <w:t>164,6</w:t>
            </w:r>
          </w:p>
        </w:tc>
        <w:tc>
          <w:tcPr>
            <w:tcW w:w="472" w:type="pct"/>
            <w:shd w:val="clear" w:color="auto" w:fill="auto"/>
            <w:noWrap/>
            <w:tcMar>
              <w:left w:w="28" w:type="dxa"/>
              <w:right w:w="28" w:type="dxa"/>
            </w:tcMar>
            <w:vAlign w:val="center"/>
          </w:tcPr>
          <w:p w14:paraId="2AB523A1">
            <w:pPr>
              <w:spacing w:after="0" w:line="240" w:lineRule="auto"/>
              <w:ind w:firstLine="0"/>
              <w:jc w:val="center"/>
              <w:rPr>
                <w:sz w:val="20"/>
                <w:szCs w:val="20"/>
              </w:rPr>
            </w:pPr>
            <w:r>
              <w:rPr>
                <w:sz w:val="20"/>
                <w:szCs w:val="20"/>
              </w:rPr>
              <w:t>166,8</w:t>
            </w:r>
          </w:p>
        </w:tc>
        <w:tc>
          <w:tcPr>
            <w:tcW w:w="470" w:type="pct"/>
            <w:tcMar>
              <w:left w:w="28" w:type="dxa"/>
              <w:right w:w="28" w:type="dxa"/>
            </w:tcMar>
            <w:vAlign w:val="center"/>
          </w:tcPr>
          <w:p w14:paraId="275B8D59">
            <w:pPr>
              <w:spacing w:after="0" w:line="240" w:lineRule="auto"/>
              <w:ind w:firstLine="0"/>
              <w:jc w:val="center"/>
              <w:rPr>
                <w:sz w:val="20"/>
                <w:szCs w:val="20"/>
              </w:rPr>
            </w:pPr>
            <w:r>
              <w:rPr>
                <w:sz w:val="20"/>
                <w:szCs w:val="20"/>
              </w:rPr>
              <w:t>165,5</w:t>
            </w:r>
          </w:p>
        </w:tc>
      </w:tr>
    </w:tbl>
    <w:p w14:paraId="13CDB2E7">
      <w:pPr>
        <w:spacing w:after="0" w:line="240" w:lineRule="auto"/>
        <w:ind w:firstLine="0"/>
        <w:jc w:val="both"/>
        <w:rPr>
          <w:sz w:val="24"/>
          <w:szCs w:val="24"/>
        </w:rPr>
      </w:pPr>
    </w:p>
    <w:p w14:paraId="12D2481C">
      <w:pPr>
        <w:keepNext/>
        <w:keepLines/>
        <w:spacing w:after="0" w:line="240" w:lineRule="auto"/>
        <w:ind w:firstLine="0"/>
        <w:jc w:val="both"/>
        <w:rPr>
          <w:iCs/>
          <w:color w:val="000000"/>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7</w:t>
      </w:r>
      <w:r>
        <w:rPr>
          <w:bCs/>
          <w:sz w:val="24"/>
          <w:szCs w:val="24"/>
        </w:rPr>
        <w:fldChar w:fldCharType="end"/>
      </w:r>
      <w:r>
        <w:rPr>
          <w:bCs/>
          <w:sz w:val="24"/>
          <w:szCs w:val="24"/>
        </w:rPr>
        <w:t xml:space="preserve"> – </w:t>
      </w:r>
      <w:r>
        <w:rPr>
          <w:sz w:val="24"/>
          <w:szCs w:val="24"/>
        </w:rPr>
        <w:t xml:space="preserve">Вспомогательное оборудование котельной №2 </w:t>
      </w:r>
      <w:r>
        <w:rPr>
          <w:iCs/>
          <w:color w:val="000000"/>
          <w:sz w:val="24"/>
          <w:szCs w:val="24"/>
        </w:rPr>
        <w:t>МУП «БКС»</w:t>
      </w:r>
    </w:p>
    <w:tbl>
      <w:tblPr>
        <w:tblStyle w:val="12"/>
        <w:tblW w:w="5000" w:type="pct"/>
        <w:tblInd w:w="0" w:type="dxa"/>
        <w:tblLayout w:type="autofit"/>
        <w:tblCellMar>
          <w:top w:w="52" w:type="dxa"/>
          <w:left w:w="110" w:type="dxa"/>
          <w:bottom w:w="0" w:type="dxa"/>
          <w:right w:w="65" w:type="dxa"/>
        </w:tblCellMar>
      </w:tblPr>
      <w:tblGrid>
        <w:gridCol w:w="881"/>
        <w:gridCol w:w="4907"/>
        <w:gridCol w:w="4497"/>
        <w:gridCol w:w="2014"/>
        <w:gridCol w:w="2893"/>
      </w:tblGrid>
      <w:tr w14:paraId="5C487815">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7B46737">
            <w:pPr>
              <w:spacing w:after="0" w:line="240" w:lineRule="auto"/>
              <w:ind w:firstLine="0"/>
              <w:contextualSpacing/>
              <w:jc w:val="center"/>
              <w:rPr>
                <w:sz w:val="20"/>
                <w:szCs w:val="20"/>
              </w:rPr>
            </w:pPr>
            <w:r>
              <w:rPr>
                <w:sz w:val="20"/>
                <w:szCs w:val="20"/>
              </w:rPr>
              <w:t>№ п/п</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DBFC844">
            <w:pPr>
              <w:spacing w:after="0" w:line="240" w:lineRule="auto"/>
              <w:ind w:firstLine="0"/>
              <w:contextualSpacing/>
              <w:jc w:val="center"/>
              <w:rPr>
                <w:sz w:val="20"/>
                <w:szCs w:val="20"/>
              </w:rPr>
            </w:pPr>
            <w:r>
              <w:rPr>
                <w:sz w:val="20"/>
                <w:szCs w:val="20"/>
              </w:rPr>
              <w:t>Вид оборудования</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2A9B71E">
            <w:pPr>
              <w:spacing w:after="0" w:line="240" w:lineRule="auto"/>
              <w:ind w:firstLine="0"/>
              <w:contextualSpacing/>
              <w:jc w:val="center"/>
              <w:rPr>
                <w:sz w:val="20"/>
                <w:szCs w:val="20"/>
              </w:rPr>
            </w:pPr>
            <w:r>
              <w:rPr>
                <w:sz w:val="20"/>
                <w:szCs w:val="20"/>
              </w:rPr>
              <w:t>Тип, марка</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CCEDB6C">
            <w:pPr>
              <w:spacing w:after="0" w:line="240" w:lineRule="auto"/>
              <w:ind w:firstLine="0"/>
              <w:contextualSpacing/>
              <w:jc w:val="center"/>
              <w:rPr>
                <w:sz w:val="20"/>
                <w:szCs w:val="20"/>
              </w:rPr>
            </w:pPr>
            <w:r>
              <w:rPr>
                <w:sz w:val="20"/>
                <w:szCs w:val="20"/>
              </w:rPr>
              <w:t>Количество, ед.</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717D7FB8">
            <w:pPr>
              <w:spacing w:after="0" w:line="240" w:lineRule="auto"/>
              <w:ind w:firstLine="0"/>
              <w:contextualSpacing/>
              <w:jc w:val="center"/>
              <w:rPr>
                <w:sz w:val="20"/>
                <w:szCs w:val="20"/>
              </w:rPr>
            </w:pPr>
            <w:r>
              <w:rPr>
                <w:sz w:val="20"/>
                <w:szCs w:val="20"/>
              </w:rPr>
              <w:t>Износ расчетный, %</w:t>
            </w:r>
          </w:p>
        </w:tc>
      </w:tr>
      <w:tr w14:paraId="75315559">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360F3AEC">
            <w:pPr>
              <w:spacing w:after="0" w:line="240" w:lineRule="auto"/>
              <w:ind w:firstLine="0"/>
              <w:contextualSpacing/>
              <w:jc w:val="center"/>
              <w:rPr>
                <w:sz w:val="20"/>
                <w:szCs w:val="20"/>
              </w:rPr>
            </w:pPr>
            <w:r>
              <w:rPr>
                <w:sz w:val="20"/>
                <w:szCs w:val="20"/>
              </w:rPr>
              <w:t>1</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7EF702D0">
            <w:pPr>
              <w:spacing w:after="0" w:line="240" w:lineRule="auto"/>
              <w:ind w:firstLine="0"/>
              <w:contextualSpacing/>
              <w:jc w:val="center"/>
              <w:rPr>
                <w:sz w:val="20"/>
                <w:szCs w:val="20"/>
              </w:rPr>
            </w:pPr>
            <w:r>
              <w:rPr>
                <w:sz w:val="20"/>
                <w:szCs w:val="20"/>
              </w:rPr>
              <w:t>Насос сетевой</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503E0DD9">
            <w:pPr>
              <w:spacing w:after="0" w:line="240" w:lineRule="auto"/>
              <w:ind w:firstLine="0"/>
              <w:contextualSpacing/>
              <w:jc w:val="center"/>
              <w:rPr>
                <w:sz w:val="20"/>
                <w:szCs w:val="20"/>
              </w:rPr>
            </w:pPr>
            <w:r>
              <w:rPr>
                <w:sz w:val="20"/>
                <w:szCs w:val="20"/>
              </w:rPr>
              <w:t>Grundfos GMC2160L2B35</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33303B32">
            <w:pPr>
              <w:spacing w:after="0" w:line="240" w:lineRule="auto"/>
              <w:ind w:firstLine="0"/>
              <w:contextualSpacing/>
              <w:jc w:val="center"/>
              <w:rPr>
                <w:sz w:val="20"/>
                <w:szCs w:val="20"/>
              </w:rPr>
            </w:pPr>
            <w:r>
              <w:rPr>
                <w:sz w:val="20"/>
                <w:szCs w:val="20"/>
              </w:rPr>
              <w:t>2</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592081DA">
            <w:pPr>
              <w:spacing w:after="0" w:line="240" w:lineRule="auto"/>
              <w:ind w:firstLine="0"/>
              <w:contextualSpacing/>
              <w:jc w:val="center"/>
              <w:rPr>
                <w:sz w:val="20"/>
                <w:szCs w:val="20"/>
              </w:rPr>
            </w:pPr>
            <w:r>
              <w:rPr>
                <w:sz w:val="20"/>
                <w:szCs w:val="20"/>
              </w:rPr>
              <w:t>26,67%</w:t>
            </w:r>
          </w:p>
        </w:tc>
      </w:tr>
      <w:tr w14:paraId="2B7DBA2A">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D398A84">
            <w:pPr>
              <w:spacing w:after="0" w:line="240" w:lineRule="auto"/>
              <w:ind w:firstLine="0"/>
              <w:contextualSpacing/>
              <w:jc w:val="center"/>
              <w:rPr>
                <w:sz w:val="20"/>
                <w:szCs w:val="20"/>
              </w:rPr>
            </w:pPr>
            <w:r>
              <w:rPr>
                <w:sz w:val="20"/>
                <w:szCs w:val="20"/>
              </w:rPr>
              <w:t>2</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3E028CF">
            <w:pPr>
              <w:spacing w:after="0" w:line="240" w:lineRule="auto"/>
              <w:ind w:firstLine="0"/>
              <w:contextualSpacing/>
              <w:jc w:val="center"/>
              <w:rPr>
                <w:sz w:val="20"/>
                <w:szCs w:val="20"/>
              </w:rPr>
            </w:pPr>
            <w:r>
              <w:rPr>
                <w:sz w:val="20"/>
                <w:szCs w:val="20"/>
              </w:rPr>
              <w:t>Насос циркуляционный</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6FF26988">
            <w:pPr>
              <w:spacing w:after="0" w:line="240" w:lineRule="auto"/>
              <w:ind w:firstLine="0"/>
              <w:contextualSpacing/>
              <w:jc w:val="center"/>
              <w:rPr>
                <w:sz w:val="20"/>
                <w:szCs w:val="20"/>
                <w:lang w:val="en-US"/>
              </w:rPr>
            </w:pPr>
            <w:r>
              <w:rPr>
                <w:sz w:val="20"/>
                <w:szCs w:val="20"/>
                <w:lang w:val="en-US"/>
              </w:rPr>
              <w:t>Grundfos MG5-200/187 A-F-AA-AUUE</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7814A75E">
            <w:pPr>
              <w:spacing w:after="0" w:line="240" w:lineRule="auto"/>
              <w:ind w:firstLine="0"/>
              <w:contextualSpacing/>
              <w:jc w:val="center"/>
              <w:rPr>
                <w:sz w:val="20"/>
                <w:szCs w:val="20"/>
              </w:rPr>
            </w:pPr>
            <w:r>
              <w:rPr>
                <w:sz w:val="20"/>
                <w:szCs w:val="20"/>
              </w:rPr>
              <w:t>2</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31B2085">
            <w:pPr>
              <w:spacing w:after="0" w:line="240" w:lineRule="auto"/>
              <w:ind w:firstLine="0"/>
              <w:contextualSpacing/>
              <w:jc w:val="center"/>
              <w:rPr>
                <w:sz w:val="20"/>
                <w:szCs w:val="20"/>
              </w:rPr>
            </w:pPr>
            <w:r>
              <w:rPr>
                <w:sz w:val="20"/>
                <w:szCs w:val="20"/>
              </w:rPr>
              <w:t>100%</w:t>
            </w:r>
          </w:p>
        </w:tc>
      </w:tr>
      <w:tr w14:paraId="35B2EF02">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6179ED02">
            <w:pPr>
              <w:spacing w:after="0" w:line="240" w:lineRule="auto"/>
              <w:ind w:firstLine="0"/>
              <w:contextualSpacing/>
              <w:jc w:val="center"/>
              <w:rPr>
                <w:sz w:val="20"/>
                <w:szCs w:val="20"/>
              </w:rPr>
            </w:pPr>
            <w:r>
              <w:rPr>
                <w:sz w:val="20"/>
                <w:szCs w:val="20"/>
              </w:rPr>
              <w:t>3</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2EE054B">
            <w:pPr>
              <w:spacing w:after="0" w:line="240" w:lineRule="auto"/>
              <w:ind w:firstLine="0"/>
              <w:contextualSpacing/>
              <w:jc w:val="center"/>
              <w:rPr>
                <w:sz w:val="20"/>
                <w:szCs w:val="20"/>
              </w:rPr>
            </w:pPr>
            <w:r>
              <w:rPr>
                <w:sz w:val="20"/>
                <w:szCs w:val="20"/>
              </w:rPr>
              <w:t>Подпиточный насос</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4AD50530">
            <w:pPr>
              <w:spacing w:after="0" w:line="240" w:lineRule="auto"/>
              <w:ind w:firstLine="0"/>
              <w:contextualSpacing/>
              <w:jc w:val="center"/>
              <w:rPr>
                <w:sz w:val="20"/>
                <w:szCs w:val="20"/>
                <w:lang w:val="en-US"/>
              </w:rPr>
            </w:pPr>
            <w:r>
              <w:rPr>
                <w:sz w:val="20"/>
                <w:szCs w:val="20"/>
                <w:lang w:val="en-US"/>
              </w:rPr>
              <w:t>Grundfos CR4-50A-A-A-AUUE</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596CFFC">
            <w:pPr>
              <w:spacing w:after="0" w:line="240" w:lineRule="auto"/>
              <w:ind w:firstLine="0"/>
              <w:contextualSpacing/>
              <w:jc w:val="center"/>
              <w:rPr>
                <w:sz w:val="20"/>
                <w:szCs w:val="20"/>
              </w:rPr>
            </w:pPr>
            <w:r>
              <w:rPr>
                <w:sz w:val="20"/>
                <w:szCs w:val="20"/>
              </w:rPr>
              <w:t>1</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63886AC5">
            <w:pPr>
              <w:spacing w:after="0" w:line="240" w:lineRule="auto"/>
              <w:ind w:firstLine="0"/>
              <w:contextualSpacing/>
              <w:jc w:val="center"/>
              <w:rPr>
                <w:sz w:val="20"/>
                <w:szCs w:val="20"/>
              </w:rPr>
            </w:pPr>
            <w:r>
              <w:rPr>
                <w:sz w:val="20"/>
                <w:szCs w:val="20"/>
              </w:rPr>
              <w:t>100%</w:t>
            </w:r>
          </w:p>
        </w:tc>
      </w:tr>
      <w:tr w14:paraId="4C318662">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45685D1">
            <w:pPr>
              <w:spacing w:after="0" w:line="240" w:lineRule="auto"/>
              <w:ind w:firstLine="0"/>
              <w:contextualSpacing/>
              <w:jc w:val="center"/>
              <w:rPr>
                <w:sz w:val="20"/>
                <w:szCs w:val="20"/>
              </w:rPr>
            </w:pP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F490CCD">
            <w:pPr>
              <w:spacing w:after="0" w:line="240" w:lineRule="auto"/>
              <w:ind w:firstLine="0"/>
              <w:contextualSpacing/>
              <w:jc w:val="center"/>
              <w:rPr>
                <w:sz w:val="20"/>
                <w:szCs w:val="20"/>
              </w:rPr>
            </w:pPr>
            <w:r>
              <w:rPr>
                <w:sz w:val="20"/>
                <w:szCs w:val="20"/>
              </w:rPr>
              <w:t>Подпиточный насос</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4DFE2C5">
            <w:pPr>
              <w:spacing w:after="0" w:line="240" w:lineRule="auto"/>
              <w:ind w:firstLine="0"/>
              <w:contextualSpacing/>
              <w:jc w:val="center"/>
              <w:rPr>
                <w:sz w:val="20"/>
                <w:szCs w:val="20"/>
                <w:lang w:val="en-US"/>
              </w:rPr>
            </w:pPr>
            <w:r>
              <w:rPr>
                <w:sz w:val="20"/>
                <w:szCs w:val="20"/>
                <w:lang w:val="en-US"/>
              </w:rPr>
              <w:t>Grundfos CR 8-50 A-F-ABUBE</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3F5DB7A2">
            <w:pPr>
              <w:spacing w:after="0" w:line="240" w:lineRule="auto"/>
              <w:ind w:firstLine="0"/>
              <w:contextualSpacing/>
              <w:jc w:val="center"/>
              <w:rPr>
                <w:sz w:val="20"/>
                <w:szCs w:val="20"/>
              </w:rPr>
            </w:pPr>
            <w:r>
              <w:rPr>
                <w:sz w:val="20"/>
                <w:szCs w:val="20"/>
              </w:rPr>
              <w:t>1</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56DB91C0">
            <w:pPr>
              <w:spacing w:after="0" w:line="240" w:lineRule="auto"/>
              <w:ind w:firstLine="0"/>
              <w:contextualSpacing/>
              <w:jc w:val="center"/>
              <w:rPr>
                <w:sz w:val="20"/>
                <w:szCs w:val="20"/>
              </w:rPr>
            </w:pPr>
            <w:r>
              <w:rPr>
                <w:sz w:val="20"/>
                <w:szCs w:val="20"/>
              </w:rPr>
              <w:t>100%</w:t>
            </w:r>
          </w:p>
        </w:tc>
      </w:tr>
      <w:tr w14:paraId="13688938">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5AD2CFAF">
            <w:pPr>
              <w:spacing w:after="0" w:line="240" w:lineRule="auto"/>
              <w:ind w:firstLine="0"/>
              <w:contextualSpacing/>
              <w:jc w:val="center"/>
              <w:rPr>
                <w:sz w:val="20"/>
                <w:szCs w:val="20"/>
              </w:rPr>
            </w:pPr>
            <w:r>
              <w:rPr>
                <w:sz w:val="20"/>
                <w:szCs w:val="20"/>
              </w:rPr>
              <w:t>4</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AAB3542">
            <w:pPr>
              <w:spacing w:after="0" w:line="240" w:lineRule="auto"/>
              <w:ind w:firstLine="0"/>
              <w:contextualSpacing/>
              <w:jc w:val="center"/>
              <w:rPr>
                <w:sz w:val="20"/>
                <w:szCs w:val="20"/>
              </w:rPr>
            </w:pPr>
            <w:r>
              <w:rPr>
                <w:sz w:val="20"/>
                <w:szCs w:val="20"/>
              </w:rPr>
              <w:t>Дутьевой вентилятор с горелкой котла № 1</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5102EC6C">
            <w:pPr>
              <w:spacing w:after="0" w:line="240" w:lineRule="auto"/>
              <w:ind w:firstLine="0"/>
              <w:contextualSpacing/>
              <w:jc w:val="center"/>
              <w:rPr>
                <w:sz w:val="20"/>
                <w:szCs w:val="20"/>
              </w:rPr>
            </w:pPr>
            <w:r>
              <w:rPr>
                <w:sz w:val="20"/>
                <w:szCs w:val="20"/>
              </w:rPr>
              <w:t>GP-400M</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3855FD2F">
            <w:pPr>
              <w:spacing w:after="0" w:line="240" w:lineRule="auto"/>
              <w:ind w:firstLine="0"/>
              <w:contextualSpacing/>
              <w:jc w:val="center"/>
              <w:rPr>
                <w:sz w:val="20"/>
                <w:szCs w:val="20"/>
              </w:rPr>
            </w:pPr>
            <w:r>
              <w:rPr>
                <w:sz w:val="20"/>
                <w:szCs w:val="20"/>
              </w:rPr>
              <w:t>1</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5A12FF77">
            <w:pPr>
              <w:spacing w:after="0" w:line="240" w:lineRule="auto"/>
              <w:ind w:firstLine="0"/>
              <w:contextualSpacing/>
              <w:jc w:val="center"/>
              <w:rPr>
                <w:sz w:val="20"/>
                <w:szCs w:val="20"/>
              </w:rPr>
            </w:pPr>
            <w:r>
              <w:rPr>
                <w:sz w:val="20"/>
                <w:szCs w:val="20"/>
              </w:rPr>
              <w:t>100%</w:t>
            </w:r>
          </w:p>
        </w:tc>
      </w:tr>
      <w:tr w14:paraId="6D333404">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727BC8FD">
            <w:pPr>
              <w:spacing w:after="0" w:line="240" w:lineRule="auto"/>
              <w:ind w:firstLine="0"/>
              <w:contextualSpacing/>
              <w:jc w:val="center"/>
              <w:rPr>
                <w:sz w:val="20"/>
                <w:szCs w:val="20"/>
              </w:rPr>
            </w:pPr>
            <w:r>
              <w:rPr>
                <w:sz w:val="20"/>
                <w:szCs w:val="20"/>
              </w:rPr>
              <w:t>5</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35891F93">
            <w:pPr>
              <w:spacing w:after="0" w:line="240" w:lineRule="auto"/>
              <w:ind w:firstLine="0"/>
              <w:contextualSpacing/>
              <w:jc w:val="center"/>
              <w:rPr>
                <w:sz w:val="20"/>
                <w:szCs w:val="20"/>
              </w:rPr>
            </w:pPr>
            <w:r>
              <w:rPr>
                <w:sz w:val="20"/>
                <w:szCs w:val="20"/>
              </w:rPr>
              <w:t>Дутьевой вентилятор с горелкой котла № 2</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EF78B25">
            <w:pPr>
              <w:spacing w:after="0" w:line="240" w:lineRule="auto"/>
              <w:ind w:firstLine="0"/>
              <w:contextualSpacing/>
              <w:jc w:val="center"/>
              <w:rPr>
                <w:sz w:val="20"/>
                <w:szCs w:val="20"/>
              </w:rPr>
            </w:pPr>
            <w:r>
              <w:rPr>
                <w:sz w:val="20"/>
                <w:szCs w:val="20"/>
              </w:rPr>
              <w:t>GP-400M</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4658ACBD">
            <w:pPr>
              <w:spacing w:after="0" w:line="240" w:lineRule="auto"/>
              <w:ind w:firstLine="0"/>
              <w:contextualSpacing/>
              <w:jc w:val="center"/>
              <w:rPr>
                <w:sz w:val="20"/>
                <w:szCs w:val="20"/>
              </w:rPr>
            </w:pPr>
            <w:r>
              <w:rPr>
                <w:sz w:val="20"/>
                <w:szCs w:val="20"/>
              </w:rPr>
              <w:t>1</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12ABEA8C">
            <w:pPr>
              <w:spacing w:after="0" w:line="240" w:lineRule="auto"/>
              <w:ind w:firstLine="0"/>
              <w:contextualSpacing/>
              <w:jc w:val="center"/>
              <w:rPr>
                <w:sz w:val="20"/>
                <w:szCs w:val="20"/>
              </w:rPr>
            </w:pPr>
            <w:r>
              <w:rPr>
                <w:sz w:val="20"/>
                <w:szCs w:val="20"/>
              </w:rPr>
              <w:t>100%</w:t>
            </w:r>
          </w:p>
        </w:tc>
      </w:tr>
      <w:tr w14:paraId="449F5FAB">
        <w:tblPrEx>
          <w:tblCellMar>
            <w:top w:w="52" w:type="dxa"/>
            <w:left w:w="110" w:type="dxa"/>
            <w:bottom w:w="0" w:type="dxa"/>
            <w:right w:w="65" w:type="dxa"/>
          </w:tblCellMar>
        </w:tblPrEx>
        <w:trPr>
          <w:trHeight w:val="20" w:hRule="atLeast"/>
        </w:trPr>
        <w:tc>
          <w:tcPr>
            <w:tcW w:w="29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495244FE">
            <w:pPr>
              <w:spacing w:after="0" w:line="240" w:lineRule="auto"/>
              <w:ind w:firstLine="0"/>
              <w:contextualSpacing/>
              <w:jc w:val="center"/>
              <w:rPr>
                <w:sz w:val="20"/>
                <w:szCs w:val="20"/>
              </w:rPr>
            </w:pPr>
            <w:r>
              <w:rPr>
                <w:sz w:val="20"/>
                <w:szCs w:val="20"/>
              </w:rPr>
              <w:t>6</w:t>
            </w:r>
          </w:p>
        </w:tc>
        <w:tc>
          <w:tcPr>
            <w:tcW w:w="1615"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0A36850D">
            <w:pPr>
              <w:spacing w:after="0" w:line="240" w:lineRule="auto"/>
              <w:ind w:firstLine="0"/>
              <w:contextualSpacing/>
              <w:jc w:val="center"/>
              <w:rPr>
                <w:sz w:val="20"/>
                <w:szCs w:val="20"/>
              </w:rPr>
            </w:pPr>
            <w:r>
              <w:rPr>
                <w:sz w:val="20"/>
                <w:szCs w:val="20"/>
              </w:rPr>
              <w:t>Емкость запаса воды</w:t>
            </w:r>
          </w:p>
        </w:tc>
        <w:tc>
          <w:tcPr>
            <w:tcW w:w="1480"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317336FB">
            <w:pPr>
              <w:spacing w:after="0" w:line="240" w:lineRule="auto"/>
              <w:ind w:firstLine="0"/>
              <w:contextualSpacing/>
              <w:jc w:val="center"/>
              <w:rPr>
                <w:sz w:val="20"/>
                <w:szCs w:val="20"/>
              </w:rPr>
            </w:pPr>
            <w:r>
              <w:rPr>
                <w:sz w:val="20"/>
                <w:szCs w:val="20"/>
              </w:rPr>
              <w:t>V-4м3</w:t>
            </w:r>
          </w:p>
        </w:tc>
        <w:tc>
          <w:tcPr>
            <w:tcW w:w="663"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2F6139A1">
            <w:pPr>
              <w:spacing w:after="0" w:line="240" w:lineRule="auto"/>
              <w:ind w:firstLine="0"/>
              <w:contextualSpacing/>
              <w:jc w:val="center"/>
              <w:rPr>
                <w:sz w:val="20"/>
                <w:szCs w:val="20"/>
              </w:rPr>
            </w:pPr>
            <w:r>
              <w:rPr>
                <w:sz w:val="20"/>
                <w:szCs w:val="20"/>
              </w:rPr>
              <w:t>1</w:t>
            </w:r>
          </w:p>
        </w:tc>
        <w:tc>
          <w:tcPr>
            <w:tcW w:w="952" w:type="pct"/>
            <w:tcBorders>
              <w:top w:val="single" w:color="000000" w:sz="4" w:space="0"/>
              <w:left w:val="single" w:color="000000" w:sz="4" w:space="0"/>
              <w:bottom w:val="single" w:color="000000" w:sz="4" w:space="0"/>
              <w:right w:val="single" w:color="000000" w:sz="4" w:space="0"/>
            </w:tcBorders>
            <w:tcMar>
              <w:top w:w="0" w:type="dxa"/>
              <w:left w:w="28" w:type="dxa"/>
              <w:right w:w="28" w:type="dxa"/>
            </w:tcMar>
            <w:vAlign w:val="center"/>
          </w:tcPr>
          <w:p w14:paraId="714E9129">
            <w:pPr>
              <w:spacing w:after="0" w:line="240" w:lineRule="auto"/>
              <w:ind w:firstLine="0"/>
              <w:contextualSpacing/>
              <w:jc w:val="center"/>
              <w:rPr>
                <w:sz w:val="20"/>
                <w:szCs w:val="20"/>
              </w:rPr>
            </w:pPr>
            <w:r>
              <w:rPr>
                <w:sz w:val="20"/>
                <w:szCs w:val="20"/>
              </w:rPr>
              <w:t>100%</w:t>
            </w:r>
          </w:p>
        </w:tc>
      </w:tr>
    </w:tbl>
    <w:p w14:paraId="420C0F4A">
      <w:pPr>
        <w:spacing w:after="0" w:line="240" w:lineRule="auto"/>
        <w:contextualSpacing/>
        <w:jc w:val="both"/>
        <w:rPr>
          <w:sz w:val="24"/>
          <w:szCs w:val="24"/>
        </w:rPr>
      </w:pPr>
    </w:p>
    <w:p w14:paraId="4B43DED1">
      <w:pPr>
        <w:jc w:val="both"/>
        <w:sectPr>
          <w:pgSz w:w="16838" w:h="11906" w:orient="landscape"/>
          <w:pgMar w:top="1418" w:right="851" w:bottom="567" w:left="851" w:header="709" w:footer="567" w:gutter="0"/>
          <w:cols w:space="708" w:num="1"/>
          <w:docGrid w:linePitch="381" w:charSpace="0"/>
        </w:sectPr>
      </w:pPr>
    </w:p>
    <w:p w14:paraId="592E44F2">
      <w:pPr>
        <w:pStyle w:val="4"/>
        <w:spacing w:before="0" w:line="240" w:lineRule="auto"/>
        <w:ind w:left="0" w:firstLine="709"/>
        <w:contextualSpacing/>
        <w:rPr>
          <w:rFonts w:cs="Times New Roman"/>
          <w:b w:val="0"/>
          <w:sz w:val="24"/>
        </w:rPr>
      </w:pPr>
      <w:bookmarkStart w:id="48" w:name="_Toc524614744"/>
      <w:bookmarkStart w:id="49" w:name="_Toc524614960"/>
      <w:bookmarkStart w:id="50" w:name="_Toc182813865"/>
      <w:r>
        <w:rPr>
          <w:rFonts w:cs="Times New Roman"/>
          <w:b w:val="0"/>
          <w:sz w:val="24"/>
        </w:rPr>
        <w:t>Параметры установленной тепловой мощности источника тепловой энергии, в том числе теплофикационного оборудования</w:t>
      </w:r>
      <w:bookmarkEnd w:id="48"/>
      <w:bookmarkEnd w:id="49"/>
      <w:r>
        <w:rPr>
          <w:rFonts w:cs="Times New Roman"/>
          <w:b w:val="0"/>
          <w:sz w:val="24"/>
        </w:rPr>
        <w:t xml:space="preserve"> и теплофикационной установки</w:t>
      </w:r>
      <w:bookmarkEnd w:id="50"/>
    </w:p>
    <w:p w14:paraId="564D12E1">
      <w:pPr>
        <w:spacing w:after="0" w:line="240" w:lineRule="auto"/>
        <w:contextualSpacing/>
        <w:jc w:val="both"/>
        <w:rPr>
          <w:sz w:val="24"/>
          <w:szCs w:val="24"/>
        </w:rPr>
      </w:pPr>
      <w:r>
        <w:rPr>
          <w:sz w:val="24"/>
          <w:szCs w:val="24"/>
        </w:rPr>
        <w:t>В системе теплоснабжения с.п. Верхнеказымский теплофикационные установки, работающие в режиме комбинированной выработки тепловой и электрической энергии – отсутствуют.</w:t>
      </w:r>
    </w:p>
    <w:p w14:paraId="406729B5">
      <w:pPr>
        <w:spacing w:after="0" w:line="240" w:lineRule="auto"/>
        <w:contextualSpacing/>
        <w:jc w:val="both"/>
        <w:rPr>
          <w:sz w:val="24"/>
          <w:szCs w:val="24"/>
        </w:rPr>
      </w:pPr>
      <w:r>
        <w:rPr>
          <w:sz w:val="24"/>
          <w:szCs w:val="24"/>
        </w:rPr>
        <w:t>Оборудование котельных работает только в режиме выработки тепловой энергии.</w:t>
      </w:r>
    </w:p>
    <w:p w14:paraId="4B330363">
      <w:pPr>
        <w:spacing w:after="0" w:line="240" w:lineRule="auto"/>
        <w:contextualSpacing/>
        <w:jc w:val="both"/>
        <w:rPr>
          <w:sz w:val="24"/>
          <w:szCs w:val="24"/>
        </w:rPr>
      </w:pPr>
      <w:r>
        <w:rPr>
          <w:sz w:val="24"/>
          <w:szCs w:val="24"/>
        </w:rPr>
        <w:t>Параметры установленной тепловой мощности работающих источников тепловой энергии указаны в таблице 8.</w:t>
      </w:r>
    </w:p>
    <w:p w14:paraId="3636EBC0">
      <w:pPr>
        <w:pStyle w:val="43"/>
        <w:keepNext/>
        <w:spacing w:before="0" w:after="0" w:line="240" w:lineRule="auto"/>
        <w:ind w:firstLine="0"/>
        <w:contextualSpacing/>
        <w:rPr>
          <w:rFonts w:eastAsia="Times New Roman" w:cs="Times New Roman"/>
          <w:b w:val="0"/>
          <w:bCs w:val="0"/>
          <w:sz w:val="24"/>
          <w:szCs w:val="24"/>
          <w:lang w:eastAsia="ru-RU"/>
        </w:rPr>
      </w:pPr>
      <w:bookmarkStart w:id="51" w:name="_Toc77864614"/>
    </w:p>
    <w:p w14:paraId="0F9F2578">
      <w:pPr>
        <w:pStyle w:val="43"/>
        <w:keepNext/>
        <w:spacing w:before="0" w:after="0" w:line="240" w:lineRule="auto"/>
        <w:ind w:firstLine="0"/>
        <w:contextualSpacing/>
        <w:rPr>
          <w:rFonts w:cs="Times New Roman"/>
          <w:b w:val="0"/>
          <w:sz w:val="24"/>
          <w:szCs w:val="24"/>
        </w:rPr>
      </w:pPr>
      <w:r>
        <w:rPr>
          <w:b w:val="0"/>
          <w:bCs w:val="0"/>
          <w:sz w:val="24"/>
          <w:szCs w:val="24"/>
        </w:rPr>
        <w:t xml:space="preserve">Таблица </w:t>
      </w:r>
      <w:r>
        <w:rPr>
          <w:b w:val="0"/>
          <w:bCs w:val="0"/>
          <w:sz w:val="24"/>
          <w:szCs w:val="24"/>
        </w:rPr>
        <w:fldChar w:fldCharType="begin"/>
      </w:r>
      <w:r>
        <w:rPr>
          <w:b w:val="0"/>
          <w:bCs w:val="0"/>
          <w:sz w:val="24"/>
          <w:szCs w:val="24"/>
        </w:rPr>
        <w:instrText xml:space="preserve"> SEQ Таблица \* ARABIC </w:instrText>
      </w:r>
      <w:r>
        <w:rPr>
          <w:b w:val="0"/>
          <w:bCs w:val="0"/>
          <w:sz w:val="24"/>
          <w:szCs w:val="24"/>
        </w:rPr>
        <w:fldChar w:fldCharType="separate"/>
      </w:r>
      <w:r>
        <w:rPr>
          <w:b w:val="0"/>
          <w:bCs w:val="0"/>
          <w:sz w:val="24"/>
          <w:szCs w:val="24"/>
        </w:rPr>
        <w:t>8</w:t>
      </w:r>
      <w:r>
        <w:rPr>
          <w:b w:val="0"/>
          <w:bCs w:val="0"/>
          <w:sz w:val="24"/>
          <w:szCs w:val="24"/>
        </w:rPr>
        <w:fldChar w:fldCharType="end"/>
      </w:r>
      <w:r>
        <w:rPr>
          <w:b w:val="0"/>
          <w:bCs w:val="0"/>
          <w:sz w:val="24"/>
          <w:szCs w:val="24"/>
        </w:rPr>
        <w:t xml:space="preserve"> –</w:t>
      </w:r>
      <w:r>
        <w:rPr>
          <w:bCs w:val="0"/>
          <w:sz w:val="24"/>
          <w:szCs w:val="24"/>
        </w:rPr>
        <w:t xml:space="preserve"> </w:t>
      </w:r>
      <w:r>
        <w:rPr>
          <w:rFonts w:cs="Times New Roman"/>
          <w:b w:val="0"/>
          <w:sz w:val="24"/>
          <w:szCs w:val="24"/>
        </w:rPr>
        <w:t>Параметры установленной тепловой мощности работающих источников тепловой энергии</w:t>
      </w:r>
      <w:bookmarkEnd w:id="51"/>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21"/>
        <w:gridCol w:w="2910"/>
        <w:gridCol w:w="2135"/>
        <w:gridCol w:w="2228"/>
      </w:tblGrid>
      <w:tr w14:paraId="5EDA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249" w:type="pct"/>
            <w:shd w:val="clear" w:color="auto" w:fill="auto"/>
            <w:vAlign w:val="center"/>
          </w:tcPr>
          <w:p w14:paraId="287DF2B3">
            <w:pPr>
              <w:spacing w:after="0" w:line="240" w:lineRule="auto"/>
              <w:ind w:firstLine="0"/>
              <w:jc w:val="center"/>
              <w:rPr>
                <w:bCs/>
                <w:sz w:val="20"/>
                <w:szCs w:val="20"/>
              </w:rPr>
            </w:pPr>
            <w:r>
              <w:rPr>
                <w:bCs/>
                <w:sz w:val="20"/>
                <w:szCs w:val="20"/>
              </w:rPr>
              <w:t>Наименование источника тепловой энергии</w:t>
            </w:r>
          </w:p>
        </w:tc>
        <w:tc>
          <w:tcPr>
            <w:tcW w:w="1501" w:type="pct"/>
            <w:shd w:val="clear" w:color="auto" w:fill="auto"/>
            <w:vAlign w:val="center"/>
          </w:tcPr>
          <w:p w14:paraId="573F7A3C">
            <w:pPr>
              <w:spacing w:after="0" w:line="240" w:lineRule="auto"/>
              <w:ind w:firstLine="0"/>
              <w:jc w:val="center"/>
              <w:rPr>
                <w:bCs/>
                <w:sz w:val="20"/>
                <w:szCs w:val="20"/>
              </w:rPr>
            </w:pPr>
            <w:r>
              <w:rPr>
                <w:bCs/>
                <w:sz w:val="20"/>
                <w:szCs w:val="20"/>
              </w:rPr>
              <w:t>Марка основного оборудования</w:t>
            </w:r>
          </w:p>
        </w:tc>
        <w:tc>
          <w:tcPr>
            <w:tcW w:w="1101" w:type="pct"/>
            <w:shd w:val="clear" w:color="auto" w:fill="auto"/>
            <w:vAlign w:val="center"/>
          </w:tcPr>
          <w:p w14:paraId="13E1E169">
            <w:pPr>
              <w:spacing w:after="0" w:line="240" w:lineRule="auto"/>
              <w:ind w:firstLine="0"/>
              <w:jc w:val="center"/>
              <w:rPr>
                <w:bCs/>
                <w:sz w:val="20"/>
                <w:szCs w:val="20"/>
              </w:rPr>
            </w:pPr>
            <w:r>
              <w:rPr>
                <w:bCs/>
                <w:sz w:val="20"/>
                <w:szCs w:val="20"/>
              </w:rPr>
              <w:t>Износ котельного оборудования, %</w:t>
            </w:r>
          </w:p>
        </w:tc>
        <w:tc>
          <w:tcPr>
            <w:tcW w:w="1149" w:type="pct"/>
            <w:shd w:val="clear" w:color="auto" w:fill="auto"/>
            <w:vAlign w:val="center"/>
          </w:tcPr>
          <w:p w14:paraId="11A60430">
            <w:pPr>
              <w:spacing w:after="0" w:line="240" w:lineRule="auto"/>
              <w:ind w:firstLine="0"/>
              <w:jc w:val="center"/>
              <w:rPr>
                <w:bCs/>
                <w:sz w:val="20"/>
                <w:szCs w:val="20"/>
              </w:rPr>
            </w:pPr>
            <w:r>
              <w:rPr>
                <w:bCs/>
                <w:sz w:val="20"/>
                <w:szCs w:val="20"/>
              </w:rPr>
              <w:t>Установленная тепловая мощность, Гкал/ч</w:t>
            </w:r>
          </w:p>
        </w:tc>
      </w:tr>
      <w:tr w14:paraId="3831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249" w:type="pct"/>
            <w:vMerge w:val="restart"/>
            <w:shd w:val="clear" w:color="auto" w:fill="auto"/>
            <w:vAlign w:val="center"/>
          </w:tcPr>
          <w:p w14:paraId="69C2B02C">
            <w:pPr>
              <w:spacing w:after="0" w:line="240" w:lineRule="auto"/>
              <w:ind w:firstLine="0"/>
              <w:jc w:val="center"/>
              <w:rPr>
                <w:color w:val="000000"/>
                <w:sz w:val="20"/>
                <w:szCs w:val="20"/>
              </w:rPr>
            </w:pPr>
            <w:r>
              <w:rPr>
                <w:color w:val="000000"/>
                <w:sz w:val="20"/>
                <w:szCs w:val="20"/>
              </w:rPr>
              <w:t>Котельная №2</w:t>
            </w:r>
          </w:p>
          <w:p w14:paraId="50CFCE9A">
            <w:pPr>
              <w:spacing w:after="0" w:line="240" w:lineRule="auto"/>
              <w:ind w:firstLine="0"/>
              <w:jc w:val="center"/>
              <w:rPr>
                <w:sz w:val="20"/>
                <w:szCs w:val="20"/>
              </w:rPr>
            </w:pPr>
            <w:r>
              <w:rPr>
                <w:color w:val="000000"/>
                <w:sz w:val="20"/>
                <w:szCs w:val="20"/>
              </w:rPr>
              <w:t>МУП «БКС»</w:t>
            </w:r>
          </w:p>
        </w:tc>
        <w:tc>
          <w:tcPr>
            <w:tcW w:w="1501" w:type="pct"/>
            <w:shd w:val="clear" w:color="auto" w:fill="auto"/>
            <w:vAlign w:val="center"/>
          </w:tcPr>
          <w:p w14:paraId="475DE3B1">
            <w:pPr>
              <w:spacing w:after="0" w:line="240" w:lineRule="auto"/>
              <w:ind w:firstLine="0"/>
              <w:jc w:val="center"/>
              <w:rPr>
                <w:sz w:val="20"/>
                <w:szCs w:val="20"/>
              </w:rPr>
            </w:pPr>
            <w:r>
              <w:rPr>
                <w:sz w:val="20"/>
                <w:szCs w:val="20"/>
              </w:rPr>
              <w:t>NOVITER NWT 3,5-1,0-115</w:t>
            </w:r>
          </w:p>
        </w:tc>
        <w:tc>
          <w:tcPr>
            <w:tcW w:w="1101" w:type="pct"/>
            <w:vMerge w:val="restart"/>
            <w:shd w:val="clear" w:color="auto" w:fill="auto"/>
            <w:vAlign w:val="center"/>
          </w:tcPr>
          <w:p w14:paraId="49FB4E16">
            <w:pPr>
              <w:spacing w:after="0" w:line="240" w:lineRule="auto"/>
              <w:ind w:firstLine="0"/>
              <w:jc w:val="center"/>
              <w:rPr>
                <w:sz w:val="20"/>
                <w:szCs w:val="20"/>
              </w:rPr>
            </w:pPr>
            <w:r>
              <w:rPr>
                <w:sz w:val="20"/>
                <w:szCs w:val="20"/>
              </w:rPr>
              <w:t>100</w:t>
            </w:r>
          </w:p>
        </w:tc>
        <w:tc>
          <w:tcPr>
            <w:tcW w:w="1149" w:type="pct"/>
            <w:shd w:val="clear" w:color="auto" w:fill="auto"/>
            <w:vAlign w:val="center"/>
          </w:tcPr>
          <w:p w14:paraId="0D38FA1C">
            <w:pPr>
              <w:spacing w:after="0" w:line="240" w:lineRule="auto"/>
              <w:ind w:firstLine="0"/>
              <w:jc w:val="center"/>
              <w:rPr>
                <w:sz w:val="20"/>
                <w:szCs w:val="20"/>
              </w:rPr>
            </w:pPr>
            <w:r>
              <w:rPr>
                <w:sz w:val="20"/>
                <w:szCs w:val="20"/>
              </w:rPr>
              <w:t>3,010</w:t>
            </w:r>
          </w:p>
        </w:tc>
      </w:tr>
      <w:tr w14:paraId="0B48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442194EE">
            <w:pPr>
              <w:spacing w:after="0" w:line="240" w:lineRule="auto"/>
              <w:ind w:firstLine="0"/>
              <w:rPr>
                <w:sz w:val="20"/>
                <w:szCs w:val="20"/>
              </w:rPr>
            </w:pPr>
          </w:p>
        </w:tc>
        <w:tc>
          <w:tcPr>
            <w:tcW w:w="1501" w:type="pct"/>
            <w:shd w:val="clear" w:color="auto" w:fill="auto"/>
            <w:vAlign w:val="center"/>
          </w:tcPr>
          <w:p w14:paraId="1CFED3E8">
            <w:pPr>
              <w:spacing w:after="0" w:line="240" w:lineRule="auto"/>
              <w:ind w:firstLine="0"/>
              <w:jc w:val="center"/>
              <w:rPr>
                <w:sz w:val="20"/>
                <w:szCs w:val="20"/>
              </w:rPr>
            </w:pPr>
            <w:r>
              <w:rPr>
                <w:sz w:val="20"/>
                <w:szCs w:val="20"/>
              </w:rPr>
              <w:t>NOVITER NWT 3,5-1,0-115</w:t>
            </w:r>
          </w:p>
        </w:tc>
        <w:tc>
          <w:tcPr>
            <w:tcW w:w="1101" w:type="pct"/>
            <w:vMerge w:val="continue"/>
            <w:vAlign w:val="center"/>
          </w:tcPr>
          <w:p w14:paraId="79AB75C2">
            <w:pPr>
              <w:spacing w:after="0" w:line="240" w:lineRule="auto"/>
              <w:ind w:firstLine="0"/>
              <w:rPr>
                <w:sz w:val="20"/>
                <w:szCs w:val="20"/>
              </w:rPr>
            </w:pPr>
          </w:p>
        </w:tc>
        <w:tc>
          <w:tcPr>
            <w:tcW w:w="1149" w:type="pct"/>
            <w:shd w:val="clear" w:color="auto" w:fill="auto"/>
            <w:vAlign w:val="center"/>
          </w:tcPr>
          <w:p w14:paraId="28DA2BB5">
            <w:pPr>
              <w:spacing w:after="0" w:line="240" w:lineRule="auto"/>
              <w:ind w:firstLine="0"/>
              <w:jc w:val="center"/>
              <w:rPr>
                <w:sz w:val="20"/>
                <w:szCs w:val="20"/>
              </w:rPr>
            </w:pPr>
            <w:r>
              <w:rPr>
                <w:sz w:val="20"/>
                <w:szCs w:val="20"/>
              </w:rPr>
              <w:t>3,010</w:t>
            </w:r>
          </w:p>
        </w:tc>
      </w:tr>
      <w:tr w14:paraId="2619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59999F1C">
            <w:pPr>
              <w:spacing w:after="0" w:line="240" w:lineRule="auto"/>
              <w:ind w:firstLine="0"/>
              <w:rPr>
                <w:sz w:val="20"/>
                <w:szCs w:val="20"/>
              </w:rPr>
            </w:pPr>
          </w:p>
        </w:tc>
        <w:tc>
          <w:tcPr>
            <w:tcW w:w="1501" w:type="pct"/>
            <w:shd w:val="clear" w:color="auto" w:fill="auto"/>
            <w:vAlign w:val="center"/>
          </w:tcPr>
          <w:p w14:paraId="16940480">
            <w:pPr>
              <w:spacing w:after="0" w:line="240" w:lineRule="auto"/>
              <w:ind w:firstLine="0"/>
              <w:jc w:val="center"/>
              <w:rPr>
                <w:sz w:val="20"/>
                <w:szCs w:val="20"/>
              </w:rPr>
            </w:pPr>
            <w:r>
              <w:rPr>
                <w:sz w:val="20"/>
                <w:szCs w:val="20"/>
              </w:rPr>
              <w:t>Всего</w:t>
            </w:r>
          </w:p>
        </w:tc>
        <w:tc>
          <w:tcPr>
            <w:tcW w:w="1101" w:type="pct"/>
            <w:vMerge w:val="continue"/>
            <w:vAlign w:val="center"/>
          </w:tcPr>
          <w:p w14:paraId="7BAE83CA">
            <w:pPr>
              <w:spacing w:after="0" w:line="240" w:lineRule="auto"/>
              <w:ind w:firstLine="0"/>
              <w:rPr>
                <w:sz w:val="20"/>
                <w:szCs w:val="20"/>
              </w:rPr>
            </w:pPr>
          </w:p>
        </w:tc>
        <w:tc>
          <w:tcPr>
            <w:tcW w:w="1149" w:type="pct"/>
            <w:shd w:val="clear" w:color="auto" w:fill="auto"/>
            <w:vAlign w:val="center"/>
          </w:tcPr>
          <w:p w14:paraId="6372C94E">
            <w:pPr>
              <w:spacing w:after="0" w:line="240" w:lineRule="auto"/>
              <w:ind w:firstLine="0"/>
              <w:jc w:val="center"/>
              <w:rPr>
                <w:sz w:val="20"/>
                <w:szCs w:val="20"/>
              </w:rPr>
            </w:pPr>
            <w:r>
              <w:rPr>
                <w:sz w:val="20"/>
                <w:szCs w:val="20"/>
              </w:rPr>
              <w:t>6,020</w:t>
            </w:r>
          </w:p>
        </w:tc>
      </w:tr>
      <w:tr w14:paraId="2F83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restart"/>
            <w:shd w:val="clear" w:color="auto" w:fill="auto"/>
            <w:vAlign w:val="center"/>
          </w:tcPr>
          <w:p w14:paraId="065E9C26">
            <w:pPr>
              <w:spacing w:after="0" w:line="240" w:lineRule="auto"/>
              <w:ind w:firstLine="0"/>
              <w:jc w:val="center"/>
              <w:rPr>
                <w:sz w:val="20"/>
                <w:szCs w:val="20"/>
              </w:rPr>
            </w:pPr>
            <w:r>
              <w:rPr>
                <w:sz w:val="20"/>
                <w:szCs w:val="20"/>
              </w:rPr>
              <w:t>Котельная «2БВК»</w:t>
            </w:r>
          </w:p>
        </w:tc>
        <w:tc>
          <w:tcPr>
            <w:tcW w:w="1501" w:type="pct"/>
            <w:shd w:val="clear" w:color="auto" w:fill="auto"/>
            <w:vAlign w:val="center"/>
          </w:tcPr>
          <w:p w14:paraId="4FE7D1D7">
            <w:pPr>
              <w:spacing w:after="0" w:line="240" w:lineRule="auto"/>
              <w:ind w:firstLine="0"/>
              <w:jc w:val="center"/>
              <w:rPr>
                <w:sz w:val="20"/>
                <w:szCs w:val="20"/>
              </w:rPr>
            </w:pPr>
            <w:r>
              <w:rPr>
                <w:sz w:val="20"/>
                <w:szCs w:val="20"/>
              </w:rPr>
              <w:t>ВВД-1,8 № 1</w:t>
            </w:r>
          </w:p>
        </w:tc>
        <w:tc>
          <w:tcPr>
            <w:tcW w:w="1101" w:type="pct"/>
            <w:vMerge w:val="restart"/>
            <w:shd w:val="clear" w:color="auto" w:fill="auto"/>
            <w:vAlign w:val="center"/>
          </w:tcPr>
          <w:p w14:paraId="40583070">
            <w:pPr>
              <w:spacing w:after="0" w:line="240" w:lineRule="auto"/>
              <w:ind w:firstLine="0"/>
              <w:jc w:val="center"/>
              <w:rPr>
                <w:sz w:val="20"/>
                <w:szCs w:val="20"/>
              </w:rPr>
            </w:pPr>
            <w:r>
              <w:rPr>
                <w:sz w:val="20"/>
                <w:szCs w:val="20"/>
              </w:rPr>
              <w:t>10</w:t>
            </w:r>
          </w:p>
        </w:tc>
        <w:tc>
          <w:tcPr>
            <w:tcW w:w="1149" w:type="pct"/>
            <w:shd w:val="clear" w:color="auto" w:fill="auto"/>
            <w:vAlign w:val="center"/>
          </w:tcPr>
          <w:p w14:paraId="03B48EEE">
            <w:pPr>
              <w:spacing w:after="0" w:line="240" w:lineRule="auto"/>
              <w:ind w:firstLine="0"/>
              <w:jc w:val="center"/>
              <w:rPr>
                <w:sz w:val="20"/>
                <w:szCs w:val="20"/>
              </w:rPr>
            </w:pPr>
            <w:r>
              <w:rPr>
                <w:sz w:val="20"/>
                <w:szCs w:val="20"/>
              </w:rPr>
              <w:t>1,800</w:t>
            </w:r>
          </w:p>
        </w:tc>
      </w:tr>
      <w:tr w14:paraId="721F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55483FB0">
            <w:pPr>
              <w:spacing w:after="0" w:line="240" w:lineRule="auto"/>
              <w:ind w:firstLine="0"/>
              <w:rPr>
                <w:sz w:val="20"/>
                <w:szCs w:val="20"/>
              </w:rPr>
            </w:pPr>
          </w:p>
        </w:tc>
        <w:tc>
          <w:tcPr>
            <w:tcW w:w="1501" w:type="pct"/>
            <w:shd w:val="clear" w:color="auto" w:fill="auto"/>
            <w:vAlign w:val="center"/>
          </w:tcPr>
          <w:p w14:paraId="0FD17B1F">
            <w:pPr>
              <w:spacing w:after="0" w:line="240" w:lineRule="auto"/>
              <w:ind w:firstLine="0"/>
              <w:jc w:val="center"/>
              <w:rPr>
                <w:sz w:val="20"/>
                <w:szCs w:val="20"/>
              </w:rPr>
            </w:pPr>
            <w:r>
              <w:rPr>
                <w:sz w:val="20"/>
                <w:szCs w:val="20"/>
              </w:rPr>
              <w:t>ВВД-1,8 № 2</w:t>
            </w:r>
          </w:p>
        </w:tc>
        <w:tc>
          <w:tcPr>
            <w:tcW w:w="1101" w:type="pct"/>
            <w:vMerge w:val="continue"/>
            <w:vAlign w:val="center"/>
          </w:tcPr>
          <w:p w14:paraId="6CC9A7A4">
            <w:pPr>
              <w:spacing w:after="0" w:line="240" w:lineRule="auto"/>
              <w:ind w:firstLine="0"/>
              <w:rPr>
                <w:sz w:val="20"/>
                <w:szCs w:val="20"/>
              </w:rPr>
            </w:pPr>
          </w:p>
        </w:tc>
        <w:tc>
          <w:tcPr>
            <w:tcW w:w="1149" w:type="pct"/>
            <w:shd w:val="clear" w:color="auto" w:fill="auto"/>
            <w:vAlign w:val="center"/>
          </w:tcPr>
          <w:p w14:paraId="5122AB96">
            <w:pPr>
              <w:spacing w:after="0" w:line="240" w:lineRule="auto"/>
              <w:ind w:firstLine="0"/>
              <w:jc w:val="center"/>
              <w:rPr>
                <w:sz w:val="20"/>
                <w:szCs w:val="20"/>
              </w:rPr>
            </w:pPr>
            <w:r>
              <w:rPr>
                <w:sz w:val="20"/>
                <w:szCs w:val="20"/>
              </w:rPr>
              <w:t>1,800</w:t>
            </w:r>
          </w:p>
        </w:tc>
      </w:tr>
      <w:tr w14:paraId="42C5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1DAD1B8A">
            <w:pPr>
              <w:spacing w:after="0" w:line="240" w:lineRule="auto"/>
              <w:ind w:firstLine="0"/>
              <w:rPr>
                <w:sz w:val="20"/>
                <w:szCs w:val="20"/>
              </w:rPr>
            </w:pPr>
          </w:p>
        </w:tc>
        <w:tc>
          <w:tcPr>
            <w:tcW w:w="1501" w:type="pct"/>
            <w:shd w:val="clear" w:color="auto" w:fill="auto"/>
            <w:vAlign w:val="center"/>
          </w:tcPr>
          <w:p w14:paraId="33EA4DDA">
            <w:pPr>
              <w:spacing w:after="0" w:line="240" w:lineRule="auto"/>
              <w:ind w:firstLine="0"/>
              <w:jc w:val="center"/>
              <w:rPr>
                <w:sz w:val="20"/>
                <w:szCs w:val="20"/>
              </w:rPr>
            </w:pPr>
            <w:r>
              <w:rPr>
                <w:sz w:val="20"/>
                <w:szCs w:val="20"/>
              </w:rPr>
              <w:t>ВВД-1,8 № 3</w:t>
            </w:r>
          </w:p>
        </w:tc>
        <w:tc>
          <w:tcPr>
            <w:tcW w:w="1101" w:type="pct"/>
            <w:vMerge w:val="continue"/>
            <w:vAlign w:val="center"/>
          </w:tcPr>
          <w:p w14:paraId="36C14691">
            <w:pPr>
              <w:spacing w:after="0" w:line="240" w:lineRule="auto"/>
              <w:ind w:firstLine="0"/>
              <w:rPr>
                <w:sz w:val="20"/>
                <w:szCs w:val="20"/>
              </w:rPr>
            </w:pPr>
          </w:p>
        </w:tc>
        <w:tc>
          <w:tcPr>
            <w:tcW w:w="1149" w:type="pct"/>
            <w:shd w:val="clear" w:color="auto" w:fill="auto"/>
            <w:vAlign w:val="center"/>
          </w:tcPr>
          <w:p w14:paraId="63FFA64B">
            <w:pPr>
              <w:spacing w:after="0" w:line="240" w:lineRule="auto"/>
              <w:ind w:firstLine="0"/>
              <w:jc w:val="center"/>
              <w:rPr>
                <w:sz w:val="20"/>
                <w:szCs w:val="20"/>
              </w:rPr>
            </w:pPr>
            <w:r>
              <w:rPr>
                <w:sz w:val="20"/>
                <w:szCs w:val="20"/>
              </w:rPr>
              <w:t>1,800</w:t>
            </w:r>
          </w:p>
        </w:tc>
      </w:tr>
      <w:tr w14:paraId="4AE8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1CE48E60">
            <w:pPr>
              <w:spacing w:after="0" w:line="240" w:lineRule="auto"/>
              <w:ind w:firstLine="0"/>
              <w:rPr>
                <w:sz w:val="20"/>
                <w:szCs w:val="20"/>
              </w:rPr>
            </w:pPr>
          </w:p>
        </w:tc>
        <w:tc>
          <w:tcPr>
            <w:tcW w:w="1501" w:type="pct"/>
            <w:shd w:val="clear" w:color="auto" w:fill="auto"/>
            <w:vAlign w:val="center"/>
          </w:tcPr>
          <w:p w14:paraId="74EE9248">
            <w:pPr>
              <w:spacing w:after="0" w:line="240" w:lineRule="auto"/>
              <w:ind w:firstLine="0"/>
              <w:jc w:val="center"/>
              <w:rPr>
                <w:sz w:val="20"/>
                <w:szCs w:val="20"/>
              </w:rPr>
            </w:pPr>
            <w:r>
              <w:rPr>
                <w:sz w:val="20"/>
                <w:szCs w:val="20"/>
              </w:rPr>
              <w:t>ВВД-1,8 № 4</w:t>
            </w:r>
          </w:p>
        </w:tc>
        <w:tc>
          <w:tcPr>
            <w:tcW w:w="1101" w:type="pct"/>
            <w:vMerge w:val="continue"/>
            <w:vAlign w:val="center"/>
          </w:tcPr>
          <w:p w14:paraId="76E53436">
            <w:pPr>
              <w:spacing w:after="0" w:line="240" w:lineRule="auto"/>
              <w:ind w:firstLine="0"/>
              <w:rPr>
                <w:sz w:val="20"/>
                <w:szCs w:val="20"/>
              </w:rPr>
            </w:pPr>
          </w:p>
        </w:tc>
        <w:tc>
          <w:tcPr>
            <w:tcW w:w="1149" w:type="pct"/>
            <w:shd w:val="clear" w:color="auto" w:fill="auto"/>
            <w:vAlign w:val="center"/>
          </w:tcPr>
          <w:p w14:paraId="302B1634">
            <w:pPr>
              <w:spacing w:after="0" w:line="240" w:lineRule="auto"/>
              <w:ind w:firstLine="0"/>
              <w:jc w:val="center"/>
              <w:rPr>
                <w:sz w:val="20"/>
                <w:szCs w:val="20"/>
              </w:rPr>
            </w:pPr>
            <w:r>
              <w:rPr>
                <w:sz w:val="20"/>
                <w:szCs w:val="20"/>
              </w:rPr>
              <w:t>1,800</w:t>
            </w:r>
          </w:p>
        </w:tc>
      </w:tr>
      <w:tr w14:paraId="0C32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309EDA6D">
            <w:pPr>
              <w:spacing w:after="0" w:line="240" w:lineRule="auto"/>
              <w:ind w:firstLine="0"/>
              <w:rPr>
                <w:sz w:val="20"/>
                <w:szCs w:val="20"/>
              </w:rPr>
            </w:pPr>
          </w:p>
        </w:tc>
        <w:tc>
          <w:tcPr>
            <w:tcW w:w="1501" w:type="pct"/>
            <w:shd w:val="clear" w:color="auto" w:fill="auto"/>
            <w:vAlign w:val="center"/>
          </w:tcPr>
          <w:p w14:paraId="7DD81456">
            <w:pPr>
              <w:spacing w:after="0" w:line="240" w:lineRule="auto"/>
              <w:ind w:firstLine="0"/>
              <w:jc w:val="center"/>
              <w:rPr>
                <w:sz w:val="20"/>
                <w:szCs w:val="20"/>
              </w:rPr>
            </w:pPr>
            <w:r>
              <w:rPr>
                <w:sz w:val="20"/>
                <w:szCs w:val="20"/>
              </w:rPr>
              <w:t>Всего</w:t>
            </w:r>
          </w:p>
        </w:tc>
        <w:tc>
          <w:tcPr>
            <w:tcW w:w="1101" w:type="pct"/>
            <w:shd w:val="clear" w:color="auto" w:fill="auto"/>
            <w:vAlign w:val="center"/>
          </w:tcPr>
          <w:p w14:paraId="032D0B9B">
            <w:pPr>
              <w:spacing w:after="0" w:line="240" w:lineRule="auto"/>
              <w:ind w:firstLine="0"/>
              <w:rPr>
                <w:sz w:val="20"/>
                <w:szCs w:val="20"/>
              </w:rPr>
            </w:pPr>
            <w:r>
              <w:rPr>
                <w:sz w:val="20"/>
                <w:szCs w:val="20"/>
              </w:rPr>
              <w:t> </w:t>
            </w:r>
          </w:p>
        </w:tc>
        <w:tc>
          <w:tcPr>
            <w:tcW w:w="1149" w:type="pct"/>
            <w:shd w:val="clear" w:color="auto" w:fill="auto"/>
            <w:vAlign w:val="center"/>
          </w:tcPr>
          <w:p w14:paraId="49B8F233">
            <w:pPr>
              <w:spacing w:after="0" w:line="240" w:lineRule="auto"/>
              <w:ind w:firstLine="0"/>
              <w:jc w:val="center"/>
              <w:rPr>
                <w:sz w:val="20"/>
                <w:szCs w:val="20"/>
              </w:rPr>
            </w:pPr>
            <w:r>
              <w:rPr>
                <w:sz w:val="20"/>
                <w:szCs w:val="20"/>
              </w:rPr>
              <w:t>7,200</w:t>
            </w:r>
          </w:p>
        </w:tc>
      </w:tr>
      <w:tr w14:paraId="4892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restart"/>
            <w:shd w:val="clear" w:color="auto" w:fill="auto"/>
            <w:vAlign w:val="center"/>
          </w:tcPr>
          <w:p w14:paraId="3F0D0802">
            <w:pPr>
              <w:spacing w:after="0" w:line="240" w:lineRule="auto"/>
              <w:ind w:firstLine="0"/>
              <w:jc w:val="center"/>
              <w:rPr>
                <w:sz w:val="20"/>
                <w:szCs w:val="20"/>
              </w:rPr>
            </w:pPr>
            <w:r>
              <w:rPr>
                <w:sz w:val="20"/>
                <w:szCs w:val="20"/>
              </w:rPr>
              <w:t>Котельная «Вирбекс»</w:t>
            </w:r>
          </w:p>
        </w:tc>
        <w:tc>
          <w:tcPr>
            <w:tcW w:w="1501" w:type="pct"/>
            <w:shd w:val="clear" w:color="auto" w:fill="auto"/>
            <w:vAlign w:val="center"/>
          </w:tcPr>
          <w:p w14:paraId="5D527FFC">
            <w:pPr>
              <w:spacing w:after="0" w:line="240" w:lineRule="auto"/>
              <w:ind w:firstLine="0"/>
              <w:jc w:val="center"/>
              <w:rPr>
                <w:sz w:val="20"/>
                <w:szCs w:val="20"/>
              </w:rPr>
            </w:pPr>
            <w:r>
              <w:rPr>
                <w:sz w:val="20"/>
                <w:szCs w:val="20"/>
              </w:rPr>
              <w:t>Вирбекс-С-Финн № 1</w:t>
            </w:r>
          </w:p>
        </w:tc>
        <w:tc>
          <w:tcPr>
            <w:tcW w:w="1101" w:type="pct"/>
            <w:vMerge w:val="restart"/>
            <w:shd w:val="clear" w:color="auto" w:fill="auto"/>
            <w:vAlign w:val="center"/>
          </w:tcPr>
          <w:p w14:paraId="56A074A5">
            <w:pPr>
              <w:spacing w:after="0" w:line="240" w:lineRule="auto"/>
              <w:ind w:firstLine="0"/>
              <w:jc w:val="center"/>
              <w:rPr>
                <w:sz w:val="20"/>
                <w:szCs w:val="20"/>
              </w:rPr>
            </w:pPr>
            <w:r>
              <w:rPr>
                <w:sz w:val="20"/>
                <w:szCs w:val="20"/>
              </w:rPr>
              <w:t>10</w:t>
            </w:r>
          </w:p>
        </w:tc>
        <w:tc>
          <w:tcPr>
            <w:tcW w:w="1149" w:type="pct"/>
            <w:shd w:val="clear" w:color="auto" w:fill="auto"/>
            <w:vAlign w:val="center"/>
          </w:tcPr>
          <w:p w14:paraId="781A4724">
            <w:pPr>
              <w:spacing w:after="0" w:line="240" w:lineRule="auto"/>
              <w:ind w:firstLine="0"/>
              <w:jc w:val="center"/>
              <w:rPr>
                <w:sz w:val="20"/>
                <w:szCs w:val="20"/>
              </w:rPr>
            </w:pPr>
            <w:r>
              <w:rPr>
                <w:sz w:val="20"/>
                <w:szCs w:val="20"/>
              </w:rPr>
              <w:t>1,400</w:t>
            </w:r>
          </w:p>
        </w:tc>
      </w:tr>
      <w:tr w14:paraId="3425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2DCBFD70">
            <w:pPr>
              <w:spacing w:after="0" w:line="240" w:lineRule="auto"/>
              <w:ind w:firstLine="0"/>
              <w:rPr>
                <w:sz w:val="20"/>
                <w:szCs w:val="20"/>
              </w:rPr>
            </w:pPr>
          </w:p>
        </w:tc>
        <w:tc>
          <w:tcPr>
            <w:tcW w:w="1501" w:type="pct"/>
            <w:shd w:val="clear" w:color="auto" w:fill="auto"/>
            <w:vAlign w:val="center"/>
          </w:tcPr>
          <w:p w14:paraId="12B9DB7B">
            <w:pPr>
              <w:spacing w:after="0" w:line="240" w:lineRule="auto"/>
              <w:ind w:firstLine="0"/>
              <w:jc w:val="center"/>
              <w:rPr>
                <w:sz w:val="20"/>
                <w:szCs w:val="20"/>
              </w:rPr>
            </w:pPr>
            <w:r>
              <w:rPr>
                <w:sz w:val="20"/>
                <w:szCs w:val="20"/>
              </w:rPr>
              <w:t>Вирбекс-С-Финн № 2</w:t>
            </w:r>
          </w:p>
        </w:tc>
        <w:tc>
          <w:tcPr>
            <w:tcW w:w="1101" w:type="pct"/>
            <w:vMerge w:val="continue"/>
            <w:vAlign w:val="center"/>
          </w:tcPr>
          <w:p w14:paraId="188B1551">
            <w:pPr>
              <w:spacing w:after="0" w:line="240" w:lineRule="auto"/>
              <w:ind w:firstLine="0"/>
              <w:rPr>
                <w:sz w:val="20"/>
                <w:szCs w:val="20"/>
              </w:rPr>
            </w:pPr>
          </w:p>
        </w:tc>
        <w:tc>
          <w:tcPr>
            <w:tcW w:w="1149" w:type="pct"/>
            <w:shd w:val="clear" w:color="auto" w:fill="auto"/>
            <w:vAlign w:val="center"/>
          </w:tcPr>
          <w:p w14:paraId="61258320">
            <w:pPr>
              <w:spacing w:after="0" w:line="240" w:lineRule="auto"/>
              <w:ind w:firstLine="0"/>
              <w:jc w:val="center"/>
              <w:rPr>
                <w:sz w:val="20"/>
                <w:szCs w:val="20"/>
              </w:rPr>
            </w:pPr>
            <w:r>
              <w:rPr>
                <w:sz w:val="20"/>
                <w:szCs w:val="20"/>
              </w:rPr>
              <w:t>1,400</w:t>
            </w:r>
          </w:p>
        </w:tc>
      </w:tr>
      <w:tr w14:paraId="4FA3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1986193C">
            <w:pPr>
              <w:spacing w:after="0" w:line="240" w:lineRule="auto"/>
              <w:ind w:firstLine="0"/>
              <w:rPr>
                <w:sz w:val="20"/>
                <w:szCs w:val="20"/>
              </w:rPr>
            </w:pPr>
          </w:p>
        </w:tc>
        <w:tc>
          <w:tcPr>
            <w:tcW w:w="1501" w:type="pct"/>
            <w:shd w:val="clear" w:color="auto" w:fill="auto"/>
            <w:vAlign w:val="center"/>
          </w:tcPr>
          <w:p w14:paraId="19D5C0C8">
            <w:pPr>
              <w:spacing w:after="0" w:line="240" w:lineRule="auto"/>
              <w:ind w:firstLine="0"/>
              <w:jc w:val="center"/>
              <w:rPr>
                <w:sz w:val="20"/>
                <w:szCs w:val="20"/>
              </w:rPr>
            </w:pPr>
            <w:r>
              <w:rPr>
                <w:sz w:val="20"/>
                <w:szCs w:val="20"/>
              </w:rPr>
              <w:t>Всего</w:t>
            </w:r>
          </w:p>
        </w:tc>
        <w:tc>
          <w:tcPr>
            <w:tcW w:w="1101" w:type="pct"/>
            <w:shd w:val="clear" w:color="auto" w:fill="auto"/>
            <w:vAlign w:val="center"/>
          </w:tcPr>
          <w:p w14:paraId="6763F68E">
            <w:pPr>
              <w:spacing w:after="0" w:line="240" w:lineRule="auto"/>
              <w:ind w:firstLine="0"/>
              <w:jc w:val="center"/>
              <w:rPr>
                <w:sz w:val="20"/>
                <w:szCs w:val="20"/>
              </w:rPr>
            </w:pPr>
            <w:r>
              <w:rPr>
                <w:sz w:val="20"/>
                <w:szCs w:val="20"/>
              </w:rPr>
              <w:t> </w:t>
            </w:r>
          </w:p>
        </w:tc>
        <w:tc>
          <w:tcPr>
            <w:tcW w:w="1149" w:type="pct"/>
            <w:shd w:val="clear" w:color="auto" w:fill="auto"/>
            <w:vAlign w:val="center"/>
          </w:tcPr>
          <w:p w14:paraId="2F5DB83C">
            <w:pPr>
              <w:spacing w:after="0" w:line="240" w:lineRule="auto"/>
              <w:ind w:firstLine="0"/>
              <w:jc w:val="center"/>
              <w:rPr>
                <w:sz w:val="20"/>
                <w:szCs w:val="20"/>
              </w:rPr>
            </w:pPr>
            <w:r>
              <w:rPr>
                <w:sz w:val="20"/>
                <w:szCs w:val="20"/>
              </w:rPr>
              <w:t>2,800</w:t>
            </w:r>
          </w:p>
        </w:tc>
      </w:tr>
      <w:tr w14:paraId="0E11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restart"/>
            <w:vAlign w:val="center"/>
          </w:tcPr>
          <w:p w14:paraId="08DAE700">
            <w:pPr>
              <w:spacing w:after="0" w:line="240" w:lineRule="auto"/>
              <w:ind w:firstLine="0"/>
              <w:jc w:val="center"/>
              <w:rPr>
                <w:sz w:val="20"/>
                <w:szCs w:val="20"/>
              </w:rPr>
            </w:pPr>
            <w:r>
              <w:rPr>
                <w:sz w:val="20"/>
                <w:szCs w:val="20"/>
              </w:rPr>
              <w:t>Теплоутилизационные установки КС «Верхнеказымская»</w:t>
            </w:r>
          </w:p>
        </w:tc>
        <w:tc>
          <w:tcPr>
            <w:tcW w:w="1501" w:type="pct"/>
            <w:shd w:val="clear" w:color="auto" w:fill="auto"/>
            <w:vAlign w:val="center"/>
          </w:tcPr>
          <w:p w14:paraId="1587C0E3">
            <w:pPr>
              <w:spacing w:after="0" w:line="240" w:lineRule="auto"/>
              <w:ind w:firstLine="0"/>
              <w:jc w:val="center"/>
              <w:rPr>
                <w:sz w:val="20"/>
                <w:szCs w:val="20"/>
              </w:rPr>
            </w:pPr>
            <w:r>
              <w:rPr>
                <w:color w:val="000000"/>
                <w:sz w:val="20"/>
                <w:szCs w:val="20"/>
              </w:rPr>
              <w:t>КС-7 ТА 71 УТ-9,2/150</w:t>
            </w:r>
          </w:p>
        </w:tc>
        <w:tc>
          <w:tcPr>
            <w:tcW w:w="1101" w:type="pct"/>
            <w:tcBorders>
              <w:top w:val="single" w:color="auto" w:sz="4" w:space="0"/>
              <w:left w:val="single" w:color="auto" w:sz="4" w:space="0"/>
              <w:bottom w:val="single" w:color="auto" w:sz="4" w:space="0"/>
              <w:right w:val="single" w:color="auto" w:sz="4" w:space="0"/>
            </w:tcBorders>
            <w:shd w:val="clear" w:color="auto" w:fill="auto"/>
            <w:vAlign w:val="center"/>
          </w:tcPr>
          <w:p w14:paraId="4259A7F2">
            <w:pPr>
              <w:spacing w:after="0" w:line="240" w:lineRule="auto"/>
              <w:ind w:firstLine="0"/>
              <w:jc w:val="center"/>
              <w:rPr>
                <w:sz w:val="20"/>
                <w:szCs w:val="20"/>
              </w:rPr>
            </w:pPr>
            <w:r>
              <w:rPr>
                <w:color w:val="000000"/>
                <w:sz w:val="20"/>
                <w:szCs w:val="20"/>
              </w:rPr>
              <w:t>6,3</w:t>
            </w:r>
          </w:p>
        </w:tc>
        <w:tc>
          <w:tcPr>
            <w:tcW w:w="11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27C7B8">
            <w:pPr>
              <w:spacing w:after="0" w:line="240" w:lineRule="auto"/>
              <w:ind w:firstLine="0"/>
              <w:jc w:val="center"/>
              <w:rPr>
                <w:sz w:val="20"/>
                <w:szCs w:val="20"/>
              </w:rPr>
            </w:pPr>
            <w:r>
              <w:rPr>
                <w:color w:val="000000"/>
                <w:sz w:val="20"/>
                <w:szCs w:val="20"/>
              </w:rPr>
              <w:t>37,72</w:t>
            </w:r>
          </w:p>
        </w:tc>
      </w:tr>
      <w:tr w14:paraId="034B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6D1E2E9D">
            <w:pPr>
              <w:spacing w:after="0" w:line="240" w:lineRule="auto"/>
              <w:ind w:firstLine="0"/>
              <w:rPr>
                <w:sz w:val="20"/>
                <w:szCs w:val="20"/>
              </w:rPr>
            </w:pPr>
          </w:p>
        </w:tc>
        <w:tc>
          <w:tcPr>
            <w:tcW w:w="1501" w:type="pct"/>
            <w:shd w:val="clear" w:color="auto" w:fill="auto"/>
            <w:vAlign w:val="center"/>
          </w:tcPr>
          <w:p w14:paraId="58F37656">
            <w:pPr>
              <w:spacing w:after="0" w:line="240" w:lineRule="auto"/>
              <w:ind w:firstLine="0"/>
              <w:jc w:val="center"/>
              <w:rPr>
                <w:sz w:val="20"/>
                <w:szCs w:val="20"/>
              </w:rPr>
            </w:pPr>
            <w:r>
              <w:rPr>
                <w:color w:val="000000"/>
                <w:sz w:val="20"/>
                <w:szCs w:val="20"/>
              </w:rPr>
              <w:t>КС-7 ТА 72 УТ-9,2/151</w:t>
            </w:r>
          </w:p>
        </w:tc>
        <w:tc>
          <w:tcPr>
            <w:tcW w:w="1101" w:type="pct"/>
            <w:tcBorders>
              <w:top w:val="nil"/>
              <w:left w:val="single" w:color="auto" w:sz="4" w:space="0"/>
              <w:bottom w:val="single" w:color="auto" w:sz="4" w:space="0"/>
              <w:right w:val="single" w:color="auto" w:sz="4" w:space="0"/>
            </w:tcBorders>
            <w:shd w:val="clear" w:color="auto" w:fill="auto"/>
            <w:vAlign w:val="center"/>
          </w:tcPr>
          <w:p w14:paraId="2879075E">
            <w:pPr>
              <w:spacing w:after="0" w:line="240" w:lineRule="auto"/>
              <w:ind w:firstLine="0"/>
              <w:jc w:val="center"/>
              <w:rPr>
                <w:sz w:val="20"/>
                <w:szCs w:val="20"/>
              </w:rPr>
            </w:pPr>
            <w:r>
              <w:rPr>
                <w:color w:val="000000"/>
                <w:sz w:val="20"/>
                <w:szCs w:val="20"/>
              </w:rPr>
              <w:t>5,04</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2B4B6B6F">
            <w:pPr>
              <w:spacing w:after="0" w:line="240" w:lineRule="auto"/>
              <w:ind w:firstLine="0"/>
              <w:jc w:val="center"/>
              <w:rPr>
                <w:sz w:val="20"/>
                <w:szCs w:val="20"/>
              </w:rPr>
            </w:pPr>
          </w:p>
        </w:tc>
      </w:tr>
      <w:tr w14:paraId="493F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3A849389">
            <w:pPr>
              <w:spacing w:after="0" w:line="240" w:lineRule="auto"/>
              <w:ind w:firstLine="0"/>
              <w:rPr>
                <w:sz w:val="20"/>
                <w:szCs w:val="20"/>
              </w:rPr>
            </w:pPr>
          </w:p>
        </w:tc>
        <w:tc>
          <w:tcPr>
            <w:tcW w:w="1501" w:type="pct"/>
            <w:shd w:val="clear" w:color="auto" w:fill="auto"/>
            <w:vAlign w:val="center"/>
          </w:tcPr>
          <w:p w14:paraId="5980DAD0">
            <w:pPr>
              <w:spacing w:after="0" w:line="240" w:lineRule="auto"/>
              <w:ind w:firstLine="0"/>
              <w:jc w:val="center"/>
              <w:rPr>
                <w:sz w:val="20"/>
                <w:szCs w:val="20"/>
              </w:rPr>
            </w:pPr>
            <w:r>
              <w:rPr>
                <w:color w:val="000000"/>
                <w:sz w:val="20"/>
                <w:szCs w:val="20"/>
              </w:rPr>
              <w:t>КС-7 ТА 73 УТ-9,2/152</w:t>
            </w:r>
          </w:p>
        </w:tc>
        <w:tc>
          <w:tcPr>
            <w:tcW w:w="1101" w:type="pct"/>
            <w:tcBorders>
              <w:top w:val="nil"/>
              <w:left w:val="single" w:color="auto" w:sz="4" w:space="0"/>
              <w:bottom w:val="single" w:color="auto" w:sz="4" w:space="0"/>
              <w:right w:val="single" w:color="auto" w:sz="4" w:space="0"/>
            </w:tcBorders>
            <w:shd w:val="clear" w:color="auto" w:fill="auto"/>
            <w:vAlign w:val="center"/>
          </w:tcPr>
          <w:p w14:paraId="10028F9D">
            <w:pPr>
              <w:spacing w:after="0" w:line="240" w:lineRule="auto"/>
              <w:ind w:firstLine="0"/>
              <w:jc w:val="center"/>
              <w:rPr>
                <w:sz w:val="20"/>
                <w:szCs w:val="20"/>
              </w:rPr>
            </w:pPr>
            <w:r>
              <w:rPr>
                <w:color w:val="000000"/>
                <w:sz w:val="20"/>
                <w:szCs w:val="20"/>
              </w:rPr>
              <w:t>3,87</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6E3373F8">
            <w:pPr>
              <w:spacing w:after="0" w:line="240" w:lineRule="auto"/>
              <w:ind w:firstLine="0"/>
              <w:jc w:val="center"/>
              <w:rPr>
                <w:sz w:val="20"/>
                <w:szCs w:val="20"/>
              </w:rPr>
            </w:pPr>
          </w:p>
        </w:tc>
      </w:tr>
      <w:tr w14:paraId="41C3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664882F9">
            <w:pPr>
              <w:spacing w:after="0" w:line="240" w:lineRule="auto"/>
              <w:ind w:firstLine="0"/>
              <w:rPr>
                <w:sz w:val="20"/>
                <w:szCs w:val="20"/>
              </w:rPr>
            </w:pPr>
          </w:p>
        </w:tc>
        <w:tc>
          <w:tcPr>
            <w:tcW w:w="1501" w:type="pct"/>
            <w:shd w:val="clear" w:color="auto" w:fill="auto"/>
            <w:vAlign w:val="center"/>
          </w:tcPr>
          <w:p w14:paraId="39EFFA74">
            <w:pPr>
              <w:spacing w:after="0" w:line="240" w:lineRule="auto"/>
              <w:ind w:firstLine="0"/>
              <w:jc w:val="center"/>
              <w:rPr>
                <w:sz w:val="20"/>
                <w:szCs w:val="20"/>
              </w:rPr>
            </w:pPr>
            <w:r>
              <w:rPr>
                <w:color w:val="000000"/>
                <w:sz w:val="20"/>
                <w:szCs w:val="20"/>
              </w:rPr>
              <w:t>КС-7 ТА 74 УТ-9,2/153</w:t>
            </w:r>
          </w:p>
        </w:tc>
        <w:tc>
          <w:tcPr>
            <w:tcW w:w="1101" w:type="pct"/>
            <w:tcBorders>
              <w:top w:val="nil"/>
              <w:left w:val="single" w:color="auto" w:sz="4" w:space="0"/>
              <w:bottom w:val="single" w:color="auto" w:sz="4" w:space="0"/>
              <w:right w:val="single" w:color="auto" w:sz="4" w:space="0"/>
            </w:tcBorders>
            <w:shd w:val="clear" w:color="auto" w:fill="auto"/>
            <w:vAlign w:val="center"/>
          </w:tcPr>
          <w:p w14:paraId="05259FC2">
            <w:pPr>
              <w:spacing w:after="0" w:line="240" w:lineRule="auto"/>
              <w:ind w:firstLine="0"/>
              <w:jc w:val="center"/>
              <w:rPr>
                <w:sz w:val="20"/>
                <w:szCs w:val="20"/>
              </w:rPr>
            </w:pPr>
            <w:r>
              <w:rPr>
                <w:color w:val="000000"/>
                <w:sz w:val="20"/>
                <w:szCs w:val="20"/>
              </w:rPr>
              <w:t>6,75</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2896E702">
            <w:pPr>
              <w:spacing w:after="0" w:line="240" w:lineRule="auto"/>
              <w:ind w:firstLine="0"/>
              <w:jc w:val="center"/>
              <w:rPr>
                <w:sz w:val="20"/>
                <w:szCs w:val="20"/>
              </w:rPr>
            </w:pPr>
          </w:p>
        </w:tc>
      </w:tr>
      <w:tr w14:paraId="39A3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31FDDFBF">
            <w:pPr>
              <w:spacing w:after="0" w:line="240" w:lineRule="auto"/>
              <w:ind w:firstLine="0"/>
              <w:rPr>
                <w:sz w:val="20"/>
                <w:szCs w:val="20"/>
              </w:rPr>
            </w:pPr>
          </w:p>
        </w:tc>
        <w:tc>
          <w:tcPr>
            <w:tcW w:w="1501" w:type="pct"/>
            <w:shd w:val="clear" w:color="auto" w:fill="auto"/>
            <w:vAlign w:val="center"/>
          </w:tcPr>
          <w:p w14:paraId="4D860F82">
            <w:pPr>
              <w:spacing w:after="0" w:line="240" w:lineRule="auto"/>
              <w:ind w:firstLine="0"/>
              <w:jc w:val="center"/>
              <w:rPr>
                <w:sz w:val="20"/>
                <w:szCs w:val="20"/>
              </w:rPr>
            </w:pPr>
            <w:r>
              <w:rPr>
                <w:color w:val="000000"/>
                <w:sz w:val="20"/>
                <w:szCs w:val="20"/>
              </w:rPr>
              <w:t>КС-8 ТА 81 УТ-9,2/150</w:t>
            </w:r>
          </w:p>
        </w:tc>
        <w:tc>
          <w:tcPr>
            <w:tcW w:w="1101" w:type="pct"/>
            <w:tcBorders>
              <w:top w:val="nil"/>
              <w:left w:val="single" w:color="auto" w:sz="4" w:space="0"/>
              <w:bottom w:val="single" w:color="auto" w:sz="4" w:space="0"/>
              <w:right w:val="single" w:color="auto" w:sz="4" w:space="0"/>
            </w:tcBorders>
            <w:shd w:val="clear" w:color="auto" w:fill="auto"/>
            <w:vAlign w:val="center"/>
          </w:tcPr>
          <w:p w14:paraId="1AD19B4A">
            <w:pPr>
              <w:spacing w:after="0" w:line="240" w:lineRule="auto"/>
              <w:ind w:firstLine="0"/>
              <w:jc w:val="center"/>
              <w:rPr>
                <w:sz w:val="20"/>
                <w:szCs w:val="20"/>
              </w:rPr>
            </w:pPr>
            <w:r>
              <w:rPr>
                <w:color w:val="000000"/>
                <w:sz w:val="20"/>
                <w:szCs w:val="20"/>
              </w:rPr>
              <w:t>3,29</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256D5C01">
            <w:pPr>
              <w:spacing w:after="0" w:line="240" w:lineRule="auto"/>
              <w:ind w:firstLine="0"/>
              <w:jc w:val="center"/>
              <w:rPr>
                <w:sz w:val="20"/>
                <w:szCs w:val="20"/>
              </w:rPr>
            </w:pPr>
          </w:p>
        </w:tc>
      </w:tr>
      <w:tr w14:paraId="46FA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4E3EC6E4">
            <w:pPr>
              <w:spacing w:after="0" w:line="240" w:lineRule="auto"/>
              <w:ind w:firstLine="0"/>
              <w:rPr>
                <w:sz w:val="20"/>
                <w:szCs w:val="20"/>
              </w:rPr>
            </w:pPr>
          </w:p>
        </w:tc>
        <w:tc>
          <w:tcPr>
            <w:tcW w:w="1501" w:type="pct"/>
            <w:shd w:val="clear" w:color="auto" w:fill="auto"/>
            <w:vAlign w:val="center"/>
          </w:tcPr>
          <w:p w14:paraId="189857E8">
            <w:pPr>
              <w:spacing w:after="0" w:line="240" w:lineRule="auto"/>
              <w:ind w:firstLine="0"/>
              <w:jc w:val="center"/>
              <w:rPr>
                <w:sz w:val="20"/>
                <w:szCs w:val="20"/>
              </w:rPr>
            </w:pPr>
            <w:r>
              <w:rPr>
                <w:color w:val="000000"/>
                <w:sz w:val="20"/>
                <w:szCs w:val="20"/>
              </w:rPr>
              <w:t>КС-8 ТА 82 УТ-9,2/151</w:t>
            </w:r>
          </w:p>
        </w:tc>
        <w:tc>
          <w:tcPr>
            <w:tcW w:w="1101" w:type="pct"/>
            <w:tcBorders>
              <w:top w:val="nil"/>
              <w:left w:val="single" w:color="auto" w:sz="4" w:space="0"/>
              <w:bottom w:val="single" w:color="auto" w:sz="4" w:space="0"/>
              <w:right w:val="single" w:color="auto" w:sz="4" w:space="0"/>
            </w:tcBorders>
            <w:shd w:val="clear" w:color="auto" w:fill="auto"/>
            <w:vAlign w:val="center"/>
          </w:tcPr>
          <w:p w14:paraId="04E21D09">
            <w:pPr>
              <w:spacing w:after="0" w:line="240" w:lineRule="auto"/>
              <w:ind w:firstLine="0"/>
              <w:jc w:val="center"/>
              <w:rPr>
                <w:sz w:val="20"/>
                <w:szCs w:val="20"/>
              </w:rPr>
            </w:pPr>
            <w:r>
              <w:rPr>
                <w:color w:val="000000"/>
                <w:sz w:val="20"/>
                <w:szCs w:val="20"/>
              </w:rPr>
              <w:t>2,88</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0A0F117A">
            <w:pPr>
              <w:spacing w:after="0" w:line="240" w:lineRule="auto"/>
              <w:ind w:firstLine="0"/>
              <w:jc w:val="center"/>
              <w:rPr>
                <w:sz w:val="20"/>
                <w:szCs w:val="20"/>
              </w:rPr>
            </w:pPr>
          </w:p>
        </w:tc>
      </w:tr>
      <w:tr w14:paraId="67B6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3DCF2C2F">
            <w:pPr>
              <w:spacing w:after="0" w:line="240" w:lineRule="auto"/>
              <w:ind w:firstLine="0"/>
              <w:rPr>
                <w:sz w:val="20"/>
                <w:szCs w:val="20"/>
              </w:rPr>
            </w:pPr>
          </w:p>
        </w:tc>
        <w:tc>
          <w:tcPr>
            <w:tcW w:w="1501" w:type="pct"/>
            <w:shd w:val="clear" w:color="auto" w:fill="auto"/>
            <w:vAlign w:val="center"/>
          </w:tcPr>
          <w:p w14:paraId="6059CE52">
            <w:pPr>
              <w:spacing w:after="0" w:line="240" w:lineRule="auto"/>
              <w:ind w:firstLine="0"/>
              <w:jc w:val="center"/>
              <w:rPr>
                <w:sz w:val="20"/>
                <w:szCs w:val="20"/>
              </w:rPr>
            </w:pPr>
            <w:r>
              <w:rPr>
                <w:color w:val="000000"/>
                <w:sz w:val="20"/>
                <w:szCs w:val="20"/>
              </w:rPr>
              <w:t>КС-8 ТА 83 УТ-9,2/152</w:t>
            </w:r>
          </w:p>
        </w:tc>
        <w:tc>
          <w:tcPr>
            <w:tcW w:w="1101" w:type="pct"/>
            <w:tcBorders>
              <w:top w:val="nil"/>
              <w:left w:val="single" w:color="auto" w:sz="4" w:space="0"/>
              <w:bottom w:val="single" w:color="auto" w:sz="4" w:space="0"/>
              <w:right w:val="single" w:color="auto" w:sz="4" w:space="0"/>
            </w:tcBorders>
            <w:shd w:val="clear" w:color="auto" w:fill="auto"/>
            <w:vAlign w:val="center"/>
          </w:tcPr>
          <w:p w14:paraId="0FB40087">
            <w:pPr>
              <w:spacing w:after="0" w:line="240" w:lineRule="auto"/>
              <w:ind w:firstLine="0"/>
              <w:jc w:val="center"/>
              <w:rPr>
                <w:sz w:val="20"/>
                <w:szCs w:val="20"/>
              </w:rPr>
            </w:pPr>
            <w:r>
              <w:rPr>
                <w:color w:val="000000"/>
                <w:sz w:val="20"/>
                <w:szCs w:val="20"/>
              </w:rPr>
              <w:t>6,8</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379AB833">
            <w:pPr>
              <w:spacing w:after="0" w:line="240" w:lineRule="auto"/>
              <w:ind w:firstLine="0"/>
              <w:jc w:val="center"/>
              <w:rPr>
                <w:sz w:val="20"/>
                <w:szCs w:val="20"/>
              </w:rPr>
            </w:pPr>
          </w:p>
        </w:tc>
      </w:tr>
      <w:tr w14:paraId="1CD6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249" w:type="pct"/>
            <w:vMerge w:val="continue"/>
            <w:vAlign w:val="center"/>
          </w:tcPr>
          <w:p w14:paraId="58A8FFEF">
            <w:pPr>
              <w:spacing w:after="0" w:line="240" w:lineRule="auto"/>
              <w:ind w:firstLine="0"/>
              <w:rPr>
                <w:sz w:val="20"/>
                <w:szCs w:val="20"/>
              </w:rPr>
            </w:pPr>
          </w:p>
        </w:tc>
        <w:tc>
          <w:tcPr>
            <w:tcW w:w="1501" w:type="pct"/>
            <w:shd w:val="clear" w:color="auto" w:fill="auto"/>
            <w:vAlign w:val="center"/>
          </w:tcPr>
          <w:p w14:paraId="597A5C49">
            <w:pPr>
              <w:spacing w:after="0" w:line="240" w:lineRule="auto"/>
              <w:ind w:firstLine="0"/>
              <w:jc w:val="center"/>
              <w:rPr>
                <w:sz w:val="20"/>
                <w:szCs w:val="20"/>
              </w:rPr>
            </w:pPr>
            <w:r>
              <w:rPr>
                <w:color w:val="000000"/>
                <w:sz w:val="20"/>
                <w:szCs w:val="20"/>
              </w:rPr>
              <w:t>КС-8 ТА 84 УТ-9,2/153</w:t>
            </w:r>
          </w:p>
        </w:tc>
        <w:tc>
          <w:tcPr>
            <w:tcW w:w="1101" w:type="pct"/>
            <w:tcBorders>
              <w:top w:val="nil"/>
              <w:left w:val="single" w:color="auto" w:sz="4" w:space="0"/>
              <w:bottom w:val="single" w:color="auto" w:sz="4" w:space="0"/>
              <w:right w:val="single" w:color="auto" w:sz="4" w:space="0"/>
            </w:tcBorders>
            <w:shd w:val="clear" w:color="auto" w:fill="auto"/>
            <w:vAlign w:val="center"/>
          </w:tcPr>
          <w:p w14:paraId="3EEB79A6">
            <w:pPr>
              <w:spacing w:after="0" w:line="240" w:lineRule="auto"/>
              <w:ind w:firstLine="0"/>
              <w:jc w:val="center"/>
              <w:rPr>
                <w:sz w:val="20"/>
                <w:szCs w:val="20"/>
              </w:rPr>
            </w:pPr>
            <w:r>
              <w:rPr>
                <w:color w:val="000000"/>
                <w:sz w:val="20"/>
                <w:szCs w:val="20"/>
              </w:rPr>
              <w:t>2,79</w:t>
            </w:r>
          </w:p>
        </w:tc>
        <w:tc>
          <w:tcPr>
            <w:tcW w:w="1149" w:type="pct"/>
            <w:vMerge w:val="continue"/>
            <w:tcBorders>
              <w:top w:val="single" w:color="auto" w:sz="4" w:space="0"/>
              <w:left w:val="single" w:color="auto" w:sz="4" w:space="0"/>
              <w:bottom w:val="single" w:color="auto" w:sz="4" w:space="0"/>
              <w:right w:val="single" w:color="auto" w:sz="4" w:space="0"/>
            </w:tcBorders>
            <w:vAlign w:val="center"/>
          </w:tcPr>
          <w:p w14:paraId="6C39D3BB">
            <w:pPr>
              <w:spacing w:after="0" w:line="240" w:lineRule="auto"/>
              <w:ind w:firstLine="0"/>
              <w:jc w:val="center"/>
              <w:rPr>
                <w:sz w:val="20"/>
                <w:szCs w:val="20"/>
              </w:rPr>
            </w:pPr>
          </w:p>
        </w:tc>
      </w:tr>
    </w:tbl>
    <w:p w14:paraId="026ED04D">
      <w:pPr>
        <w:spacing w:after="0" w:line="240" w:lineRule="auto"/>
        <w:rPr>
          <w:lang w:eastAsia="en-US"/>
        </w:rPr>
      </w:pPr>
    </w:p>
    <w:p w14:paraId="15CF615E">
      <w:pPr>
        <w:pStyle w:val="4"/>
        <w:spacing w:before="0" w:line="240" w:lineRule="auto"/>
        <w:ind w:left="0" w:firstLine="709"/>
        <w:contextualSpacing/>
        <w:rPr>
          <w:rFonts w:cs="Times New Roman"/>
          <w:b w:val="0"/>
          <w:sz w:val="24"/>
        </w:rPr>
      </w:pPr>
      <w:bookmarkStart w:id="52" w:name="_Toc182813866"/>
      <w:bookmarkStart w:id="53" w:name="_Toc524614745"/>
      <w:bookmarkStart w:id="54" w:name="_Toc524614961"/>
      <w:bookmarkStart w:id="55" w:name="_Hlk16081410"/>
      <w:r>
        <w:rPr>
          <w:rFonts w:cs="Times New Roman"/>
          <w:b w:val="0"/>
          <w:sz w:val="24"/>
        </w:rPr>
        <w:t>Ограничения тепловой мощности и параметры располагаемой тепловой мощности</w:t>
      </w:r>
      <w:bookmarkEnd w:id="52"/>
      <w:bookmarkEnd w:id="53"/>
      <w:bookmarkEnd w:id="54"/>
    </w:p>
    <w:bookmarkEnd w:id="55"/>
    <w:p w14:paraId="79BB8082">
      <w:pPr>
        <w:spacing w:after="0" w:line="240" w:lineRule="auto"/>
        <w:contextualSpacing/>
        <w:jc w:val="both"/>
        <w:rPr>
          <w:sz w:val="24"/>
          <w:szCs w:val="24"/>
        </w:rPr>
      </w:pPr>
      <w:r>
        <w:rPr>
          <w:sz w:val="24"/>
          <w:szCs w:val="24"/>
        </w:rPr>
        <w:t>На котельных с.п. Верхнеказымский имеются ограничения установленной тепловой мощности в горячей воде, связанные с работой основного оборудования. Источники теплоснабжения располагают достаточной мощностью для покрытия существующих присоединенных нагрузок.</w:t>
      </w:r>
    </w:p>
    <w:p w14:paraId="073E57D9">
      <w:pPr>
        <w:widowControl w:val="0"/>
        <w:spacing w:after="0" w:line="240" w:lineRule="auto"/>
        <w:contextualSpacing/>
        <w:jc w:val="both"/>
        <w:rPr>
          <w:sz w:val="24"/>
          <w:szCs w:val="24"/>
        </w:rPr>
      </w:pPr>
      <w:r>
        <w:rPr>
          <w:sz w:val="24"/>
          <w:szCs w:val="24"/>
        </w:rPr>
        <w:t>В таблице 9 показаны значения располагаемой мощностей и ограничения тепловой мощности источников теплоснабжения.</w:t>
      </w:r>
    </w:p>
    <w:p w14:paraId="4F3305BD">
      <w:pPr>
        <w:widowControl w:val="0"/>
        <w:spacing w:after="0" w:line="240" w:lineRule="auto"/>
        <w:contextualSpacing/>
        <w:jc w:val="both"/>
        <w:rPr>
          <w:sz w:val="24"/>
          <w:szCs w:val="24"/>
        </w:rPr>
      </w:pPr>
    </w:p>
    <w:p w14:paraId="64E5EB1E">
      <w:pPr>
        <w:widowControl w:val="0"/>
        <w:spacing w:after="0" w:line="240" w:lineRule="auto"/>
        <w:ind w:firstLine="0"/>
        <w:contextualSpacing/>
        <w:jc w:val="both"/>
        <w:rPr>
          <w:sz w:val="24"/>
          <w:szCs w:val="24"/>
        </w:rPr>
      </w:pPr>
      <w:bookmarkStart w:id="56" w:name="_Toc77864615"/>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9</w:t>
      </w:r>
      <w:r>
        <w:rPr>
          <w:bCs/>
          <w:sz w:val="24"/>
          <w:szCs w:val="24"/>
        </w:rPr>
        <w:fldChar w:fldCharType="end"/>
      </w:r>
      <w:r>
        <w:rPr>
          <w:bCs/>
          <w:sz w:val="24"/>
          <w:szCs w:val="24"/>
        </w:rPr>
        <w:t xml:space="preserve"> – </w:t>
      </w:r>
      <w:r>
        <w:rPr>
          <w:sz w:val="24"/>
          <w:szCs w:val="24"/>
        </w:rPr>
        <w:t>Установленная тепловая мощность, ограничения тепловой мощности, располагаемая тепловая мощность котельных</w:t>
      </w:r>
      <w:bookmarkEnd w:id="56"/>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90"/>
        <w:gridCol w:w="2168"/>
        <w:gridCol w:w="2168"/>
        <w:gridCol w:w="2168"/>
      </w:tblGrid>
      <w:tr w14:paraId="771D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646" w:type="pct"/>
            <w:shd w:val="clear" w:color="auto" w:fill="auto"/>
            <w:vAlign w:val="center"/>
          </w:tcPr>
          <w:p w14:paraId="62922658">
            <w:pPr>
              <w:spacing w:after="0" w:line="240" w:lineRule="auto"/>
              <w:ind w:firstLine="0"/>
              <w:jc w:val="center"/>
              <w:rPr>
                <w:bCs/>
                <w:sz w:val="20"/>
                <w:szCs w:val="20"/>
              </w:rPr>
            </w:pPr>
            <w:r>
              <w:rPr>
                <w:bCs/>
                <w:sz w:val="20"/>
                <w:szCs w:val="20"/>
              </w:rPr>
              <w:t>Наименование источника тепловой энергии</w:t>
            </w:r>
          </w:p>
        </w:tc>
        <w:tc>
          <w:tcPr>
            <w:tcW w:w="1118" w:type="pct"/>
            <w:shd w:val="clear" w:color="auto" w:fill="auto"/>
            <w:vAlign w:val="center"/>
          </w:tcPr>
          <w:p w14:paraId="5657AED1">
            <w:pPr>
              <w:spacing w:after="0" w:line="240" w:lineRule="auto"/>
              <w:ind w:firstLine="0"/>
              <w:jc w:val="center"/>
              <w:rPr>
                <w:bCs/>
                <w:sz w:val="20"/>
                <w:szCs w:val="20"/>
              </w:rPr>
            </w:pPr>
            <w:r>
              <w:rPr>
                <w:bCs/>
                <w:sz w:val="20"/>
                <w:szCs w:val="20"/>
              </w:rPr>
              <w:t>Установленная тепловая мощность, Гкал/ч</w:t>
            </w:r>
          </w:p>
        </w:tc>
        <w:tc>
          <w:tcPr>
            <w:tcW w:w="1118" w:type="pct"/>
            <w:vAlign w:val="center"/>
          </w:tcPr>
          <w:p w14:paraId="79F0D84F">
            <w:pPr>
              <w:spacing w:after="0" w:line="240" w:lineRule="auto"/>
              <w:ind w:firstLine="0"/>
              <w:jc w:val="center"/>
              <w:rPr>
                <w:bCs/>
                <w:sz w:val="20"/>
                <w:szCs w:val="20"/>
              </w:rPr>
            </w:pPr>
            <w:r>
              <w:rPr>
                <w:bCs/>
                <w:sz w:val="20"/>
                <w:szCs w:val="20"/>
              </w:rPr>
              <w:t>Располагаемая тепловая мощность, Гкал/ч</w:t>
            </w:r>
          </w:p>
        </w:tc>
        <w:tc>
          <w:tcPr>
            <w:tcW w:w="1118" w:type="pct"/>
            <w:vAlign w:val="center"/>
          </w:tcPr>
          <w:p w14:paraId="0D22BADD">
            <w:pPr>
              <w:spacing w:after="0" w:line="240" w:lineRule="auto"/>
              <w:ind w:firstLine="0"/>
              <w:jc w:val="center"/>
              <w:rPr>
                <w:bCs/>
                <w:sz w:val="20"/>
                <w:szCs w:val="20"/>
              </w:rPr>
            </w:pPr>
            <w:r>
              <w:rPr>
                <w:bCs/>
                <w:sz w:val="20"/>
                <w:szCs w:val="20"/>
              </w:rPr>
              <w:t>Ограничения тепловой мощности, Гкал/ч</w:t>
            </w:r>
          </w:p>
        </w:tc>
      </w:tr>
      <w:tr w14:paraId="2B37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646" w:type="pct"/>
            <w:shd w:val="clear" w:color="auto" w:fill="auto"/>
            <w:vAlign w:val="center"/>
          </w:tcPr>
          <w:p w14:paraId="09C94AB2">
            <w:pPr>
              <w:spacing w:after="0" w:line="240" w:lineRule="auto"/>
              <w:ind w:firstLine="0"/>
              <w:jc w:val="center"/>
              <w:rPr>
                <w:sz w:val="20"/>
                <w:szCs w:val="20"/>
              </w:rPr>
            </w:pPr>
            <w:r>
              <w:rPr>
                <w:color w:val="000000"/>
                <w:sz w:val="20"/>
                <w:szCs w:val="20"/>
              </w:rPr>
              <w:t>Котельная №2 МУП «БКС»</w:t>
            </w:r>
          </w:p>
        </w:tc>
        <w:tc>
          <w:tcPr>
            <w:tcW w:w="1118" w:type="pct"/>
            <w:shd w:val="clear" w:color="auto" w:fill="auto"/>
            <w:vAlign w:val="center"/>
          </w:tcPr>
          <w:p w14:paraId="010EA2C3">
            <w:pPr>
              <w:spacing w:after="0" w:line="240" w:lineRule="auto"/>
              <w:ind w:firstLine="0"/>
              <w:jc w:val="center"/>
              <w:rPr>
                <w:sz w:val="20"/>
                <w:szCs w:val="20"/>
              </w:rPr>
            </w:pPr>
            <w:r>
              <w:rPr>
                <w:color w:val="000000"/>
                <w:sz w:val="20"/>
                <w:szCs w:val="20"/>
              </w:rPr>
              <w:t>6,02</w:t>
            </w:r>
          </w:p>
        </w:tc>
        <w:tc>
          <w:tcPr>
            <w:tcW w:w="1118" w:type="pct"/>
            <w:vAlign w:val="center"/>
          </w:tcPr>
          <w:p w14:paraId="56D7CABC">
            <w:pPr>
              <w:spacing w:after="0" w:line="240" w:lineRule="auto"/>
              <w:ind w:firstLine="0"/>
              <w:jc w:val="center"/>
              <w:rPr>
                <w:sz w:val="20"/>
                <w:szCs w:val="20"/>
              </w:rPr>
            </w:pPr>
            <w:r>
              <w:rPr>
                <w:sz w:val="20"/>
                <w:szCs w:val="20"/>
              </w:rPr>
              <w:t>5,94</w:t>
            </w:r>
          </w:p>
        </w:tc>
        <w:tc>
          <w:tcPr>
            <w:tcW w:w="1118" w:type="pct"/>
            <w:vAlign w:val="center"/>
          </w:tcPr>
          <w:p w14:paraId="1B2F362E">
            <w:pPr>
              <w:spacing w:after="0" w:line="240" w:lineRule="auto"/>
              <w:ind w:firstLine="0"/>
              <w:jc w:val="center"/>
              <w:rPr>
                <w:sz w:val="20"/>
                <w:szCs w:val="20"/>
              </w:rPr>
            </w:pPr>
            <w:r>
              <w:rPr>
                <w:sz w:val="20"/>
                <w:szCs w:val="20"/>
              </w:rPr>
              <w:t>0,08</w:t>
            </w:r>
          </w:p>
        </w:tc>
      </w:tr>
      <w:tr w14:paraId="606F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646" w:type="pct"/>
            <w:shd w:val="clear" w:color="auto" w:fill="auto"/>
            <w:vAlign w:val="center"/>
          </w:tcPr>
          <w:p w14:paraId="190DB220">
            <w:pPr>
              <w:spacing w:after="0" w:line="240" w:lineRule="auto"/>
              <w:ind w:firstLine="0"/>
              <w:jc w:val="center"/>
              <w:rPr>
                <w:sz w:val="20"/>
                <w:szCs w:val="20"/>
              </w:rPr>
            </w:pPr>
            <w:r>
              <w:rPr>
                <w:sz w:val="20"/>
                <w:szCs w:val="20"/>
              </w:rPr>
              <w:t>Котельная «2БВК»</w:t>
            </w:r>
          </w:p>
        </w:tc>
        <w:tc>
          <w:tcPr>
            <w:tcW w:w="1118" w:type="pct"/>
            <w:shd w:val="clear" w:color="auto" w:fill="auto"/>
            <w:vAlign w:val="center"/>
          </w:tcPr>
          <w:p w14:paraId="79424E27">
            <w:pPr>
              <w:spacing w:after="0" w:line="240" w:lineRule="auto"/>
              <w:ind w:firstLine="0"/>
              <w:jc w:val="center"/>
              <w:rPr>
                <w:sz w:val="20"/>
                <w:szCs w:val="20"/>
              </w:rPr>
            </w:pPr>
            <w:r>
              <w:rPr>
                <w:color w:val="000000"/>
                <w:sz w:val="20"/>
                <w:szCs w:val="20"/>
              </w:rPr>
              <w:t>7,2</w:t>
            </w:r>
          </w:p>
        </w:tc>
        <w:tc>
          <w:tcPr>
            <w:tcW w:w="1118" w:type="pct"/>
            <w:vAlign w:val="center"/>
          </w:tcPr>
          <w:p w14:paraId="448AF8DC">
            <w:pPr>
              <w:spacing w:after="0" w:line="240" w:lineRule="auto"/>
              <w:ind w:firstLine="0"/>
              <w:jc w:val="center"/>
              <w:rPr>
                <w:sz w:val="20"/>
                <w:szCs w:val="20"/>
              </w:rPr>
            </w:pPr>
            <w:r>
              <w:rPr>
                <w:color w:val="000000"/>
                <w:sz w:val="20"/>
                <w:szCs w:val="20"/>
              </w:rPr>
              <w:t>1,5</w:t>
            </w:r>
          </w:p>
        </w:tc>
        <w:tc>
          <w:tcPr>
            <w:tcW w:w="1118" w:type="pct"/>
            <w:vAlign w:val="center"/>
          </w:tcPr>
          <w:p w14:paraId="0A34092F">
            <w:pPr>
              <w:spacing w:after="0" w:line="240" w:lineRule="auto"/>
              <w:ind w:firstLine="0"/>
              <w:jc w:val="center"/>
              <w:rPr>
                <w:sz w:val="20"/>
                <w:szCs w:val="20"/>
              </w:rPr>
            </w:pPr>
            <w:r>
              <w:rPr>
                <w:color w:val="000000"/>
                <w:sz w:val="20"/>
                <w:szCs w:val="20"/>
              </w:rPr>
              <w:t>5,7</w:t>
            </w:r>
          </w:p>
        </w:tc>
      </w:tr>
      <w:tr w14:paraId="35E6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 w:hRule="atLeast"/>
        </w:trPr>
        <w:tc>
          <w:tcPr>
            <w:tcW w:w="1646" w:type="pct"/>
            <w:shd w:val="clear" w:color="auto" w:fill="auto"/>
            <w:vAlign w:val="center"/>
          </w:tcPr>
          <w:p w14:paraId="19BDC14B">
            <w:pPr>
              <w:spacing w:after="0" w:line="240" w:lineRule="auto"/>
              <w:ind w:firstLine="0"/>
              <w:jc w:val="center"/>
              <w:rPr>
                <w:sz w:val="20"/>
                <w:szCs w:val="20"/>
              </w:rPr>
            </w:pPr>
            <w:r>
              <w:rPr>
                <w:sz w:val="20"/>
                <w:szCs w:val="20"/>
              </w:rPr>
              <w:t>Котельная «Вирбекс»</w:t>
            </w:r>
          </w:p>
        </w:tc>
        <w:tc>
          <w:tcPr>
            <w:tcW w:w="1118" w:type="pct"/>
            <w:shd w:val="clear" w:color="auto" w:fill="auto"/>
            <w:vAlign w:val="center"/>
          </w:tcPr>
          <w:p w14:paraId="00084A31">
            <w:pPr>
              <w:spacing w:after="0" w:line="240" w:lineRule="auto"/>
              <w:ind w:firstLine="0"/>
              <w:jc w:val="center"/>
              <w:rPr>
                <w:sz w:val="20"/>
                <w:szCs w:val="20"/>
              </w:rPr>
            </w:pPr>
            <w:r>
              <w:rPr>
                <w:color w:val="000000"/>
                <w:sz w:val="20"/>
                <w:szCs w:val="20"/>
              </w:rPr>
              <w:t>2,8</w:t>
            </w:r>
          </w:p>
        </w:tc>
        <w:tc>
          <w:tcPr>
            <w:tcW w:w="1118" w:type="pct"/>
            <w:vAlign w:val="center"/>
          </w:tcPr>
          <w:p w14:paraId="78EAD7B0">
            <w:pPr>
              <w:spacing w:after="0" w:line="240" w:lineRule="auto"/>
              <w:ind w:firstLine="0"/>
              <w:jc w:val="center"/>
              <w:rPr>
                <w:sz w:val="20"/>
                <w:szCs w:val="20"/>
              </w:rPr>
            </w:pPr>
            <w:r>
              <w:rPr>
                <w:color w:val="000000"/>
                <w:sz w:val="20"/>
                <w:szCs w:val="20"/>
              </w:rPr>
              <w:t>1,5</w:t>
            </w:r>
          </w:p>
        </w:tc>
        <w:tc>
          <w:tcPr>
            <w:tcW w:w="1118" w:type="pct"/>
            <w:vAlign w:val="center"/>
          </w:tcPr>
          <w:p w14:paraId="4D7325A8">
            <w:pPr>
              <w:spacing w:after="0" w:line="240" w:lineRule="auto"/>
              <w:ind w:firstLine="0"/>
              <w:jc w:val="center"/>
              <w:rPr>
                <w:sz w:val="20"/>
                <w:szCs w:val="20"/>
              </w:rPr>
            </w:pPr>
            <w:r>
              <w:rPr>
                <w:color w:val="000000"/>
                <w:sz w:val="20"/>
                <w:szCs w:val="20"/>
              </w:rPr>
              <w:t>1,3</w:t>
            </w:r>
          </w:p>
        </w:tc>
      </w:tr>
      <w:tr w14:paraId="67D5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646" w:type="pct"/>
            <w:vAlign w:val="center"/>
          </w:tcPr>
          <w:p w14:paraId="0A02B1AE">
            <w:pPr>
              <w:spacing w:after="0" w:line="240" w:lineRule="auto"/>
              <w:ind w:firstLine="0"/>
              <w:jc w:val="center"/>
              <w:rPr>
                <w:sz w:val="20"/>
                <w:szCs w:val="20"/>
              </w:rPr>
            </w:pPr>
            <w:r>
              <w:rPr>
                <w:sz w:val="20"/>
                <w:szCs w:val="20"/>
              </w:rPr>
              <w:t>Теплоутилизационные установки КС «Верхнеказымская»</w:t>
            </w:r>
          </w:p>
        </w:tc>
        <w:tc>
          <w:tcPr>
            <w:tcW w:w="1118" w:type="pct"/>
            <w:tcBorders>
              <w:top w:val="single" w:color="auto" w:sz="4" w:space="0"/>
              <w:left w:val="single" w:color="auto" w:sz="4" w:space="0"/>
              <w:bottom w:val="single" w:color="auto" w:sz="4" w:space="0"/>
              <w:right w:val="single" w:color="auto" w:sz="4" w:space="0"/>
            </w:tcBorders>
            <w:shd w:val="clear" w:color="auto" w:fill="auto"/>
            <w:vAlign w:val="center"/>
          </w:tcPr>
          <w:p w14:paraId="135AEE6C">
            <w:pPr>
              <w:spacing w:after="0" w:line="240" w:lineRule="auto"/>
              <w:ind w:firstLine="0"/>
              <w:jc w:val="center"/>
              <w:rPr>
                <w:sz w:val="20"/>
                <w:szCs w:val="20"/>
              </w:rPr>
            </w:pPr>
            <w:r>
              <w:rPr>
                <w:color w:val="000000"/>
                <w:sz w:val="20"/>
                <w:szCs w:val="20"/>
              </w:rPr>
              <w:t>37,72</w:t>
            </w:r>
          </w:p>
        </w:tc>
        <w:tc>
          <w:tcPr>
            <w:tcW w:w="1118" w:type="pct"/>
            <w:tcBorders>
              <w:top w:val="single" w:color="auto" w:sz="4" w:space="0"/>
              <w:left w:val="single" w:color="auto" w:sz="4" w:space="0"/>
              <w:bottom w:val="single" w:color="auto" w:sz="4" w:space="0"/>
              <w:right w:val="single" w:color="auto" w:sz="4" w:space="0"/>
            </w:tcBorders>
            <w:vAlign w:val="center"/>
          </w:tcPr>
          <w:p w14:paraId="7D7824A5">
            <w:pPr>
              <w:spacing w:after="0" w:line="240" w:lineRule="auto"/>
              <w:ind w:firstLine="0"/>
              <w:jc w:val="center"/>
              <w:rPr>
                <w:color w:val="000000"/>
                <w:sz w:val="20"/>
                <w:szCs w:val="20"/>
              </w:rPr>
            </w:pPr>
            <w:r>
              <w:rPr>
                <w:color w:val="000000"/>
                <w:sz w:val="20"/>
                <w:szCs w:val="20"/>
              </w:rPr>
              <w:t>9,4</w:t>
            </w:r>
          </w:p>
        </w:tc>
        <w:tc>
          <w:tcPr>
            <w:tcW w:w="1118" w:type="pct"/>
            <w:tcBorders>
              <w:top w:val="single" w:color="auto" w:sz="4" w:space="0"/>
              <w:left w:val="single" w:color="auto" w:sz="4" w:space="0"/>
              <w:bottom w:val="single" w:color="auto" w:sz="4" w:space="0"/>
              <w:right w:val="single" w:color="auto" w:sz="4" w:space="0"/>
            </w:tcBorders>
            <w:vAlign w:val="center"/>
          </w:tcPr>
          <w:p w14:paraId="1FF99AF6">
            <w:pPr>
              <w:spacing w:after="0" w:line="240" w:lineRule="auto"/>
              <w:ind w:firstLine="0"/>
              <w:jc w:val="center"/>
              <w:rPr>
                <w:color w:val="000000"/>
                <w:sz w:val="20"/>
                <w:szCs w:val="20"/>
              </w:rPr>
            </w:pPr>
            <w:r>
              <w:rPr>
                <w:color w:val="000000"/>
                <w:sz w:val="20"/>
                <w:szCs w:val="20"/>
              </w:rPr>
              <w:t>28,32</w:t>
            </w:r>
          </w:p>
        </w:tc>
      </w:tr>
      <w:tr w14:paraId="1861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646" w:type="pct"/>
            <w:vAlign w:val="center"/>
          </w:tcPr>
          <w:p w14:paraId="0467B631">
            <w:pPr>
              <w:spacing w:after="0" w:line="240" w:lineRule="auto"/>
              <w:ind w:firstLine="0"/>
              <w:jc w:val="center"/>
              <w:rPr>
                <w:sz w:val="20"/>
                <w:szCs w:val="20"/>
              </w:rPr>
            </w:pPr>
            <w:r>
              <w:rPr>
                <w:color w:val="000000"/>
                <w:sz w:val="20"/>
                <w:szCs w:val="20"/>
              </w:rPr>
              <w:t>Итого по с.п. Верхнеказымский</w:t>
            </w:r>
          </w:p>
        </w:tc>
        <w:tc>
          <w:tcPr>
            <w:tcW w:w="1118" w:type="pct"/>
            <w:tcBorders>
              <w:top w:val="single" w:color="auto" w:sz="4" w:space="0"/>
              <w:left w:val="single" w:color="auto" w:sz="4" w:space="0"/>
              <w:bottom w:val="single" w:color="auto" w:sz="4" w:space="0"/>
              <w:right w:val="single" w:color="auto" w:sz="4" w:space="0"/>
            </w:tcBorders>
            <w:shd w:val="clear" w:color="auto" w:fill="auto"/>
            <w:vAlign w:val="center"/>
          </w:tcPr>
          <w:p w14:paraId="673A8F52">
            <w:pPr>
              <w:spacing w:after="0" w:line="240" w:lineRule="auto"/>
              <w:ind w:firstLine="0"/>
              <w:jc w:val="center"/>
              <w:rPr>
                <w:sz w:val="20"/>
                <w:szCs w:val="20"/>
              </w:rPr>
            </w:pPr>
            <w:r>
              <w:rPr>
                <w:color w:val="000000"/>
                <w:sz w:val="20"/>
                <w:szCs w:val="20"/>
              </w:rPr>
              <w:t>53,74</w:t>
            </w:r>
          </w:p>
        </w:tc>
        <w:tc>
          <w:tcPr>
            <w:tcW w:w="1118" w:type="pct"/>
            <w:tcBorders>
              <w:top w:val="single" w:color="auto" w:sz="4" w:space="0"/>
              <w:left w:val="single" w:color="auto" w:sz="4" w:space="0"/>
              <w:bottom w:val="single" w:color="auto" w:sz="4" w:space="0"/>
              <w:right w:val="single" w:color="auto" w:sz="4" w:space="0"/>
            </w:tcBorders>
            <w:vAlign w:val="center"/>
          </w:tcPr>
          <w:p w14:paraId="41034EB4">
            <w:pPr>
              <w:spacing w:after="0" w:line="240" w:lineRule="auto"/>
              <w:ind w:firstLine="0"/>
              <w:jc w:val="center"/>
              <w:rPr>
                <w:color w:val="000000"/>
                <w:sz w:val="20"/>
                <w:szCs w:val="20"/>
              </w:rPr>
            </w:pPr>
            <w:r>
              <w:rPr>
                <w:color w:val="000000"/>
                <w:sz w:val="20"/>
                <w:szCs w:val="20"/>
              </w:rPr>
              <w:t>18,34</w:t>
            </w:r>
          </w:p>
        </w:tc>
        <w:tc>
          <w:tcPr>
            <w:tcW w:w="1118" w:type="pct"/>
            <w:tcBorders>
              <w:top w:val="single" w:color="auto" w:sz="4" w:space="0"/>
              <w:left w:val="single" w:color="auto" w:sz="4" w:space="0"/>
              <w:bottom w:val="single" w:color="auto" w:sz="4" w:space="0"/>
              <w:right w:val="single" w:color="auto" w:sz="4" w:space="0"/>
            </w:tcBorders>
            <w:vAlign w:val="center"/>
          </w:tcPr>
          <w:p w14:paraId="1C5D7E20">
            <w:pPr>
              <w:spacing w:after="0" w:line="240" w:lineRule="auto"/>
              <w:ind w:firstLine="0"/>
              <w:jc w:val="center"/>
              <w:rPr>
                <w:color w:val="000000"/>
                <w:sz w:val="20"/>
                <w:szCs w:val="20"/>
              </w:rPr>
            </w:pPr>
            <w:r>
              <w:rPr>
                <w:color w:val="000000"/>
                <w:sz w:val="20"/>
                <w:szCs w:val="20"/>
              </w:rPr>
              <w:t>35,40</w:t>
            </w:r>
          </w:p>
        </w:tc>
      </w:tr>
    </w:tbl>
    <w:p w14:paraId="52D978E2">
      <w:pPr>
        <w:widowControl w:val="0"/>
        <w:spacing w:after="0" w:line="240" w:lineRule="auto"/>
        <w:ind w:firstLine="0"/>
        <w:contextualSpacing/>
        <w:jc w:val="both"/>
        <w:rPr>
          <w:sz w:val="24"/>
          <w:szCs w:val="24"/>
        </w:rPr>
      </w:pPr>
    </w:p>
    <w:p w14:paraId="763E94A6">
      <w:pPr>
        <w:pStyle w:val="4"/>
        <w:spacing w:before="0" w:line="240" w:lineRule="auto"/>
        <w:ind w:left="0" w:firstLine="709"/>
        <w:contextualSpacing/>
        <w:rPr>
          <w:rFonts w:cs="Times New Roman"/>
          <w:b w:val="0"/>
          <w:sz w:val="24"/>
        </w:rPr>
      </w:pPr>
      <w:bookmarkStart w:id="57" w:name="_Toc182813867"/>
      <w:r>
        <w:rPr>
          <w:rFonts w:cs="Times New Roman"/>
          <w:b w:val="0"/>
          <w:sz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7"/>
    </w:p>
    <w:p w14:paraId="5A7CB8C4">
      <w:pPr>
        <w:pStyle w:val="404"/>
        <w:spacing w:line="240" w:lineRule="auto"/>
        <w:contextualSpacing/>
        <w:rPr>
          <w:rFonts w:cs="Times New Roman"/>
          <w:sz w:val="24"/>
          <w:szCs w:val="24"/>
        </w:rPr>
      </w:pPr>
      <w:bookmarkStart w:id="58" w:name="_Hlk77174735"/>
      <w:r>
        <w:rPr>
          <w:rFonts w:cs="Times New Roman"/>
          <w:sz w:val="24"/>
          <w:szCs w:val="24"/>
        </w:rPr>
        <w:t xml:space="preserve">Данные по объемам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представлены в таблице </w:t>
      </w:r>
      <w:bookmarkEnd w:id="58"/>
      <w:r>
        <w:rPr>
          <w:rFonts w:cs="Times New Roman"/>
          <w:sz w:val="24"/>
          <w:szCs w:val="24"/>
        </w:rPr>
        <w:t>10.</w:t>
      </w:r>
    </w:p>
    <w:p w14:paraId="32B0D488">
      <w:pPr>
        <w:pStyle w:val="404"/>
        <w:spacing w:line="240" w:lineRule="auto"/>
        <w:contextualSpacing/>
        <w:rPr>
          <w:rFonts w:cs="Times New Roman"/>
          <w:sz w:val="24"/>
          <w:szCs w:val="24"/>
        </w:rPr>
      </w:pPr>
    </w:p>
    <w:p w14:paraId="712EDA43">
      <w:pPr>
        <w:keepNext/>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10</w:t>
      </w:r>
      <w:r>
        <w:rPr>
          <w:bCs/>
          <w:sz w:val="24"/>
          <w:szCs w:val="24"/>
        </w:rPr>
        <w:fldChar w:fldCharType="end"/>
      </w:r>
      <w:r>
        <w:rPr>
          <w:bCs/>
          <w:sz w:val="24"/>
          <w:szCs w:val="24"/>
        </w:rPr>
        <w:t xml:space="preserve"> – </w:t>
      </w:r>
      <w:r>
        <w:rPr>
          <w:sz w:val="24"/>
          <w:szCs w:val="24"/>
        </w:rPr>
        <w:t>Значения тепловой мощности на собственные нужды котельных и располагаемой тепловой мощности нетто в 2023 году</w:t>
      </w:r>
    </w:p>
    <w:tbl>
      <w:tblPr>
        <w:tblStyle w:val="12"/>
        <w:tblW w:w="5000" w:type="pct"/>
        <w:tblInd w:w="-5" w:type="dxa"/>
        <w:tblLayout w:type="autofit"/>
        <w:tblCellMar>
          <w:top w:w="0" w:type="dxa"/>
          <w:left w:w="28" w:type="dxa"/>
          <w:bottom w:w="0" w:type="dxa"/>
          <w:right w:w="28" w:type="dxa"/>
        </w:tblCellMar>
      </w:tblPr>
      <w:tblGrid>
        <w:gridCol w:w="2965"/>
        <w:gridCol w:w="1365"/>
        <w:gridCol w:w="1356"/>
        <w:gridCol w:w="1238"/>
        <w:gridCol w:w="2770"/>
      </w:tblGrid>
      <w:tr w14:paraId="2124FBB8">
        <w:tblPrEx>
          <w:tblCellMar>
            <w:top w:w="0" w:type="dxa"/>
            <w:left w:w="28" w:type="dxa"/>
            <w:bottom w:w="0" w:type="dxa"/>
            <w:right w:w="28" w:type="dxa"/>
          </w:tblCellMar>
        </w:tblPrEx>
        <w:trPr>
          <w:trHeight w:val="391" w:hRule="atLeast"/>
          <w:tblHeader/>
        </w:trPr>
        <w:tc>
          <w:tcPr>
            <w:tcW w:w="2945" w:type="dxa"/>
            <w:vMerge w:val="restart"/>
            <w:tcBorders>
              <w:top w:val="single" w:color="auto" w:sz="4" w:space="0"/>
              <w:left w:val="single" w:color="auto" w:sz="4" w:space="0"/>
              <w:right w:val="single" w:color="auto" w:sz="4" w:space="0"/>
            </w:tcBorders>
            <w:shd w:val="clear" w:color="auto" w:fill="auto"/>
            <w:vAlign w:val="center"/>
          </w:tcPr>
          <w:p w14:paraId="288EF51F">
            <w:pPr>
              <w:spacing w:after="0" w:line="240" w:lineRule="auto"/>
              <w:ind w:firstLine="0"/>
              <w:contextualSpacing/>
              <w:jc w:val="center"/>
              <w:rPr>
                <w:color w:val="000000"/>
                <w:sz w:val="20"/>
                <w:szCs w:val="20"/>
              </w:rPr>
            </w:pPr>
            <w:r>
              <w:rPr>
                <w:bCs/>
                <w:color w:val="000000"/>
                <w:sz w:val="20"/>
                <w:szCs w:val="20"/>
              </w:rPr>
              <w:t>Наименование</w:t>
            </w:r>
            <w:r>
              <w:rPr>
                <w:color w:val="000000"/>
                <w:sz w:val="20"/>
                <w:szCs w:val="20"/>
              </w:rPr>
              <w:t xml:space="preserve"> источника тепловой энергии</w:t>
            </w:r>
          </w:p>
        </w:tc>
        <w:tc>
          <w:tcPr>
            <w:tcW w:w="3933" w:type="dxa"/>
            <w:gridSpan w:val="3"/>
            <w:tcBorders>
              <w:top w:val="single" w:color="auto" w:sz="4" w:space="0"/>
              <w:left w:val="nil"/>
              <w:bottom w:val="single" w:color="auto" w:sz="4" w:space="0"/>
              <w:right w:val="single" w:color="auto" w:sz="4" w:space="0"/>
            </w:tcBorders>
            <w:shd w:val="clear" w:color="auto" w:fill="auto"/>
            <w:vAlign w:val="center"/>
          </w:tcPr>
          <w:p w14:paraId="255AAB8E">
            <w:pPr>
              <w:spacing w:after="0" w:line="240" w:lineRule="auto"/>
              <w:ind w:firstLine="0"/>
              <w:contextualSpacing/>
              <w:jc w:val="center"/>
              <w:rPr>
                <w:color w:val="000000"/>
                <w:sz w:val="20"/>
                <w:szCs w:val="20"/>
              </w:rPr>
            </w:pPr>
            <w:r>
              <w:rPr>
                <w:bCs/>
                <w:color w:val="000000"/>
                <w:sz w:val="20"/>
                <w:szCs w:val="20"/>
              </w:rPr>
              <w:t>Тепловая мощность</w:t>
            </w:r>
          </w:p>
        </w:tc>
        <w:tc>
          <w:tcPr>
            <w:tcW w:w="2750" w:type="dxa"/>
            <w:vMerge w:val="restart"/>
            <w:tcBorders>
              <w:top w:val="single" w:color="auto" w:sz="4" w:space="0"/>
              <w:left w:val="single" w:color="auto" w:sz="4" w:space="0"/>
              <w:right w:val="single" w:color="auto" w:sz="4" w:space="0"/>
            </w:tcBorders>
            <w:shd w:val="clear" w:color="auto" w:fill="auto"/>
            <w:vAlign w:val="center"/>
          </w:tcPr>
          <w:p w14:paraId="71A3DE50">
            <w:pPr>
              <w:spacing w:after="0" w:line="240" w:lineRule="auto"/>
              <w:ind w:firstLine="0"/>
              <w:contextualSpacing/>
              <w:jc w:val="center"/>
              <w:rPr>
                <w:color w:val="000000"/>
                <w:sz w:val="20"/>
                <w:szCs w:val="20"/>
              </w:rPr>
            </w:pPr>
            <w:r>
              <w:rPr>
                <w:bCs/>
                <w:color w:val="000000"/>
                <w:sz w:val="20"/>
                <w:szCs w:val="20"/>
              </w:rPr>
              <w:t>Расчётное потребление тепловой мощности на собств., хоз. и технологические нужды, Гкал/ч</w:t>
            </w:r>
          </w:p>
        </w:tc>
      </w:tr>
      <w:tr w14:paraId="49531B63">
        <w:tblPrEx>
          <w:tblCellMar>
            <w:top w:w="0" w:type="dxa"/>
            <w:left w:w="28" w:type="dxa"/>
            <w:bottom w:w="0" w:type="dxa"/>
            <w:right w:w="28" w:type="dxa"/>
          </w:tblCellMar>
        </w:tblPrEx>
        <w:trPr>
          <w:trHeight w:val="20" w:hRule="atLeast"/>
          <w:tblHeader/>
        </w:trPr>
        <w:tc>
          <w:tcPr>
            <w:tcW w:w="2945" w:type="dxa"/>
            <w:vMerge w:val="continue"/>
            <w:tcBorders>
              <w:left w:val="single" w:color="auto" w:sz="4" w:space="0"/>
              <w:bottom w:val="single" w:color="auto" w:sz="4" w:space="0"/>
              <w:right w:val="single" w:color="auto" w:sz="4" w:space="0"/>
            </w:tcBorders>
            <w:shd w:val="clear" w:color="auto" w:fill="auto"/>
            <w:vAlign w:val="center"/>
          </w:tcPr>
          <w:p w14:paraId="1BAA5586">
            <w:pPr>
              <w:spacing w:after="0" w:line="240" w:lineRule="auto"/>
              <w:ind w:firstLine="0"/>
              <w:contextualSpacing/>
              <w:jc w:val="center"/>
              <w:rPr>
                <w:color w:val="000000"/>
                <w:sz w:val="20"/>
                <w:szCs w:val="20"/>
              </w:rPr>
            </w:pPr>
          </w:p>
        </w:tc>
        <w:tc>
          <w:tcPr>
            <w:tcW w:w="1356" w:type="dxa"/>
            <w:tcBorders>
              <w:top w:val="nil"/>
              <w:left w:val="nil"/>
              <w:bottom w:val="single" w:color="auto" w:sz="4" w:space="0"/>
              <w:right w:val="single" w:color="auto" w:sz="4" w:space="0"/>
            </w:tcBorders>
            <w:shd w:val="clear" w:color="auto" w:fill="auto"/>
            <w:vAlign w:val="center"/>
          </w:tcPr>
          <w:p w14:paraId="4BD9B5E1">
            <w:pPr>
              <w:spacing w:after="0" w:line="240" w:lineRule="auto"/>
              <w:ind w:firstLine="0"/>
              <w:contextualSpacing/>
              <w:jc w:val="center"/>
              <w:rPr>
                <w:color w:val="000000"/>
                <w:sz w:val="20"/>
                <w:szCs w:val="20"/>
              </w:rPr>
            </w:pPr>
            <w:r>
              <w:rPr>
                <w:bCs/>
                <w:color w:val="000000"/>
                <w:sz w:val="20"/>
                <w:szCs w:val="20"/>
              </w:rPr>
              <w:t>установленная, Гкал/ч</w:t>
            </w:r>
          </w:p>
        </w:tc>
        <w:tc>
          <w:tcPr>
            <w:tcW w:w="1347" w:type="dxa"/>
            <w:tcBorders>
              <w:top w:val="nil"/>
              <w:left w:val="nil"/>
              <w:bottom w:val="single" w:color="auto" w:sz="4" w:space="0"/>
              <w:right w:val="single" w:color="auto" w:sz="4" w:space="0"/>
            </w:tcBorders>
            <w:shd w:val="clear" w:color="auto" w:fill="auto"/>
            <w:vAlign w:val="center"/>
          </w:tcPr>
          <w:p w14:paraId="7441345F">
            <w:pPr>
              <w:spacing w:after="0" w:line="240" w:lineRule="auto"/>
              <w:ind w:firstLine="0"/>
              <w:contextualSpacing/>
              <w:jc w:val="center"/>
              <w:rPr>
                <w:color w:val="000000"/>
                <w:sz w:val="20"/>
                <w:szCs w:val="20"/>
              </w:rPr>
            </w:pPr>
            <w:r>
              <w:rPr>
                <w:bCs/>
                <w:color w:val="000000"/>
                <w:sz w:val="20"/>
                <w:szCs w:val="20"/>
              </w:rPr>
              <w:t>располагаемая, Гкал/ч</w:t>
            </w:r>
          </w:p>
        </w:tc>
        <w:tc>
          <w:tcPr>
            <w:tcW w:w="1230" w:type="dxa"/>
            <w:tcBorders>
              <w:top w:val="nil"/>
              <w:left w:val="nil"/>
              <w:bottom w:val="single" w:color="auto" w:sz="4" w:space="0"/>
              <w:right w:val="single" w:color="auto" w:sz="4" w:space="0"/>
            </w:tcBorders>
            <w:shd w:val="clear" w:color="auto" w:fill="auto"/>
            <w:vAlign w:val="center"/>
          </w:tcPr>
          <w:p w14:paraId="7BBF941C">
            <w:pPr>
              <w:spacing w:after="0" w:line="240" w:lineRule="auto"/>
              <w:ind w:firstLine="0"/>
              <w:contextualSpacing/>
              <w:jc w:val="center"/>
              <w:rPr>
                <w:color w:val="000000"/>
                <w:sz w:val="20"/>
                <w:szCs w:val="20"/>
              </w:rPr>
            </w:pPr>
            <w:r>
              <w:rPr>
                <w:color w:val="000000"/>
                <w:sz w:val="20"/>
                <w:szCs w:val="20"/>
              </w:rPr>
              <w:t>ограничение, Гкал/ч</w:t>
            </w:r>
          </w:p>
        </w:tc>
        <w:tc>
          <w:tcPr>
            <w:tcW w:w="2750" w:type="dxa"/>
            <w:vMerge w:val="continue"/>
            <w:tcBorders>
              <w:left w:val="single" w:color="auto" w:sz="4" w:space="0"/>
              <w:bottom w:val="single" w:color="auto" w:sz="4" w:space="0"/>
              <w:right w:val="single" w:color="auto" w:sz="4" w:space="0"/>
            </w:tcBorders>
            <w:vAlign w:val="center"/>
          </w:tcPr>
          <w:p w14:paraId="090D9206">
            <w:pPr>
              <w:spacing w:after="0" w:line="240" w:lineRule="auto"/>
              <w:ind w:firstLine="0"/>
              <w:contextualSpacing/>
              <w:rPr>
                <w:color w:val="000000"/>
                <w:sz w:val="20"/>
                <w:szCs w:val="20"/>
              </w:rPr>
            </w:pPr>
          </w:p>
        </w:tc>
      </w:tr>
      <w:tr w14:paraId="50BC308A">
        <w:tblPrEx>
          <w:tblCellMar>
            <w:top w:w="0" w:type="dxa"/>
            <w:left w:w="28" w:type="dxa"/>
            <w:bottom w:w="0" w:type="dxa"/>
            <w:right w:w="28" w:type="dxa"/>
          </w:tblCellMar>
        </w:tblPrEx>
        <w:trPr>
          <w:trHeight w:val="20" w:hRule="atLeast"/>
        </w:trPr>
        <w:tc>
          <w:tcPr>
            <w:tcW w:w="2945" w:type="dxa"/>
            <w:tcBorders>
              <w:top w:val="nil"/>
              <w:left w:val="single" w:color="auto" w:sz="4" w:space="0"/>
              <w:bottom w:val="single" w:color="auto" w:sz="4" w:space="0"/>
              <w:right w:val="single" w:color="auto" w:sz="4" w:space="0"/>
            </w:tcBorders>
            <w:shd w:val="clear" w:color="auto" w:fill="auto"/>
            <w:vAlign w:val="center"/>
          </w:tcPr>
          <w:p w14:paraId="057CE5BD">
            <w:pPr>
              <w:spacing w:after="0" w:line="240" w:lineRule="auto"/>
              <w:ind w:firstLine="0"/>
              <w:contextualSpacing/>
              <w:jc w:val="center"/>
              <w:rPr>
                <w:bCs/>
                <w:color w:val="000000"/>
                <w:sz w:val="20"/>
                <w:szCs w:val="20"/>
              </w:rPr>
            </w:pPr>
            <w:r>
              <w:rPr>
                <w:bCs/>
                <w:color w:val="000000"/>
                <w:sz w:val="20"/>
                <w:szCs w:val="20"/>
              </w:rPr>
              <w:t>Всего по источникам теплоснабжения с.п. Верхнеказымский</w:t>
            </w:r>
          </w:p>
        </w:tc>
        <w:tc>
          <w:tcPr>
            <w:tcW w:w="1356" w:type="dxa"/>
            <w:tcBorders>
              <w:top w:val="single" w:color="auto" w:sz="4" w:space="0"/>
              <w:left w:val="single" w:color="auto" w:sz="4" w:space="0"/>
              <w:bottom w:val="single" w:color="auto" w:sz="4" w:space="0"/>
              <w:right w:val="single" w:color="auto" w:sz="4" w:space="0"/>
            </w:tcBorders>
            <w:shd w:val="clear" w:color="auto" w:fill="auto"/>
            <w:vAlign w:val="center"/>
          </w:tcPr>
          <w:p w14:paraId="53AEB963">
            <w:pPr>
              <w:spacing w:after="0" w:line="240" w:lineRule="auto"/>
              <w:ind w:firstLine="0"/>
              <w:contextualSpacing/>
              <w:jc w:val="center"/>
              <w:rPr>
                <w:bCs/>
                <w:color w:val="000000"/>
                <w:sz w:val="20"/>
                <w:szCs w:val="20"/>
              </w:rPr>
            </w:pPr>
            <w:r>
              <w:rPr>
                <w:color w:val="000000"/>
                <w:sz w:val="20"/>
                <w:szCs w:val="20"/>
              </w:rPr>
              <w:t>53,74</w:t>
            </w:r>
          </w:p>
        </w:tc>
        <w:tc>
          <w:tcPr>
            <w:tcW w:w="1347" w:type="dxa"/>
            <w:tcBorders>
              <w:top w:val="single" w:color="auto" w:sz="4" w:space="0"/>
              <w:left w:val="nil"/>
              <w:bottom w:val="single" w:color="auto" w:sz="4" w:space="0"/>
              <w:right w:val="single" w:color="auto" w:sz="4" w:space="0"/>
            </w:tcBorders>
            <w:shd w:val="clear" w:color="auto" w:fill="auto"/>
            <w:vAlign w:val="center"/>
          </w:tcPr>
          <w:p w14:paraId="4BB450C8">
            <w:pPr>
              <w:spacing w:after="0" w:line="240" w:lineRule="auto"/>
              <w:ind w:firstLine="0"/>
              <w:contextualSpacing/>
              <w:jc w:val="center"/>
              <w:rPr>
                <w:bCs/>
                <w:color w:val="000000"/>
                <w:sz w:val="20"/>
                <w:szCs w:val="20"/>
              </w:rPr>
            </w:pPr>
            <w:r>
              <w:rPr>
                <w:color w:val="000000"/>
                <w:sz w:val="20"/>
                <w:szCs w:val="20"/>
              </w:rPr>
              <w:t>18,34</w:t>
            </w:r>
          </w:p>
        </w:tc>
        <w:tc>
          <w:tcPr>
            <w:tcW w:w="1230" w:type="dxa"/>
            <w:tcBorders>
              <w:top w:val="single" w:color="auto" w:sz="4" w:space="0"/>
              <w:left w:val="nil"/>
              <w:bottom w:val="single" w:color="auto" w:sz="4" w:space="0"/>
              <w:right w:val="single" w:color="auto" w:sz="4" w:space="0"/>
            </w:tcBorders>
            <w:shd w:val="clear" w:color="auto" w:fill="auto"/>
            <w:vAlign w:val="center"/>
          </w:tcPr>
          <w:p w14:paraId="5D582053">
            <w:pPr>
              <w:spacing w:after="0" w:line="240" w:lineRule="auto"/>
              <w:ind w:firstLine="0"/>
              <w:contextualSpacing/>
              <w:jc w:val="center"/>
              <w:rPr>
                <w:bCs/>
                <w:color w:val="000000"/>
                <w:sz w:val="20"/>
                <w:szCs w:val="20"/>
              </w:rPr>
            </w:pPr>
            <w:r>
              <w:rPr>
                <w:color w:val="000000"/>
                <w:sz w:val="20"/>
                <w:szCs w:val="20"/>
              </w:rPr>
              <w:t>35,40</w:t>
            </w:r>
          </w:p>
        </w:tc>
        <w:tc>
          <w:tcPr>
            <w:tcW w:w="2750" w:type="dxa"/>
            <w:tcBorders>
              <w:top w:val="nil"/>
              <w:left w:val="nil"/>
              <w:bottom w:val="single" w:color="auto" w:sz="4" w:space="0"/>
              <w:right w:val="single" w:color="auto" w:sz="4" w:space="0"/>
            </w:tcBorders>
            <w:shd w:val="clear" w:color="auto" w:fill="auto"/>
            <w:vAlign w:val="center"/>
          </w:tcPr>
          <w:p w14:paraId="1FB9366F">
            <w:pPr>
              <w:spacing w:after="0" w:line="240" w:lineRule="auto"/>
              <w:ind w:firstLine="0"/>
              <w:contextualSpacing/>
              <w:jc w:val="center"/>
              <w:rPr>
                <w:bCs/>
                <w:color w:val="000000"/>
                <w:sz w:val="20"/>
                <w:szCs w:val="20"/>
              </w:rPr>
            </w:pPr>
            <w:r>
              <w:rPr>
                <w:bCs/>
                <w:color w:val="000000"/>
                <w:sz w:val="20"/>
                <w:szCs w:val="20"/>
              </w:rPr>
              <w:t>0,269</w:t>
            </w:r>
          </w:p>
        </w:tc>
      </w:tr>
      <w:tr w14:paraId="50641B5D">
        <w:tblPrEx>
          <w:tblCellMar>
            <w:top w:w="0" w:type="dxa"/>
            <w:left w:w="28" w:type="dxa"/>
            <w:bottom w:w="0" w:type="dxa"/>
            <w:right w:w="28" w:type="dxa"/>
          </w:tblCellMar>
        </w:tblPrEx>
        <w:trPr>
          <w:trHeight w:val="20" w:hRule="atLeast"/>
        </w:trPr>
        <w:tc>
          <w:tcPr>
            <w:tcW w:w="2945" w:type="dxa"/>
            <w:tcBorders>
              <w:top w:val="nil"/>
              <w:left w:val="single" w:color="auto" w:sz="4" w:space="0"/>
              <w:bottom w:val="single" w:color="auto" w:sz="4" w:space="0"/>
              <w:right w:val="single" w:color="auto" w:sz="4" w:space="0"/>
            </w:tcBorders>
            <w:shd w:val="clear" w:color="auto" w:fill="auto"/>
            <w:vAlign w:val="center"/>
          </w:tcPr>
          <w:p w14:paraId="13386020">
            <w:pPr>
              <w:spacing w:after="0" w:line="240" w:lineRule="auto"/>
              <w:ind w:firstLine="0"/>
              <w:contextualSpacing/>
              <w:jc w:val="center"/>
              <w:rPr>
                <w:color w:val="000000"/>
                <w:sz w:val="20"/>
                <w:szCs w:val="20"/>
              </w:rPr>
            </w:pPr>
            <w:r>
              <w:rPr>
                <w:bCs/>
                <w:color w:val="000000"/>
                <w:sz w:val="20"/>
                <w:szCs w:val="20"/>
              </w:rPr>
              <w:t>в том числе:</w:t>
            </w:r>
          </w:p>
        </w:tc>
        <w:tc>
          <w:tcPr>
            <w:tcW w:w="1356" w:type="dxa"/>
            <w:tcBorders>
              <w:top w:val="nil"/>
              <w:left w:val="nil"/>
              <w:bottom w:val="single" w:color="auto" w:sz="4" w:space="0"/>
              <w:right w:val="single" w:color="auto" w:sz="4" w:space="0"/>
            </w:tcBorders>
            <w:shd w:val="clear" w:color="auto" w:fill="auto"/>
            <w:vAlign w:val="center"/>
          </w:tcPr>
          <w:p w14:paraId="288639CB">
            <w:pPr>
              <w:spacing w:after="0" w:line="240" w:lineRule="auto"/>
              <w:ind w:firstLine="0"/>
              <w:contextualSpacing/>
              <w:jc w:val="center"/>
              <w:rPr>
                <w:color w:val="000000"/>
                <w:sz w:val="20"/>
                <w:szCs w:val="20"/>
              </w:rPr>
            </w:pPr>
          </w:p>
        </w:tc>
        <w:tc>
          <w:tcPr>
            <w:tcW w:w="1347" w:type="dxa"/>
            <w:tcBorders>
              <w:top w:val="nil"/>
              <w:left w:val="nil"/>
              <w:bottom w:val="single" w:color="auto" w:sz="4" w:space="0"/>
              <w:right w:val="single" w:color="auto" w:sz="4" w:space="0"/>
            </w:tcBorders>
            <w:shd w:val="clear" w:color="auto" w:fill="auto"/>
            <w:vAlign w:val="center"/>
          </w:tcPr>
          <w:p w14:paraId="1543E1A6">
            <w:pPr>
              <w:spacing w:after="0" w:line="240" w:lineRule="auto"/>
              <w:ind w:firstLine="0"/>
              <w:contextualSpacing/>
              <w:jc w:val="center"/>
              <w:rPr>
                <w:color w:val="000000"/>
                <w:sz w:val="20"/>
                <w:szCs w:val="20"/>
              </w:rPr>
            </w:pPr>
          </w:p>
        </w:tc>
        <w:tc>
          <w:tcPr>
            <w:tcW w:w="1230" w:type="dxa"/>
            <w:tcBorders>
              <w:top w:val="nil"/>
              <w:left w:val="nil"/>
              <w:bottom w:val="single" w:color="auto" w:sz="4" w:space="0"/>
              <w:right w:val="single" w:color="auto" w:sz="4" w:space="0"/>
            </w:tcBorders>
            <w:shd w:val="clear" w:color="auto" w:fill="auto"/>
            <w:noWrap/>
            <w:vAlign w:val="center"/>
          </w:tcPr>
          <w:p w14:paraId="7E78A5BF">
            <w:pPr>
              <w:spacing w:after="0" w:line="240" w:lineRule="auto"/>
              <w:ind w:firstLine="0"/>
              <w:contextualSpacing/>
              <w:jc w:val="center"/>
              <w:rPr>
                <w:color w:val="000000"/>
                <w:sz w:val="20"/>
                <w:szCs w:val="20"/>
              </w:rPr>
            </w:pPr>
          </w:p>
        </w:tc>
        <w:tc>
          <w:tcPr>
            <w:tcW w:w="2750" w:type="dxa"/>
            <w:tcBorders>
              <w:top w:val="nil"/>
              <w:left w:val="nil"/>
              <w:bottom w:val="single" w:color="auto" w:sz="4" w:space="0"/>
              <w:right w:val="single" w:color="auto" w:sz="4" w:space="0"/>
            </w:tcBorders>
            <w:shd w:val="clear" w:color="auto" w:fill="auto"/>
            <w:vAlign w:val="center"/>
          </w:tcPr>
          <w:p w14:paraId="00CC47A3">
            <w:pPr>
              <w:spacing w:after="0" w:line="240" w:lineRule="auto"/>
              <w:ind w:firstLine="0"/>
              <w:contextualSpacing/>
              <w:jc w:val="center"/>
              <w:rPr>
                <w:color w:val="000000"/>
                <w:sz w:val="20"/>
                <w:szCs w:val="20"/>
              </w:rPr>
            </w:pPr>
            <w:r>
              <w:rPr>
                <w:color w:val="000000"/>
                <w:sz w:val="20"/>
                <w:szCs w:val="20"/>
              </w:rPr>
              <w:t> </w:t>
            </w:r>
          </w:p>
        </w:tc>
      </w:tr>
      <w:tr w14:paraId="5CD82379">
        <w:tblPrEx>
          <w:tblCellMar>
            <w:top w:w="0" w:type="dxa"/>
            <w:left w:w="28" w:type="dxa"/>
            <w:bottom w:w="0" w:type="dxa"/>
            <w:right w:w="28" w:type="dxa"/>
          </w:tblCellMar>
        </w:tblPrEx>
        <w:trPr>
          <w:trHeight w:val="20" w:hRule="atLeast"/>
        </w:trPr>
        <w:tc>
          <w:tcPr>
            <w:tcW w:w="2945" w:type="dxa"/>
            <w:tcBorders>
              <w:top w:val="nil"/>
              <w:left w:val="single" w:color="auto" w:sz="4" w:space="0"/>
              <w:bottom w:val="single" w:color="auto" w:sz="4" w:space="0"/>
              <w:right w:val="single" w:color="auto" w:sz="4" w:space="0"/>
            </w:tcBorders>
            <w:shd w:val="clear" w:color="auto" w:fill="auto"/>
            <w:vAlign w:val="center"/>
          </w:tcPr>
          <w:p w14:paraId="4837D01B">
            <w:pPr>
              <w:spacing w:after="0" w:line="240" w:lineRule="auto"/>
              <w:ind w:firstLine="0"/>
              <w:contextualSpacing/>
              <w:jc w:val="center"/>
              <w:rPr>
                <w:color w:val="000000"/>
                <w:sz w:val="20"/>
                <w:szCs w:val="20"/>
              </w:rPr>
            </w:pPr>
            <w:r>
              <w:rPr>
                <w:color w:val="000000"/>
                <w:sz w:val="20"/>
                <w:szCs w:val="20"/>
              </w:rPr>
              <w:t>Котельная №2 МУП «БКС»</w:t>
            </w:r>
          </w:p>
        </w:tc>
        <w:tc>
          <w:tcPr>
            <w:tcW w:w="1356" w:type="dxa"/>
            <w:tcBorders>
              <w:top w:val="nil"/>
              <w:left w:val="nil"/>
              <w:bottom w:val="single" w:color="auto" w:sz="4" w:space="0"/>
              <w:right w:val="single" w:color="auto" w:sz="4" w:space="0"/>
            </w:tcBorders>
            <w:shd w:val="clear" w:color="auto" w:fill="auto"/>
            <w:vAlign w:val="center"/>
          </w:tcPr>
          <w:p w14:paraId="2F80A170">
            <w:pPr>
              <w:spacing w:after="0" w:line="240" w:lineRule="auto"/>
              <w:ind w:firstLine="0"/>
              <w:contextualSpacing/>
              <w:jc w:val="center"/>
              <w:rPr>
                <w:color w:val="000000"/>
                <w:sz w:val="20"/>
                <w:szCs w:val="20"/>
              </w:rPr>
            </w:pPr>
            <w:r>
              <w:rPr>
                <w:color w:val="000000"/>
                <w:sz w:val="20"/>
                <w:szCs w:val="20"/>
              </w:rPr>
              <w:t>6,02</w:t>
            </w:r>
          </w:p>
        </w:tc>
        <w:tc>
          <w:tcPr>
            <w:tcW w:w="1347" w:type="dxa"/>
            <w:tcBorders>
              <w:top w:val="nil"/>
              <w:left w:val="nil"/>
              <w:bottom w:val="single" w:color="auto" w:sz="4" w:space="0"/>
              <w:right w:val="single" w:color="auto" w:sz="4" w:space="0"/>
            </w:tcBorders>
            <w:shd w:val="clear" w:color="auto" w:fill="auto"/>
            <w:vAlign w:val="center"/>
          </w:tcPr>
          <w:p w14:paraId="7FC17524">
            <w:pPr>
              <w:spacing w:after="0" w:line="240" w:lineRule="auto"/>
              <w:ind w:firstLine="0"/>
              <w:contextualSpacing/>
              <w:jc w:val="center"/>
              <w:rPr>
                <w:color w:val="000000"/>
                <w:sz w:val="20"/>
                <w:szCs w:val="20"/>
              </w:rPr>
            </w:pPr>
            <w:r>
              <w:rPr>
                <w:sz w:val="20"/>
                <w:szCs w:val="20"/>
              </w:rPr>
              <w:t>5,94</w:t>
            </w:r>
          </w:p>
        </w:tc>
        <w:tc>
          <w:tcPr>
            <w:tcW w:w="1230" w:type="dxa"/>
            <w:tcBorders>
              <w:top w:val="nil"/>
              <w:left w:val="nil"/>
              <w:bottom w:val="single" w:color="auto" w:sz="4" w:space="0"/>
              <w:right w:val="single" w:color="auto" w:sz="4" w:space="0"/>
            </w:tcBorders>
            <w:shd w:val="clear" w:color="auto" w:fill="auto"/>
            <w:noWrap/>
            <w:vAlign w:val="center"/>
          </w:tcPr>
          <w:p w14:paraId="583F1C91">
            <w:pPr>
              <w:spacing w:after="0" w:line="240" w:lineRule="auto"/>
              <w:ind w:firstLine="0"/>
              <w:contextualSpacing/>
              <w:jc w:val="center"/>
              <w:rPr>
                <w:color w:val="000000"/>
                <w:sz w:val="20"/>
                <w:szCs w:val="20"/>
              </w:rPr>
            </w:pPr>
            <w:r>
              <w:rPr>
                <w:sz w:val="20"/>
                <w:szCs w:val="20"/>
              </w:rPr>
              <w:t>0,08</w:t>
            </w:r>
          </w:p>
        </w:tc>
        <w:tc>
          <w:tcPr>
            <w:tcW w:w="2750" w:type="dxa"/>
            <w:tcBorders>
              <w:top w:val="nil"/>
              <w:left w:val="nil"/>
              <w:bottom w:val="single" w:color="auto" w:sz="4" w:space="0"/>
              <w:right w:val="single" w:color="auto" w:sz="4" w:space="0"/>
            </w:tcBorders>
            <w:shd w:val="clear" w:color="auto" w:fill="auto"/>
            <w:vAlign w:val="center"/>
          </w:tcPr>
          <w:p w14:paraId="00BFE70E">
            <w:pPr>
              <w:spacing w:after="0" w:line="240" w:lineRule="auto"/>
              <w:ind w:firstLine="0"/>
              <w:contextualSpacing/>
              <w:jc w:val="center"/>
              <w:rPr>
                <w:color w:val="000000"/>
                <w:sz w:val="20"/>
                <w:szCs w:val="20"/>
                <w:lang w:val="en-US"/>
              </w:rPr>
            </w:pPr>
            <w:r>
              <w:rPr>
                <w:color w:val="000000"/>
                <w:sz w:val="20"/>
                <w:szCs w:val="20"/>
                <w:lang w:val="en-US"/>
              </w:rPr>
              <w:t>0</w:t>
            </w:r>
            <w:r>
              <w:rPr>
                <w:color w:val="000000"/>
                <w:sz w:val="20"/>
                <w:szCs w:val="20"/>
              </w:rPr>
              <w:t>,</w:t>
            </w:r>
            <w:r>
              <w:rPr>
                <w:color w:val="000000"/>
                <w:sz w:val="20"/>
                <w:szCs w:val="20"/>
                <w:lang w:val="en-US"/>
              </w:rPr>
              <w:t>039</w:t>
            </w:r>
          </w:p>
        </w:tc>
      </w:tr>
      <w:tr w14:paraId="3AF92ECA">
        <w:tblPrEx>
          <w:tblCellMar>
            <w:top w:w="0" w:type="dxa"/>
            <w:left w:w="28" w:type="dxa"/>
            <w:bottom w:w="0" w:type="dxa"/>
            <w:right w:w="28" w:type="dxa"/>
          </w:tblCellMar>
        </w:tblPrEx>
        <w:trPr>
          <w:trHeight w:val="20" w:hRule="atLeast"/>
        </w:trPr>
        <w:tc>
          <w:tcPr>
            <w:tcW w:w="2945" w:type="dxa"/>
            <w:tcBorders>
              <w:top w:val="nil"/>
              <w:left w:val="single" w:color="auto" w:sz="4" w:space="0"/>
              <w:bottom w:val="single" w:color="auto" w:sz="4" w:space="0"/>
              <w:right w:val="single" w:color="auto" w:sz="4" w:space="0"/>
            </w:tcBorders>
            <w:shd w:val="clear" w:color="auto" w:fill="auto"/>
            <w:vAlign w:val="center"/>
          </w:tcPr>
          <w:p w14:paraId="47D7C7B0">
            <w:pPr>
              <w:spacing w:after="0" w:line="240" w:lineRule="auto"/>
              <w:ind w:firstLine="0"/>
              <w:contextualSpacing/>
              <w:jc w:val="center"/>
              <w:rPr>
                <w:color w:val="000000"/>
                <w:sz w:val="20"/>
                <w:szCs w:val="20"/>
              </w:rPr>
            </w:pPr>
            <w:r>
              <w:rPr>
                <w:sz w:val="20"/>
                <w:szCs w:val="20"/>
              </w:rPr>
              <w:t>Котельная «2БВК»</w:t>
            </w:r>
          </w:p>
        </w:tc>
        <w:tc>
          <w:tcPr>
            <w:tcW w:w="1356" w:type="dxa"/>
            <w:tcBorders>
              <w:top w:val="nil"/>
              <w:left w:val="nil"/>
              <w:bottom w:val="single" w:color="auto" w:sz="4" w:space="0"/>
              <w:right w:val="single" w:color="auto" w:sz="4" w:space="0"/>
            </w:tcBorders>
            <w:shd w:val="clear" w:color="auto" w:fill="auto"/>
            <w:vAlign w:val="center"/>
          </w:tcPr>
          <w:p w14:paraId="7B5B49AA">
            <w:pPr>
              <w:spacing w:after="0" w:line="240" w:lineRule="auto"/>
              <w:ind w:firstLine="0"/>
              <w:contextualSpacing/>
              <w:jc w:val="center"/>
              <w:rPr>
                <w:color w:val="000000"/>
                <w:sz w:val="20"/>
                <w:szCs w:val="20"/>
              </w:rPr>
            </w:pPr>
            <w:r>
              <w:rPr>
                <w:color w:val="000000"/>
                <w:sz w:val="20"/>
                <w:szCs w:val="20"/>
              </w:rPr>
              <w:t>7,2</w:t>
            </w:r>
          </w:p>
        </w:tc>
        <w:tc>
          <w:tcPr>
            <w:tcW w:w="1347" w:type="dxa"/>
            <w:tcBorders>
              <w:top w:val="nil"/>
              <w:left w:val="nil"/>
              <w:bottom w:val="single" w:color="auto" w:sz="4" w:space="0"/>
              <w:right w:val="single" w:color="auto" w:sz="4" w:space="0"/>
            </w:tcBorders>
            <w:shd w:val="clear" w:color="auto" w:fill="auto"/>
            <w:vAlign w:val="center"/>
          </w:tcPr>
          <w:p w14:paraId="49EDBABD">
            <w:pPr>
              <w:spacing w:after="0" w:line="240" w:lineRule="auto"/>
              <w:ind w:firstLine="0"/>
              <w:contextualSpacing/>
              <w:jc w:val="center"/>
              <w:rPr>
                <w:color w:val="000000"/>
                <w:sz w:val="20"/>
                <w:szCs w:val="20"/>
              </w:rPr>
            </w:pPr>
            <w:r>
              <w:rPr>
                <w:color w:val="000000"/>
                <w:sz w:val="20"/>
                <w:szCs w:val="20"/>
              </w:rPr>
              <w:t>1,5</w:t>
            </w:r>
          </w:p>
        </w:tc>
        <w:tc>
          <w:tcPr>
            <w:tcW w:w="1230" w:type="dxa"/>
            <w:tcBorders>
              <w:top w:val="nil"/>
              <w:left w:val="nil"/>
              <w:bottom w:val="single" w:color="auto" w:sz="4" w:space="0"/>
              <w:right w:val="single" w:color="auto" w:sz="4" w:space="0"/>
            </w:tcBorders>
            <w:shd w:val="clear" w:color="auto" w:fill="auto"/>
            <w:noWrap/>
            <w:vAlign w:val="center"/>
          </w:tcPr>
          <w:p w14:paraId="414E6791">
            <w:pPr>
              <w:spacing w:after="0" w:line="240" w:lineRule="auto"/>
              <w:ind w:firstLine="0"/>
              <w:contextualSpacing/>
              <w:jc w:val="center"/>
              <w:rPr>
                <w:color w:val="000000"/>
                <w:sz w:val="20"/>
                <w:szCs w:val="20"/>
              </w:rPr>
            </w:pPr>
            <w:r>
              <w:rPr>
                <w:color w:val="000000"/>
                <w:sz w:val="20"/>
                <w:szCs w:val="20"/>
              </w:rPr>
              <w:t>5,7</w:t>
            </w:r>
          </w:p>
        </w:tc>
        <w:tc>
          <w:tcPr>
            <w:tcW w:w="2750" w:type="dxa"/>
            <w:tcBorders>
              <w:top w:val="nil"/>
              <w:left w:val="nil"/>
              <w:bottom w:val="single" w:color="auto" w:sz="4" w:space="0"/>
              <w:right w:val="single" w:color="auto" w:sz="4" w:space="0"/>
            </w:tcBorders>
            <w:shd w:val="clear" w:color="auto" w:fill="auto"/>
            <w:vAlign w:val="center"/>
          </w:tcPr>
          <w:p w14:paraId="1B599A63">
            <w:pPr>
              <w:spacing w:after="0" w:line="240" w:lineRule="auto"/>
              <w:ind w:firstLine="0"/>
              <w:contextualSpacing/>
              <w:jc w:val="center"/>
              <w:rPr>
                <w:color w:val="000000"/>
                <w:sz w:val="20"/>
                <w:szCs w:val="20"/>
              </w:rPr>
            </w:pPr>
            <w:r>
              <w:rPr>
                <w:color w:val="000000"/>
                <w:sz w:val="20"/>
                <w:szCs w:val="20"/>
              </w:rPr>
              <w:t>0,020</w:t>
            </w:r>
          </w:p>
        </w:tc>
      </w:tr>
      <w:tr w14:paraId="30325194">
        <w:tblPrEx>
          <w:tblCellMar>
            <w:top w:w="0" w:type="dxa"/>
            <w:left w:w="28" w:type="dxa"/>
            <w:bottom w:w="0" w:type="dxa"/>
            <w:right w:w="28" w:type="dxa"/>
          </w:tblCellMar>
        </w:tblPrEx>
        <w:trPr>
          <w:trHeight w:val="20" w:hRule="atLeast"/>
        </w:trPr>
        <w:tc>
          <w:tcPr>
            <w:tcW w:w="2945" w:type="dxa"/>
            <w:tcBorders>
              <w:top w:val="nil"/>
              <w:left w:val="single" w:color="auto" w:sz="4" w:space="0"/>
              <w:bottom w:val="single" w:color="auto" w:sz="4" w:space="0"/>
              <w:right w:val="single" w:color="auto" w:sz="4" w:space="0"/>
            </w:tcBorders>
            <w:shd w:val="clear" w:color="auto" w:fill="auto"/>
            <w:vAlign w:val="center"/>
          </w:tcPr>
          <w:p w14:paraId="5FEE86BC">
            <w:pPr>
              <w:spacing w:after="0" w:line="240" w:lineRule="auto"/>
              <w:ind w:firstLine="0"/>
              <w:contextualSpacing/>
              <w:jc w:val="center"/>
              <w:rPr>
                <w:color w:val="000000"/>
                <w:sz w:val="20"/>
                <w:szCs w:val="20"/>
              </w:rPr>
            </w:pPr>
            <w:r>
              <w:rPr>
                <w:sz w:val="20"/>
                <w:szCs w:val="20"/>
              </w:rPr>
              <w:t>Котельная «Вирбекс»</w:t>
            </w:r>
          </w:p>
        </w:tc>
        <w:tc>
          <w:tcPr>
            <w:tcW w:w="1356" w:type="dxa"/>
            <w:tcBorders>
              <w:top w:val="nil"/>
              <w:left w:val="nil"/>
              <w:bottom w:val="single" w:color="auto" w:sz="4" w:space="0"/>
              <w:right w:val="single" w:color="auto" w:sz="4" w:space="0"/>
            </w:tcBorders>
            <w:shd w:val="clear" w:color="auto" w:fill="auto"/>
            <w:vAlign w:val="center"/>
          </w:tcPr>
          <w:p w14:paraId="3C11C5C2">
            <w:pPr>
              <w:spacing w:after="0" w:line="240" w:lineRule="auto"/>
              <w:ind w:firstLine="0"/>
              <w:contextualSpacing/>
              <w:jc w:val="center"/>
              <w:rPr>
                <w:color w:val="000000"/>
                <w:sz w:val="20"/>
                <w:szCs w:val="20"/>
              </w:rPr>
            </w:pPr>
            <w:r>
              <w:rPr>
                <w:color w:val="000000"/>
                <w:sz w:val="20"/>
                <w:szCs w:val="20"/>
              </w:rPr>
              <w:t>2,8</w:t>
            </w:r>
          </w:p>
        </w:tc>
        <w:tc>
          <w:tcPr>
            <w:tcW w:w="1347" w:type="dxa"/>
            <w:tcBorders>
              <w:top w:val="nil"/>
              <w:left w:val="nil"/>
              <w:bottom w:val="single" w:color="auto" w:sz="4" w:space="0"/>
              <w:right w:val="single" w:color="auto" w:sz="4" w:space="0"/>
            </w:tcBorders>
            <w:shd w:val="clear" w:color="auto" w:fill="auto"/>
            <w:vAlign w:val="center"/>
          </w:tcPr>
          <w:p w14:paraId="58708BF7">
            <w:pPr>
              <w:spacing w:after="0" w:line="240" w:lineRule="auto"/>
              <w:ind w:firstLine="0"/>
              <w:contextualSpacing/>
              <w:jc w:val="center"/>
              <w:rPr>
                <w:color w:val="000000"/>
                <w:sz w:val="20"/>
                <w:szCs w:val="20"/>
              </w:rPr>
            </w:pPr>
            <w:r>
              <w:rPr>
                <w:color w:val="000000"/>
                <w:sz w:val="20"/>
                <w:szCs w:val="20"/>
              </w:rPr>
              <w:t>1,5</w:t>
            </w:r>
          </w:p>
        </w:tc>
        <w:tc>
          <w:tcPr>
            <w:tcW w:w="1230" w:type="dxa"/>
            <w:tcBorders>
              <w:top w:val="nil"/>
              <w:left w:val="nil"/>
              <w:bottom w:val="single" w:color="auto" w:sz="4" w:space="0"/>
              <w:right w:val="single" w:color="auto" w:sz="4" w:space="0"/>
            </w:tcBorders>
            <w:shd w:val="clear" w:color="auto" w:fill="auto"/>
            <w:noWrap/>
            <w:vAlign w:val="center"/>
          </w:tcPr>
          <w:p w14:paraId="064021F8">
            <w:pPr>
              <w:spacing w:after="0" w:line="240" w:lineRule="auto"/>
              <w:ind w:firstLine="0"/>
              <w:contextualSpacing/>
              <w:jc w:val="center"/>
              <w:rPr>
                <w:color w:val="000000"/>
                <w:sz w:val="20"/>
                <w:szCs w:val="20"/>
              </w:rPr>
            </w:pPr>
            <w:r>
              <w:rPr>
                <w:color w:val="000000"/>
                <w:sz w:val="20"/>
                <w:szCs w:val="20"/>
              </w:rPr>
              <w:t>1,3</w:t>
            </w:r>
          </w:p>
        </w:tc>
        <w:tc>
          <w:tcPr>
            <w:tcW w:w="2750" w:type="dxa"/>
            <w:tcBorders>
              <w:top w:val="nil"/>
              <w:left w:val="nil"/>
              <w:bottom w:val="single" w:color="auto" w:sz="4" w:space="0"/>
              <w:right w:val="single" w:color="auto" w:sz="4" w:space="0"/>
            </w:tcBorders>
            <w:shd w:val="clear" w:color="auto" w:fill="auto"/>
            <w:vAlign w:val="center"/>
          </w:tcPr>
          <w:p w14:paraId="06273CA1">
            <w:pPr>
              <w:spacing w:after="0" w:line="240" w:lineRule="auto"/>
              <w:ind w:firstLine="0"/>
              <w:contextualSpacing/>
              <w:jc w:val="center"/>
              <w:rPr>
                <w:color w:val="000000"/>
                <w:sz w:val="20"/>
                <w:szCs w:val="20"/>
              </w:rPr>
            </w:pPr>
            <w:r>
              <w:rPr>
                <w:color w:val="000000"/>
                <w:sz w:val="20"/>
                <w:szCs w:val="20"/>
              </w:rPr>
              <w:t>0,210</w:t>
            </w:r>
          </w:p>
        </w:tc>
      </w:tr>
      <w:tr w14:paraId="23853EC9">
        <w:tblPrEx>
          <w:tblCellMar>
            <w:top w:w="0" w:type="dxa"/>
            <w:left w:w="28" w:type="dxa"/>
            <w:bottom w:w="0" w:type="dxa"/>
            <w:right w:w="28" w:type="dxa"/>
          </w:tblCellMar>
        </w:tblPrEx>
        <w:trPr>
          <w:trHeight w:val="20" w:hRule="atLeast"/>
        </w:trPr>
        <w:tc>
          <w:tcPr>
            <w:tcW w:w="2945" w:type="dxa"/>
            <w:tcBorders>
              <w:top w:val="nil"/>
              <w:left w:val="single" w:color="auto" w:sz="4" w:space="0"/>
              <w:bottom w:val="single" w:color="auto" w:sz="4" w:space="0"/>
              <w:right w:val="single" w:color="auto" w:sz="4" w:space="0"/>
            </w:tcBorders>
            <w:shd w:val="clear" w:color="auto" w:fill="auto"/>
            <w:vAlign w:val="center"/>
          </w:tcPr>
          <w:p w14:paraId="4D4B4766">
            <w:pPr>
              <w:spacing w:after="0" w:line="240" w:lineRule="auto"/>
              <w:ind w:firstLine="0"/>
              <w:contextualSpacing/>
              <w:jc w:val="center"/>
              <w:rPr>
                <w:color w:val="000000"/>
                <w:sz w:val="20"/>
                <w:szCs w:val="20"/>
              </w:rPr>
            </w:pPr>
            <w:r>
              <w:rPr>
                <w:sz w:val="20"/>
                <w:szCs w:val="20"/>
              </w:rPr>
              <w:t>Теплоутилизационные установки КС «Верхнеказымская»</w:t>
            </w:r>
          </w:p>
        </w:tc>
        <w:tc>
          <w:tcPr>
            <w:tcW w:w="1356" w:type="dxa"/>
            <w:tcBorders>
              <w:top w:val="nil"/>
              <w:left w:val="nil"/>
              <w:bottom w:val="single" w:color="auto" w:sz="4" w:space="0"/>
              <w:right w:val="single" w:color="auto" w:sz="4" w:space="0"/>
            </w:tcBorders>
            <w:shd w:val="clear" w:color="auto" w:fill="auto"/>
            <w:vAlign w:val="center"/>
          </w:tcPr>
          <w:p w14:paraId="16C64E80">
            <w:pPr>
              <w:spacing w:after="0" w:line="240" w:lineRule="auto"/>
              <w:ind w:firstLine="0"/>
              <w:contextualSpacing/>
              <w:jc w:val="center"/>
              <w:rPr>
                <w:color w:val="000000"/>
                <w:sz w:val="20"/>
                <w:szCs w:val="20"/>
              </w:rPr>
            </w:pPr>
            <w:r>
              <w:rPr>
                <w:color w:val="000000"/>
                <w:sz w:val="20"/>
                <w:szCs w:val="20"/>
              </w:rPr>
              <w:t>37,72</w:t>
            </w:r>
          </w:p>
        </w:tc>
        <w:tc>
          <w:tcPr>
            <w:tcW w:w="1347" w:type="dxa"/>
            <w:tcBorders>
              <w:top w:val="nil"/>
              <w:left w:val="nil"/>
              <w:bottom w:val="single" w:color="auto" w:sz="4" w:space="0"/>
              <w:right w:val="single" w:color="auto" w:sz="4" w:space="0"/>
            </w:tcBorders>
            <w:shd w:val="clear" w:color="auto" w:fill="auto"/>
            <w:vAlign w:val="center"/>
          </w:tcPr>
          <w:p w14:paraId="5AE6C841">
            <w:pPr>
              <w:spacing w:after="0" w:line="240" w:lineRule="auto"/>
              <w:ind w:firstLine="0"/>
              <w:contextualSpacing/>
              <w:jc w:val="center"/>
              <w:rPr>
                <w:color w:val="000000"/>
                <w:sz w:val="20"/>
                <w:szCs w:val="20"/>
              </w:rPr>
            </w:pPr>
            <w:r>
              <w:rPr>
                <w:color w:val="000000"/>
                <w:sz w:val="20"/>
                <w:szCs w:val="20"/>
              </w:rPr>
              <w:t>9,4</w:t>
            </w:r>
          </w:p>
        </w:tc>
        <w:tc>
          <w:tcPr>
            <w:tcW w:w="1230" w:type="dxa"/>
            <w:tcBorders>
              <w:top w:val="nil"/>
              <w:left w:val="nil"/>
              <w:bottom w:val="single" w:color="auto" w:sz="4" w:space="0"/>
              <w:right w:val="single" w:color="auto" w:sz="4" w:space="0"/>
            </w:tcBorders>
            <w:shd w:val="clear" w:color="auto" w:fill="auto"/>
            <w:noWrap/>
            <w:vAlign w:val="center"/>
          </w:tcPr>
          <w:p w14:paraId="48DE62FF">
            <w:pPr>
              <w:spacing w:after="0" w:line="240" w:lineRule="auto"/>
              <w:ind w:firstLine="0"/>
              <w:contextualSpacing/>
              <w:jc w:val="center"/>
              <w:rPr>
                <w:color w:val="000000"/>
                <w:sz w:val="20"/>
                <w:szCs w:val="20"/>
              </w:rPr>
            </w:pPr>
            <w:r>
              <w:rPr>
                <w:color w:val="000000"/>
                <w:sz w:val="20"/>
                <w:szCs w:val="20"/>
              </w:rPr>
              <w:t>28,32</w:t>
            </w:r>
          </w:p>
        </w:tc>
        <w:tc>
          <w:tcPr>
            <w:tcW w:w="2750" w:type="dxa"/>
            <w:tcBorders>
              <w:top w:val="nil"/>
              <w:left w:val="nil"/>
              <w:bottom w:val="single" w:color="auto" w:sz="4" w:space="0"/>
              <w:right w:val="single" w:color="auto" w:sz="4" w:space="0"/>
            </w:tcBorders>
            <w:shd w:val="clear" w:color="auto" w:fill="auto"/>
            <w:vAlign w:val="center"/>
          </w:tcPr>
          <w:p w14:paraId="55B61CB0">
            <w:pPr>
              <w:spacing w:after="0" w:line="240" w:lineRule="auto"/>
              <w:ind w:firstLine="0"/>
              <w:contextualSpacing/>
              <w:jc w:val="center"/>
              <w:rPr>
                <w:color w:val="000000"/>
                <w:sz w:val="20"/>
                <w:szCs w:val="20"/>
              </w:rPr>
            </w:pPr>
            <w:r>
              <w:rPr>
                <w:color w:val="000000"/>
                <w:sz w:val="20"/>
                <w:szCs w:val="20"/>
              </w:rPr>
              <w:t>0,000</w:t>
            </w:r>
          </w:p>
        </w:tc>
      </w:tr>
    </w:tbl>
    <w:p w14:paraId="0CB3140F">
      <w:pPr>
        <w:pStyle w:val="404"/>
        <w:spacing w:line="240" w:lineRule="auto"/>
        <w:ind w:firstLine="0"/>
        <w:contextualSpacing/>
        <w:rPr>
          <w:rFonts w:cs="Times New Roman"/>
          <w:sz w:val="24"/>
          <w:szCs w:val="24"/>
        </w:rPr>
      </w:pPr>
    </w:p>
    <w:p w14:paraId="22BA507B">
      <w:pPr>
        <w:pStyle w:val="4"/>
        <w:spacing w:before="0" w:line="240" w:lineRule="auto"/>
        <w:ind w:left="0" w:firstLine="709"/>
        <w:contextualSpacing/>
        <w:rPr>
          <w:rFonts w:cs="Times New Roman"/>
          <w:b w:val="0"/>
          <w:sz w:val="24"/>
        </w:rPr>
      </w:pPr>
      <w:bookmarkStart w:id="59" w:name="_Toc524614963"/>
      <w:bookmarkStart w:id="60" w:name="_Toc524614747"/>
      <w:bookmarkStart w:id="61" w:name="_Toc182813868"/>
      <w:r>
        <w:rPr>
          <w:rFonts w:cs="Times New Roman"/>
          <w:b w:val="0"/>
          <w:sz w:val="24"/>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9"/>
      <w:bookmarkEnd w:id="60"/>
      <w:bookmarkEnd w:id="61"/>
    </w:p>
    <w:p w14:paraId="6305CE49">
      <w:pPr>
        <w:spacing w:after="0" w:line="240" w:lineRule="auto"/>
        <w:contextualSpacing/>
        <w:jc w:val="both"/>
        <w:rPr>
          <w:sz w:val="24"/>
          <w:szCs w:val="24"/>
        </w:rPr>
      </w:pPr>
      <w:r>
        <w:rPr>
          <w:sz w:val="24"/>
          <w:szCs w:val="24"/>
        </w:rPr>
        <w:t>Основное оборудование котельной и их технические характеристики представлены в таблице 11.</w:t>
      </w:r>
    </w:p>
    <w:p w14:paraId="7F6D55E8">
      <w:pPr>
        <w:spacing w:after="0" w:line="240" w:lineRule="auto"/>
        <w:contextualSpacing/>
        <w:jc w:val="both"/>
        <w:rPr>
          <w:sz w:val="24"/>
          <w:szCs w:val="24"/>
        </w:rPr>
      </w:pPr>
    </w:p>
    <w:p w14:paraId="6F13A4EC">
      <w:pPr>
        <w:spacing w:after="0" w:line="240" w:lineRule="auto"/>
        <w:ind w:firstLine="0"/>
        <w:contextualSpacing/>
        <w:jc w:val="both"/>
        <w:rPr>
          <w:highlight w:val="yellow"/>
        </w:rPr>
        <w:sectPr>
          <w:pgSz w:w="11906" w:h="16838"/>
          <w:pgMar w:top="1134" w:right="567" w:bottom="1134" w:left="1701" w:header="283" w:footer="567" w:gutter="0"/>
          <w:cols w:space="708" w:num="1"/>
          <w:docGrid w:linePitch="360" w:charSpace="0"/>
        </w:sectPr>
      </w:pPr>
    </w:p>
    <w:p w14:paraId="65678B1F">
      <w:pPr>
        <w:spacing w:after="0" w:line="240" w:lineRule="auto"/>
        <w:ind w:firstLine="0"/>
        <w:contextualSpacing/>
        <w:jc w:val="both"/>
        <w:rPr>
          <w:sz w:val="24"/>
        </w:rPr>
      </w:pPr>
      <w:r>
        <w:rPr>
          <w:bCs/>
          <w:sz w:val="24"/>
        </w:rPr>
        <w:t xml:space="preserve">Таблица </w:t>
      </w:r>
      <w:r>
        <w:rPr>
          <w:bCs/>
          <w:sz w:val="24"/>
        </w:rPr>
        <w:fldChar w:fldCharType="begin"/>
      </w:r>
      <w:r>
        <w:rPr>
          <w:bCs/>
          <w:sz w:val="24"/>
        </w:rPr>
        <w:instrText xml:space="preserve"> SEQ Таблица \* ARABIC </w:instrText>
      </w:r>
      <w:r>
        <w:rPr>
          <w:bCs/>
          <w:sz w:val="24"/>
        </w:rPr>
        <w:fldChar w:fldCharType="separate"/>
      </w:r>
      <w:r>
        <w:rPr>
          <w:bCs/>
          <w:sz w:val="24"/>
        </w:rPr>
        <w:t>11</w:t>
      </w:r>
      <w:r>
        <w:rPr>
          <w:bCs/>
          <w:sz w:val="24"/>
        </w:rPr>
        <w:fldChar w:fldCharType="end"/>
      </w:r>
      <w:r>
        <w:rPr>
          <w:bCs/>
          <w:sz w:val="24"/>
        </w:rPr>
        <w:t xml:space="preserve"> – Основное оборудование котельных и их технические характеристики</w:t>
      </w:r>
    </w:p>
    <w:tbl>
      <w:tblPr>
        <w:tblStyle w:val="1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1"/>
        <w:gridCol w:w="2845"/>
        <w:gridCol w:w="1177"/>
        <w:gridCol w:w="1337"/>
        <w:gridCol w:w="1477"/>
        <w:gridCol w:w="1635"/>
        <w:gridCol w:w="1436"/>
        <w:gridCol w:w="1277"/>
        <w:gridCol w:w="1417"/>
        <w:gridCol w:w="1418"/>
      </w:tblGrid>
      <w:tr w14:paraId="4BE8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598" w:type="dxa"/>
            <w:shd w:val="clear" w:color="auto" w:fill="auto"/>
            <w:vAlign w:val="center"/>
          </w:tcPr>
          <w:p w14:paraId="19740510">
            <w:pPr>
              <w:spacing w:after="0" w:line="240" w:lineRule="auto"/>
              <w:ind w:firstLine="0"/>
              <w:contextualSpacing/>
              <w:jc w:val="center"/>
              <w:rPr>
                <w:sz w:val="20"/>
                <w:szCs w:val="20"/>
              </w:rPr>
            </w:pPr>
            <w:r>
              <w:rPr>
                <w:sz w:val="20"/>
                <w:szCs w:val="20"/>
              </w:rPr>
              <w:t>№№ п/п</w:t>
            </w:r>
          </w:p>
        </w:tc>
        <w:tc>
          <w:tcPr>
            <w:tcW w:w="2832" w:type="dxa"/>
            <w:shd w:val="clear" w:color="auto" w:fill="auto"/>
            <w:vAlign w:val="center"/>
          </w:tcPr>
          <w:p w14:paraId="2DCB8989">
            <w:pPr>
              <w:spacing w:after="0" w:line="240" w:lineRule="auto"/>
              <w:ind w:firstLine="0"/>
              <w:contextualSpacing/>
              <w:jc w:val="center"/>
              <w:rPr>
                <w:sz w:val="20"/>
                <w:szCs w:val="20"/>
              </w:rPr>
            </w:pPr>
            <w:r>
              <w:rPr>
                <w:sz w:val="20"/>
                <w:szCs w:val="20"/>
              </w:rPr>
              <w:t>Наименование объекта (КС, УКПГ, ПХГ и т.д.)</w:t>
            </w:r>
          </w:p>
        </w:tc>
        <w:tc>
          <w:tcPr>
            <w:tcW w:w="1172" w:type="dxa"/>
            <w:shd w:val="clear" w:color="auto" w:fill="auto"/>
            <w:vAlign w:val="center"/>
          </w:tcPr>
          <w:p w14:paraId="3B32EC84">
            <w:pPr>
              <w:spacing w:after="0" w:line="240" w:lineRule="auto"/>
              <w:ind w:firstLine="0"/>
              <w:contextualSpacing/>
              <w:jc w:val="center"/>
              <w:rPr>
                <w:sz w:val="20"/>
                <w:szCs w:val="20"/>
              </w:rPr>
            </w:pPr>
            <w:r>
              <w:rPr>
                <w:sz w:val="20"/>
                <w:szCs w:val="20"/>
              </w:rPr>
              <w:t>Тип котла</w:t>
            </w:r>
          </w:p>
        </w:tc>
        <w:tc>
          <w:tcPr>
            <w:tcW w:w="1331" w:type="dxa"/>
            <w:shd w:val="clear" w:color="auto" w:fill="auto"/>
            <w:vAlign w:val="center"/>
          </w:tcPr>
          <w:p w14:paraId="001C95F7">
            <w:pPr>
              <w:spacing w:after="0" w:line="240" w:lineRule="auto"/>
              <w:ind w:firstLine="0"/>
              <w:contextualSpacing/>
              <w:jc w:val="center"/>
              <w:rPr>
                <w:sz w:val="20"/>
                <w:szCs w:val="20"/>
              </w:rPr>
            </w:pPr>
            <w:r>
              <w:rPr>
                <w:sz w:val="20"/>
                <w:szCs w:val="20"/>
              </w:rPr>
              <w:t>Количество котлов</w:t>
            </w:r>
            <w:r>
              <w:rPr>
                <w:sz w:val="20"/>
                <w:szCs w:val="20"/>
              </w:rPr>
              <w:br w:type="textWrapping"/>
            </w:r>
            <w:r>
              <w:rPr>
                <w:sz w:val="20"/>
                <w:szCs w:val="20"/>
              </w:rPr>
              <w:t>(шт.)</w:t>
            </w:r>
          </w:p>
        </w:tc>
        <w:tc>
          <w:tcPr>
            <w:tcW w:w="1470" w:type="dxa"/>
            <w:shd w:val="clear" w:color="auto" w:fill="auto"/>
            <w:vAlign w:val="center"/>
          </w:tcPr>
          <w:p w14:paraId="58D5A1BA">
            <w:pPr>
              <w:spacing w:after="0" w:line="240" w:lineRule="auto"/>
              <w:ind w:firstLine="0"/>
              <w:contextualSpacing/>
              <w:jc w:val="center"/>
              <w:rPr>
                <w:sz w:val="20"/>
                <w:szCs w:val="20"/>
              </w:rPr>
            </w:pPr>
            <w:r>
              <w:rPr>
                <w:sz w:val="20"/>
                <w:szCs w:val="20"/>
              </w:rPr>
              <w:t>Год ввода в эксплуатацию</w:t>
            </w:r>
          </w:p>
        </w:tc>
        <w:tc>
          <w:tcPr>
            <w:tcW w:w="1628" w:type="dxa"/>
            <w:shd w:val="clear" w:color="auto" w:fill="auto"/>
            <w:vAlign w:val="center"/>
          </w:tcPr>
          <w:p w14:paraId="47DFFDB4">
            <w:pPr>
              <w:spacing w:after="0" w:line="240" w:lineRule="auto"/>
              <w:ind w:firstLine="0"/>
              <w:contextualSpacing/>
              <w:jc w:val="center"/>
              <w:rPr>
                <w:sz w:val="20"/>
                <w:szCs w:val="20"/>
              </w:rPr>
            </w:pPr>
            <w:r>
              <w:rPr>
                <w:sz w:val="20"/>
                <w:szCs w:val="20"/>
              </w:rPr>
              <w:t>Номинальная</w:t>
            </w:r>
            <w:r>
              <w:rPr>
                <w:sz w:val="20"/>
                <w:szCs w:val="20"/>
              </w:rPr>
              <w:br w:type="textWrapping"/>
            </w:r>
            <w:r>
              <w:rPr>
                <w:sz w:val="20"/>
                <w:szCs w:val="20"/>
              </w:rPr>
              <w:t>теплопроизводи-</w:t>
            </w:r>
            <w:r>
              <w:rPr>
                <w:sz w:val="20"/>
                <w:szCs w:val="20"/>
              </w:rPr>
              <w:br w:type="textWrapping"/>
            </w:r>
            <w:r>
              <w:rPr>
                <w:sz w:val="20"/>
                <w:szCs w:val="20"/>
              </w:rPr>
              <w:t>тельность</w:t>
            </w:r>
            <w:r>
              <w:rPr>
                <w:sz w:val="20"/>
                <w:szCs w:val="20"/>
              </w:rPr>
              <w:br w:type="textWrapping"/>
            </w:r>
            <w:r>
              <w:rPr>
                <w:sz w:val="20"/>
                <w:szCs w:val="20"/>
              </w:rPr>
              <w:t>(Гкал/ч, т/ч)</w:t>
            </w:r>
          </w:p>
        </w:tc>
        <w:tc>
          <w:tcPr>
            <w:tcW w:w="1430" w:type="dxa"/>
            <w:shd w:val="clear" w:color="auto" w:fill="auto"/>
            <w:vAlign w:val="center"/>
          </w:tcPr>
          <w:p w14:paraId="18070C2B">
            <w:pPr>
              <w:spacing w:after="0" w:line="240" w:lineRule="auto"/>
              <w:ind w:firstLine="0"/>
              <w:contextualSpacing/>
              <w:jc w:val="center"/>
              <w:rPr>
                <w:sz w:val="20"/>
                <w:szCs w:val="20"/>
              </w:rPr>
            </w:pPr>
            <w:r>
              <w:rPr>
                <w:sz w:val="20"/>
                <w:szCs w:val="20"/>
              </w:rPr>
              <w:t>Завод-изготовитель</w:t>
            </w:r>
          </w:p>
        </w:tc>
        <w:tc>
          <w:tcPr>
            <w:tcW w:w="1271" w:type="dxa"/>
            <w:shd w:val="clear" w:color="auto" w:fill="auto"/>
            <w:vAlign w:val="center"/>
          </w:tcPr>
          <w:p w14:paraId="7716E3E5">
            <w:pPr>
              <w:spacing w:after="0" w:line="240" w:lineRule="auto"/>
              <w:ind w:firstLine="0"/>
              <w:contextualSpacing/>
              <w:jc w:val="center"/>
              <w:rPr>
                <w:sz w:val="20"/>
                <w:szCs w:val="20"/>
              </w:rPr>
            </w:pPr>
            <w:r>
              <w:rPr>
                <w:sz w:val="20"/>
                <w:szCs w:val="20"/>
              </w:rPr>
              <w:t>Год окончания срока службы</w:t>
            </w:r>
          </w:p>
        </w:tc>
        <w:tc>
          <w:tcPr>
            <w:tcW w:w="1411" w:type="dxa"/>
            <w:shd w:val="clear" w:color="auto" w:fill="auto"/>
            <w:vAlign w:val="center"/>
          </w:tcPr>
          <w:p w14:paraId="0FA75863">
            <w:pPr>
              <w:spacing w:after="0" w:line="240" w:lineRule="auto"/>
              <w:ind w:firstLine="0"/>
              <w:contextualSpacing/>
              <w:jc w:val="center"/>
              <w:rPr>
                <w:sz w:val="20"/>
                <w:szCs w:val="20"/>
              </w:rPr>
            </w:pPr>
            <w:r>
              <w:rPr>
                <w:sz w:val="20"/>
                <w:szCs w:val="20"/>
              </w:rPr>
              <w:t>Дата проведения последнего технического диагности-рования</w:t>
            </w:r>
          </w:p>
        </w:tc>
        <w:tc>
          <w:tcPr>
            <w:tcW w:w="1411" w:type="dxa"/>
            <w:shd w:val="clear" w:color="auto" w:fill="auto"/>
            <w:vAlign w:val="center"/>
          </w:tcPr>
          <w:p w14:paraId="5BF0DF8E">
            <w:pPr>
              <w:spacing w:after="0" w:line="240" w:lineRule="auto"/>
              <w:ind w:firstLine="0"/>
              <w:contextualSpacing/>
              <w:jc w:val="center"/>
              <w:rPr>
                <w:sz w:val="20"/>
                <w:szCs w:val="20"/>
              </w:rPr>
            </w:pPr>
            <w:r>
              <w:rPr>
                <w:sz w:val="20"/>
                <w:szCs w:val="20"/>
              </w:rPr>
              <w:t>Год окончания остаточного ресурса</w:t>
            </w:r>
          </w:p>
        </w:tc>
      </w:tr>
      <w:tr w14:paraId="393C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554" w:type="dxa"/>
            <w:gridSpan w:val="10"/>
            <w:shd w:val="clear" w:color="auto" w:fill="auto"/>
            <w:vAlign w:val="center"/>
          </w:tcPr>
          <w:p w14:paraId="57C2659E">
            <w:pPr>
              <w:spacing w:after="0" w:line="240" w:lineRule="auto"/>
              <w:ind w:firstLine="0"/>
              <w:contextualSpacing/>
              <w:jc w:val="center"/>
              <w:rPr>
                <w:sz w:val="20"/>
                <w:szCs w:val="20"/>
              </w:rPr>
            </w:pPr>
            <w:r>
              <w:rPr>
                <w:sz w:val="20"/>
                <w:szCs w:val="20"/>
              </w:rPr>
              <w:t>ООО «Газпром трансгаз Югорск» Верхнеказымское ЛПУ МГ</w:t>
            </w:r>
          </w:p>
        </w:tc>
      </w:tr>
      <w:tr w14:paraId="0485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98" w:type="dxa"/>
            <w:shd w:val="clear" w:color="auto" w:fill="auto"/>
            <w:vAlign w:val="center"/>
          </w:tcPr>
          <w:p w14:paraId="31ABBA03">
            <w:pPr>
              <w:spacing w:after="0" w:line="240" w:lineRule="auto"/>
              <w:ind w:firstLine="0"/>
              <w:contextualSpacing/>
              <w:jc w:val="center"/>
              <w:rPr>
                <w:sz w:val="20"/>
                <w:szCs w:val="20"/>
              </w:rPr>
            </w:pPr>
            <w:r>
              <w:rPr>
                <w:sz w:val="20"/>
                <w:szCs w:val="20"/>
              </w:rPr>
              <w:t>1.</w:t>
            </w:r>
          </w:p>
        </w:tc>
        <w:tc>
          <w:tcPr>
            <w:tcW w:w="2832" w:type="dxa"/>
            <w:shd w:val="clear" w:color="auto" w:fill="auto"/>
            <w:vAlign w:val="center"/>
          </w:tcPr>
          <w:p w14:paraId="11AFFB5A">
            <w:pPr>
              <w:spacing w:after="0" w:line="240" w:lineRule="auto"/>
              <w:ind w:firstLine="0"/>
              <w:contextualSpacing/>
              <w:jc w:val="center"/>
              <w:rPr>
                <w:sz w:val="20"/>
                <w:szCs w:val="20"/>
              </w:rPr>
            </w:pPr>
            <w:r>
              <w:rPr>
                <w:sz w:val="20"/>
                <w:szCs w:val="20"/>
              </w:rPr>
              <w:t>ВВД-1.8 № 1</w:t>
            </w:r>
          </w:p>
        </w:tc>
        <w:tc>
          <w:tcPr>
            <w:tcW w:w="1172" w:type="dxa"/>
            <w:shd w:val="clear" w:color="auto" w:fill="auto"/>
            <w:vAlign w:val="center"/>
          </w:tcPr>
          <w:p w14:paraId="14BAE7CD">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52B27D1E">
            <w:pPr>
              <w:spacing w:after="0" w:line="240" w:lineRule="auto"/>
              <w:ind w:firstLine="0"/>
              <w:contextualSpacing/>
              <w:jc w:val="center"/>
              <w:rPr>
                <w:sz w:val="20"/>
                <w:szCs w:val="20"/>
              </w:rPr>
            </w:pPr>
            <w:r>
              <w:rPr>
                <w:sz w:val="20"/>
                <w:szCs w:val="20"/>
              </w:rPr>
              <w:t>1</w:t>
            </w:r>
          </w:p>
        </w:tc>
        <w:tc>
          <w:tcPr>
            <w:tcW w:w="1470" w:type="dxa"/>
            <w:shd w:val="clear" w:color="000000" w:fill="FFFFFF"/>
            <w:vAlign w:val="center"/>
          </w:tcPr>
          <w:p w14:paraId="1E6E4F8C">
            <w:pPr>
              <w:spacing w:after="0" w:line="240" w:lineRule="auto"/>
              <w:ind w:firstLine="0"/>
              <w:contextualSpacing/>
              <w:jc w:val="center"/>
              <w:rPr>
                <w:sz w:val="20"/>
                <w:szCs w:val="20"/>
              </w:rPr>
            </w:pPr>
            <w:r>
              <w:rPr>
                <w:sz w:val="20"/>
                <w:szCs w:val="20"/>
              </w:rPr>
              <w:t>1983</w:t>
            </w:r>
          </w:p>
        </w:tc>
        <w:tc>
          <w:tcPr>
            <w:tcW w:w="1628" w:type="dxa"/>
            <w:shd w:val="clear" w:color="auto" w:fill="auto"/>
            <w:vAlign w:val="center"/>
          </w:tcPr>
          <w:p w14:paraId="50B336D4">
            <w:pPr>
              <w:spacing w:after="0" w:line="240" w:lineRule="auto"/>
              <w:ind w:firstLine="0"/>
              <w:contextualSpacing/>
              <w:jc w:val="center"/>
              <w:rPr>
                <w:color w:val="000000" w:themeColor="text1"/>
                <w:sz w:val="20"/>
                <w:szCs w:val="20"/>
              </w:rPr>
            </w:pPr>
            <w:r>
              <w:rPr>
                <w:color w:val="000000" w:themeColor="text1"/>
                <w:sz w:val="20"/>
                <w:szCs w:val="20"/>
              </w:rPr>
              <w:t>1,8</w:t>
            </w:r>
          </w:p>
        </w:tc>
        <w:tc>
          <w:tcPr>
            <w:tcW w:w="1430" w:type="dxa"/>
            <w:shd w:val="clear" w:color="auto" w:fill="auto"/>
            <w:vAlign w:val="center"/>
          </w:tcPr>
          <w:p w14:paraId="533518FA">
            <w:pPr>
              <w:spacing w:after="0" w:line="240" w:lineRule="auto"/>
              <w:ind w:firstLine="0"/>
              <w:contextualSpacing/>
              <w:jc w:val="center"/>
              <w:rPr>
                <w:sz w:val="20"/>
                <w:szCs w:val="20"/>
              </w:rPr>
            </w:pPr>
            <w:r>
              <w:rPr>
                <w:sz w:val="20"/>
                <w:szCs w:val="20"/>
              </w:rPr>
              <w:t>СССР «Сибкомплект монтаж»</w:t>
            </w:r>
          </w:p>
        </w:tc>
        <w:tc>
          <w:tcPr>
            <w:tcW w:w="1271" w:type="dxa"/>
            <w:shd w:val="clear" w:color="auto" w:fill="auto"/>
            <w:vAlign w:val="center"/>
          </w:tcPr>
          <w:p w14:paraId="60ED2A5C">
            <w:pPr>
              <w:spacing w:after="0" w:line="240" w:lineRule="auto"/>
              <w:ind w:firstLine="0"/>
              <w:contextualSpacing/>
              <w:jc w:val="center"/>
              <w:rPr>
                <w:sz w:val="20"/>
                <w:szCs w:val="20"/>
              </w:rPr>
            </w:pPr>
            <w:r>
              <w:rPr>
                <w:sz w:val="20"/>
                <w:szCs w:val="20"/>
              </w:rPr>
              <w:t>2012</w:t>
            </w:r>
          </w:p>
        </w:tc>
        <w:tc>
          <w:tcPr>
            <w:tcW w:w="1411" w:type="dxa"/>
            <w:shd w:val="clear" w:color="auto" w:fill="auto"/>
            <w:vAlign w:val="center"/>
          </w:tcPr>
          <w:p w14:paraId="2FE0DAE5">
            <w:pPr>
              <w:spacing w:after="0" w:line="240" w:lineRule="auto"/>
              <w:ind w:firstLine="0"/>
              <w:contextualSpacing/>
              <w:jc w:val="center"/>
              <w:rPr>
                <w:sz w:val="20"/>
                <w:szCs w:val="20"/>
              </w:rPr>
            </w:pPr>
            <w:r>
              <w:rPr>
                <w:sz w:val="20"/>
                <w:szCs w:val="20"/>
              </w:rPr>
              <w:t>2007</w:t>
            </w:r>
          </w:p>
        </w:tc>
        <w:tc>
          <w:tcPr>
            <w:tcW w:w="1411" w:type="dxa"/>
            <w:shd w:val="clear" w:color="auto" w:fill="auto"/>
            <w:vAlign w:val="center"/>
          </w:tcPr>
          <w:p w14:paraId="532C0940">
            <w:pPr>
              <w:spacing w:after="0" w:line="240" w:lineRule="auto"/>
              <w:ind w:firstLine="0"/>
              <w:contextualSpacing/>
              <w:jc w:val="center"/>
              <w:rPr>
                <w:sz w:val="20"/>
                <w:szCs w:val="20"/>
              </w:rPr>
            </w:pPr>
            <w:r>
              <w:rPr>
                <w:sz w:val="20"/>
                <w:szCs w:val="20"/>
              </w:rPr>
              <w:t>2012</w:t>
            </w:r>
          </w:p>
        </w:tc>
      </w:tr>
      <w:tr w14:paraId="0DF3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98" w:type="dxa"/>
            <w:shd w:val="clear" w:color="auto" w:fill="auto"/>
            <w:vAlign w:val="center"/>
          </w:tcPr>
          <w:p w14:paraId="46A56A25">
            <w:pPr>
              <w:spacing w:after="0" w:line="240" w:lineRule="auto"/>
              <w:ind w:firstLine="0"/>
              <w:contextualSpacing/>
              <w:jc w:val="center"/>
              <w:rPr>
                <w:sz w:val="20"/>
                <w:szCs w:val="20"/>
              </w:rPr>
            </w:pPr>
            <w:r>
              <w:rPr>
                <w:sz w:val="20"/>
                <w:szCs w:val="20"/>
              </w:rPr>
              <w:t>2.</w:t>
            </w:r>
          </w:p>
        </w:tc>
        <w:tc>
          <w:tcPr>
            <w:tcW w:w="2832" w:type="dxa"/>
            <w:shd w:val="clear" w:color="auto" w:fill="auto"/>
            <w:vAlign w:val="center"/>
          </w:tcPr>
          <w:p w14:paraId="4167463F">
            <w:pPr>
              <w:spacing w:after="0" w:line="240" w:lineRule="auto"/>
              <w:ind w:firstLine="0"/>
              <w:contextualSpacing/>
              <w:jc w:val="center"/>
              <w:rPr>
                <w:sz w:val="20"/>
                <w:szCs w:val="20"/>
              </w:rPr>
            </w:pPr>
            <w:r>
              <w:rPr>
                <w:sz w:val="20"/>
                <w:szCs w:val="20"/>
              </w:rPr>
              <w:t>ВВД-1.8 № 2</w:t>
            </w:r>
          </w:p>
        </w:tc>
        <w:tc>
          <w:tcPr>
            <w:tcW w:w="1172" w:type="dxa"/>
            <w:shd w:val="clear" w:color="auto" w:fill="auto"/>
            <w:vAlign w:val="center"/>
          </w:tcPr>
          <w:p w14:paraId="7EA07A6C">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2928DF1E">
            <w:pPr>
              <w:spacing w:after="0" w:line="240" w:lineRule="auto"/>
              <w:ind w:firstLine="0"/>
              <w:contextualSpacing/>
              <w:jc w:val="center"/>
              <w:rPr>
                <w:sz w:val="20"/>
                <w:szCs w:val="20"/>
              </w:rPr>
            </w:pPr>
            <w:r>
              <w:rPr>
                <w:sz w:val="20"/>
                <w:szCs w:val="20"/>
              </w:rPr>
              <w:t>1</w:t>
            </w:r>
          </w:p>
        </w:tc>
        <w:tc>
          <w:tcPr>
            <w:tcW w:w="1470" w:type="dxa"/>
            <w:shd w:val="clear" w:color="000000" w:fill="FFFFFF"/>
            <w:vAlign w:val="center"/>
          </w:tcPr>
          <w:p w14:paraId="1ABDE61C">
            <w:pPr>
              <w:spacing w:after="0" w:line="240" w:lineRule="auto"/>
              <w:ind w:firstLine="0"/>
              <w:contextualSpacing/>
              <w:jc w:val="center"/>
              <w:rPr>
                <w:sz w:val="20"/>
                <w:szCs w:val="20"/>
              </w:rPr>
            </w:pPr>
            <w:r>
              <w:rPr>
                <w:sz w:val="20"/>
                <w:szCs w:val="20"/>
              </w:rPr>
              <w:t>1983</w:t>
            </w:r>
          </w:p>
        </w:tc>
        <w:tc>
          <w:tcPr>
            <w:tcW w:w="1628" w:type="dxa"/>
            <w:shd w:val="clear" w:color="auto" w:fill="auto"/>
            <w:vAlign w:val="center"/>
          </w:tcPr>
          <w:p w14:paraId="31006985">
            <w:pPr>
              <w:spacing w:after="0" w:line="240" w:lineRule="auto"/>
              <w:ind w:firstLine="0"/>
              <w:contextualSpacing/>
              <w:jc w:val="center"/>
              <w:rPr>
                <w:color w:val="000000" w:themeColor="text1"/>
                <w:sz w:val="20"/>
                <w:szCs w:val="20"/>
              </w:rPr>
            </w:pPr>
            <w:r>
              <w:rPr>
                <w:color w:val="000000" w:themeColor="text1"/>
                <w:sz w:val="20"/>
                <w:szCs w:val="20"/>
              </w:rPr>
              <w:t>1,8</w:t>
            </w:r>
          </w:p>
        </w:tc>
        <w:tc>
          <w:tcPr>
            <w:tcW w:w="1430" w:type="dxa"/>
            <w:shd w:val="clear" w:color="auto" w:fill="auto"/>
          </w:tcPr>
          <w:p w14:paraId="42039DA6">
            <w:pPr>
              <w:spacing w:after="0" w:line="240" w:lineRule="auto"/>
              <w:ind w:firstLine="0"/>
              <w:contextualSpacing/>
              <w:jc w:val="center"/>
              <w:rPr>
                <w:sz w:val="20"/>
                <w:szCs w:val="20"/>
              </w:rPr>
            </w:pPr>
            <w:r>
              <w:rPr>
                <w:sz w:val="20"/>
                <w:szCs w:val="20"/>
              </w:rPr>
              <w:t>СССР «Сибкомплект монтаж»</w:t>
            </w:r>
          </w:p>
        </w:tc>
        <w:tc>
          <w:tcPr>
            <w:tcW w:w="1271" w:type="dxa"/>
            <w:shd w:val="clear" w:color="auto" w:fill="auto"/>
            <w:vAlign w:val="center"/>
          </w:tcPr>
          <w:p w14:paraId="3A2EB688">
            <w:pPr>
              <w:spacing w:after="0" w:line="240" w:lineRule="auto"/>
              <w:ind w:firstLine="0"/>
              <w:contextualSpacing/>
              <w:jc w:val="center"/>
              <w:rPr>
                <w:sz w:val="20"/>
                <w:szCs w:val="20"/>
              </w:rPr>
            </w:pPr>
            <w:r>
              <w:rPr>
                <w:sz w:val="20"/>
                <w:szCs w:val="20"/>
              </w:rPr>
              <w:t>2012</w:t>
            </w:r>
          </w:p>
        </w:tc>
        <w:tc>
          <w:tcPr>
            <w:tcW w:w="1411" w:type="dxa"/>
            <w:shd w:val="clear" w:color="auto" w:fill="auto"/>
            <w:vAlign w:val="center"/>
          </w:tcPr>
          <w:p w14:paraId="028D2DC9">
            <w:pPr>
              <w:spacing w:after="0" w:line="240" w:lineRule="auto"/>
              <w:ind w:firstLine="0"/>
              <w:contextualSpacing/>
              <w:jc w:val="center"/>
              <w:rPr>
                <w:sz w:val="20"/>
                <w:szCs w:val="20"/>
              </w:rPr>
            </w:pPr>
            <w:r>
              <w:rPr>
                <w:sz w:val="20"/>
                <w:szCs w:val="20"/>
              </w:rPr>
              <w:t>2007</w:t>
            </w:r>
          </w:p>
        </w:tc>
        <w:tc>
          <w:tcPr>
            <w:tcW w:w="1411" w:type="dxa"/>
            <w:shd w:val="clear" w:color="auto" w:fill="auto"/>
            <w:vAlign w:val="center"/>
          </w:tcPr>
          <w:p w14:paraId="67D255D8">
            <w:pPr>
              <w:spacing w:after="0" w:line="240" w:lineRule="auto"/>
              <w:ind w:firstLine="0"/>
              <w:contextualSpacing/>
              <w:jc w:val="center"/>
              <w:rPr>
                <w:sz w:val="20"/>
                <w:szCs w:val="20"/>
              </w:rPr>
            </w:pPr>
            <w:r>
              <w:rPr>
                <w:sz w:val="20"/>
                <w:szCs w:val="20"/>
              </w:rPr>
              <w:t>2012</w:t>
            </w:r>
          </w:p>
        </w:tc>
      </w:tr>
      <w:tr w14:paraId="2981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98" w:type="dxa"/>
            <w:shd w:val="clear" w:color="auto" w:fill="auto"/>
            <w:vAlign w:val="center"/>
          </w:tcPr>
          <w:p w14:paraId="6874DFBB">
            <w:pPr>
              <w:spacing w:after="0" w:line="240" w:lineRule="auto"/>
              <w:ind w:firstLine="0"/>
              <w:contextualSpacing/>
              <w:jc w:val="center"/>
              <w:rPr>
                <w:sz w:val="20"/>
                <w:szCs w:val="20"/>
              </w:rPr>
            </w:pPr>
            <w:r>
              <w:rPr>
                <w:sz w:val="20"/>
                <w:szCs w:val="20"/>
              </w:rPr>
              <w:t>3.</w:t>
            </w:r>
          </w:p>
        </w:tc>
        <w:tc>
          <w:tcPr>
            <w:tcW w:w="2832" w:type="dxa"/>
            <w:shd w:val="clear" w:color="auto" w:fill="auto"/>
            <w:vAlign w:val="center"/>
          </w:tcPr>
          <w:p w14:paraId="375F0647">
            <w:pPr>
              <w:spacing w:after="0" w:line="240" w:lineRule="auto"/>
              <w:ind w:firstLine="0"/>
              <w:contextualSpacing/>
              <w:jc w:val="center"/>
              <w:rPr>
                <w:sz w:val="20"/>
                <w:szCs w:val="20"/>
              </w:rPr>
            </w:pPr>
            <w:r>
              <w:rPr>
                <w:sz w:val="20"/>
                <w:szCs w:val="20"/>
              </w:rPr>
              <w:t>ВВД-1.8 № 3</w:t>
            </w:r>
          </w:p>
        </w:tc>
        <w:tc>
          <w:tcPr>
            <w:tcW w:w="1172" w:type="dxa"/>
            <w:shd w:val="clear" w:color="auto" w:fill="auto"/>
            <w:vAlign w:val="center"/>
          </w:tcPr>
          <w:p w14:paraId="0DA37D02">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647D4F87">
            <w:pPr>
              <w:spacing w:after="0" w:line="240" w:lineRule="auto"/>
              <w:ind w:firstLine="0"/>
              <w:contextualSpacing/>
              <w:jc w:val="center"/>
              <w:rPr>
                <w:sz w:val="20"/>
                <w:szCs w:val="20"/>
              </w:rPr>
            </w:pPr>
            <w:r>
              <w:rPr>
                <w:sz w:val="20"/>
                <w:szCs w:val="20"/>
              </w:rPr>
              <w:t>1</w:t>
            </w:r>
          </w:p>
        </w:tc>
        <w:tc>
          <w:tcPr>
            <w:tcW w:w="1470" w:type="dxa"/>
            <w:shd w:val="clear" w:color="000000" w:fill="FFFFFF"/>
            <w:vAlign w:val="center"/>
          </w:tcPr>
          <w:p w14:paraId="6DBB50F5">
            <w:pPr>
              <w:spacing w:after="0" w:line="240" w:lineRule="auto"/>
              <w:ind w:firstLine="0"/>
              <w:contextualSpacing/>
              <w:jc w:val="center"/>
              <w:rPr>
                <w:sz w:val="20"/>
                <w:szCs w:val="20"/>
              </w:rPr>
            </w:pPr>
            <w:r>
              <w:rPr>
                <w:sz w:val="20"/>
                <w:szCs w:val="20"/>
              </w:rPr>
              <w:t>1983</w:t>
            </w:r>
          </w:p>
        </w:tc>
        <w:tc>
          <w:tcPr>
            <w:tcW w:w="1628" w:type="dxa"/>
            <w:shd w:val="clear" w:color="auto" w:fill="auto"/>
            <w:vAlign w:val="center"/>
          </w:tcPr>
          <w:p w14:paraId="1BAAE152">
            <w:pPr>
              <w:spacing w:after="0" w:line="240" w:lineRule="auto"/>
              <w:ind w:firstLine="0"/>
              <w:contextualSpacing/>
              <w:jc w:val="center"/>
              <w:rPr>
                <w:color w:val="000000" w:themeColor="text1"/>
                <w:sz w:val="20"/>
                <w:szCs w:val="20"/>
              </w:rPr>
            </w:pPr>
            <w:r>
              <w:rPr>
                <w:color w:val="000000" w:themeColor="text1"/>
                <w:sz w:val="20"/>
                <w:szCs w:val="20"/>
              </w:rPr>
              <w:t>1,8</w:t>
            </w:r>
          </w:p>
        </w:tc>
        <w:tc>
          <w:tcPr>
            <w:tcW w:w="1430" w:type="dxa"/>
            <w:shd w:val="clear" w:color="auto" w:fill="auto"/>
          </w:tcPr>
          <w:p w14:paraId="36F16BDB">
            <w:pPr>
              <w:spacing w:after="0" w:line="240" w:lineRule="auto"/>
              <w:ind w:firstLine="0"/>
              <w:contextualSpacing/>
              <w:jc w:val="center"/>
              <w:rPr>
                <w:sz w:val="20"/>
                <w:szCs w:val="20"/>
              </w:rPr>
            </w:pPr>
            <w:r>
              <w:rPr>
                <w:sz w:val="20"/>
                <w:szCs w:val="20"/>
              </w:rPr>
              <w:t>СССР «Сибкомплект монтаж»</w:t>
            </w:r>
          </w:p>
        </w:tc>
        <w:tc>
          <w:tcPr>
            <w:tcW w:w="1271" w:type="dxa"/>
            <w:shd w:val="clear" w:color="auto" w:fill="auto"/>
            <w:vAlign w:val="center"/>
          </w:tcPr>
          <w:p w14:paraId="3B7099DE">
            <w:pPr>
              <w:spacing w:after="0" w:line="240" w:lineRule="auto"/>
              <w:ind w:firstLine="0"/>
              <w:contextualSpacing/>
              <w:jc w:val="center"/>
              <w:rPr>
                <w:sz w:val="20"/>
                <w:szCs w:val="20"/>
              </w:rPr>
            </w:pPr>
            <w:r>
              <w:rPr>
                <w:sz w:val="20"/>
                <w:szCs w:val="20"/>
              </w:rPr>
              <w:t>2012</w:t>
            </w:r>
          </w:p>
        </w:tc>
        <w:tc>
          <w:tcPr>
            <w:tcW w:w="1411" w:type="dxa"/>
            <w:shd w:val="clear" w:color="auto" w:fill="auto"/>
            <w:vAlign w:val="center"/>
          </w:tcPr>
          <w:p w14:paraId="24240520">
            <w:pPr>
              <w:spacing w:after="0" w:line="240" w:lineRule="auto"/>
              <w:ind w:firstLine="0"/>
              <w:contextualSpacing/>
              <w:jc w:val="center"/>
              <w:rPr>
                <w:sz w:val="20"/>
                <w:szCs w:val="20"/>
              </w:rPr>
            </w:pPr>
            <w:r>
              <w:rPr>
                <w:sz w:val="20"/>
                <w:szCs w:val="20"/>
              </w:rPr>
              <w:t>2007</w:t>
            </w:r>
          </w:p>
        </w:tc>
        <w:tc>
          <w:tcPr>
            <w:tcW w:w="1411" w:type="dxa"/>
            <w:shd w:val="clear" w:color="auto" w:fill="auto"/>
            <w:vAlign w:val="center"/>
          </w:tcPr>
          <w:p w14:paraId="4B84D6DA">
            <w:pPr>
              <w:spacing w:after="0" w:line="240" w:lineRule="auto"/>
              <w:ind w:firstLine="0"/>
              <w:contextualSpacing/>
              <w:jc w:val="center"/>
              <w:rPr>
                <w:sz w:val="20"/>
                <w:szCs w:val="20"/>
              </w:rPr>
            </w:pPr>
            <w:r>
              <w:rPr>
                <w:sz w:val="20"/>
                <w:szCs w:val="20"/>
              </w:rPr>
              <w:t>2012</w:t>
            </w:r>
          </w:p>
        </w:tc>
      </w:tr>
      <w:tr w14:paraId="4A63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98" w:type="dxa"/>
            <w:shd w:val="clear" w:color="auto" w:fill="auto"/>
            <w:vAlign w:val="center"/>
          </w:tcPr>
          <w:p w14:paraId="28F99C6E">
            <w:pPr>
              <w:spacing w:after="0" w:line="240" w:lineRule="auto"/>
              <w:ind w:firstLine="0"/>
              <w:contextualSpacing/>
              <w:jc w:val="center"/>
              <w:rPr>
                <w:sz w:val="20"/>
                <w:szCs w:val="20"/>
              </w:rPr>
            </w:pPr>
            <w:r>
              <w:rPr>
                <w:sz w:val="20"/>
                <w:szCs w:val="20"/>
              </w:rPr>
              <w:t>4.</w:t>
            </w:r>
          </w:p>
        </w:tc>
        <w:tc>
          <w:tcPr>
            <w:tcW w:w="2832" w:type="dxa"/>
            <w:shd w:val="clear" w:color="auto" w:fill="auto"/>
            <w:vAlign w:val="center"/>
          </w:tcPr>
          <w:p w14:paraId="114B7643">
            <w:pPr>
              <w:spacing w:after="0" w:line="240" w:lineRule="auto"/>
              <w:ind w:firstLine="0"/>
              <w:contextualSpacing/>
              <w:jc w:val="center"/>
              <w:rPr>
                <w:sz w:val="20"/>
                <w:szCs w:val="20"/>
              </w:rPr>
            </w:pPr>
            <w:r>
              <w:rPr>
                <w:sz w:val="20"/>
                <w:szCs w:val="20"/>
              </w:rPr>
              <w:t>ВВД-1.8 № 4</w:t>
            </w:r>
          </w:p>
        </w:tc>
        <w:tc>
          <w:tcPr>
            <w:tcW w:w="1172" w:type="dxa"/>
            <w:shd w:val="clear" w:color="auto" w:fill="auto"/>
            <w:vAlign w:val="center"/>
          </w:tcPr>
          <w:p w14:paraId="30086810">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3EA9403B">
            <w:pPr>
              <w:spacing w:after="0" w:line="240" w:lineRule="auto"/>
              <w:ind w:firstLine="0"/>
              <w:contextualSpacing/>
              <w:jc w:val="center"/>
              <w:rPr>
                <w:sz w:val="20"/>
                <w:szCs w:val="20"/>
              </w:rPr>
            </w:pPr>
            <w:r>
              <w:rPr>
                <w:sz w:val="20"/>
                <w:szCs w:val="20"/>
              </w:rPr>
              <w:t>1</w:t>
            </w:r>
          </w:p>
        </w:tc>
        <w:tc>
          <w:tcPr>
            <w:tcW w:w="1470" w:type="dxa"/>
            <w:shd w:val="clear" w:color="000000" w:fill="FFFFFF"/>
            <w:vAlign w:val="center"/>
          </w:tcPr>
          <w:p w14:paraId="4B8A31EF">
            <w:pPr>
              <w:spacing w:after="0" w:line="240" w:lineRule="auto"/>
              <w:ind w:firstLine="0"/>
              <w:contextualSpacing/>
              <w:jc w:val="center"/>
              <w:rPr>
                <w:sz w:val="20"/>
                <w:szCs w:val="20"/>
              </w:rPr>
            </w:pPr>
            <w:r>
              <w:rPr>
                <w:sz w:val="20"/>
                <w:szCs w:val="20"/>
              </w:rPr>
              <w:t>1983</w:t>
            </w:r>
          </w:p>
        </w:tc>
        <w:tc>
          <w:tcPr>
            <w:tcW w:w="1628" w:type="dxa"/>
            <w:shd w:val="clear" w:color="auto" w:fill="auto"/>
            <w:vAlign w:val="center"/>
          </w:tcPr>
          <w:p w14:paraId="267E0F19">
            <w:pPr>
              <w:spacing w:after="0" w:line="240" w:lineRule="auto"/>
              <w:ind w:firstLine="0"/>
              <w:contextualSpacing/>
              <w:jc w:val="center"/>
              <w:rPr>
                <w:color w:val="000000" w:themeColor="text1"/>
                <w:sz w:val="20"/>
                <w:szCs w:val="20"/>
              </w:rPr>
            </w:pPr>
            <w:r>
              <w:rPr>
                <w:color w:val="000000" w:themeColor="text1"/>
                <w:sz w:val="20"/>
                <w:szCs w:val="20"/>
              </w:rPr>
              <w:t>1,8</w:t>
            </w:r>
          </w:p>
        </w:tc>
        <w:tc>
          <w:tcPr>
            <w:tcW w:w="1430" w:type="dxa"/>
            <w:shd w:val="clear" w:color="auto" w:fill="auto"/>
          </w:tcPr>
          <w:p w14:paraId="0905C07E">
            <w:pPr>
              <w:spacing w:after="0" w:line="240" w:lineRule="auto"/>
              <w:ind w:firstLine="0"/>
              <w:contextualSpacing/>
              <w:jc w:val="center"/>
              <w:rPr>
                <w:sz w:val="20"/>
                <w:szCs w:val="20"/>
              </w:rPr>
            </w:pPr>
            <w:r>
              <w:rPr>
                <w:sz w:val="20"/>
                <w:szCs w:val="20"/>
              </w:rPr>
              <w:t>СССР «Сибкомплект монтаж»</w:t>
            </w:r>
          </w:p>
        </w:tc>
        <w:tc>
          <w:tcPr>
            <w:tcW w:w="1271" w:type="dxa"/>
            <w:shd w:val="clear" w:color="auto" w:fill="auto"/>
            <w:vAlign w:val="center"/>
          </w:tcPr>
          <w:p w14:paraId="7C9430F3">
            <w:pPr>
              <w:spacing w:after="0" w:line="240" w:lineRule="auto"/>
              <w:ind w:firstLine="0"/>
              <w:contextualSpacing/>
              <w:jc w:val="center"/>
              <w:rPr>
                <w:sz w:val="20"/>
                <w:szCs w:val="20"/>
              </w:rPr>
            </w:pPr>
            <w:r>
              <w:rPr>
                <w:sz w:val="20"/>
                <w:szCs w:val="20"/>
              </w:rPr>
              <w:t>2012</w:t>
            </w:r>
          </w:p>
        </w:tc>
        <w:tc>
          <w:tcPr>
            <w:tcW w:w="1411" w:type="dxa"/>
            <w:shd w:val="clear" w:color="auto" w:fill="auto"/>
            <w:vAlign w:val="center"/>
          </w:tcPr>
          <w:p w14:paraId="501BBF60">
            <w:pPr>
              <w:spacing w:after="0" w:line="240" w:lineRule="auto"/>
              <w:ind w:firstLine="0"/>
              <w:contextualSpacing/>
              <w:jc w:val="center"/>
              <w:rPr>
                <w:sz w:val="20"/>
                <w:szCs w:val="20"/>
              </w:rPr>
            </w:pPr>
            <w:r>
              <w:rPr>
                <w:sz w:val="20"/>
                <w:szCs w:val="20"/>
              </w:rPr>
              <w:t>2007</w:t>
            </w:r>
          </w:p>
        </w:tc>
        <w:tc>
          <w:tcPr>
            <w:tcW w:w="1411" w:type="dxa"/>
            <w:shd w:val="clear" w:color="auto" w:fill="auto"/>
            <w:vAlign w:val="center"/>
          </w:tcPr>
          <w:p w14:paraId="112D7BD1">
            <w:pPr>
              <w:spacing w:after="0" w:line="240" w:lineRule="auto"/>
              <w:ind w:firstLine="0"/>
              <w:contextualSpacing/>
              <w:jc w:val="center"/>
              <w:rPr>
                <w:sz w:val="20"/>
                <w:szCs w:val="20"/>
              </w:rPr>
            </w:pPr>
            <w:r>
              <w:rPr>
                <w:sz w:val="20"/>
                <w:szCs w:val="20"/>
              </w:rPr>
              <w:t>2012</w:t>
            </w:r>
          </w:p>
        </w:tc>
      </w:tr>
      <w:tr w14:paraId="1F40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98" w:type="dxa"/>
            <w:shd w:val="clear" w:color="auto" w:fill="auto"/>
            <w:vAlign w:val="center"/>
          </w:tcPr>
          <w:p w14:paraId="48118703">
            <w:pPr>
              <w:spacing w:after="0" w:line="240" w:lineRule="auto"/>
              <w:ind w:firstLine="0"/>
              <w:contextualSpacing/>
              <w:jc w:val="center"/>
              <w:rPr>
                <w:sz w:val="20"/>
                <w:szCs w:val="20"/>
              </w:rPr>
            </w:pPr>
            <w:r>
              <w:rPr>
                <w:sz w:val="20"/>
                <w:szCs w:val="20"/>
              </w:rPr>
              <w:t>5.</w:t>
            </w:r>
          </w:p>
        </w:tc>
        <w:tc>
          <w:tcPr>
            <w:tcW w:w="2832" w:type="dxa"/>
            <w:shd w:val="clear" w:color="auto" w:fill="auto"/>
            <w:vAlign w:val="center"/>
          </w:tcPr>
          <w:p w14:paraId="31A605E6">
            <w:pPr>
              <w:spacing w:after="0" w:line="240" w:lineRule="auto"/>
              <w:ind w:firstLine="0"/>
              <w:contextualSpacing/>
              <w:jc w:val="center"/>
              <w:rPr>
                <w:sz w:val="20"/>
                <w:szCs w:val="20"/>
              </w:rPr>
            </w:pPr>
            <w:r>
              <w:rPr>
                <w:sz w:val="20"/>
                <w:szCs w:val="20"/>
              </w:rPr>
              <w:t>«ВИРБЕКС-С-ФИНН» № 1</w:t>
            </w:r>
          </w:p>
        </w:tc>
        <w:tc>
          <w:tcPr>
            <w:tcW w:w="1172" w:type="dxa"/>
            <w:shd w:val="clear" w:color="auto" w:fill="auto"/>
            <w:vAlign w:val="center"/>
          </w:tcPr>
          <w:p w14:paraId="4FE921D5">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72456755">
            <w:pPr>
              <w:spacing w:after="0" w:line="240" w:lineRule="auto"/>
              <w:ind w:firstLine="0"/>
              <w:contextualSpacing/>
              <w:jc w:val="center"/>
              <w:rPr>
                <w:sz w:val="20"/>
                <w:szCs w:val="20"/>
              </w:rPr>
            </w:pPr>
            <w:r>
              <w:rPr>
                <w:sz w:val="20"/>
                <w:szCs w:val="20"/>
              </w:rPr>
              <w:t>1</w:t>
            </w:r>
          </w:p>
        </w:tc>
        <w:tc>
          <w:tcPr>
            <w:tcW w:w="1470" w:type="dxa"/>
            <w:shd w:val="clear" w:color="auto" w:fill="auto"/>
            <w:vAlign w:val="center"/>
          </w:tcPr>
          <w:p w14:paraId="4622A242">
            <w:pPr>
              <w:spacing w:after="0" w:line="240" w:lineRule="auto"/>
              <w:ind w:firstLine="0"/>
              <w:contextualSpacing/>
              <w:jc w:val="center"/>
              <w:rPr>
                <w:sz w:val="20"/>
                <w:szCs w:val="20"/>
              </w:rPr>
            </w:pPr>
            <w:r>
              <w:rPr>
                <w:sz w:val="20"/>
                <w:szCs w:val="20"/>
              </w:rPr>
              <w:t>1984</w:t>
            </w:r>
          </w:p>
        </w:tc>
        <w:tc>
          <w:tcPr>
            <w:tcW w:w="1628" w:type="dxa"/>
            <w:shd w:val="clear" w:color="auto" w:fill="auto"/>
            <w:vAlign w:val="center"/>
          </w:tcPr>
          <w:p w14:paraId="4C401EC8">
            <w:pPr>
              <w:spacing w:after="0" w:line="240" w:lineRule="auto"/>
              <w:ind w:firstLine="0"/>
              <w:contextualSpacing/>
              <w:jc w:val="center"/>
              <w:rPr>
                <w:color w:val="000000" w:themeColor="text1"/>
                <w:sz w:val="20"/>
                <w:szCs w:val="20"/>
              </w:rPr>
            </w:pPr>
            <w:r>
              <w:rPr>
                <w:color w:val="000000" w:themeColor="text1"/>
                <w:sz w:val="20"/>
                <w:szCs w:val="20"/>
              </w:rPr>
              <w:t>1,4</w:t>
            </w:r>
          </w:p>
        </w:tc>
        <w:tc>
          <w:tcPr>
            <w:tcW w:w="1430" w:type="dxa"/>
            <w:shd w:val="clear" w:color="auto" w:fill="auto"/>
            <w:vAlign w:val="center"/>
          </w:tcPr>
          <w:p w14:paraId="25DB59A6">
            <w:pPr>
              <w:spacing w:after="0" w:line="240" w:lineRule="auto"/>
              <w:ind w:firstLine="0"/>
              <w:contextualSpacing/>
              <w:jc w:val="center"/>
              <w:rPr>
                <w:sz w:val="20"/>
                <w:szCs w:val="20"/>
              </w:rPr>
            </w:pPr>
            <w:r>
              <w:rPr>
                <w:sz w:val="20"/>
                <w:szCs w:val="20"/>
              </w:rPr>
              <w:t>Финляндия «ХАКМАН»</w:t>
            </w:r>
          </w:p>
        </w:tc>
        <w:tc>
          <w:tcPr>
            <w:tcW w:w="1271" w:type="dxa"/>
            <w:shd w:val="clear" w:color="auto" w:fill="auto"/>
            <w:vAlign w:val="center"/>
          </w:tcPr>
          <w:p w14:paraId="73D8E559">
            <w:pPr>
              <w:spacing w:after="0" w:line="240" w:lineRule="auto"/>
              <w:ind w:firstLine="0"/>
              <w:contextualSpacing/>
              <w:jc w:val="center"/>
              <w:rPr>
                <w:sz w:val="20"/>
                <w:szCs w:val="20"/>
              </w:rPr>
            </w:pPr>
            <w:r>
              <w:rPr>
                <w:sz w:val="20"/>
                <w:szCs w:val="20"/>
              </w:rPr>
              <w:t>2012</w:t>
            </w:r>
          </w:p>
        </w:tc>
        <w:tc>
          <w:tcPr>
            <w:tcW w:w="1411" w:type="dxa"/>
            <w:shd w:val="clear" w:color="auto" w:fill="auto"/>
            <w:vAlign w:val="center"/>
          </w:tcPr>
          <w:p w14:paraId="1365B94B">
            <w:pPr>
              <w:spacing w:after="0" w:line="240" w:lineRule="auto"/>
              <w:ind w:firstLine="0"/>
              <w:contextualSpacing/>
              <w:jc w:val="center"/>
              <w:rPr>
                <w:sz w:val="20"/>
                <w:szCs w:val="20"/>
              </w:rPr>
            </w:pPr>
            <w:r>
              <w:rPr>
                <w:sz w:val="20"/>
                <w:szCs w:val="20"/>
              </w:rPr>
              <w:t>2007</w:t>
            </w:r>
          </w:p>
        </w:tc>
        <w:tc>
          <w:tcPr>
            <w:tcW w:w="1411" w:type="dxa"/>
            <w:shd w:val="clear" w:color="auto" w:fill="auto"/>
            <w:vAlign w:val="center"/>
          </w:tcPr>
          <w:p w14:paraId="6ECD118D">
            <w:pPr>
              <w:spacing w:after="0" w:line="240" w:lineRule="auto"/>
              <w:ind w:firstLine="0"/>
              <w:contextualSpacing/>
              <w:jc w:val="center"/>
              <w:rPr>
                <w:sz w:val="20"/>
                <w:szCs w:val="20"/>
              </w:rPr>
            </w:pPr>
            <w:r>
              <w:rPr>
                <w:sz w:val="20"/>
                <w:szCs w:val="20"/>
              </w:rPr>
              <w:t>2012</w:t>
            </w:r>
          </w:p>
        </w:tc>
      </w:tr>
      <w:tr w14:paraId="1E6F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98" w:type="dxa"/>
            <w:shd w:val="clear" w:color="auto" w:fill="auto"/>
            <w:vAlign w:val="center"/>
          </w:tcPr>
          <w:p w14:paraId="097B29CF">
            <w:pPr>
              <w:spacing w:after="0" w:line="240" w:lineRule="auto"/>
              <w:ind w:firstLine="0"/>
              <w:contextualSpacing/>
              <w:jc w:val="center"/>
              <w:rPr>
                <w:sz w:val="20"/>
                <w:szCs w:val="20"/>
              </w:rPr>
            </w:pPr>
            <w:r>
              <w:rPr>
                <w:sz w:val="20"/>
                <w:szCs w:val="20"/>
              </w:rPr>
              <w:t>6.</w:t>
            </w:r>
          </w:p>
        </w:tc>
        <w:tc>
          <w:tcPr>
            <w:tcW w:w="2832" w:type="dxa"/>
            <w:shd w:val="clear" w:color="auto" w:fill="auto"/>
            <w:vAlign w:val="center"/>
          </w:tcPr>
          <w:p w14:paraId="25E54DE3">
            <w:pPr>
              <w:spacing w:after="0" w:line="240" w:lineRule="auto"/>
              <w:ind w:firstLine="0"/>
              <w:contextualSpacing/>
              <w:jc w:val="center"/>
              <w:rPr>
                <w:sz w:val="20"/>
                <w:szCs w:val="20"/>
              </w:rPr>
            </w:pPr>
            <w:r>
              <w:rPr>
                <w:sz w:val="20"/>
                <w:szCs w:val="20"/>
              </w:rPr>
              <w:t>«ВИРБЕКС-С-ФИНН» № 2</w:t>
            </w:r>
          </w:p>
        </w:tc>
        <w:tc>
          <w:tcPr>
            <w:tcW w:w="1172" w:type="dxa"/>
            <w:shd w:val="clear" w:color="auto" w:fill="auto"/>
            <w:vAlign w:val="center"/>
          </w:tcPr>
          <w:p w14:paraId="320FA97C">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05C21520">
            <w:pPr>
              <w:spacing w:after="0" w:line="240" w:lineRule="auto"/>
              <w:ind w:firstLine="0"/>
              <w:contextualSpacing/>
              <w:jc w:val="center"/>
              <w:rPr>
                <w:sz w:val="20"/>
                <w:szCs w:val="20"/>
              </w:rPr>
            </w:pPr>
            <w:r>
              <w:rPr>
                <w:sz w:val="20"/>
                <w:szCs w:val="20"/>
              </w:rPr>
              <w:t>1</w:t>
            </w:r>
          </w:p>
        </w:tc>
        <w:tc>
          <w:tcPr>
            <w:tcW w:w="1470" w:type="dxa"/>
            <w:shd w:val="clear" w:color="auto" w:fill="auto"/>
            <w:vAlign w:val="center"/>
          </w:tcPr>
          <w:p w14:paraId="7B5FBBDA">
            <w:pPr>
              <w:spacing w:after="0" w:line="240" w:lineRule="auto"/>
              <w:ind w:firstLine="0"/>
              <w:contextualSpacing/>
              <w:jc w:val="center"/>
              <w:rPr>
                <w:sz w:val="20"/>
                <w:szCs w:val="20"/>
              </w:rPr>
            </w:pPr>
            <w:r>
              <w:rPr>
                <w:sz w:val="20"/>
                <w:szCs w:val="20"/>
              </w:rPr>
              <w:t>1984</w:t>
            </w:r>
          </w:p>
        </w:tc>
        <w:tc>
          <w:tcPr>
            <w:tcW w:w="1628" w:type="dxa"/>
            <w:shd w:val="clear" w:color="auto" w:fill="auto"/>
            <w:vAlign w:val="center"/>
          </w:tcPr>
          <w:p w14:paraId="354E5D8F">
            <w:pPr>
              <w:spacing w:after="0" w:line="240" w:lineRule="auto"/>
              <w:ind w:firstLine="0"/>
              <w:contextualSpacing/>
              <w:jc w:val="center"/>
              <w:rPr>
                <w:color w:val="000000" w:themeColor="text1"/>
                <w:sz w:val="20"/>
                <w:szCs w:val="20"/>
              </w:rPr>
            </w:pPr>
            <w:r>
              <w:rPr>
                <w:color w:val="000000" w:themeColor="text1"/>
                <w:sz w:val="20"/>
                <w:szCs w:val="20"/>
              </w:rPr>
              <w:t>1,4</w:t>
            </w:r>
          </w:p>
        </w:tc>
        <w:tc>
          <w:tcPr>
            <w:tcW w:w="1430" w:type="dxa"/>
            <w:shd w:val="clear" w:color="auto" w:fill="auto"/>
            <w:vAlign w:val="center"/>
          </w:tcPr>
          <w:p w14:paraId="1A1480D2">
            <w:pPr>
              <w:spacing w:after="0" w:line="240" w:lineRule="auto"/>
              <w:ind w:firstLine="0"/>
              <w:contextualSpacing/>
              <w:jc w:val="center"/>
              <w:rPr>
                <w:sz w:val="20"/>
                <w:szCs w:val="20"/>
              </w:rPr>
            </w:pPr>
            <w:r>
              <w:rPr>
                <w:sz w:val="20"/>
                <w:szCs w:val="20"/>
              </w:rPr>
              <w:t>Финляндия «ХАКМАН»</w:t>
            </w:r>
          </w:p>
        </w:tc>
        <w:tc>
          <w:tcPr>
            <w:tcW w:w="1271" w:type="dxa"/>
            <w:shd w:val="clear" w:color="auto" w:fill="auto"/>
            <w:vAlign w:val="center"/>
          </w:tcPr>
          <w:p w14:paraId="1363BB31">
            <w:pPr>
              <w:spacing w:after="0" w:line="240" w:lineRule="auto"/>
              <w:ind w:firstLine="0"/>
              <w:contextualSpacing/>
              <w:jc w:val="center"/>
              <w:rPr>
                <w:sz w:val="20"/>
                <w:szCs w:val="20"/>
              </w:rPr>
            </w:pPr>
            <w:r>
              <w:rPr>
                <w:sz w:val="20"/>
                <w:szCs w:val="20"/>
              </w:rPr>
              <w:t>2012</w:t>
            </w:r>
          </w:p>
        </w:tc>
        <w:tc>
          <w:tcPr>
            <w:tcW w:w="1411" w:type="dxa"/>
            <w:shd w:val="clear" w:color="auto" w:fill="auto"/>
            <w:vAlign w:val="center"/>
          </w:tcPr>
          <w:p w14:paraId="3CD4146C">
            <w:pPr>
              <w:spacing w:after="0" w:line="240" w:lineRule="auto"/>
              <w:ind w:firstLine="0"/>
              <w:contextualSpacing/>
              <w:jc w:val="center"/>
              <w:rPr>
                <w:sz w:val="20"/>
                <w:szCs w:val="20"/>
              </w:rPr>
            </w:pPr>
            <w:r>
              <w:rPr>
                <w:sz w:val="20"/>
                <w:szCs w:val="20"/>
              </w:rPr>
              <w:t>2007</w:t>
            </w:r>
          </w:p>
        </w:tc>
        <w:tc>
          <w:tcPr>
            <w:tcW w:w="1411" w:type="dxa"/>
            <w:shd w:val="clear" w:color="auto" w:fill="auto"/>
            <w:vAlign w:val="center"/>
          </w:tcPr>
          <w:p w14:paraId="1F06F614">
            <w:pPr>
              <w:spacing w:after="0" w:line="240" w:lineRule="auto"/>
              <w:ind w:firstLine="0"/>
              <w:contextualSpacing/>
              <w:jc w:val="center"/>
              <w:rPr>
                <w:sz w:val="20"/>
                <w:szCs w:val="20"/>
              </w:rPr>
            </w:pPr>
            <w:r>
              <w:rPr>
                <w:sz w:val="20"/>
                <w:szCs w:val="20"/>
              </w:rPr>
              <w:t>2012</w:t>
            </w:r>
          </w:p>
        </w:tc>
      </w:tr>
      <w:tr w14:paraId="0AB1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554" w:type="dxa"/>
            <w:gridSpan w:val="10"/>
            <w:shd w:val="clear" w:color="auto" w:fill="auto"/>
            <w:vAlign w:val="center"/>
          </w:tcPr>
          <w:p w14:paraId="461B42E5">
            <w:pPr>
              <w:spacing w:after="0" w:line="240" w:lineRule="auto"/>
              <w:ind w:firstLine="0"/>
              <w:contextualSpacing/>
              <w:jc w:val="center"/>
              <w:rPr>
                <w:sz w:val="20"/>
                <w:szCs w:val="20"/>
              </w:rPr>
            </w:pPr>
            <w:r>
              <w:rPr>
                <w:sz w:val="20"/>
                <w:szCs w:val="20"/>
              </w:rPr>
              <w:t>МУП «БКС»</w:t>
            </w:r>
          </w:p>
        </w:tc>
      </w:tr>
      <w:tr w14:paraId="6AB2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98" w:type="dxa"/>
            <w:shd w:val="clear" w:color="auto" w:fill="auto"/>
            <w:vAlign w:val="center"/>
          </w:tcPr>
          <w:p w14:paraId="002AF453">
            <w:pPr>
              <w:spacing w:after="0" w:line="240" w:lineRule="auto"/>
              <w:ind w:firstLine="0"/>
              <w:contextualSpacing/>
              <w:jc w:val="center"/>
              <w:rPr>
                <w:sz w:val="20"/>
                <w:szCs w:val="20"/>
              </w:rPr>
            </w:pPr>
            <w:r>
              <w:rPr>
                <w:sz w:val="20"/>
                <w:szCs w:val="20"/>
              </w:rPr>
              <w:t>1</w:t>
            </w:r>
          </w:p>
        </w:tc>
        <w:tc>
          <w:tcPr>
            <w:tcW w:w="2832" w:type="dxa"/>
            <w:shd w:val="clear" w:color="auto" w:fill="auto"/>
            <w:vAlign w:val="center"/>
          </w:tcPr>
          <w:p w14:paraId="7AAD8A7B">
            <w:pPr>
              <w:spacing w:after="0" w:line="240" w:lineRule="auto"/>
              <w:ind w:firstLine="0"/>
              <w:contextualSpacing/>
              <w:jc w:val="center"/>
              <w:rPr>
                <w:sz w:val="20"/>
                <w:szCs w:val="20"/>
              </w:rPr>
            </w:pPr>
            <w:r>
              <w:rPr>
                <w:sz w:val="20"/>
                <w:szCs w:val="20"/>
              </w:rPr>
              <w:t>NOVITER NWT 3,5-1-115 № 1</w:t>
            </w:r>
          </w:p>
        </w:tc>
        <w:tc>
          <w:tcPr>
            <w:tcW w:w="1172" w:type="dxa"/>
            <w:shd w:val="clear" w:color="auto" w:fill="auto"/>
            <w:vAlign w:val="center"/>
          </w:tcPr>
          <w:p w14:paraId="534E27C9">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1362FD76">
            <w:pPr>
              <w:spacing w:after="0" w:line="240" w:lineRule="auto"/>
              <w:ind w:firstLine="0"/>
              <w:contextualSpacing/>
              <w:jc w:val="center"/>
              <w:rPr>
                <w:sz w:val="20"/>
                <w:szCs w:val="20"/>
              </w:rPr>
            </w:pPr>
            <w:r>
              <w:rPr>
                <w:sz w:val="20"/>
                <w:szCs w:val="20"/>
              </w:rPr>
              <w:t>1</w:t>
            </w:r>
          </w:p>
        </w:tc>
        <w:tc>
          <w:tcPr>
            <w:tcW w:w="1470" w:type="dxa"/>
            <w:shd w:val="clear" w:color="auto" w:fill="auto"/>
            <w:vAlign w:val="center"/>
          </w:tcPr>
          <w:p w14:paraId="650CE073">
            <w:pPr>
              <w:spacing w:after="0" w:line="240" w:lineRule="auto"/>
              <w:ind w:firstLine="0"/>
              <w:contextualSpacing/>
              <w:jc w:val="center"/>
              <w:rPr>
                <w:sz w:val="20"/>
                <w:szCs w:val="20"/>
              </w:rPr>
            </w:pPr>
            <w:r>
              <w:rPr>
                <w:sz w:val="20"/>
                <w:szCs w:val="20"/>
              </w:rPr>
              <w:t>1997</w:t>
            </w:r>
          </w:p>
        </w:tc>
        <w:tc>
          <w:tcPr>
            <w:tcW w:w="1628" w:type="dxa"/>
            <w:shd w:val="clear" w:color="auto" w:fill="auto"/>
            <w:vAlign w:val="center"/>
          </w:tcPr>
          <w:p w14:paraId="4FB6CDDD">
            <w:pPr>
              <w:spacing w:after="0" w:line="240" w:lineRule="auto"/>
              <w:ind w:firstLine="0"/>
              <w:contextualSpacing/>
              <w:jc w:val="center"/>
              <w:rPr>
                <w:color w:val="000000" w:themeColor="text1"/>
                <w:sz w:val="20"/>
                <w:szCs w:val="20"/>
              </w:rPr>
            </w:pPr>
            <w:r>
              <w:rPr>
                <w:color w:val="000000" w:themeColor="text1"/>
                <w:sz w:val="20"/>
                <w:szCs w:val="20"/>
              </w:rPr>
              <w:t>3,01</w:t>
            </w:r>
          </w:p>
        </w:tc>
        <w:tc>
          <w:tcPr>
            <w:tcW w:w="1430" w:type="dxa"/>
            <w:shd w:val="clear" w:color="auto" w:fill="auto"/>
            <w:vAlign w:val="center"/>
          </w:tcPr>
          <w:p w14:paraId="21E8ED97">
            <w:pPr>
              <w:spacing w:after="0" w:line="240" w:lineRule="auto"/>
              <w:ind w:firstLine="0"/>
              <w:contextualSpacing/>
              <w:jc w:val="center"/>
              <w:rPr>
                <w:sz w:val="20"/>
                <w:szCs w:val="20"/>
              </w:rPr>
            </w:pPr>
            <w:r>
              <w:rPr>
                <w:sz w:val="20"/>
                <w:szCs w:val="20"/>
              </w:rPr>
              <w:t>Финляндия Noviter Oy</w:t>
            </w:r>
          </w:p>
        </w:tc>
        <w:tc>
          <w:tcPr>
            <w:tcW w:w="1271" w:type="dxa"/>
            <w:shd w:val="clear" w:color="auto" w:fill="auto"/>
            <w:vAlign w:val="center"/>
          </w:tcPr>
          <w:p w14:paraId="742A7F27">
            <w:pPr>
              <w:spacing w:after="0" w:line="240" w:lineRule="auto"/>
              <w:ind w:firstLine="0"/>
              <w:contextualSpacing/>
              <w:jc w:val="center"/>
              <w:rPr>
                <w:sz w:val="20"/>
                <w:szCs w:val="20"/>
              </w:rPr>
            </w:pPr>
            <w:r>
              <w:rPr>
                <w:sz w:val="20"/>
                <w:szCs w:val="20"/>
              </w:rPr>
              <w:t>н/д</w:t>
            </w:r>
          </w:p>
        </w:tc>
        <w:tc>
          <w:tcPr>
            <w:tcW w:w="1411" w:type="dxa"/>
            <w:shd w:val="clear" w:color="auto" w:fill="auto"/>
            <w:vAlign w:val="center"/>
          </w:tcPr>
          <w:p w14:paraId="0ABFD17E">
            <w:pPr>
              <w:spacing w:after="0" w:line="240" w:lineRule="auto"/>
              <w:ind w:firstLine="0"/>
              <w:contextualSpacing/>
              <w:jc w:val="center"/>
              <w:rPr>
                <w:sz w:val="20"/>
                <w:szCs w:val="20"/>
              </w:rPr>
            </w:pPr>
            <w:r>
              <w:rPr>
                <w:sz w:val="20"/>
                <w:szCs w:val="20"/>
              </w:rPr>
              <w:t>н/д</w:t>
            </w:r>
          </w:p>
        </w:tc>
        <w:tc>
          <w:tcPr>
            <w:tcW w:w="1411" w:type="dxa"/>
            <w:shd w:val="clear" w:color="auto" w:fill="auto"/>
            <w:vAlign w:val="center"/>
          </w:tcPr>
          <w:p w14:paraId="360943A2">
            <w:pPr>
              <w:spacing w:after="0" w:line="240" w:lineRule="auto"/>
              <w:ind w:firstLine="0"/>
              <w:contextualSpacing/>
              <w:jc w:val="center"/>
              <w:rPr>
                <w:sz w:val="20"/>
                <w:szCs w:val="20"/>
              </w:rPr>
            </w:pPr>
            <w:r>
              <w:rPr>
                <w:sz w:val="20"/>
                <w:szCs w:val="20"/>
              </w:rPr>
              <w:t>н/д</w:t>
            </w:r>
          </w:p>
        </w:tc>
      </w:tr>
      <w:tr w14:paraId="541D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98" w:type="dxa"/>
            <w:shd w:val="clear" w:color="auto" w:fill="auto"/>
            <w:vAlign w:val="center"/>
          </w:tcPr>
          <w:p w14:paraId="549227E9">
            <w:pPr>
              <w:spacing w:after="0" w:line="240" w:lineRule="auto"/>
              <w:ind w:firstLine="0"/>
              <w:contextualSpacing/>
              <w:jc w:val="center"/>
              <w:rPr>
                <w:sz w:val="20"/>
                <w:szCs w:val="20"/>
              </w:rPr>
            </w:pPr>
            <w:r>
              <w:rPr>
                <w:sz w:val="20"/>
                <w:szCs w:val="20"/>
              </w:rPr>
              <w:t>2</w:t>
            </w:r>
          </w:p>
        </w:tc>
        <w:tc>
          <w:tcPr>
            <w:tcW w:w="2832" w:type="dxa"/>
            <w:shd w:val="clear" w:color="auto" w:fill="auto"/>
            <w:vAlign w:val="center"/>
          </w:tcPr>
          <w:p w14:paraId="32B1B93E">
            <w:pPr>
              <w:spacing w:after="0" w:line="240" w:lineRule="auto"/>
              <w:ind w:firstLine="0"/>
              <w:contextualSpacing/>
              <w:jc w:val="center"/>
              <w:rPr>
                <w:sz w:val="20"/>
                <w:szCs w:val="20"/>
              </w:rPr>
            </w:pPr>
            <w:r>
              <w:rPr>
                <w:sz w:val="20"/>
                <w:szCs w:val="20"/>
              </w:rPr>
              <w:t>NOVITER NWT 3,5-1-115 № 2</w:t>
            </w:r>
          </w:p>
        </w:tc>
        <w:tc>
          <w:tcPr>
            <w:tcW w:w="1172" w:type="dxa"/>
            <w:shd w:val="clear" w:color="auto" w:fill="auto"/>
            <w:vAlign w:val="center"/>
          </w:tcPr>
          <w:p w14:paraId="24C3CF48">
            <w:pPr>
              <w:spacing w:after="0" w:line="240" w:lineRule="auto"/>
              <w:ind w:firstLine="0"/>
              <w:contextualSpacing/>
              <w:jc w:val="center"/>
              <w:rPr>
                <w:sz w:val="20"/>
                <w:szCs w:val="20"/>
              </w:rPr>
            </w:pPr>
            <w:r>
              <w:rPr>
                <w:sz w:val="20"/>
                <w:szCs w:val="20"/>
              </w:rPr>
              <w:t>В</w:t>
            </w:r>
          </w:p>
        </w:tc>
        <w:tc>
          <w:tcPr>
            <w:tcW w:w="1331" w:type="dxa"/>
            <w:shd w:val="clear" w:color="auto" w:fill="auto"/>
            <w:vAlign w:val="center"/>
          </w:tcPr>
          <w:p w14:paraId="2F5A9014">
            <w:pPr>
              <w:spacing w:after="0" w:line="240" w:lineRule="auto"/>
              <w:ind w:firstLine="0"/>
              <w:contextualSpacing/>
              <w:jc w:val="center"/>
              <w:rPr>
                <w:sz w:val="20"/>
                <w:szCs w:val="20"/>
              </w:rPr>
            </w:pPr>
            <w:r>
              <w:rPr>
                <w:sz w:val="20"/>
                <w:szCs w:val="20"/>
              </w:rPr>
              <w:t>1</w:t>
            </w:r>
          </w:p>
        </w:tc>
        <w:tc>
          <w:tcPr>
            <w:tcW w:w="1470" w:type="dxa"/>
            <w:shd w:val="clear" w:color="auto" w:fill="auto"/>
            <w:vAlign w:val="center"/>
          </w:tcPr>
          <w:p w14:paraId="2700F1FC">
            <w:pPr>
              <w:spacing w:after="0" w:line="240" w:lineRule="auto"/>
              <w:ind w:firstLine="0"/>
              <w:contextualSpacing/>
              <w:jc w:val="center"/>
              <w:rPr>
                <w:sz w:val="20"/>
                <w:szCs w:val="20"/>
              </w:rPr>
            </w:pPr>
            <w:r>
              <w:rPr>
                <w:sz w:val="20"/>
                <w:szCs w:val="20"/>
              </w:rPr>
              <w:t>1997</w:t>
            </w:r>
          </w:p>
        </w:tc>
        <w:tc>
          <w:tcPr>
            <w:tcW w:w="1628" w:type="dxa"/>
            <w:shd w:val="clear" w:color="auto" w:fill="auto"/>
            <w:vAlign w:val="center"/>
          </w:tcPr>
          <w:p w14:paraId="45A0EFCE">
            <w:pPr>
              <w:spacing w:after="0" w:line="240" w:lineRule="auto"/>
              <w:ind w:firstLine="0"/>
              <w:contextualSpacing/>
              <w:jc w:val="center"/>
              <w:rPr>
                <w:color w:val="000000" w:themeColor="text1"/>
                <w:sz w:val="20"/>
                <w:szCs w:val="20"/>
              </w:rPr>
            </w:pPr>
            <w:r>
              <w:rPr>
                <w:color w:val="000000" w:themeColor="text1"/>
                <w:sz w:val="20"/>
                <w:szCs w:val="20"/>
              </w:rPr>
              <w:t>3,01</w:t>
            </w:r>
          </w:p>
        </w:tc>
        <w:tc>
          <w:tcPr>
            <w:tcW w:w="1430" w:type="dxa"/>
            <w:shd w:val="clear" w:color="auto" w:fill="auto"/>
            <w:vAlign w:val="center"/>
          </w:tcPr>
          <w:p w14:paraId="505145ED">
            <w:pPr>
              <w:spacing w:after="0" w:line="240" w:lineRule="auto"/>
              <w:ind w:firstLine="0"/>
              <w:contextualSpacing/>
              <w:jc w:val="center"/>
              <w:rPr>
                <w:sz w:val="20"/>
                <w:szCs w:val="20"/>
              </w:rPr>
            </w:pPr>
            <w:r>
              <w:rPr>
                <w:sz w:val="20"/>
                <w:szCs w:val="20"/>
              </w:rPr>
              <w:t>Финляндия Noviter Oy</w:t>
            </w:r>
          </w:p>
        </w:tc>
        <w:tc>
          <w:tcPr>
            <w:tcW w:w="1271" w:type="dxa"/>
            <w:shd w:val="clear" w:color="auto" w:fill="auto"/>
            <w:vAlign w:val="center"/>
          </w:tcPr>
          <w:p w14:paraId="140CD672">
            <w:pPr>
              <w:spacing w:after="0" w:line="240" w:lineRule="auto"/>
              <w:ind w:firstLine="0"/>
              <w:contextualSpacing/>
              <w:jc w:val="center"/>
              <w:rPr>
                <w:sz w:val="20"/>
                <w:szCs w:val="20"/>
              </w:rPr>
            </w:pPr>
            <w:r>
              <w:rPr>
                <w:sz w:val="20"/>
                <w:szCs w:val="20"/>
              </w:rPr>
              <w:t>н/д</w:t>
            </w:r>
          </w:p>
        </w:tc>
        <w:tc>
          <w:tcPr>
            <w:tcW w:w="1411" w:type="dxa"/>
            <w:shd w:val="clear" w:color="auto" w:fill="auto"/>
            <w:vAlign w:val="center"/>
          </w:tcPr>
          <w:p w14:paraId="2C65F7A0">
            <w:pPr>
              <w:spacing w:after="0" w:line="240" w:lineRule="auto"/>
              <w:ind w:firstLine="0"/>
              <w:contextualSpacing/>
              <w:jc w:val="center"/>
              <w:rPr>
                <w:sz w:val="20"/>
                <w:szCs w:val="20"/>
              </w:rPr>
            </w:pPr>
            <w:r>
              <w:rPr>
                <w:sz w:val="20"/>
                <w:szCs w:val="20"/>
              </w:rPr>
              <w:t>н/д</w:t>
            </w:r>
          </w:p>
        </w:tc>
        <w:tc>
          <w:tcPr>
            <w:tcW w:w="1411" w:type="dxa"/>
            <w:shd w:val="clear" w:color="auto" w:fill="auto"/>
            <w:vAlign w:val="center"/>
          </w:tcPr>
          <w:p w14:paraId="2514E568">
            <w:pPr>
              <w:spacing w:after="0" w:line="240" w:lineRule="auto"/>
              <w:ind w:firstLine="0"/>
              <w:contextualSpacing/>
              <w:jc w:val="center"/>
              <w:rPr>
                <w:sz w:val="20"/>
                <w:szCs w:val="20"/>
              </w:rPr>
            </w:pPr>
            <w:r>
              <w:rPr>
                <w:sz w:val="20"/>
                <w:szCs w:val="20"/>
              </w:rPr>
              <w:t>н/д</w:t>
            </w:r>
          </w:p>
        </w:tc>
      </w:tr>
    </w:tbl>
    <w:p w14:paraId="0E7BE80F">
      <w:pPr>
        <w:jc w:val="both"/>
        <w:rPr>
          <w:highlight w:val="yellow"/>
        </w:rPr>
      </w:pPr>
    </w:p>
    <w:p w14:paraId="5384A203">
      <w:pPr>
        <w:jc w:val="both"/>
        <w:rPr>
          <w:highlight w:val="yellow"/>
        </w:rPr>
        <w:sectPr>
          <w:pgSz w:w="16838" w:h="11906" w:orient="landscape"/>
          <w:pgMar w:top="1418" w:right="1134" w:bottom="567" w:left="1134" w:header="284" w:footer="567" w:gutter="0"/>
          <w:cols w:space="708" w:num="1"/>
          <w:docGrid w:linePitch="360" w:charSpace="0"/>
        </w:sectPr>
      </w:pPr>
    </w:p>
    <w:p w14:paraId="50A4E65B">
      <w:pPr>
        <w:pStyle w:val="4"/>
        <w:spacing w:before="0" w:line="240" w:lineRule="auto"/>
        <w:ind w:left="0" w:firstLine="709"/>
        <w:contextualSpacing/>
        <w:rPr>
          <w:rFonts w:cs="Times New Roman"/>
          <w:b w:val="0"/>
          <w:sz w:val="24"/>
        </w:rPr>
      </w:pPr>
      <w:bookmarkStart w:id="62" w:name="_Toc524614748"/>
      <w:bookmarkStart w:id="63" w:name="_Toc524614964"/>
      <w:bookmarkStart w:id="64" w:name="_Toc182813869"/>
      <w:r>
        <w:rPr>
          <w:rFonts w:cs="Times New Roman"/>
          <w:b w:val="0"/>
          <w:sz w:val="24"/>
        </w:rPr>
        <w:t>Системы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2"/>
      <w:bookmarkEnd w:id="63"/>
      <w:bookmarkEnd w:id="64"/>
    </w:p>
    <w:p w14:paraId="1B193E11">
      <w:pPr>
        <w:spacing w:after="0" w:line="240" w:lineRule="auto"/>
        <w:contextualSpacing/>
        <w:jc w:val="both"/>
        <w:rPr>
          <w:sz w:val="24"/>
          <w:szCs w:val="24"/>
        </w:rPr>
      </w:pPr>
      <w:r>
        <w:rPr>
          <w:sz w:val="24"/>
          <w:szCs w:val="24"/>
        </w:rPr>
        <w:t>На момент актуализации Схемы в с.п. Верхнеказымский источники тепловой энергии с комбинированным производством тепловой и электрической энергии отсутствуют.</w:t>
      </w:r>
    </w:p>
    <w:p w14:paraId="6DCEA837">
      <w:pPr>
        <w:spacing w:after="0" w:line="240" w:lineRule="auto"/>
        <w:contextualSpacing/>
        <w:jc w:val="both"/>
        <w:rPr>
          <w:sz w:val="24"/>
          <w:szCs w:val="24"/>
        </w:rPr>
      </w:pPr>
      <w:r>
        <w:rPr>
          <w:sz w:val="24"/>
          <w:szCs w:val="24"/>
        </w:rPr>
        <w:t>Температурный график отпуска тепла в системы отопления составляет 95/70 °С и горячего водоснабжения – 65/55°С.</w:t>
      </w:r>
    </w:p>
    <w:p w14:paraId="293F723E">
      <w:pPr>
        <w:spacing w:after="0" w:line="240" w:lineRule="auto"/>
        <w:contextualSpacing/>
        <w:jc w:val="both"/>
        <w:rPr>
          <w:sz w:val="24"/>
          <w:szCs w:val="24"/>
        </w:rPr>
      </w:pPr>
    </w:p>
    <w:p w14:paraId="2DB102AF">
      <w:pPr>
        <w:pStyle w:val="4"/>
        <w:spacing w:before="0" w:line="240" w:lineRule="auto"/>
        <w:ind w:left="0" w:firstLine="709"/>
        <w:contextualSpacing/>
        <w:rPr>
          <w:rFonts w:cs="Times New Roman"/>
          <w:b w:val="0"/>
          <w:sz w:val="24"/>
        </w:rPr>
      </w:pPr>
      <w:bookmarkStart w:id="65" w:name="_Toc524614749"/>
      <w:bookmarkStart w:id="66" w:name="_Toc524614965"/>
      <w:bookmarkStart w:id="67" w:name="_Toc182813870"/>
      <w:r>
        <w:rPr>
          <w:rFonts w:cs="Times New Roman"/>
          <w:b w:val="0"/>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5"/>
      <w:bookmarkEnd w:id="66"/>
      <w:bookmarkEnd w:id="67"/>
    </w:p>
    <w:p w14:paraId="1D1F3FCA">
      <w:pPr>
        <w:spacing w:after="0" w:line="240" w:lineRule="auto"/>
        <w:contextualSpacing/>
        <w:jc w:val="both"/>
        <w:rPr>
          <w:sz w:val="24"/>
          <w:szCs w:val="24"/>
        </w:rPr>
      </w:pPr>
      <w:bookmarkStart w:id="68" w:name="_Hlk37753027"/>
      <w:r>
        <w:rPr>
          <w:sz w:val="24"/>
          <w:szCs w:val="24"/>
        </w:rPr>
        <w:t>В соответствии с СП 124.13330.2012 «Тепловые сети», система теплоснабжения в с.п. Верхнеказымский – закрытая, подключение потребителей осуществляется по зависимой схеме без смешения.</w:t>
      </w:r>
    </w:p>
    <w:p w14:paraId="70E931DB">
      <w:pPr>
        <w:spacing w:after="0" w:line="240" w:lineRule="auto"/>
        <w:contextualSpacing/>
        <w:jc w:val="both"/>
        <w:rPr>
          <w:sz w:val="24"/>
          <w:szCs w:val="24"/>
        </w:rPr>
      </w:pPr>
      <w:r>
        <w:rPr>
          <w:sz w:val="24"/>
          <w:szCs w:val="24"/>
        </w:rPr>
        <w:t>Горячая вода для ГВС готовится в котельной 2БВК.</w:t>
      </w:r>
    </w:p>
    <w:p w14:paraId="51066F46">
      <w:pPr>
        <w:spacing w:after="0" w:line="240" w:lineRule="auto"/>
        <w:contextualSpacing/>
        <w:jc w:val="both"/>
        <w:rPr>
          <w:sz w:val="24"/>
          <w:szCs w:val="24"/>
        </w:rPr>
      </w:pPr>
      <w:r>
        <w:rPr>
          <w:sz w:val="24"/>
          <w:szCs w:val="24"/>
        </w:rPr>
        <w:t>От котельных №2, «Вирбекс» и теплоутилизационных установок КС «Верхнеказымская» осуществляется централизованное качественное регулирование отпуска тепла в тепловые сети. 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14A28E33">
      <w:pPr>
        <w:spacing w:after="0" w:line="240" w:lineRule="auto"/>
        <w:contextualSpacing/>
        <w:jc w:val="both"/>
        <w:rPr>
          <w:sz w:val="24"/>
          <w:szCs w:val="24"/>
        </w:rPr>
      </w:pPr>
      <w:r>
        <w:rPr>
          <w:sz w:val="24"/>
          <w:szCs w:val="24"/>
        </w:rPr>
        <w:t>Изменение температуры теплоносителя производится в автоматическом режиме отпуска тепла на нужды отопления обратная сетевая вода от потребителей поступает в котельную, сетевыми насосами подаётся в котлы, где подогревается и подаётся обратно потребителям.</w:t>
      </w:r>
    </w:p>
    <w:p w14:paraId="5AFE6F8F">
      <w:pPr>
        <w:spacing w:after="0" w:line="240" w:lineRule="auto"/>
        <w:contextualSpacing/>
        <w:jc w:val="both"/>
        <w:rPr>
          <w:sz w:val="24"/>
          <w:szCs w:val="24"/>
        </w:rPr>
      </w:pPr>
      <w:r>
        <w:rPr>
          <w:sz w:val="24"/>
          <w:szCs w:val="24"/>
        </w:rPr>
        <w:t>Температурный график отпуска тепла в системы отопления составляет 95/70 °С и 65/55°С.</w:t>
      </w:r>
    </w:p>
    <w:p w14:paraId="3F9FD10D">
      <w:pPr>
        <w:spacing w:after="0" w:line="240" w:lineRule="auto"/>
        <w:contextualSpacing/>
        <w:jc w:val="both"/>
        <w:rPr>
          <w:sz w:val="24"/>
          <w:szCs w:val="24"/>
        </w:rPr>
      </w:pPr>
      <w:r>
        <w:rPr>
          <w:sz w:val="24"/>
          <w:szCs w:val="24"/>
        </w:rPr>
        <w:t>Температурный график системы отопления (на входе с котельной) на отопительный период 2024-2025 гг. с.п. Верхнеказымский приведен на рисунке 5.</w:t>
      </w:r>
    </w:p>
    <w:p w14:paraId="30299D35">
      <w:pPr>
        <w:spacing w:after="0" w:line="240" w:lineRule="auto"/>
        <w:contextualSpacing/>
        <w:jc w:val="both"/>
        <w:rPr>
          <w:sz w:val="24"/>
          <w:szCs w:val="24"/>
        </w:rPr>
      </w:pPr>
      <w:r>
        <w:rPr>
          <w:sz w:val="24"/>
          <w:szCs w:val="24"/>
        </w:rPr>
        <w:t>Температурный график системы отопления (на входе в здание абонента, подключенного к центральной системе теплоснабжения) на отопительный период 2024-2025 гг. с.п. Верхнеказымский приведен на рисунке 6.</w:t>
      </w:r>
    </w:p>
    <w:p w14:paraId="7A4C09C9">
      <w:pPr>
        <w:spacing w:after="0" w:line="240" w:lineRule="auto"/>
        <w:contextualSpacing/>
        <w:jc w:val="both"/>
        <w:rPr>
          <w:sz w:val="24"/>
          <w:szCs w:val="24"/>
        </w:rPr>
      </w:pPr>
      <w:r>
        <w:rPr>
          <w:sz w:val="24"/>
          <w:szCs w:val="24"/>
        </w:rPr>
        <w:t>Температурный график системы горячего водоснабжения (на входе в здание абонента, подключенного к центральной системе теплоснабжения) на отопительный период 2024-2025 гг. с.п. Верхнеказымский приведен на рисунке 7.</w:t>
      </w:r>
    </w:p>
    <w:p w14:paraId="07FFED1D">
      <w:pPr>
        <w:spacing w:after="0" w:line="240" w:lineRule="auto"/>
        <w:contextualSpacing/>
        <w:jc w:val="both"/>
        <w:rPr>
          <w:sz w:val="24"/>
          <w:szCs w:val="24"/>
        </w:rPr>
      </w:pPr>
    </w:p>
    <w:p w14:paraId="5BC0B697">
      <w:pPr>
        <w:spacing w:after="0" w:line="240" w:lineRule="auto"/>
        <w:ind w:firstLine="0"/>
        <w:contextualSpacing/>
        <w:jc w:val="both"/>
        <w:rPr>
          <w:sz w:val="24"/>
          <w:szCs w:val="24"/>
        </w:rPr>
      </w:pPr>
      <w:r>
        <w:drawing>
          <wp:inline distT="0" distB="0" distL="0" distR="0">
            <wp:extent cx="6120130" cy="330009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13" cstate="print"/>
                    <a:stretch>
                      <a:fillRect/>
                    </a:stretch>
                  </pic:blipFill>
                  <pic:spPr>
                    <a:xfrm>
                      <a:off x="0" y="0"/>
                      <a:ext cx="6120130" cy="3300095"/>
                    </a:xfrm>
                    <a:prstGeom prst="rect">
                      <a:avLst/>
                    </a:prstGeom>
                  </pic:spPr>
                </pic:pic>
              </a:graphicData>
            </a:graphic>
          </wp:inline>
        </w:drawing>
      </w:r>
    </w:p>
    <w:p w14:paraId="7E5D41B5">
      <w:pPr>
        <w:pStyle w:val="43"/>
        <w:spacing w:before="0" w:after="0" w:line="240" w:lineRule="auto"/>
        <w:ind w:firstLine="0"/>
        <w:contextualSpacing/>
        <w:jc w:val="center"/>
        <w:rPr>
          <w:sz w:val="24"/>
          <w:szCs w:val="24"/>
        </w:rPr>
      </w:pPr>
      <w:r>
        <w:rPr>
          <w:rFonts w:cs="Times New Roman"/>
          <w:b w:val="0"/>
          <w:sz w:val="24"/>
          <w:szCs w:val="24"/>
        </w:rPr>
        <w:t xml:space="preserve">Рисунок </w:t>
      </w:r>
      <w:r>
        <w:rPr>
          <w:rFonts w:cs="Times New Roman"/>
          <w:b w:val="0"/>
          <w:sz w:val="24"/>
          <w:szCs w:val="24"/>
        </w:rPr>
        <w:fldChar w:fldCharType="begin"/>
      </w:r>
      <w:r>
        <w:rPr>
          <w:rFonts w:cs="Times New Roman"/>
          <w:b w:val="0"/>
          <w:sz w:val="24"/>
          <w:szCs w:val="24"/>
        </w:rPr>
        <w:instrText xml:space="preserve"> SEQ Рисунок \* ARABIC </w:instrText>
      </w:r>
      <w:r>
        <w:rPr>
          <w:rFonts w:cs="Times New Roman"/>
          <w:b w:val="0"/>
          <w:sz w:val="24"/>
          <w:szCs w:val="24"/>
        </w:rPr>
        <w:fldChar w:fldCharType="separate"/>
      </w:r>
      <w:r>
        <w:rPr>
          <w:rFonts w:cs="Times New Roman"/>
          <w:b w:val="0"/>
          <w:sz w:val="24"/>
          <w:szCs w:val="24"/>
        </w:rPr>
        <w:t>5</w:t>
      </w:r>
      <w:r>
        <w:rPr>
          <w:rFonts w:cs="Times New Roman"/>
          <w:b w:val="0"/>
          <w:sz w:val="24"/>
          <w:szCs w:val="24"/>
        </w:rPr>
        <w:fldChar w:fldCharType="end"/>
      </w:r>
      <w:r>
        <w:rPr>
          <w:rFonts w:cs="Times New Roman"/>
          <w:b w:val="0"/>
          <w:sz w:val="24"/>
          <w:szCs w:val="24"/>
        </w:rPr>
        <w:t xml:space="preserve"> – Температурный график системы отопления (на входе с котельной) на отопительный период 2024-2025 гг. с.п. Верхнеказымский</w:t>
      </w:r>
    </w:p>
    <w:p w14:paraId="51127E47">
      <w:pPr>
        <w:spacing w:after="0" w:line="240" w:lineRule="auto"/>
        <w:ind w:firstLine="0"/>
        <w:contextualSpacing/>
        <w:jc w:val="both"/>
        <w:rPr>
          <w:sz w:val="24"/>
          <w:szCs w:val="24"/>
        </w:rPr>
      </w:pPr>
      <w:r>
        <w:drawing>
          <wp:inline distT="0" distB="0" distL="0" distR="0">
            <wp:extent cx="6120130" cy="380174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14" cstate="print"/>
                    <a:stretch>
                      <a:fillRect/>
                    </a:stretch>
                  </pic:blipFill>
                  <pic:spPr>
                    <a:xfrm>
                      <a:off x="0" y="0"/>
                      <a:ext cx="6120130" cy="3801745"/>
                    </a:xfrm>
                    <a:prstGeom prst="rect">
                      <a:avLst/>
                    </a:prstGeom>
                  </pic:spPr>
                </pic:pic>
              </a:graphicData>
            </a:graphic>
          </wp:inline>
        </w:drawing>
      </w:r>
    </w:p>
    <w:p w14:paraId="5FC71A7A">
      <w:pPr>
        <w:pStyle w:val="43"/>
        <w:spacing w:before="0" w:after="0" w:line="240" w:lineRule="auto"/>
        <w:ind w:firstLine="0"/>
        <w:contextualSpacing/>
        <w:jc w:val="center"/>
        <w:rPr>
          <w:sz w:val="24"/>
          <w:szCs w:val="24"/>
        </w:rPr>
      </w:pPr>
      <w:r>
        <w:rPr>
          <w:rFonts w:cs="Times New Roman"/>
          <w:b w:val="0"/>
          <w:sz w:val="24"/>
          <w:szCs w:val="24"/>
        </w:rPr>
        <w:t xml:space="preserve">Рисунок </w:t>
      </w:r>
      <w:r>
        <w:rPr>
          <w:rFonts w:cs="Times New Roman"/>
          <w:b w:val="0"/>
          <w:sz w:val="24"/>
          <w:szCs w:val="24"/>
        </w:rPr>
        <w:fldChar w:fldCharType="begin"/>
      </w:r>
      <w:r>
        <w:rPr>
          <w:rFonts w:cs="Times New Roman"/>
          <w:b w:val="0"/>
          <w:sz w:val="24"/>
          <w:szCs w:val="24"/>
        </w:rPr>
        <w:instrText xml:space="preserve"> SEQ Рисунок \* ARABIC </w:instrText>
      </w:r>
      <w:r>
        <w:rPr>
          <w:rFonts w:cs="Times New Roman"/>
          <w:b w:val="0"/>
          <w:sz w:val="24"/>
          <w:szCs w:val="24"/>
        </w:rPr>
        <w:fldChar w:fldCharType="separate"/>
      </w:r>
      <w:r>
        <w:rPr>
          <w:rFonts w:cs="Times New Roman"/>
          <w:b w:val="0"/>
          <w:sz w:val="24"/>
          <w:szCs w:val="24"/>
        </w:rPr>
        <w:t>6</w:t>
      </w:r>
      <w:r>
        <w:rPr>
          <w:rFonts w:cs="Times New Roman"/>
          <w:b w:val="0"/>
          <w:sz w:val="24"/>
          <w:szCs w:val="24"/>
        </w:rPr>
        <w:fldChar w:fldCharType="end"/>
      </w:r>
      <w:r>
        <w:rPr>
          <w:rFonts w:cs="Times New Roman"/>
          <w:b w:val="0"/>
          <w:sz w:val="24"/>
          <w:szCs w:val="24"/>
        </w:rPr>
        <w:t xml:space="preserve"> – Температурный график системы отопления (на входе в здание абонента, подключенного к центральной системе теплоснабжения) на отопительный период 2024-2025 гг. с.п. Верхнеказымский</w:t>
      </w:r>
    </w:p>
    <w:p w14:paraId="3332ABF8">
      <w:pPr>
        <w:spacing w:after="0" w:line="240" w:lineRule="auto"/>
        <w:ind w:firstLine="0"/>
        <w:contextualSpacing/>
        <w:jc w:val="both"/>
        <w:rPr>
          <w:sz w:val="24"/>
          <w:szCs w:val="24"/>
        </w:rPr>
      </w:pPr>
      <w:r>
        <w:drawing>
          <wp:inline distT="0" distB="0" distL="0" distR="0">
            <wp:extent cx="5798820" cy="7331710"/>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15" cstate="print"/>
                    <a:srcRect l="5240" t="5073"/>
                    <a:stretch>
                      <a:fillRect/>
                    </a:stretch>
                  </pic:blipFill>
                  <pic:spPr>
                    <a:xfrm>
                      <a:off x="0" y="0"/>
                      <a:ext cx="5799472" cy="7332254"/>
                    </a:xfrm>
                    <a:prstGeom prst="rect">
                      <a:avLst/>
                    </a:prstGeom>
                    <a:ln>
                      <a:noFill/>
                    </a:ln>
                  </pic:spPr>
                </pic:pic>
              </a:graphicData>
            </a:graphic>
          </wp:inline>
        </w:drawing>
      </w:r>
    </w:p>
    <w:p w14:paraId="76AED9EF">
      <w:pPr>
        <w:pStyle w:val="43"/>
        <w:spacing w:before="0" w:after="0" w:line="240" w:lineRule="auto"/>
        <w:ind w:firstLine="0"/>
        <w:contextualSpacing/>
        <w:jc w:val="center"/>
        <w:rPr>
          <w:sz w:val="24"/>
          <w:szCs w:val="24"/>
        </w:rPr>
      </w:pPr>
      <w:r>
        <w:rPr>
          <w:rFonts w:cs="Times New Roman"/>
          <w:b w:val="0"/>
          <w:sz w:val="24"/>
          <w:szCs w:val="24"/>
        </w:rPr>
        <w:t xml:space="preserve">Рисунок </w:t>
      </w:r>
      <w:r>
        <w:rPr>
          <w:rFonts w:cs="Times New Roman"/>
          <w:b w:val="0"/>
          <w:sz w:val="24"/>
          <w:szCs w:val="24"/>
        </w:rPr>
        <w:fldChar w:fldCharType="begin"/>
      </w:r>
      <w:r>
        <w:rPr>
          <w:rFonts w:cs="Times New Roman"/>
          <w:b w:val="0"/>
          <w:sz w:val="24"/>
          <w:szCs w:val="24"/>
        </w:rPr>
        <w:instrText xml:space="preserve"> SEQ Рисунок \* ARABIC </w:instrText>
      </w:r>
      <w:r>
        <w:rPr>
          <w:rFonts w:cs="Times New Roman"/>
          <w:b w:val="0"/>
          <w:sz w:val="24"/>
          <w:szCs w:val="24"/>
        </w:rPr>
        <w:fldChar w:fldCharType="separate"/>
      </w:r>
      <w:r>
        <w:rPr>
          <w:rFonts w:cs="Times New Roman"/>
          <w:b w:val="0"/>
          <w:sz w:val="24"/>
          <w:szCs w:val="24"/>
        </w:rPr>
        <w:t>7</w:t>
      </w:r>
      <w:r>
        <w:rPr>
          <w:rFonts w:cs="Times New Roman"/>
          <w:b w:val="0"/>
          <w:sz w:val="24"/>
          <w:szCs w:val="24"/>
        </w:rPr>
        <w:fldChar w:fldCharType="end"/>
      </w:r>
      <w:r>
        <w:rPr>
          <w:rFonts w:cs="Times New Roman"/>
          <w:b w:val="0"/>
          <w:sz w:val="24"/>
          <w:szCs w:val="24"/>
        </w:rPr>
        <w:t xml:space="preserve"> – Температурный график системы горячего водоснабжения (на входе в здание абонента, подключенного к центральной системе теплоснабжения) на отопительный период 2024-2025 гг. с.п. Верхнеказымский</w:t>
      </w:r>
    </w:p>
    <w:p w14:paraId="3CB39EA8">
      <w:pPr>
        <w:spacing w:after="0" w:line="240" w:lineRule="auto"/>
        <w:contextualSpacing/>
        <w:jc w:val="both"/>
        <w:rPr>
          <w:sz w:val="24"/>
          <w:szCs w:val="24"/>
        </w:rPr>
      </w:pPr>
    </w:p>
    <w:bookmarkEnd w:id="68"/>
    <w:p w14:paraId="66B075A3">
      <w:pPr>
        <w:pStyle w:val="4"/>
        <w:spacing w:before="0" w:line="240" w:lineRule="auto"/>
        <w:ind w:left="0" w:firstLine="709"/>
        <w:contextualSpacing/>
        <w:rPr>
          <w:rFonts w:cs="Times New Roman"/>
          <w:b w:val="0"/>
          <w:sz w:val="24"/>
        </w:rPr>
      </w:pPr>
      <w:bookmarkStart w:id="69" w:name="_Toc524614750"/>
      <w:bookmarkStart w:id="70" w:name="_Toc524614966"/>
      <w:bookmarkStart w:id="71" w:name="_Toc182813871"/>
      <w:r>
        <w:rPr>
          <w:rFonts w:cs="Times New Roman"/>
          <w:b w:val="0"/>
          <w:sz w:val="24"/>
        </w:rPr>
        <w:t>Среднегодовая загрузка оборудования</w:t>
      </w:r>
      <w:bookmarkEnd w:id="69"/>
      <w:bookmarkEnd w:id="70"/>
      <w:bookmarkEnd w:id="71"/>
    </w:p>
    <w:p w14:paraId="1370C17D">
      <w:pPr>
        <w:spacing w:after="0" w:line="240" w:lineRule="auto"/>
        <w:contextualSpacing/>
        <w:jc w:val="both"/>
        <w:rPr>
          <w:sz w:val="24"/>
          <w:szCs w:val="24"/>
        </w:rPr>
      </w:pPr>
      <w:r>
        <w:rPr>
          <w:sz w:val="24"/>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3F398624">
      <w:pPr>
        <w:spacing w:after="0" w:line="240" w:lineRule="auto"/>
        <w:contextualSpacing/>
        <w:jc w:val="both"/>
        <w:rPr>
          <w:sz w:val="24"/>
          <w:szCs w:val="24"/>
        </w:rPr>
      </w:pPr>
      <w:r>
        <w:rPr>
          <w:sz w:val="24"/>
          <w:szCs w:val="24"/>
        </w:rPr>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14:paraId="176715AF">
      <w:pPr>
        <w:spacing w:after="0" w:line="240" w:lineRule="auto"/>
        <w:contextualSpacing/>
        <w:jc w:val="both"/>
        <w:rPr>
          <w:sz w:val="24"/>
          <w:szCs w:val="24"/>
        </w:rPr>
      </w:pPr>
      <w:r>
        <w:rPr>
          <w:sz w:val="24"/>
          <w:szCs w:val="24"/>
        </w:rP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52BE3F83">
      <w:pPr>
        <w:spacing w:after="0" w:line="240" w:lineRule="auto"/>
        <w:contextualSpacing/>
        <w:jc w:val="both"/>
        <w:rPr>
          <w:sz w:val="24"/>
          <w:szCs w:val="24"/>
        </w:rPr>
      </w:pPr>
      <w:r>
        <w:rPr>
          <w:sz w:val="24"/>
          <w:szCs w:val="24"/>
        </w:rPr>
        <w:t>отработала единичная установленная мощность.</w:t>
      </w:r>
    </w:p>
    <w:p w14:paraId="722CC20D">
      <w:pPr>
        <w:spacing w:after="0" w:line="240" w:lineRule="auto"/>
        <w:contextualSpacing/>
        <w:jc w:val="both"/>
        <w:rPr>
          <w:sz w:val="24"/>
          <w:szCs w:val="24"/>
        </w:rPr>
      </w:pPr>
      <w:r>
        <w:rPr>
          <w:sz w:val="24"/>
          <w:szCs w:val="24"/>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273 суток или 6552 ч.</w:t>
      </w:r>
    </w:p>
    <w:p w14:paraId="00BF0876">
      <w:pPr>
        <w:spacing w:after="0" w:line="240" w:lineRule="auto"/>
        <w:contextualSpacing/>
        <w:jc w:val="both"/>
        <w:rPr>
          <w:sz w:val="24"/>
          <w:szCs w:val="24"/>
        </w:rPr>
      </w:pPr>
      <w:r>
        <w:rPr>
          <w:sz w:val="24"/>
          <w:szCs w:val="24"/>
        </w:rPr>
        <w:t>Анализ загрузки котлоагрегатов проводился исходя из соотношения номинальной производительности котла и суммарной производительности с учетом сезонности работы источника.</w:t>
      </w:r>
    </w:p>
    <w:p w14:paraId="6AC8A90F">
      <w:pPr>
        <w:spacing w:after="0" w:line="240" w:lineRule="auto"/>
        <w:contextualSpacing/>
        <w:jc w:val="both"/>
        <w:rPr>
          <w:sz w:val="24"/>
          <w:szCs w:val="24"/>
        </w:rPr>
      </w:pPr>
      <w:r>
        <w:rPr>
          <w:sz w:val="24"/>
          <w:szCs w:val="24"/>
        </w:rPr>
        <w:t>Сведения о среднегодовой загрузке оборудования представлены в таблице 12.</w:t>
      </w:r>
    </w:p>
    <w:p w14:paraId="6A678C4F">
      <w:pPr>
        <w:spacing w:after="0" w:line="240" w:lineRule="auto"/>
        <w:contextualSpacing/>
        <w:jc w:val="both"/>
        <w:rPr>
          <w:sz w:val="24"/>
          <w:szCs w:val="24"/>
        </w:rPr>
      </w:pPr>
    </w:p>
    <w:p w14:paraId="76E3ED88">
      <w:pPr>
        <w:pStyle w:val="43"/>
        <w:keepNext/>
        <w:spacing w:before="0" w:after="0" w:line="240" w:lineRule="auto"/>
        <w:ind w:firstLine="0"/>
        <w:contextualSpacing/>
        <w:rPr>
          <w:rFonts w:cs="Times New Roman"/>
          <w:b w:val="0"/>
          <w:sz w:val="24"/>
          <w:szCs w:val="24"/>
        </w:rPr>
      </w:pPr>
      <w:r>
        <w:rPr>
          <w:b w:val="0"/>
          <w:bCs w:val="0"/>
          <w:sz w:val="24"/>
        </w:rPr>
        <w:t xml:space="preserve">Таблица </w:t>
      </w:r>
      <w:r>
        <w:rPr>
          <w:b w:val="0"/>
          <w:bCs w:val="0"/>
          <w:sz w:val="24"/>
        </w:rPr>
        <w:fldChar w:fldCharType="begin"/>
      </w:r>
      <w:r>
        <w:rPr>
          <w:b w:val="0"/>
          <w:bCs w:val="0"/>
          <w:sz w:val="24"/>
        </w:rPr>
        <w:instrText xml:space="preserve"> SEQ Таблица \* ARABIC </w:instrText>
      </w:r>
      <w:r>
        <w:rPr>
          <w:b w:val="0"/>
          <w:bCs w:val="0"/>
          <w:sz w:val="24"/>
        </w:rPr>
        <w:fldChar w:fldCharType="separate"/>
      </w:r>
      <w:r>
        <w:rPr>
          <w:b w:val="0"/>
          <w:bCs w:val="0"/>
          <w:sz w:val="24"/>
        </w:rPr>
        <w:t>12</w:t>
      </w:r>
      <w:r>
        <w:rPr>
          <w:b w:val="0"/>
          <w:bCs w:val="0"/>
          <w:sz w:val="24"/>
        </w:rPr>
        <w:fldChar w:fldCharType="end"/>
      </w:r>
      <w:r>
        <w:rPr>
          <w:b w:val="0"/>
          <w:bCs w:val="0"/>
          <w:sz w:val="24"/>
        </w:rPr>
        <w:t xml:space="preserve"> – </w:t>
      </w:r>
      <w:r>
        <w:rPr>
          <w:rFonts w:cs="Times New Roman"/>
          <w:b w:val="0"/>
          <w:sz w:val="24"/>
          <w:szCs w:val="24"/>
        </w:rPr>
        <w:t>Сведения о среднегодовой загрузке оборудования котельных с.п. Верхнеказымский за 2023 год (фактические данные)</w:t>
      </w:r>
    </w:p>
    <w:tbl>
      <w:tblPr>
        <w:tblStyle w:val="12"/>
        <w:tblW w:w="5000" w:type="pct"/>
        <w:tblInd w:w="-5" w:type="dxa"/>
        <w:tblLayout w:type="fixed"/>
        <w:tblCellMar>
          <w:top w:w="0" w:type="dxa"/>
          <w:left w:w="108" w:type="dxa"/>
          <w:bottom w:w="0" w:type="dxa"/>
          <w:right w:w="108" w:type="dxa"/>
        </w:tblCellMar>
      </w:tblPr>
      <w:tblGrid>
        <w:gridCol w:w="588"/>
        <w:gridCol w:w="2204"/>
        <w:gridCol w:w="1468"/>
        <w:gridCol w:w="1322"/>
        <w:gridCol w:w="1175"/>
        <w:gridCol w:w="1469"/>
        <w:gridCol w:w="1468"/>
      </w:tblGrid>
      <w:tr w14:paraId="5359EF84">
        <w:tblPrEx>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59D3615">
            <w:pPr>
              <w:spacing w:after="0" w:line="240" w:lineRule="auto"/>
              <w:ind w:firstLine="0"/>
              <w:contextualSpacing/>
              <w:jc w:val="center"/>
              <w:rPr>
                <w:color w:val="000000"/>
                <w:sz w:val="20"/>
                <w:szCs w:val="20"/>
              </w:rPr>
            </w:pPr>
            <w:bookmarkStart w:id="72" w:name="_Toc524614751"/>
            <w:bookmarkStart w:id="73" w:name="_Toc524614967"/>
            <w:r>
              <w:rPr>
                <w:color w:val="000000"/>
                <w:sz w:val="20"/>
                <w:szCs w:val="20"/>
              </w:rPr>
              <w:t>№ п/п</w:t>
            </w:r>
          </w:p>
        </w:tc>
        <w:tc>
          <w:tcPr>
            <w:tcW w:w="212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C0FF120">
            <w:pPr>
              <w:spacing w:after="0" w:line="240" w:lineRule="auto"/>
              <w:ind w:firstLine="0"/>
              <w:contextualSpacing/>
              <w:jc w:val="center"/>
              <w:rPr>
                <w:color w:val="000000"/>
                <w:sz w:val="20"/>
                <w:szCs w:val="20"/>
              </w:rPr>
            </w:pPr>
            <w:r>
              <w:rPr>
                <w:bCs/>
                <w:color w:val="000000"/>
                <w:sz w:val="20"/>
                <w:szCs w:val="20"/>
              </w:rPr>
              <w:t>Источник тепловой энергии</w:t>
            </w:r>
          </w:p>
        </w:tc>
        <w:tc>
          <w:tcPr>
            <w:tcW w:w="141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C6AC824">
            <w:pPr>
              <w:spacing w:after="0" w:line="240" w:lineRule="auto"/>
              <w:ind w:firstLine="0"/>
              <w:contextualSpacing/>
              <w:jc w:val="center"/>
              <w:rPr>
                <w:color w:val="000000"/>
                <w:sz w:val="20"/>
                <w:szCs w:val="20"/>
              </w:rPr>
            </w:pPr>
            <w:r>
              <w:rPr>
                <w:color w:val="000000"/>
                <w:sz w:val="20"/>
                <w:szCs w:val="20"/>
              </w:rPr>
              <w:t>Установленная мощность, Гкал/ч</w:t>
            </w:r>
          </w:p>
        </w:tc>
        <w:tc>
          <w:tcPr>
            <w:tcW w:w="127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0EE64D7">
            <w:pPr>
              <w:spacing w:after="0" w:line="240" w:lineRule="auto"/>
              <w:ind w:firstLine="0"/>
              <w:contextualSpacing/>
              <w:jc w:val="center"/>
              <w:rPr>
                <w:color w:val="000000"/>
                <w:sz w:val="20"/>
                <w:szCs w:val="20"/>
              </w:rPr>
            </w:pPr>
            <w:r>
              <w:rPr>
                <w:color w:val="000000"/>
                <w:sz w:val="20"/>
                <w:szCs w:val="20"/>
              </w:rPr>
              <w:t>Число часов работы источника, ч</w:t>
            </w:r>
          </w:p>
        </w:tc>
        <w:tc>
          <w:tcPr>
            <w:tcW w:w="1134"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D6AE846">
            <w:pPr>
              <w:spacing w:after="0" w:line="240" w:lineRule="auto"/>
              <w:ind w:firstLine="0"/>
              <w:contextualSpacing/>
              <w:jc w:val="center"/>
              <w:rPr>
                <w:color w:val="000000"/>
                <w:sz w:val="20"/>
                <w:szCs w:val="20"/>
              </w:rPr>
            </w:pPr>
            <w:r>
              <w:rPr>
                <w:color w:val="000000"/>
                <w:sz w:val="20"/>
                <w:szCs w:val="20"/>
              </w:rPr>
              <w:t>Выработка тепловой энергии за год, Гкал</w:t>
            </w:r>
          </w:p>
        </w:tc>
        <w:tc>
          <w:tcPr>
            <w:tcW w:w="1418"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87B3F12">
            <w:pPr>
              <w:spacing w:after="0" w:line="240" w:lineRule="auto"/>
              <w:ind w:firstLine="0"/>
              <w:contextualSpacing/>
              <w:jc w:val="center"/>
              <w:rPr>
                <w:color w:val="000000"/>
                <w:sz w:val="20"/>
                <w:szCs w:val="20"/>
              </w:rPr>
            </w:pPr>
            <w:r>
              <w:rPr>
                <w:color w:val="000000"/>
                <w:sz w:val="20"/>
                <w:szCs w:val="20"/>
              </w:rPr>
              <w:t>ЧЧИ установленной тепловой мощности, ч</w:t>
            </w:r>
          </w:p>
        </w:tc>
        <w:tc>
          <w:tcPr>
            <w:tcW w:w="141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3E0779D">
            <w:pPr>
              <w:spacing w:after="0" w:line="240" w:lineRule="auto"/>
              <w:ind w:firstLine="0"/>
              <w:contextualSpacing/>
              <w:jc w:val="center"/>
              <w:rPr>
                <w:color w:val="000000"/>
                <w:sz w:val="20"/>
                <w:szCs w:val="20"/>
              </w:rPr>
            </w:pPr>
            <w:r>
              <w:rPr>
                <w:color w:val="000000"/>
                <w:sz w:val="20"/>
                <w:szCs w:val="20"/>
              </w:rPr>
              <w:t>Коэффициент использования установленной мощности (КИУМ), о. е.</w:t>
            </w:r>
          </w:p>
        </w:tc>
      </w:tr>
      <w:tr w14:paraId="4D24D378">
        <w:tblPrEx>
          <w:tblCellMar>
            <w:top w:w="0" w:type="dxa"/>
            <w:left w:w="108" w:type="dxa"/>
            <w:bottom w:w="0" w:type="dxa"/>
            <w:right w:w="108" w:type="dxa"/>
          </w:tblCellMar>
        </w:tblPrEx>
        <w:trPr>
          <w:trHeight w:val="20" w:hRule="atLeast"/>
        </w:trPr>
        <w:tc>
          <w:tcPr>
            <w:tcW w:w="567"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1C59CA91">
            <w:pPr>
              <w:spacing w:after="0" w:line="240" w:lineRule="auto"/>
              <w:ind w:firstLine="0"/>
              <w:contextualSpacing/>
              <w:jc w:val="center"/>
              <w:rPr>
                <w:color w:val="000000"/>
                <w:sz w:val="20"/>
                <w:szCs w:val="20"/>
              </w:rPr>
            </w:pPr>
            <w:r>
              <w:rPr>
                <w:color w:val="000000"/>
                <w:sz w:val="20"/>
                <w:szCs w:val="20"/>
              </w:rPr>
              <w:t>1</w:t>
            </w:r>
          </w:p>
        </w:tc>
        <w:tc>
          <w:tcPr>
            <w:tcW w:w="2127" w:type="dxa"/>
            <w:tcBorders>
              <w:top w:val="nil"/>
              <w:left w:val="nil"/>
              <w:bottom w:val="single" w:color="auto" w:sz="4" w:space="0"/>
              <w:right w:val="single" w:color="auto" w:sz="4" w:space="0"/>
            </w:tcBorders>
            <w:shd w:val="clear" w:color="auto" w:fill="auto"/>
            <w:tcMar>
              <w:left w:w="28" w:type="dxa"/>
              <w:right w:w="28" w:type="dxa"/>
            </w:tcMar>
            <w:vAlign w:val="center"/>
          </w:tcPr>
          <w:p w14:paraId="07047119">
            <w:pPr>
              <w:spacing w:after="0" w:line="240" w:lineRule="auto"/>
              <w:ind w:firstLine="0"/>
              <w:contextualSpacing/>
              <w:jc w:val="center"/>
              <w:rPr>
                <w:color w:val="000000"/>
                <w:sz w:val="20"/>
                <w:szCs w:val="20"/>
              </w:rPr>
            </w:pPr>
            <w:r>
              <w:rPr>
                <w:color w:val="000000"/>
                <w:sz w:val="20"/>
                <w:szCs w:val="20"/>
              </w:rPr>
              <w:t>Котельная №2 МУП «БКС»</w:t>
            </w:r>
          </w:p>
        </w:tc>
        <w:tc>
          <w:tcPr>
            <w:tcW w:w="1417" w:type="dxa"/>
            <w:tcBorders>
              <w:top w:val="nil"/>
              <w:left w:val="nil"/>
              <w:bottom w:val="single" w:color="auto" w:sz="4" w:space="0"/>
              <w:right w:val="single" w:color="auto" w:sz="4" w:space="0"/>
            </w:tcBorders>
            <w:shd w:val="clear" w:color="auto" w:fill="auto"/>
            <w:tcMar>
              <w:left w:w="28" w:type="dxa"/>
              <w:right w:w="28" w:type="dxa"/>
            </w:tcMar>
            <w:vAlign w:val="center"/>
          </w:tcPr>
          <w:p w14:paraId="220097DD">
            <w:pPr>
              <w:spacing w:after="0" w:line="240" w:lineRule="auto"/>
              <w:ind w:firstLine="0"/>
              <w:contextualSpacing/>
              <w:jc w:val="center"/>
              <w:rPr>
                <w:color w:val="000000"/>
                <w:sz w:val="20"/>
                <w:szCs w:val="20"/>
              </w:rPr>
            </w:pPr>
            <w:r>
              <w:rPr>
                <w:color w:val="000000"/>
                <w:sz w:val="20"/>
                <w:szCs w:val="20"/>
              </w:rPr>
              <w:t>6,02</w:t>
            </w:r>
          </w:p>
        </w:tc>
        <w:tc>
          <w:tcPr>
            <w:tcW w:w="1276" w:type="dxa"/>
            <w:tcBorders>
              <w:top w:val="nil"/>
              <w:left w:val="nil"/>
              <w:bottom w:val="single" w:color="auto" w:sz="4" w:space="0"/>
              <w:right w:val="single" w:color="auto" w:sz="4" w:space="0"/>
            </w:tcBorders>
            <w:shd w:val="clear" w:color="auto" w:fill="auto"/>
            <w:tcMar>
              <w:left w:w="28" w:type="dxa"/>
              <w:right w:w="28" w:type="dxa"/>
            </w:tcMar>
            <w:vAlign w:val="center"/>
          </w:tcPr>
          <w:p w14:paraId="7B93D1D6">
            <w:pPr>
              <w:spacing w:after="0" w:line="240" w:lineRule="auto"/>
              <w:ind w:firstLine="0"/>
              <w:contextualSpacing/>
              <w:jc w:val="center"/>
              <w:rPr>
                <w:color w:val="000000"/>
                <w:sz w:val="20"/>
                <w:szCs w:val="20"/>
              </w:rPr>
            </w:pPr>
            <w:r>
              <w:rPr>
                <w:color w:val="000000"/>
                <w:sz w:val="20"/>
                <w:szCs w:val="20"/>
              </w:rPr>
              <w:t>6552</w:t>
            </w:r>
          </w:p>
        </w:tc>
        <w:tc>
          <w:tcPr>
            <w:tcW w:w="1134"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948ED8D">
            <w:pPr>
              <w:spacing w:after="0" w:line="240" w:lineRule="auto"/>
              <w:ind w:firstLine="0"/>
              <w:contextualSpacing/>
              <w:jc w:val="center"/>
              <w:rPr>
                <w:color w:val="000000"/>
                <w:sz w:val="20"/>
                <w:szCs w:val="20"/>
              </w:rPr>
            </w:pPr>
            <w:r>
              <w:rPr>
                <w:color w:val="000000"/>
                <w:sz w:val="20"/>
                <w:szCs w:val="20"/>
              </w:rPr>
              <w:t>3217,82</w:t>
            </w:r>
          </w:p>
        </w:tc>
        <w:tc>
          <w:tcPr>
            <w:tcW w:w="1418"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A79051F">
            <w:pPr>
              <w:spacing w:after="0" w:line="240" w:lineRule="auto"/>
              <w:ind w:firstLine="0"/>
              <w:contextualSpacing/>
              <w:jc w:val="center"/>
              <w:rPr>
                <w:color w:val="000000"/>
                <w:sz w:val="20"/>
                <w:szCs w:val="20"/>
              </w:rPr>
            </w:pPr>
            <w:r>
              <w:rPr>
                <w:color w:val="000000"/>
                <w:sz w:val="20"/>
                <w:szCs w:val="20"/>
              </w:rPr>
              <w:t>534,5</w:t>
            </w:r>
          </w:p>
        </w:tc>
        <w:tc>
          <w:tcPr>
            <w:tcW w:w="141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1D0C96C">
            <w:pPr>
              <w:spacing w:after="0" w:line="240" w:lineRule="auto"/>
              <w:ind w:firstLine="0"/>
              <w:contextualSpacing/>
              <w:jc w:val="center"/>
              <w:rPr>
                <w:color w:val="000000"/>
                <w:sz w:val="20"/>
                <w:szCs w:val="20"/>
              </w:rPr>
            </w:pPr>
            <w:r>
              <w:rPr>
                <w:color w:val="000000"/>
                <w:sz w:val="20"/>
                <w:szCs w:val="20"/>
              </w:rPr>
              <w:t>0,082</w:t>
            </w:r>
          </w:p>
        </w:tc>
      </w:tr>
      <w:tr w14:paraId="53C0911A">
        <w:tblPrEx>
          <w:tblCellMar>
            <w:top w:w="0" w:type="dxa"/>
            <w:left w:w="108" w:type="dxa"/>
            <w:bottom w:w="0" w:type="dxa"/>
            <w:right w:w="108" w:type="dxa"/>
          </w:tblCellMar>
        </w:tblPrEx>
        <w:trPr>
          <w:trHeight w:val="20" w:hRule="atLeast"/>
        </w:trPr>
        <w:tc>
          <w:tcPr>
            <w:tcW w:w="567"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86CF661">
            <w:pPr>
              <w:spacing w:after="0" w:line="240" w:lineRule="auto"/>
              <w:ind w:firstLine="0"/>
              <w:contextualSpacing/>
              <w:jc w:val="center"/>
              <w:rPr>
                <w:color w:val="000000"/>
                <w:sz w:val="20"/>
                <w:szCs w:val="20"/>
              </w:rPr>
            </w:pPr>
            <w:r>
              <w:rPr>
                <w:color w:val="000000"/>
                <w:sz w:val="20"/>
                <w:szCs w:val="20"/>
              </w:rPr>
              <w:t>2</w:t>
            </w:r>
          </w:p>
        </w:tc>
        <w:tc>
          <w:tcPr>
            <w:tcW w:w="2127" w:type="dxa"/>
            <w:tcBorders>
              <w:top w:val="nil"/>
              <w:left w:val="nil"/>
              <w:bottom w:val="single" w:color="auto" w:sz="4" w:space="0"/>
              <w:right w:val="single" w:color="auto" w:sz="4" w:space="0"/>
            </w:tcBorders>
            <w:shd w:val="clear" w:color="auto" w:fill="auto"/>
            <w:tcMar>
              <w:left w:w="28" w:type="dxa"/>
              <w:right w:w="28" w:type="dxa"/>
            </w:tcMar>
            <w:vAlign w:val="center"/>
          </w:tcPr>
          <w:p w14:paraId="37277978">
            <w:pPr>
              <w:spacing w:after="0" w:line="240" w:lineRule="auto"/>
              <w:ind w:firstLine="0"/>
              <w:contextualSpacing/>
              <w:jc w:val="center"/>
              <w:rPr>
                <w:color w:val="000000"/>
                <w:sz w:val="20"/>
                <w:szCs w:val="20"/>
              </w:rPr>
            </w:pPr>
            <w:r>
              <w:rPr>
                <w:color w:val="000000"/>
                <w:sz w:val="20"/>
                <w:szCs w:val="20"/>
              </w:rPr>
              <w:t>Котельная «2БВК»</w:t>
            </w:r>
          </w:p>
        </w:tc>
        <w:tc>
          <w:tcPr>
            <w:tcW w:w="1417" w:type="dxa"/>
            <w:tcBorders>
              <w:top w:val="nil"/>
              <w:left w:val="nil"/>
              <w:bottom w:val="single" w:color="auto" w:sz="4" w:space="0"/>
              <w:right w:val="single" w:color="auto" w:sz="4" w:space="0"/>
            </w:tcBorders>
            <w:shd w:val="clear" w:color="auto" w:fill="auto"/>
            <w:tcMar>
              <w:left w:w="28" w:type="dxa"/>
              <w:right w:w="28" w:type="dxa"/>
            </w:tcMar>
            <w:vAlign w:val="center"/>
          </w:tcPr>
          <w:p w14:paraId="08B8C456">
            <w:pPr>
              <w:spacing w:after="0" w:line="240" w:lineRule="auto"/>
              <w:ind w:firstLine="0"/>
              <w:contextualSpacing/>
              <w:jc w:val="center"/>
              <w:rPr>
                <w:color w:val="000000"/>
                <w:sz w:val="20"/>
                <w:szCs w:val="20"/>
              </w:rPr>
            </w:pPr>
            <w:r>
              <w:rPr>
                <w:color w:val="000000"/>
                <w:sz w:val="20"/>
                <w:szCs w:val="20"/>
              </w:rPr>
              <w:t>7,2</w:t>
            </w:r>
          </w:p>
        </w:tc>
        <w:tc>
          <w:tcPr>
            <w:tcW w:w="1276" w:type="dxa"/>
            <w:tcBorders>
              <w:top w:val="nil"/>
              <w:left w:val="nil"/>
              <w:bottom w:val="single" w:color="auto" w:sz="4" w:space="0"/>
              <w:right w:val="single" w:color="auto" w:sz="4" w:space="0"/>
            </w:tcBorders>
            <w:shd w:val="clear" w:color="auto" w:fill="auto"/>
            <w:tcMar>
              <w:left w:w="28" w:type="dxa"/>
              <w:right w:w="28" w:type="dxa"/>
            </w:tcMar>
            <w:vAlign w:val="center"/>
          </w:tcPr>
          <w:p w14:paraId="2F835D26">
            <w:pPr>
              <w:spacing w:after="0" w:line="240" w:lineRule="auto"/>
              <w:ind w:firstLine="0"/>
              <w:contextualSpacing/>
              <w:jc w:val="center"/>
              <w:rPr>
                <w:color w:val="000000"/>
                <w:sz w:val="20"/>
                <w:szCs w:val="20"/>
              </w:rPr>
            </w:pPr>
            <w:r>
              <w:rPr>
                <w:color w:val="000000"/>
                <w:sz w:val="20"/>
                <w:szCs w:val="20"/>
              </w:rPr>
              <w:t>6552</w:t>
            </w:r>
          </w:p>
        </w:tc>
        <w:tc>
          <w:tcPr>
            <w:tcW w:w="1134" w:type="dxa"/>
            <w:vMerge w:val="restart"/>
            <w:tcBorders>
              <w:top w:val="nil"/>
              <w:left w:val="nil"/>
              <w:right w:val="single" w:color="auto" w:sz="4" w:space="0"/>
            </w:tcBorders>
            <w:shd w:val="clear" w:color="auto" w:fill="auto"/>
            <w:noWrap/>
            <w:tcMar>
              <w:left w:w="28" w:type="dxa"/>
              <w:right w:w="28" w:type="dxa"/>
            </w:tcMar>
            <w:vAlign w:val="center"/>
          </w:tcPr>
          <w:p w14:paraId="17BF5DEF">
            <w:pPr>
              <w:spacing w:after="0" w:line="240" w:lineRule="auto"/>
              <w:ind w:firstLine="0"/>
              <w:contextualSpacing/>
              <w:jc w:val="center"/>
              <w:rPr>
                <w:color w:val="000000"/>
                <w:sz w:val="20"/>
                <w:szCs w:val="20"/>
              </w:rPr>
            </w:pPr>
            <w:r>
              <w:rPr>
                <w:color w:val="000000"/>
                <w:sz w:val="20"/>
                <w:szCs w:val="20"/>
              </w:rPr>
              <w:t>18022,5</w:t>
            </w:r>
          </w:p>
        </w:tc>
        <w:tc>
          <w:tcPr>
            <w:tcW w:w="1418" w:type="dxa"/>
            <w:vMerge w:val="restart"/>
            <w:tcBorders>
              <w:top w:val="nil"/>
              <w:left w:val="nil"/>
              <w:right w:val="single" w:color="auto" w:sz="4" w:space="0"/>
            </w:tcBorders>
            <w:shd w:val="clear" w:color="auto" w:fill="auto"/>
            <w:noWrap/>
            <w:tcMar>
              <w:left w:w="28" w:type="dxa"/>
              <w:right w:w="28" w:type="dxa"/>
            </w:tcMar>
            <w:vAlign w:val="center"/>
          </w:tcPr>
          <w:p w14:paraId="0EA1A555">
            <w:pPr>
              <w:spacing w:after="0" w:line="240" w:lineRule="auto"/>
              <w:ind w:firstLine="0"/>
              <w:contextualSpacing/>
              <w:jc w:val="center"/>
              <w:rPr>
                <w:color w:val="000000"/>
                <w:sz w:val="20"/>
                <w:szCs w:val="20"/>
              </w:rPr>
            </w:pPr>
            <w:r>
              <w:rPr>
                <w:color w:val="000000"/>
                <w:sz w:val="20"/>
                <w:szCs w:val="20"/>
              </w:rPr>
              <w:t>377,7</w:t>
            </w:r>
          </w:p>
        </w:tc>
        <w:tc>
          <w:tcPr>
            <w:tcW w:w="1417" w:type="dxa"/>
            <w:vMerge w:val="restart"/>
            <w:tcBorders>
              <w:top w:val="nil"/>
              <w:left w:val="nil"/>
              <w:right w:val="single" w:color="auto" w:sz="4" w:space="0"/>
            </w:tcBorders>
            <w:shd w:val="clear" w:color="auto" w:fill="auto"/>
            <w:noWrap/>
            <w:tcMar>
              <w:left w:w="28" w:type="dxa"/>
              <w:right w:w="28" w:type="dxa"/>
            </w:tcMar>
            <w:vAlign w:val="center"/>
          </w:tcPr>
          <w:p w14:paraId="0D954257">
            <w:pPr>
              <w:spacing w:after="0" w:line="240" w:lineRule="auto"/>
              <w:ind w:firstLine="0"/>
              <w:contextualSpacing/>
              <w:jc w:val="center"/>
              <w:rPr>
                <w:color w:val="000000"/>
                <w:sz w:val="20"/>
                <w:szCs w:val="20"/>
              </w:rPr>
            </w:pPr>
            <w:r>
              <w:rPr>
                <w:color w:val="000000"/>
                <w:sz w:val="20"/>
                <w:szCs w:val="20"/>
              </w:rPr>
              <w:t>0,058</w:t>
            </w:r>
          </w:p>
        </w:tc>
      </w:tr>
      <w:tr w14:paraId="684085B1">
        <w:tblPrEx>
          <w:tblCellMar>
            <w:top w:w="0" w:type="dxa"/>
            <w:left w:w="108" w:type="dxa"/>
            <w:bottom w:w="0" w:type="dxa"/>
            <w:right w:w="108" w:type="dxa"/>
          </w:tblCellMar>
        </w:tblPrEx>
        <w:trPr>
          <w:trHeight w:val="20" w:hRule="atLeast"/>
        </w:trPr>
        <w:tc>
          <w:tcPr>
            <w:tcW w:w="567"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1B516060">
            <w:pPr>
              <w:spacing w:after="0" w:line="240" w:lineRule="auto"/>
              <w:ind w:firstLine="0"/>
              <w:contextualSpacing/>
              <w:jc w:val="center"/>
              <w:rPr>
                <w:color w:val="000000"/>
                <w:sz w:val="20"/>
                <w:szCs w:val="20"/>
              </w:rPr>
            </w:pPr>
            <w:r>
              <w:rPr>
                <w:color w:val="000000"/>
                <w:sz w:val="20"/>
                <w:szCs w:val="20"/>
              </w:rPr>
              <w:t>3</w:t>
            </w:r>
          </w:p>
        </w:tc>
        <w:tc>
          <w:tcPr>
            <w:tcW w:w="2127" w:type="dxa"/>
            <w:tcBorders>
              <w:top w:val="nil"/>
              <w:left w:val="nil"/>
              <w:bottom w:val="single" w:color="auto" w:sz="4" w:space="0"/>
              <w:right w:val="single" w:color="auto" w:sz="4" w:space="0"/>
            </w:tcBorders>
            <w:shd w:val="clear" w:color="auto" w:fill="auto"/>
            <w:tcMar>
              <w:left w:w="28" w:type="dxa"/>
              <w:right w:w="28" w:type="dxa"/>
            </w:tcMar>
            <w:vAlign w:val="center"/>
          </w:tcPr>
          <w:p w14:paraId="23B63939">
            <w:pPr>
              <w:spacing w:after="0" w:line="240" w:lineRule="auto"/>
              <w:ind w:firstLine="0"/>
              <w:contextualSpacing/>
              <w:jc w:val="center"/>
              <w:rPr>
                <w:color w:val="000000"/>
                <w:sz w:val="20"/>
                <w:szCs w:val="20"/>
              </w:rPr>
            </w:pPr>
            <w:r>
              <w:rPr>
                <w:color w:val="000000"/>
                <w:sz w:val="20"/>
                <w:szCs w:val="20"/>
              </w:rPr>
              <w:t>Котельная «Вирбекс»</w:t>
            </w:r>
          </w:p>
        </w:tc>
        <w:tc>
          <w:tcPr>
            <w:tcW w:w="1417" w:type="dxa"/>
            <w:tcBorders>
              <w:top w:val="nil"/>
              <w:left w:val="nil"/>
              <w:bottom w:val="single" w:color="auto" w:sz="4" w:space="0"/>
              <w:right w:val="single" w:color="auto" w:sz="4" w:space="0"/>
            </w:tcBorders>
            <w:shd w:val="clear" w:color="auto" w:fill="auto"/>
            <w:tcMar>
              <w:left w:w="28" w:type="dxa"/>
              <w:right w:w="28" w:type="dxa"/>
            </w:tcMar>
            <w:vAlign w:val="center"/>
          </w:tcPr>
          <w:p w14:paraId="735BE1AC">
            <w:pPr>
              <w:spacing w:after="0" w:line="240" w:lineRule="auto"/>
              <w:ind w:firstLine="0"/>
              <w:contextualSpacing/>
              <w:jc w:val="center"/>
              <w:rPr>
                <w:color w:val="000000"/>
                <w:sz w:val="20"/>
                <w:szCs w:val="20"/>
              </w:rPr>
            </w:pPr>
            <w:r>
              <w:rPr>
                <w:color w:val="000000"/>
                <w:sz w:val="20"/>
                <w:szCs w:val="20"/>
              </w:rPr>
              <w:t>2,8</w:t>
            </w:r>
          </w:p>
        </w:tc>
        <w:tc>
          <w:tcPr>
            <w:tcW w:w="1276" w:type="dxa"/>
            <w:tcBorders>
              <w:top w:val="nil"/>
              <w:left w:val="nil"/>
              <w:bottom w:val="single" w:color="auto" w:sz="4" w:space="0"/>
              <w:right w:val="single" w:color="auto" w:sz="4" w:space="0"/>
            </w:tcBorders>
            <w:shd w:val="clear" w:color="auto" w:fill="auto"/>
            <w:tcMar>
              <w:left w:w="28" w:type="dxa"/>
              <w:right w:w="28" w:type="dxa"/>
            </w:tcMar>
            <w:vAlign w:val="center"/>
          </w:tcPr>
          <w:p w14:paraId="54CAAB1A">
            <w:pPr>
              <w:spacing w:after="0" w:line="240" w:lineRule="auto"/>
              <w:ind w:firstLine="0"/>
              <w:contextualSpacing/>
              <w:jc w:val="center"/>
              <w:rPr>
                <w:color w:val="000000"/>
                <w:sz w:val="20"/>
                <w:szCs w:val="20"/>
              </w:rPr>
            </w:pPr>
            <w:r>
              <w:rPr>
                <w:color w:val="000000"/>
                <w:sz w:val="20"/>
                <w:szCs w:val="20"/>
              </w:rPr>
              <w:t>6552</w:t>
            </w:r>
          </w:p>
        </w:tc>
        <w:tc>
          <w:tcPr>
            <w:tcW w:w="1134" w:type="dxa"/>
            <w:vMerge w:val="continue"/>
            <w:tcBorders>
              <w:left w:val="single" w:color="auto" w:sz="4" w:space="0"/>
              <w:right w:val="single" w:color="auto" w:sz="4" w:space="0"/>
            </w:tcBorders>
            <w:shd w:val="clear" w:color="auto" w:fill="auto"/>
            <w:noWrap/>
            <w:tcMar>
              <w:left w:w="28" w:type="dxa"/>
              <w:right w:w="28" w:type="dxa"/>
            </w:tcMar>
            <w:vAlign w:val="center"/>
          </w:tcPr>
          <w:p w14:paraId="2D525EDA">
            <w:pPr>
              <w:spacing w:after="0" w:line="240" w:lineRule="auto"/>
              <w:ind w:firstLine="0"/>
              <w:contextualSpacing/>
              <w:jc w:val="center"/>
              <w:rPr>
                <w:color w:val="000000"/>
                <w:sz w:val="20"/>
                <w:szCs w:val="20"/>
              </w:rPr>
            </w:pPr>
          </w:p>
        </w:tc>
        <w:tc>
          <w:tcPr>
            <w:tcW w:w="1418" w:type="dxa"/>
            <w:vMerge w:val="continue"/>
            <w:tcBorders>
              <w:left w:val="single" w:color="auto" w:sz="4" w:space="0"/>
              <w:right w:val="single" w:color="auto" w:sz="4" w:space="0"/>
            </w:tcBorders>
            <w:shd w:val="clear" w:color="auto" w:fill="auto"/>
            <w:noWrap/>
            <w:tcMar>
              <w:left w:w="28" w:type="dxa"/>
              <w:right w:w="28" w:type="dxa"/>
            </w:tcMar>
            <w:vAlign w:val="center"/>
          </w:tcPr>
          <w:p w14:paraId="13558134">
            <w:pPr>
              <w:spacing w:after="0" w:line="240" w:lineRule="auto"/>
              <w:ind w:firstLine="0"/>
              <w:contextualSpacing/>
              <w:jc w:val="center"/>
              <w:rPr>
                <w:color w:val="000000"/>
                <w:sz w:val="20"/>
                <w:szCs w:val="20"/>
              </w:rPr>
            </w:pPr>
          </w:p>
        </w:tc>
        <w:tc>
          <w:tcPr>
            <w:tcW w:w="1417" w:type="dxa"/>
            <w:vMerge w:val="continue"/>
            <w:tcBorders>
              <w:left w:val="single" w:color="auto" w:sz="4" w:space="0"/>
              <w:right w:val="single" w:color="auto" w:sz="4" w:space="0"/>
            </w:tcBorders>
            <w:shd w:val="clear" w:color="auto" w:fill="auto"/>
            <w:noWrap/>
            <w:tcMar>
              <w:left w:w="28" w:type="dxa"/>
              <w:right w:w="28" w:type="dxa"/>
            </w:tcMar>
            <w:vAlign w:val="center"/>
          </w:tcPr>
          <w:p w14:paraId="156A8986">
            <w:pPr>
              <w:spacing w:after="0" w:line="240" w:lineRule="auto"/>
              <w:ind w:firstLine="0"/>
              <w:contextualSpacing/>
              <w:jc w:val="center"/>
              <w:rPr>
                <w:color w:val="000000"/>
                <w:sz w:val="20"/>
                <w:szCs w:val="20"/>
              </w:rPr>
            </w:pPr>
          </w:p>
        </w:tc>
      </w:tr>
      <w:tr w14:paraId="2FBC4AEE">
        <w:tblPrEx>
          <w:tblCellMar>
            <w:top w:w="0" w:type="dxa"/>
            <w:left w:w="108" w:type="dxa"/>
            <w:bottom w:w="0" w:type="dxa"/>
            <w:right w:w="108" w:type="dxa"/>
          </w:tblCellMar>
        </w:tblPrEx>
        <w:trPr>
          <w:trHeight w:val="20" w:hRule="atLeast"/>
        </w:trPr>
        <w:tc>
          <w:tcPr>
            <w:tcW w:w="567"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0D027468">
            <w:pPr>
              <w:spacing w:after="0" w:line="240" w:lineRule="auto"/>
              <w:ind w:firstLine="0"/>
              <w:contextualSpacing/>
              <w:jc w:val="center"/>
              <w:rPr>
                <w:color w:val="000000"/>
                <w:sz w:val="20"/>
                <w:szCs w:val="20"/>
              </w:rPr>
            </w:pPr>
            <w:r>
              <w:rPr>
                <w:color w:val="000000"/>
                <w:sz w:val="20"/>
                <w:szCs w:val="20"/>
              </w:rPr>
              <w:t>4</w:t>
            </w:r>
          </w:p>
        </w:tc>
        <w:tc>
          <w:tcPr>
            <w:tcW w:w="2127" w:type="dxa"/>
            <w:tcBorders>
              <w:top w:val="nil"/>
              <w:left w:val="nil"/>
              <w:bottom w:val="single" w:color="auto" w:sz="4" w:space="0"/>
              <w:right w:val="single" w:color="auto" w:sz="4" w:space="0"/>
            </w:tcBorders>
            <w:shd w:val="clear" w:color="auto" w:fill="auto"/>
            <w:tcMar>
              <w:left w:w="28" w:type="dxa"/>
              <w:right w:w="28" w:type="dxa"/>
            </w:tcMar>
            <w:vAlign w:val="center"/>
          </w:tcPr>
          <w:p w14:paraId="1780E5DD">
            <w:pPr>
              <w:spacing w:after="0" w:line="240" w:lineRule="auto"/>
              <w:ind w:firstLine="0"/>
              <w:contextualSpacing/>
              <w:jc w:val="center"/>
              <w:rPr>
                <w:color w:val="000000"/>
                <w:sz w:val="20"/>
                <w:szCs w:val="20"/>
              </w:rPr>
            </w:pPr>
            <w:r>
              <w:rPr>
                <w:color w:val="000000"/>
                <w:sz w:val="20"/>
                <w:szCs w:val="20"/>
              </w:rPr>
              <w:t>Теплоутилизационные установки КС «Верхнеказымская»</w:t>
            </w:r>
          </w:p>
        </w:tc>
        <w:tc>
          <w:tcPr>
            <w:tcW w:w="1417" w:type="dxa"/>
            <w:tcBorders>
              <w:top w:val="nil"/>
              <w:left w:val="nil"/>
              <w:bottom w:val="single" w:color="auto" w:sz="4" w:space="0"/>
              <w:right w:val="single" w:color="auto" w:sz="4" w:space="0"/>
            </w:tcBorders>
            <w:shd w:val="clear" w:color="auto" w:fill="auto"/>
            <w:tcMar>
              <w:left w:w="28" w:type="dxa"/>
              <w:right w:w="28" w:type="dxa"/>
            </w:tcMar>
            <w:vAlign w:val="center"/>
          </w:tcPr>
          <w:p w14:paraId="665457BF">
            <w:pPr>
              <w:spacing w:after="0" w:line="240" w:lineRule="auto"/>
              <w:ind w:firstLine="0"/>
              <w:contextualSpacing/>
              <w:jc w:val="center"/>
              <w:rPr>
                <w:color w:val="000000"/>
                <w:sz w:val="20"/>
                <w:szCs w:val="20"/>
              </w:rPr>
            </w:pPr>
            <w:r>
              <w:rPr>
                <w:color w:val="000000"/>
                <w:sz w:val="20"/>
                <w:szCs w:val="20"/>
              </w:rPr>
              <w:t>37,72</w:t>
            </w:r>
          </w:p>
        </w:tc>
        <w:tc>
          <w:tcPr>
            <w:tcW w:w="1276" w:type="dxa"/>
            <w:tcBorders>
              <w:top w:val="nil"/>
              <w:left w:val="nil"/>
              <w:bottom w:val="single" w:color="auto" w:sz="4" w:space="0"/>
              <w:right w:val="single" w:color="auto" w:sz="4" w:space="0"/>
            </w:tcBorders>
            <w:shd w:val="clear" w:color="auto" w:fill="auto"/>
            <w:tcMar>
              <w:left w:w="28" w:type="dxa"/>
              <w:right w:w="28" w:type="dxa"/>
            </w:tcMar>
            <w:vAlign w:val="center"/>
          </w:tcPr>
          <w:p w14:paraId="00A58A0D">
            <w:pPr>
              <w:spacing w:after="0" w:line="240" w:lineRule="auto"/>
              <w:ind w:firstLine="0"/>
              <w:contextualSpacing/>
              <w:jc w:val="center"/>
              <w:rPr>
                <w:color w:val="000000"/>
                <w:sz w:val="20"/>
                <w:szCs w:val="20"/>
              </w:rPr>
            </w:pPr>
            <w:r>
              <w:rPr>
                <w:color w:val="000000"/>
                <w:sz w:val="20"/>
                <w:szCs w:val="20"/>
              </w:rPr>
              <w:t>6552</w:t>
            </w:r>
          </w:p>
        </w:tc>
        <w:tc>
          <w:tcPr>
            <w:tcW w:w="1134" w:type="dxa"/>
            <w:vMerge w:val="continue"/>
            <w:tcBorders>
              <w:left w:val="single" w:color="auto" w:sz="4" w:space="0"/>
              <w:bottom w:val="single" w:color="auto" w:sz="4" w:space="0"/>
              <w:right w:val="single" w:color="auto" w:sz="4" w:space="0"/>
            </w:tcBorders>
            <w:tcMar>
              <w:left w:w="28" w:type="dxa"/>
              <w:right w:w="28" w:type="dxa"/>
            </w:tcMar>
            <w:vAlign w:val="center"/>
          </w:tcPr>
          <w:p w14:paraId="75FAA577">
            <w:pPr>
              <w:spacing w:after="0" w:line="240" w:lineRule="auto"/>
              <w:ind w:firstLine="0"/>
              <w:contextualSpacing/>
              <w:jc w:val="center"/>
              <w:rPr>
                <w:color w:val="000000"/>
                <w:sz w:val="20"/>
                <w:szCs w:val="20"/>
              </w:rPr>
            </w:pPr>
          </w:p>
        </w:tc>
        <w:tc>
          <w:tcPr>
            <w:tcW w:w="1418" w:type="dxa"/>
            <w:vMerge w:val="continue"/>
            <w:tcBorders>
              <w:left w:val="single" w:color="auto" w:sz="4" w:space="0"/>
              <w:bottom w:val="single" w:color="auto" w:sz="4" w:space="0"/>
              <w:right w:val="single" w:color="auto" w:sz="4" w:space="0"/>
            </w:tcBorders>
            <w:tcMar>
              <w:left w:w="28" w:type="dxa"/>
              <w:right w:w="28" w:type="dxa"/>
            </w:tcMar>
            <w:vAlign w:val="center"/>
          </w:tcPr>
          <w:p w14:paraId="06BE4E81">
            <w:pPr>
              <w:spacing w:after="0" w:line="240" w:lineRule="auto"/>
              <w:ind w:firstLine="0"/>
              <w:contextualSpacing/>
              <w:jc w:val="center"/>
              <w:rPr>
                <w:color w:val="000000"/>
                <w:sz w:val="20"/>
                <w:szCs w:val="20"/>
              </w:rPr>
            </w:pPr>
          </w:p>
        </w:tc>
        <w:tc>
          <w:tcPr>
            <w:tcW w:w="1417" w:type="dxa"/>
            <w:vMerge w:val="continue"/>
            <w:tcBorders>
              <w:left w:val="single" w:color="auto" w:sz="4" w:space="0"/>
              <w:bottom w:val="single" w:color="000000" w:sz="4" w:space="0"/>
              <w:right w:val="single" w:color="auto" w:sz="4" w:space="0"/>
            </w:tcBorders>
            <w:tcMar>
              <w:left w:w="28" w:type="dxa"/>
              <w:right w:w="28" w:type="dxa"/>
            </w:tcMar>
            <w:vAlign w:val="center"/>
          </w:tcPr>
          <w:p w14:paraId="2AF06023">
            <w:pPr>
              <w:spacing w:after="0" w:line="240" w:lineRule="auto"/>
              <w:ind w:firstLine="0"/>
              <w:contextualSpacing/>
              <w:jc w:val="center"/>
              <w:rPr>
                <w:color w:val="000000"/>
                <w:sz w:val="20"/>
                <w:szCs w:val="20"/>
              </w:rPr>
            </w:pPr>
          </w:p>
        </w:tc>
      </w:tr>
    </w:tbl>
    <w:p w14:paraId="37C2F42B">
      <w:pPr>
        <w:pStyle w:val="404"/>
        <w:widowControl w:val="0"/>
        <w:spacing w:line="240" w:lineRule="auto"/>
        <w:contextualSpacing/>
      </w:pPr>
    </w:p>
    <w:p w14:paraId="65541FF1">
      <w:pPr>
        <w:pStyle w:val="4"/>
        <w:spacing w:before="0" w:line="240" w:lineRule="auto"/>
        <w:ind w:left="0" w:firstLine="709"/>
        <w:contextualSpacing/>
        <w:rPr>
          <w:rFonts w:cs="Times New Roman"/>
          <w:b w:val="0"/>
          <w:sz w:val="24"/>
        </w:rPr>
      </w:pPr>
      <w:bookmarkStart w:id="74" w:name="_Toc182813872"/>
      <w:r>
        <w:rPr>
          <w:rFonts w:cs="Times New Roman"/>
          <w:b w:val="0"/>
          <w:sz w:val="24"/>
        </w:rPr>
        <w:t>Способы учета тепловой энергии, отпущенной в тепловые сети</w:t>
      </w:r>
      <w:bookmarkEnd w:id="72"/>
      <w:bookmarkEnd w:id="73"/>
      <w:bookmarkEnd w:id="74"/>
    </w:p>
    <w:p w14:paraId="236BA749">
      <w:pPr>
        <w:spacing w:after="0" w:line="240" w:lineRule="auto"/>
        <w:contextualSpacing/>
        <w:jc w:val="both"/>
        <w:rPr>
          <w:sz w:val="24"/>
          <w:szCs w:val="24"/>
        </w:rPr>
      </w:pPr>
      <w:r>
        <w:rPr>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1119B683">
      <w:pPr>
        <w:spacing w:after="0" w:line="240" w:lineRule="auto"/>
        <w:contextualSpacing/>
        <w:jc w:val="both"/>
        <w:rPr>
          <w:sz w:val="24"/>
          <w:szCs w:val="24"/>
        </w:rPr>
      </w:pPr>
      <w:r>
        <w:rPr>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13E040D1">
      <w:pPr>
        <w:spacing w:after="0" w:line="240" w:lineRule="auto"/>
        <w:contextualSpacing/>
        <w:jc w:val="both"/>
        <w:rPr>
          <w:sz w:val="24"/>
          <w:szCs w:val="24"/>
        </w:rPr>
      </w:pPr>
      <w:r>
        <w:rPr>
          <w:sz w:val="24"/>
          <w:szCs w:val="24"/>
        </w:rPr>
        <w:t>Приборы учёта МУП «БКС» представлены в таблице 13. Приборы учёта МУП «БКС» представлены в таблице 26. Приборы учёта тепловой энергии «Газпром трансгаз Югорск» Верхнеказымское ЛПУ МГ отсутствуют в двух домах: 3 мкр. д. 12 и 4 мкр., д. 2.</w:t>
      </w:r>
    </w:p>
    <w:p w14:paraId="4E570A56">
      <w:pPr>
        <w:spacing w:after="0" w:line="240" w:lineRule="auto"/>
        <w:contextualSpacing/>
        <w:jc w:val="both"/>
        <w:rPr>
          <w:sz w:val="24"/>
          <w:szCs w:val="24"/>
        </w:rPr>
      </w:pPr>
    </w:p>
    <w:p w14:paraId="5C25CA4A">
      <w:pPr>
        <w:spacing w:after="0" w:line="240" w:lineRule="auto"/>
        <w:ind w:firstLine="0"/>
        <w:contextualSpacing/>
        <w:jc w:val="both"/>
        <w:rPr>
          <w:sz w:val="24"/>
          <w:szCs w:val="24"/>
        </w:rPr>
      </w:pPr>
      <w:r>
        <w:rPr>
          <w:bCs/>
          <w:sz w:val="24"/>
        </w:rPr>
        <w:t xml:space="preserve">Таблица </w:t>
      </w:r>
      <w:r>
        <w:rPr>
          <w:bCs/>
          <w:sz w:val="24"/>
        </w:rPr>
        <w:fldChar w:fldCharType="begin"/>
      </w:r>
      <w:r>
        <w:rPr>
          <w:bCs/>
          <w:sz w:val="24"/>
        </w:rPr>
        <w:instrText xml:space="preserve"> SEQ Таблица \* ARABIC </w:instrText>
      </w:r>
      <w:r>
        <w:rPr>
          <w:bCs/>
          <w:sz w:val="24"/>
        </w:rPr>
        <w:fldChar w:fldCharType="separate"/>
      </w:r>
      <w:r>
        <w:rPr>
          <w:bCs/>
          <w:sz w:val="24"/>
        </w:rPr>
        <w:t>13</w:t>
      </w:r>
      <w:r>
        <w:rPr>
          <w:bCs/>
          <w:sz w:val="24"/>
        </w:rPr>
        <w:fldChar w:fldCharType="end"/>
      </w:r>
      <w:r>
        <w:rPr>
          <w:bCs/>
          <w:sz w:val="24"/>
        </w:rPr>
        <w:t xml:space="preserve"> – Приборы учета МУП «БКС»</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50"/>
        <w:gridCol w:w="6844"/>
      </w:tblGrid>
      <w:tr w14:paraId="0D86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1A2DE02A">
            <w:pPr>
              <w:spacing w:after="0" w:line="240" w:lineRule="auto"/>
              <w:ind w:firstLine="0"/>
              <w:jc w:val="center"/>
              <w:rPr>
                <w:bCs/>
                <w:sz w:val="20"/>
                <w:szCs w:val="20"/>
              </w:rPr>
            </w:pPr>
            <w:r>
              <w:rPr>
                <w:bCs/>
                <w:sz w:val="20"/>
                <w:szCs w:val="20"/>
              </w:rPr>
              <w:t>Организация плательщик</w:t>
            </w:r>
          </w:p>
        </w:tc>
        <w:tc>
          <w:tcPr>
            <w:tcW w:w="3530" w:type="pct"/>
            <w:shd w:val="clear" w:color="auto" w:fill="auto"/>
            <w:vAlign w:val="center"/>
          </w:tcPr>
          <w:p w14:paraId="44666B14">
            <w:pPr>
              <w:spacing w:after="0" w:line="240" w:lineRule="auto"/>
              <w:ind w:firstLine="0"/>
              <w:jc w:val="center"/>
              <w:rPr>
                <w:bCs/>
                <w:sz w:val="20"/>
                <w:szCs w:val="20"/>
              </w:rPr>
            </w:pPr>
            <w:r>
              <w:rPr>
                <w:bCs/>
                <w:sz w:val="20"/>
                <w:szCs w:val="20"/>
              </w:rPr>
              <w:t>Наименование объекта, на котором установлен прибор учёта</w:t>
            </w:r>
          </w:p>
        </w:tc>
      </w:tr>
      <w:tr w14:paraId="04DE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7274DB3D">
            <w:pPr>
              <w:spacing w:after="0" w:line="240" w:lineRule="auto"/>
              <w:ind w:firstLine="0"/>
              <w:jc w:val="center"/>
              <w:rPr>
                <w:bCs/>
                <w:sz w:val="20"/>
                <w:szCs w:val="20"/>
              </w:rPr>
            </w:pPr>
            <w:r>
              <w:rPr>
                <w:bCs/>
                <w:sz w:val="20"/>
                <w:szCs w:val="20"/>
              </w:rPr>
              <w:t>Колокольчик Верхнеказымский</w:t>
            </w:r>
          </w:p>
        </w:tc>
        <w:tc>
          <w:tcPr>
            <w:tcW w:w="3530" w:type="pct"/>
            <w:shd w:val="clear" w:color="auto" w:fill="auto"/>
            <w:vAlign w:val="center"/>
          </w:tcPr>
          <w:p w14:paraId="5916D463">
            <w:pPr>
              <w:spacing w:after="0" w:line="240" w:lineRule="auto"/>
              <w:ind w:firstLine="0"/>
              <w:jc w:val="center"/>
              <w:rPr>
                <w:sz w:val="20"/>
                <w:szCs w:val="20"/>
              </w:rPr>
            </w:pPr>
            <w:r>
              <w:rPr>
                <w:sz w:val="20"/>
                <w:szCs w:val="20"/>
              </w:rPr>
              <w:t>МАОУ Белоярского р-на "СОШ п. Верхнеказымский" Верхнеказымский мкр, мкр. 3, Ханты-Мансийский Автономный округ - Югра АО, ответственный: Директор Степура Нина Владимировна телефон: 47439; 47522</w:t>
            </w:r>
          </w:p>
        </w:tc>
      </w:tr>
      <w:tr w14:paraId="4E3C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595ADBDE">
            <w:pPr>
              <w:spacing w:after="0" w:line="240" w:lineRule="auto"/>
              <w:ind w:firstLine="0"/>
              <w:jc w:val="center"/>
              <w:rPr>
                <w:bCs/>
                <w:sz w:val="20"/>
                <w:szCs w:val="20"/>
              </w:rPr>
            </w:pPr>
            <w:r>
              <w:rPr>
                <w:bCs/>
                <w:sz w:val="20"/>
                <w:szCs w:val="20"/>
              </w:rPr>
              <w:t>Зинченко И.А.</w:t>
            </w:r>
          </w:p>
        </w:tc>
        <w:tc>
          <w:tcPr>
            <w:tcW w:w="3530" w:type="pct"/>
            <w:shd w:val="clear" w:color="auto" w:fill="auto"/>
            <w:vAlign w:val="center"/>
          </w:tcPr>
          <w:p w14:paraId="3027134A">
            <w:pPr>
              <w:spacing w:after="0" w:line="240" w:lineRule="auto"/>
              <w:ind w:firstLine="0"/>
              <w:jc w:val="center"/>
              <w:rPr>
                <w:sz w:val="20"/>
                <w:szCs w:val="20"/>
              </w:rPr>
            </w:pPr>
            <w:r>
              <w:rPr>
                <w:sz w:val="20"/>
                <w:szCs w:val="20"/>
              </w:rPr>
              <w:t>Пекарня 4-й мкр, д. 9, Верхнеказымский п, ответственный: ИП Зинченко Игорь Александрович телефон: 89224408842</w:t>
            </w:r>
          </w:p>
        </w:tc>
      </w:tr>
      <w:tr w14:paraId="1B60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3F09C9D2">
            <w:pPr>
              <w:spacing w:after="0" w:line="240" w:lineRule="auto"/>
              <w:ind w:firstLine="0"/>
              <w:jc w:val="center"/>
              <w:rPr>
                <w:bCs/>
                <w:sz w:val="20"/>
                <w:szCs w:val="20"/>
              </w:rPr>
            </w:pPr>
            <w:r>
              <w:rPr>
                <w:bCs/>
                <w:sz w:val="20"/>
                <w:szCs w:val="20"/>
              </w:rPr>
              <w:t>УМП ГЦТ</w:t>
            </w:r>
          </w:p>
        </w:tc>
        <w:tc>
          <w:tcPr>
            <w:tcW w:w="3530" w:type="pct"/>
            <w:shd w:val="clear" w:color="auto" w:fill="auto"/>
            <w:vAlign w:val="center"/>
          </w:tcPr>
          <w:p w14:paraId="627BDC12">
            <w:pPr>
              <w:spacing w:after="0" w:line="240" w:lineRule="auto"/>
              <w:ind w:firstLine="0"/>
              <w:jc w:val="center"/>
              <w:rPr>
                <w:sz w:val="20"/>
                <w:szCs w:val="20"/>
              </w:rPr>
            </w:pPr>
            <w:r>
              <w:rPr>
                <w:sz w:val="20"/>
                <w:szCs w:val="20"/>
              </w:rPr>
              <w:t>УМП ГЦТ "Пекарня Верхнеказымский" Верхнеказымский п, мкр. 1 дом 9, ответственный: Грачев В.Н. телефон: 2-11-81</w:t>
            </w:r>
          </w:p>
        </w:tc>
      </w:tr>
      <w:tr w14:paraId="6C9A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17A4018B">
            <w:pPr>
              <w:spacing w:after="0" w:line="240" w:lineRule="auto"/>
              <w:ind w:firstLine="0"/>
              <w:jc w:val="center"/>
              <w:rPr>
                <w:bCs/>
                <w:sz w:val="20"/>
                <w:szCs w:val="20"/>
              </w:rPr>
            </w:pPr>
            <w:r>
              <w:rPr>
                <w:sz w:val="20"/>
                <w:szCs w:val="20"/>
              </w:rPr>
              <w:t>ООО «Интехсов»</w:t>
            </w:r>
          </w:p>
        </w:tc>
        <w:tc>
          <w:tcPr>
            <w:tcW w:w="3530" w:type="pct"/>
            <w:shd w:val="clear" w:color="auto" w:fill="auto"/>
            <w:vAlign w:val="center"/>
          </w:tcPr>
          <w:p w14:paraId="6CC1A55E">
            <w:pPr>
              <w:spacing w:after="0" w:line="240" w:lineRule="auto"/>
              <w:ind w:firstLine="0"/>
              <w:jc w:val="center"/>
              <w:rPr>
                <w:sz w:val="20"/>
                <w:szCs w:val="20"/>
              </w:rPr>
            </w:pPr>
            <w:r>
              <w:rPr>
                <w:sz w:val="20"/>
                <w:szCs w:val="20"/>
              </w:rPr>
              <w:t>ООО «Интехсов», ОБЩЕЖИТИЕ; п. Верхнеказымский, мкр. 1-14/1, ответственный: Кнутарева Е.В. телефон: 89128665896</w:t>
            </w:r>
          </w:p>
        </w:tc>
      </w:tr>
      <w:tr w14:paraId="7FF2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5A986ACE">
            <w:pPr>
              <w:spacing w:after="0" w:line="240" w:lineRule="auto"/>
              <w:ind w:firstLine="0"/>
              <w:jc w:val="center"/>
              <w:rPr>
                <w:bCs/>
                <w:sz w:val="20"/>
                <w:szCs w:val="20"/>
              </w:rPr>
            </w:pPr>
            <w:r>
              <w:rPr>
                <w:bCs/>
                <w:sz w:val="20"/>
                <w:szCs w:val="20"/>
              </w:rPr>
              <w:t>ООО «Управляющая компания ЖКС плюс»</w:t>
            </w:r>
          </w:p>
        </w:tc>
        <w:tc>
          <w:tcPr>
            <w:tcW w:w="3530" w:type="pct"/>
            <w:shd w:val="clear" w:color="auto" w:fill="auto"/>
            <w:vAlign w:val="center"/>
          </w:tcPr>
          <w:p w14:paraId="524C3DE1">
            <w:pPr>
              <w:spacing w:after="0" w:line="240" w:lineRule="auto"/>
              <w:ind w:firstLine="0"/>
              <w:jc w:val="center"/>
              <w:rPr>
                <w:sz w:val="20"/>
                <w:szCs w:val="20"/>
              </w:rPr>
            </w:pPr>
            <w:r>
              <w:rPr>
                <w:sz w:val="20"/>
                <w:szCs w:val="20"/>
              </w:rPr>
              <w:t>Общежитие, ООО «УК ЖКС плюс» с.п. Верхнеказымский, Верхнеказымский п, дом. 15/1, ответственный: Техник ООО «ЖКС+» телефон: 21409</w:t>
            </w:r>
          </w:p>
        </w:tc>
      </w:tr>
      <w:tr w14:paraId="4414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 w:hRule="atLeast"/>
        </w:trPr>
        <w:tc>
          <w:tcPr>
            <w:tcW w:w="1470" w:type="pct"/>
            <w:shd w:val="clear" w:color="auto" w:fill="auto"/>
            <w:vAlign w:val="center"/>
          </w:tcPr>
          <w:p w14:paraId="61629964">
            <w:pPr>
              <w:spacing w:after="0" w:line="240" w:lineRule="auto"/>
              <w:ind w:firstLine="0"/>
              <w:jc w:val="center"/>
              <w:rPr>
                <w:bCs/>
                <w:sz w:val="20"/>
                <w:szCs w:val="20"/>
              </w:rPr>
            </w:pPr>
            <w:r>
              <w:rPr>
                <w:color w:val="000000"/>
                <w:sz w:val="20"/>
                <w:szCs w:val="20"/>
              </w:rPr>
              <w:t>Котельная №2</w:t>
            </w:r>
          </w:p>
        </w:tc>
        <w:tc>
          <w:tcPr>
            <w:tcW w:w="3530" w:type="pct"/>
            <w:shd w:val="clear" w:color="auto" w:fill="auto"/>
            <w:vAlign w:val="center"/>
          </w:tcPr>
          <w:p w14:paraId="6CBC6B4D">
            <w:pPr>
              <w:spacing w:after="0" w:line="240" w:lineRule="auto"/>
              <w:ind w:firstLine="0"/>
              <w:jc w:val="center"/>
              <w:rPr>
                <w:sz w:val="20"/>
                <w:szCs w:val="20"/>
              </w:rPr>
            </w:pPr>
            <w:r>
              <w:rPr>
                <w:bCs/>
                <w:sz w:val="20"/>
                <w:szCs w:val="20"/>
              </w:rPr>
              <w:t>Котельная №2 Верхнеказымский п, мкр. 1, здан.20</w:t>
            </w:r>
          </w:p>
        </w:tc>
      </w:tr>
    </w:tbl>
    <w:p w14:paraId="07121146">
      <w:pPr>
        <w:widowControl w:val="0"/>
        <w:spacing w:after="0" w:line="240" w:lineRule="auto"/>
        <w:contextualSpacing/>
        <w:jc w:val="both"/>
        <w:rPr>
          <w:sz w:val="24"/>
          <w:szCs w:val="24"/>
        </w:rPr>
      </w:pPr>
    </w:p>
    <w:p w14:paraId="643E1D08">
      <w:pPr>
        <w:pStyle w:val="4"/>
        <w:spacing w:before="0" w:line="240" w:lineRule="auto"/>
        <w:ind w:left="0" w:firstLine="709"/>
        <w:contextualSpacing/>
        <w:rPr>
          <w:rFonts w:cs="Times New Roman"/>
          <w:b w:val="0"/>
          <w:sz w:val="24"/>
        </w:rPr>
      </w:pPr>
      <w:bookmarkStart w:id="75" w:name="_Toc182813873"/>
      <w:bookmarkStart w:id="76" w:name="_Toc524614752"/>
      <w:bookmarkStart w:id="77" w:name="_Toc524614968"/>
      <w:r>
        <w:rPr>
          <w:rFonts w:cs="Times New Roman"/>
          <w:b w:val="0"/>
          <w:sz w:val="24"/>
        </w:rPr>
        <w:t>Статистика отказов и восстановлений оборудования источников тепловой энергии</w:t>
      </w:r>
      <w:bookmarkEnd w:id="75"/>
      <w:bookmarkEnd w:id="76"/>
      <w:bookmarkEnd w:id="77"/>
    </w:p>
    <w:p w14:paraId="54D26BC6">
      <w:pPr>
        <w:spacing w:after="0" w:line="240" w:lineRule="auto"/>
        <w:contextualSpacing/>
        <w:jc w:val="both"/>
        <w:rPr>
          <w:sz w:val="24"/>
          <w:szCs w:val="24"/>
        </w:rPr>
      </w:pPr>
      <w:r>
        <w:rPr>
          <w:sz w:val="24"/>
          <w:szCs w:val="24"/>
        </w:rPr>
        <w:t>Информация о количестве инцидентов, технологических и аварийных отказов систем теплоснабжения МУП «БКС» составляет:</w:t>
      </w:r>
    </w:p>
    <w:p w14:paraId="18C0AF3B">
      <w:pPr>
        <w:spacing w:after="0" w:line="240" w:lineRule="auto"/>
        <w:contextualSpacing/>
        <w:jc w:val="both"/>
        <w:rPr>
          <w:sz w:val="24"/>
          <w:szCs w:val="24"/>
        </w:rPr>
      </w:pPr>
      <w:r>
        <w:rPr>
          <w:sz w:val="24"/>
          <w:szCs w:val="24"/>
        </w:rPr>
        <w:t>- за 2023 год – 5,</w:t>
      </w:r>
    </w:p>
    <w:p w14:paraId="19AFFD41">
      <w:pPr>
        <w:spacing w:after="0" w:line="240" w:lineRule="auto"/>
        <w:contextualSpacing/>
        <w:jc w:val="both"/>
        <w:rPr>
          <w:sz w:val="24"/>
          <w:szCs w:val="24"/>
        </w:rPr>
      </w:pPr>
      <w:r>
        <w:rPr>
          <w:sz w:val="24"/>
          <w:szCs w:val="24"/>
        </w:rPr>
        <w:t>- за 2024 год – 2.</w:t>
      </w:r>
    </w:p>
    <w:p w14:paraId="4B06A65E">
      <w:pPr>
        <w:spacing w:after="0" w:line="240" w:lineRule="auto"/>
        <w:contextualSpacing/>
        <w:jc w:val="both"/>
        <w:rPr>
          <w:sz w:val="24"/>
          <w:szCs w:val="24"/>
        </w:rPr>
      </w:pPr>
    </w:p>
    <w:p w14:paraId="2E77AEC0">
      <w:pPr>
        <w:pStyle w:val="4"/>
        <w:spacing w:before="0" w:line="240" w:lineRule="auto"/>
        <w:ind w:left="0" w:firstLine="709"/>
        <w:contextualSpacing/>
        <w:rPr>
          <w:rFonts w:cs="Times New Roman"/>
          <w:b w:val="0"/>
          <w:sz w:val="24"/>
        </w:rPr>
      </w:pPr>
      <w:bookmarkStart w:id="78" w:name="_Toc524614969"/>
      <w:bookmarkStart w:id="79" w:name="_Toc182813874"/>
      <w:bookmarkStart w:id="80" w:name="_Toc524614753"/>
      <w:r>
        <w:rPr>
          <w:rFonts w:cs="Times New Roman"/>
          <w:b w:val="0"/>
          <w:sz w:val="24"/>
        </w:rPr>
        <w:t>Предписания надзорных органов по запрещению дальнейшей эксплуатации источников тепловой энергии</w:t>
      </w:r>
      <w:bookmarkEnd w:id="78"/>
      <w:bookmarkEnd w:id="79"/>
      <w:bookmarkEnd w:id="80"/>
    </w:p>
    <w:p w14:paraId="6A95DF9B">
      <w:pPr>
        <w:spacing w:after="0" w:line="240" w:lineRule="auto"/>
        <w:contextualSpacing/>
        <w:jc w:val="both"/>
        <w:rPr>
          <w:sz w:val="24"/>
          <w:szCs w:val="24"/>
        </w:rPr>
      </w:pPr>
      <w:r>
        <w:rPr>
          <w:sz w:val="24"/>
          <w:szCs w:val="24"/>
        </w:rPr>
        <w:t>Предписания надзорных органов по запрещению дальнейшей эксплуатации источника теплоснабжения и результаты их исполнения отсутствуют.</w:t>
      </w:r>
    </w:p>
    <w:p w14:paraId="598B2119">
      <w:pPr>
        <w:spacing w:after="0" w:line="240" w:lineRule="auto"/>
        <w:contextualSpacing/>
        <w:jc w:val="both"/>
        <w:rPr>
          <w:sz w:val="24"/>
          <w:szCs w:val="24"/>
        </w:rPr>
      </w:pPr>
    </w:p>
    <w:p w14:paraId="70EAB1F5">
      <w:pPr>
        <w:pStyle w:val="4"/>
        <w:spacing w:before="0" w:line="240" w:lineRule="auto"/>
        <w:ind w:left="0" w:firstLine="709"/>
        <w:contextualSpacing/>
        <w:rPr>
          <w:rFonts w:cs="Times New Roman"/>
          <w:b w:val="0"/>
          <w:sz w:val="24"/>
        </w:rPr>
      </w:pPr>
      <w:bookmarkStart w:id="81" w:name="_Toc524614754"/>
      <w:bookmarkStart w:id="82" w:name="_Toc524614970"/>
      <w:bookmarkStart w:id="83" w:name="_Toc182813875"/>
      <w:r>
        <w:rPr>
          <w:rFonts w:cs="Times New Roman"/>
          <w:b w:val="0"/>
          <w:sz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1"/>
      <w:bookmarkEnd w:id="82"/>
      <w:bookmarkEnd w:id="83"/>
    </w:p>
    <w:p w14:paraId="2924C9F0">
      <w:pPr>
        <w:spacing w:after="0" w:line="240" w:lineRule="auto"/>
        <w:contextualSpacing/>
        <w:jc w:val="both"/>
        <w:rPr>
          <w:sz w:val="24"/>
          <w:szCs w:val="24"/>
        </w:rPr>
      </w:pPr>
      <w:r>
        <w:rPr>
          <w:sz w:val="24"/>
          <w:szCs w:val="24"/>
        </w:rPr>
        <w:t>На территории с.п. Верхнеказымский источники тепловой энергии, работающие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6F225712">
      <w:pPr>
        <w:spacing w:after="0" w:line="240" w:lineRule="auto"/>
        <w:contextualSpacing/>
        <w:jc w:val="both"/>
        <w:rPr>
          <w:sz w:val="24"/>
          <w:szCs w:val="24"/>
        </w:rPr>
      </w:pPr>
    </w:p>
    <w:p w14:paraId="6BFCB4CF">
      <w:pPr>
        <w:pStyle w:val="4"/>
        <w:spacing w:before="0" w:line="240" w:lineRule="auto"/>
        <w:ind w:left="0" w:firstLine="709"/>
        <w:contextualSpacing/>
        <w:rPr>
          <w:rFonts w:cs="Times New Roman"/>
          <w:b w:val="0"/>
          <w:sz w:val="24"/>
        </w:rPr>
      </w:pPr>
      <w:bookmarkStart w:id="84" w:name="_Toc524614755"/>
      <w:bookmarkStart w:id="85" w:name="_Toc524614971"/>
      <w:bookmarkStart w:id="86" w:name="_Toc182813876"/>
      <w:r>
        <w:rPr>
          <w:rFonts w:cs="Times New Roman"/>
          <w:b w:val="0"/>
          <w:sz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84"/>
      <w:bookmarkEnd w:id="85"/>
      <w:bookmarkEnd w:id="86"/>
    </w:p>
    <w:p w14:paraId="4556109D">
      <w:pPr>
        <w:spacing w:after="0" w:line="240" w:lineRule="auto"/>
        <w:contextualSpacing/>
        <w:jc w:val="both"/>
        <w:rPr>
          <w:sz w:val="24"/>
          <w:szCs w:val="24"/>
        </w:rPr>
      </w:pPr>
      <w:r>
        <w:rPr>
          <w:sz w:val="24"/>
          <w:szCs w:val="24"/>
        </w:rPr>
        <w:t>За период, предшествующий актуализации схемы теплоснабжения, произошло ряд изменений:</w:t>
      </w:r>
    </w:p>
    <w:p w14:paraId="45A416E7">
      <w:pPr>
        <w:spacing w:after="0" w:line="240" w:lineRule="auto"/>
        <w:contextualSpacing/>
        <w:jc w:val="both"/>
        <w:rPr>
          <w:sz w:val="24"/>
          <w:szCs w:val="24"/>
        </w:rPr>
      </w:pPr>
      <w:r>
        <w:rPr>
          <w:sz w:val="24"/>
          <w:szCs w:val="24"/>
        </w:rPr>
        <w:t>- Котельная №2 находится на балансе МУП «БКС»;</w:t>
      </w:r>
    </w:p>
    <w:p w14:paraId="31E61F5D">
      <w:pPr>
        <w:spacing w:after="0" w:line="240" w:lineRule="auto"/>
        <w:contextualSpacing/>
        <w:jc w:val="both"/>
        <w:rPr>
          <w:sz w:val="24"/>
          <w:szCs w:val="24"/>
        </w:rPr>
      </w:pPr>
      <w:r>
        <w:rPr>
          <w:sz w:val="24"/>
          <w:szCs w:val="24"/>
        </w:rPr>
        <w:t>- Изменились значения располагаемых тепловых мощностей и ограничения тепловых мощностей источников теплоснабжения.</w:t>
      </w:r>
    </w:p>
    <w:p w14:paraId="423B27A1">
      <w:pPr>
        <w:spacing w:after="0" w:line="240" w:lineRule="auto"/>
        <w:contextualSpacing/>
        <w:jc w:val="both"/>
        <w:rPr>
          <w:sz w:val="24"/>
          <w:szCs w:val="24"/>
        </w:rPr>
      </w:pPr>
    </w:p>
    <w:p w14:paraId="08E7EB24">
      <w:pPr>
        <w:spacing w:after="0" w:line="240" w:lineRule="auto"/>
        <w:contextualSpacing/>
        <w:jc w:val="both"/>
        <w:rPr>
          <w:sz w:val="24"/>
          <w:szCs w:val="24"/>
        </w:rPr>
      </w:pPr>
    </w:p>
    <w:p w14:paraId="7E0C2024">
      <w:pPr>
        <w:spacing w:after="0" w:line="240" w:lineRule="auto"/>
        <w:contextualSpacing/>
        <w:jc w:val="both"/>
        <w:rPr>
          <w:sz w:val="24"/>
          <w:szCs w:val="24"/>
        </w:rPr>
      </w:pPr>
    </w:p>
    <w:p w14:paraId="5FFD000F">
      <w:pPr>
        <w:pStyle w:val="3"/>
        <w:keepNext/>
        <w:pageBreakBefore/>
        <w:spacing w:before="0" w:line="240" w:lineRule="auto"/>
        <w:ind w:left="0" w:firstLine="709"/>
        <w:contextualSpacing/>
        <w:rPr>
          <w:rFonts w:cs="Times New Roman"/>
          <w:b w:val="0"/>
          <w:sz w:val="24"/>
          <w:szCs w:val="24"/>
        </w:rPr>
      </w:pPr>
      <w:bookmarkStart w:id="87" w:name="_Hlk15651021"/>
      <w:bookmarkStart w:id="88" w:name="_Toc182813877"/>
      <w:bookmarkStart w:id="89" w:name="_Toc524614973"/>
      <w:bookmarkStart w:id="90" w:name="_Toc524614757"/>
      <w:r>
        <w:rPr>
          <w:rFonts w:cs="Times New Roman"/>
          <w:b w:val="0"/>
          <w:sz w:val="24"/>
          <w:szCs w:val="24"/>
        </w:rPr>
        <w:t>Часть 3. Тепловые сети, сооружения на них</w:t>
      </w:r>
      <w:bookmarkEnd w:id="87"/>
      <w:bookmarkEnd w:id="88"/>
    </w:p>
    <w:p w14:paraId="66E793B8">
      <w:pPr>
        <w:pStyle w:val="4"/>
        <w:spacing w:before="0" w:line="240" w:lineRule="auto"/>
        <w:ind w:left="0" w:firstLine="709"/>
        <w:contextualSpacing/>
        <w:rPr>
          <w:rFonts w:cs="Times New Roman"/>
          <w:b w:val="0"/>
          <w:sz w:val="24"/>
        </w:rPr>
      </w:pPr>
      <w:bookmarkStart w:id="91" w:name="_Toc182813878"/>
      <w:r>
        <w:rPr>
          <w:rFonts w:cs="Times New Roman"/>
          <w:b w:val="0"/>
          <w:sz w:val="24"/>
        </w:rPr>
        <w:t>Описание структуры тепловых сетей</w:t>
      </w:r>
      <w:bookmarkEnd w:id="89"/>
      <w:bookmarkEnd w:id="90"/>
      <w:r>
        <w:rPr>
          <w:rFonts w:cs="Times New Roman"/>
          <w:b w:val="0"/>
          <w:sz w:val="24"/>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1"/>
    </w:p>
    <w:p w14:paraId="27702503">
      <w:pPr>
        <w:spacing w:after="0" w:line="240" w:lineRule="auto"/>
        <w:contextualSpacing/>
        <w:jc w:val="both"/>
        <w:rPr>
          <w:rFonts w:eastAsia="Arial"/>
          <w:spacing w:val="-5"/>
          <w:sz w:val="24"/>
          <w:szCs w:val="24"/>
        </w:rPr>
      </w:pPr>
      <w:r>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529DCBF2">
      <w:pPr>
        <w:spacing w:after="0" w:line="240" w:lineRule="auto"/>
        <w:contextualSpacing/>
        <w:jc w:val="both"/>
        <w:rPr>
          <w:rFonts w:eastAsia="Arial"/>
          <w:spacing w:val="-5"/>
          <w:sz w:val="24"/>
          <w:szCs w:val="24"/>
        </w:rPr>
      </w:pPr>
      <w:r>
        <w:rPr>
          <w:rFonts w:eastAsia="Arial"/>
          <w:spacing w:val="-5"/>
          <w:sz w:val="24"/>
          <w:szCs w:val="24"/>
        </w:rPr>
        <w:t>Способ прокладки тепловых сетей с.п. Верхнеказымский – надземная и бесканальная прокладка.</w:t>
      </w:r>
    </w:p>
    <w:p w14:paraId="24D69E6A">
      <w:pPr>
        <w:pStyle w:val="404"/>
        <w:spacing w:line="240" w:lineRule="auto"/>
        <w:contextualSpacing/>
        <w:rPr>
          <w:rFonts w:cs="Times New Roman"/>
          <w:sz w:val="24"/>
          <w:szCs w:val="24"/>
        </w:rPr>
      </w:pPr>
      <w:r>
        <w:rPr>
          <w:rFonts w:cs="Times New Roman"/>
          <w:sz w:val="24"/>
          <w:szCs w:val="24"/>
        </w:rPr>
        <w:t>Протяжённость сетей теплоснабжения представлена в таблицах 14-19.</w:t>
      </w:r>
    </w:p>
    <w:p w14:paraId="5EF2F3A4">
      <w:pPr>
        <w:pStyle w:val="404"/>
        <w:spacing w:line="240" w:lineRule="auto"/>
        <w:contextualSpacing/>
        <w:rPr>
          <w:rFonts w:cs="Times New Roman"/>
          <w:sz w:val="24"/>
          <w:szCs w:val="24"/>
        </w:rPr>
      </w:pPr>
    </w:p>
    <w:p w14:paraId="4C8A05EB">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14</w:t>
      </w:r>
      <w:r>
        <w:rPr>
          <w:bCs/>
          <w:sz w:val="24"/>
          <w:szCs w:val="24"/>
        </w:rPr>
        <w:fldChar w:fldCharType="end"/>
      </w:r>
      <w:r>
        <w:rPr>
          <w:bCs/>
          <w:sz w:val="24"/>
          <w:szCs w:val="24"/>
        </w:rPr>
        <w:t xml:space="preserve"> – </w:t>
      </w:r>
      <w:r>
        <w:rPr>
          <w:sz w:val="24"/>
          <w:szCs w:val="24"/>
        </w:rPr>
        <w:t>Протяжённость сетей теплоснабжения ООО «Газпром трансгаз Югорск» Верхнеказымское ЛПУ МГ</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3"/>
        <w:gridCol w:w="2319"/>
        <w:gridCol w:w="3620"/>
      </w:tblGrid>
      <w:tr w14:paraId="6961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trPr>
        <w:tc>
          <w:tcPr>
            <w:tcW w:w="1986" w:type="pct"/>
            <w:shd w:val="clear" w:color="auto" w:fill="auto"/>
            <w:vAlign w:val="center"/>
          </w:tcPr>
          <w:p w14:paraId="3C8C8446">
            <w:pPr>
              <w:spacing w:after="0" w:line="240" w:lineRule="auto"/>
              <w:ind w:firstLine="0"/>
              <w:contextualSpacing/>
              <w:jc w:val="center"/>
              <w:rPr>
                <w:color w:val="000000"/>
                <w:sz w:val="20"/>
                <w:szCs w:val="20"/>
              </w:rPr>
            </w:pPr>
            <w:r>
              <w:rPr>
                <w:color w:val="000000"/>
                <w:sz w:val="20"/>
                <w:szCs w:val="20"/>
              </w:rPr>
              <w:t>Диаметр трубопровода, мм</w:t>
            </w:r>
          </w:p>
        </w:tc>
        <w:tc>
          <w:tcPr>
            <w:tcW w:w="1177" w:type="pct"/>
            <w:shd w:val="clear" w:color="auto" w:fill="auto"/>
            <w:vAlign w:val="center"/>
          </w:tcPr>
          <w:p w14:paraId="41D525AD">
            <w:pPr>
              <w:spacing w:after="0" w:line="240" w:lineRule="auto"/>
              <w:ind w:firstLine="0"/>
              <w:contextualSpacing/>
              <w:jc w:val="center"/>
              <w:rPr>
                <w:color w:val="000000"/>
                <w:sz w:val="20"/>
                <w:szCs w:val="20"/>
              </w:rPr>
            </w:pPr>
            <w:r>
              <w:rPr>
                <w:color w:val="000000"/>
                <w:sz w:val="20"/>
                <w:szCs w:val="20"/>
              </w:rPr>
              <w:t>Длина трубопровода, м</w:t>
            </w:r>
          </w:p>
        </w:tc>
        <w:tc>
          <w:tcPr>
            <w:tcW w:w="1837" w:type="pct"/>
            <w:vAlign w:val="center"/>
          </w:tcPr>
          <w:p w14:paraId="0AAF2CF8">
            <w:pPr>
              <w:spacing w:after="0" w:line="240" w:lineRule="auto"/>
              <w:ind w:firstLine="0"/>
              <w:contextualSpacing/>
              <w:jc w:val="center"/>
              <w:rPr>
                <w:color w:val="000000"/>
                <w:sz w:val="20"/>
                <w:szCs w:val="20"/>
              </w:rPr>
            </w:pPr>
            <w:r>
              <w:rPr>
                <w:color w:val="000000"/>
                <w:sz w:val="20"/>
                <w:szCs w:val="20"/>
              </w:rPr>
              <w:t>Материальная характеристика сети, м</w:t>
            </w:r>
            <w:r>
              <w:rPr>
                <w:color w:val="000000"/>
                <w:sz w:val="20"/>
                <w:szCs w:val="20"/>
                <w:vertAlign w:val="superscript"/>
              </w:rPr>
              <w:t>2</w:t>
            </w:r>
          </w:p>
        </w:tc>
      </w:tr>
      <w:tr w14:paraId="44AC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6F01091D">
            <w:pPr>
              <w:spacing w:after="0" w:line="240" w:lineRule="auto"/>
              <w:ind w:firstLine="0"/>
              <w:contextualSpacing/>
              <w:jc w:val="center"/>
              <w:rPr>
                <w:b/>
                <w:bCs/>
                <w:color w:val="000000"/>
                <w:sz w:val="20"/>
                <w:szCs w:val="20"/>
              </w:rPr>
            </w:pPr>
            <w:r>
              <w:rPr>
                <w:color w:val="000000"/>
                <w:sz w:val="20"/>
                <w:szCs w:val="20"/>
              </w:rPr>
              <w:t>300</w:t>
            </w:r>
          </w:p>
        </w:tc>
        <w:tc>
          <w:tcPr>
            <w:tcW w:w="1177" w:type="pct"/>
            <w:shd w:val="clear" w:color="auto" w:fill="auto"/>
            <w:vAlign w:val="center"/>
          </w:tcPr>
          <w:p w14:paraId="67BEF2CC">
            <w:pPr>
              <w:spacing w:after="0" w:line="240" w:lineRule="auto"/>
              <w:ind w:firstLine="0"/>
              <w:contextualSpacing/>
              <w:jc w:val="center"/>
              <w:rPr>
                <w:b/>
                <w:bCs/>
                <w:color w:val="000000"/>
                <w:sz w:val="20"/>
                <w:szCs w:val="20"/>
              </w:rPr>
            </w:pPr>
            <w:r>
              <w:rPr>
                <w:color w:val="000000"/>
                <w:sz w:val="20"/>
                <w:szCs w:val="20"/>
              </w:rPr>
              <w:t>2080,9</w:t>
            </w:r>
          </w:p>
        </w:tc>
        <w:tc>
          <w:tcPr>
            <w:tcW w:w="1837" w:type="pct"/>
            <w:vAlign w:val="bottom"/>
          </w:tcPr>
          <w:p w14:paraId="4FB9B2BD">
            <w:pPr>
              <w:spacing w:after="0" w:line="240" w:lineRule="auto"/>
              <w:ind w:firstLine="0"/>
              <w:contextualSpacing/>
              <w:jc w:val="center"/>
              <w:rPr>
                <w:color w:val="000000"/>
                <w:sz w:val="20"/>
                <w:szCs w:val="20"/>
              </w:rPr>
            </w:pPr>
            <w:r>
              <w:rPr>
                <w:color w:val="000000"/>
                <w:sz w:val="20"/>
                <w:szCs w:val="20"/>
              </w:rPr>
              <w:t>624,270</w:t>
            </w:r>
          </w:p>
        </w:tc>
      </w:tr>
      <w:tr w14:paraId="5034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2A7C87E5">
            <w:pPr>
              <w:spacing w:after="0" w:line="240" w:lineRule="auto"/>
              <w:ind w:firstLine="0"/>
              <w:contextualSpacing/>
              <w:jc w:val="center"/>
              <w:rPr>
                <w:b/>
                <w:bCs/>
                <w:color w:val="000000"/>
                <w:sz w:val="20"/>
                <w:szCs w:val="20"/>
              </w:rPr>
            </w:pPr>
            <w:r>
              <w:rPr>
                <w:color w:val="000000"/>
                <w:sz w:val="20"/>
                <w:szCs w:val="20"/>
              </w:rPr>
              <w:t>250</w:t>
            </w:r>
          </w:p>
        </w:tc>
        <w:tc>
          <w:tcPr>
            <w:tcW w:w="1177" w:type="pct"/>
            <w:shd w:val="clear" w:color="auto" w:fill="auto"/>
            <w:vAlign w:val="center"/>
          </w:tcPr>
          <w:p w14:paraId="1C6BCDA6">
            <w:pPr>
              <w:spacing w:after="0" w:line="240" w:lineRule="auto"/>
              <w:ind w:firstLine="0"/>
              <w:contextualSpacing/>
              <w:jc w:val="center"/>
              <w:rPr>
                <w:b/>
                <w:bCs/>
                <w:color w:val="000000"/>
                <w:sz w:val="20"/>
                <w:szCs w:val="20"/>
              </w:rPr>
            </w:pPr>
            <w:r>
              <w:rPr>
                <w:color w:val="000000"/>
                <w:sz w:val="20"/>
                <w:szCs w:val="20"/>
              </w:rPr>
              <w:t>640</w:t>
            </w:r>
          </w:p>
        </w:tc>
        <w:tc>
          <w:tcPr>
            <w:tcW w:w="1837" w:type="pct"/>
            <w:vAlign w:val="bottom"/>
          </w:tcPr>
          <w:p w14:paraId="03B61108">
            <w:pPr>
              <w:spacing w:after="0" w:line="240" w:lineRule="auto"/>
              <w:ind w:firstLine="0"/>
              <w:contextualSpacing/>
              <w:jc w:val="center"/>
              <w:rPr>
                <w:color w:val="000000"/>
                <w:sz w:val="20"/>
                <w:szCs w:val="20"/>
              </w:rPr>
            </w:pPr>
            <w:r>
              <w:rPr>
                <w:color w:val="000000"/>
                <w:sz w:val="20"/>
                <w:szCs w:val="20"/>
              </w:rPr>
              <w:t>160,000</w:t>
            </w:r>
          </w:p>
        </w:tc>
      </w:tr>
      <w:tr w14:paraId="66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1D92BC4D">
            <w:pPr>
              <w:spacing w:after="0" w:line="240" w:lineRule="auto"/>
              <w:ind w:firstLine="0"/>
              <w:contextualSpacing/>
              <w:jc w:val="center"/>
              <w:rPr>
                <w:b/>
                <w:bCs/>
                <w:color w:val="000000"/>
                <w:sz w:val="20"/>
                <w:szCs w:val="20"/>
              </w:rPr>
            </w:pPr>
            <w:r>
              <w:rPr>
                <w:color w:val="000000"/>
                <w:sz w:val="20"/>
                <w:szCs w:val="20"/>
              </w:rPr>
              <w:t>150</w:t>
            </w:r>
          </w:p>
        </w:tc>
        <w:tc>
          <w:tcPr>
            <w:tcW w:w="1177" w:type="pct"/>
            <w:shd w:val="clear" w:color="auto" w:fill="auto"/>
            <w:vAlign w:val="center"/>
          </w:tcPr>
          <w:p w14:paraId="32DA4548">
            <w:pPr>
              <w:spacing w:after="0" w:line="240" w:lineRule="auto"/>
              <w:ind w:firstLine="0"/>
              <w:contextualSpacing/>
              <w:jc w:val="center"/>
              <w:rPr>
                <w:b/>
                <w:bCs/>
                <w:color w:val="000000"/>
                <w:sz w:val="20"/>
                <w:szCs w:val="20"/>
              </w:rPr>
            </w:pPr>
            <w:r>
              <w:rPr>
                <w:color w:val="000000"/>
                <w:sz w:val="20"/>
                <w:szCs w:val="20"/>
              </w:rPr>
              <w:t>2180</w:t>
            </w:r>
          </w:p>
        </w:tc>
        <w:tc>
          <w:tcPr>
            <w:tcW w:w="1837" w:type="pct"/>
            <w:vAlign w:val="bottom"/>
          </w:tcPr>
          <w:p w14:paraId="553A14C2">
            <w:pPr>
              <w:spacing w:after="0" w:line="240" w:lineRule="auto"/>
              <w:ind w:firstLine="0"/>
              <w:contextualSpacing/>
              <w:jc w:val="center"/>
              <w:rPr>
                <w:color w:val="000000"/>
                <w:sz w:val="20"/>
                <w:szCs w:val="20"/>
              </w:rPr>
            </w:pPr>
            <w:r>
              <w:rPr>
                <w:color w:val="000000"/>
                <w:sz w:val="20"/>
                <w:szCs w:val="20"/>
              </w:rPr>
              <w:t>327,000</w:t>
            </w:r>
          </w:p>
        </w:tc>
      </w:tr>
      <w:tr w14:paraId="597C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61538646">
            <w:pPr>
              <w:spacing w:after="0" w:line="240" w:lineRule="auto"/>
              <w:ind w:firstLine="0"/>
              <w:contextualSpacing/>
              <w:jc w:val="center"/>
              <w:rPr>
                <w:b/>
                <w:bCs/>
                <w:color w:val="000000"/>
                <w:sz w:val="20"/>
                <w:szCs w:val="20"/>
              </w:rPr>
            </w:pPr>
            <w:r>
              <w:rPr>
                <w:color w:val="000000"/>
                <w:sz w:val="20"/>
                <w:szCs w:val="20"/>
              </w:rPr>
              <w:t>100</w:t>
            </w:r>
          </w:p>
        </w:tc>
        <w:tc>
          <w:tcPr>
            <w:tcW w:w="1177" w:type="pct"/>
            <w:shd w:val="clear" w:color="auto" w:fill="auto"/>
            <w:vAlign w:val="center"/>
          </w:tcPr>
          <w:p w14:paraId="4514ECA1">
            <w:pPr>
              <w:spacing w:after="0" w:line="240" w:lineRule="auto"/>
              <w:ind w:firstLine="0"/>
              <w:contextualSpacing/>
              <w:jc w:val="center"/>
              <w:rPr>
                <w:b/>
                <w:bCs/>
                <w:color w:val="000000"/>
                <w:sz w:val="20"/>
                <w:szCs w:val="20"/>
              </w:rPr>
            </w:pPr>
            <w:r>
              <w:rPr>
                <w:color w:val="000000"/>
                <w:sz w:val="20"/>
                <w:szCs w:val="20"/>
              </w:rPr>
              <w:t>3576</w:t>
            </w:r>
          </w:p>
        </w:tc>
        <w:tc>
          <w:tcPr>
            <w:tcW w:w="1837" w:type="pct"/>
            <w:vAlign w:val="bottom"/>
          </w:tcPr>
          <w:p w14:paraId="1DF8FF53">
            <w:pPr>
              <w:spacing w:after="0" w:line="240" w:lineRule="auto"/>
              <w:ind w:firstLine="0"/>
              <w:contextualSpacing/>
              <w:jc w:val="center"/>
              <w:rPr>
                <w:color w:val="000000"/>
                <w:sz w:val="20"/>
                <w:szCs w:val="20"/>
              </w:rPr>
            </w:pPr>
            <w:r>
              <w:rPr>
                <w:color w:val="000000"/>
                <w:sz w:val="20"/>
                <w:szCs w:val="20"/>
              </w:rPr>
              <w:t>357,600</w:t>
            </w:r>
          </w:p>
        </w:tc>
      </w:tr>
      <w:tr w14:paraId="38C3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7AA5E3B1">
            <w:pPr>
              <w:spacing w:after="0" w:line="240" w:lineRule="auto"/>
              <w:ind w:firstLine="0"/>
              <w:contextualSpacing/>
              <w:jc w:val="center"/>
              <w:rPr>
                <w:b/>
                <w:bCs/>
                <w:color w:val="000000"/>
                <w:sz w:val="20"/>
                <w:szCs w:val="20"/>
              </w:rPr>
            </w:pPr>
            <w:r>
              <w:rPr>
                <w:color w:val="000000"/>
                <w:sz w:val="20"/>
                <w:szCs w:val="20"/>
              </w:rPr>
              <w:t>50</w:t>
            </w:r>
          </w:p>
        </w:tc>
        <w:tc>
          <w:tcPr>
            <w:tcW w:w="1177" w:type="pct"/>
            <w:shd w:val="clear" w:color="auto" w:fill="auto"/>
            <w:vAlign w:val="center"/>
          </w:tcPr>
          <w:p w14:paraId="42FEB4F3">
            <w:pPr>
              <w:spacing w:after="0" w:line="240" w:lineRule="auto"/>
              <w:ind w:firstLine="0"/>
              <w:contextualSpacing/>
              <w:jc w:val="center"/>
              <w:rPr>
                <w:b/>
                <w:bCs/>
                <w:color w:val="000000"/>
                <w:sz w:val="20"/>
                <w:szCs w:val="20"/>
              </w:rPr>
            </w:pPr>
            <w:r>
              <w:rPr>
                <w:color w:val="000000"/>
                <w:sz w:val="20"/>
                <w:szCs w:val="20"/>
              </w:rPr>
              <w:t>340</w:t>
            </w:r>
          </w:p>
        </w:tc>
        <w:tc>
          <w:tcPr>
            <w:tcW w:w="1837" w:type="pct"/>
            <w:vAlign w:val="bottom"/>
          </w:tcPr>
          <w:p w14:paraId="23B4B6C1">
            <w:pPr>
              <w:spacing w:after="0" w:line="240" w:lineRule="auto"/>
              <w:ind w:firstLine="0"/>
              <w:contextualSpacing/>
              <w:jc w:val="center"/>
              <w:rPr>
                <w:color w:val="000000"/>
                <w:sz w:val="20"/>
                <w:szCs w:val="20"/>
              </w:rPr>
            </w:pPr>
            <w:r>
              <w:rPr>
                <w:color w:val="000000"/>
                <w:sz w:val="20"/>
                <w:szCs w:val="20"/>
              </w:rPr>
              <w:t>17,000</w:t>
            </w:r>
          </w:p>
        </w:tc>
      </w:tr>
      <w:tr w14:paraId="6AA2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69C45B47">
            <w:pPr>
              <w:spacing w:after="0" w:line="240" w:lineRule="auto"/>
              <w:ind w:firstLine="0"/>
              <w:contextualSpacing/>
              <w:jc w:val="center"/>
              <w:rPr>
                <w:b/>
                <w:bCs/>
                <w:color w:val="000000"/>
                <w:sz w:val="20"/>
                <w:szCs w:val="20"/>
              </w:rPr>
            </w:pPr>
            <w:r>
              <w:rPr>
                <w:color w:val="000000"/>
                <w:sz w:val="20"/>
                <w:szCs w:val="20"/>
              </w:rPr>
              <w:t>200</w:t>
            </w:r>
          </w:p>
        </w:tc>
        <w:tc>
          <w:tcPr>
            <w:tcW w:w="1177" w:type="pct"/>
            <w:shd w:val="clear" w:color="auto" w:fill="auto"/>
            <w:vAlign w:val="center"/>
          </w:tcPr>
          <w:p w14:paraId="7F463CC3">
            <w:pPr>
              <w:spacing w:after="0" w:line="240" w:lineRule="auto"/>
              <w:ind w:firstLine="0"/>
              <w:contextualSpacing/>
              <w:jc w:val="center"/>
              <w:rPr>
                <w:b/>
                <w:bCs/>
                <w:color w:val="000000"/>
                <w:sz w:val="20"/>
                <w:szCs w:val="20"/>
              </w:rPr>
            </w:pPr>
            <w:r>
              <w:rPr>
                <w:color w:val="000000"/>
                <w:sz w:val="20"/>
                <w:szCs w:val="20"/>
              </w:rPr>
              <w:t>900</w:t>
            </w:r>
          </w:p>
        </w:tc>
        <w:tc>
          <w:tcPr>
            <w:tcW w:w="1837" w:type="pct"/>
            <w:vAlign w:val="bottom"/>
          </w:tcPr>
          <w:p w14:paraId="63F72CA1">
            <w:pPr>
              <w:spacing w:after="0" w:line="240" w:lineRule="auto"/>
              <w:ind w:firstLine="0"/>
              <w:contextualSpacing/>
              <w:jc w:val="center"/>
              <w:rPr>
                <w:color w:val="000000"/>
                <w:sz w:val="20"/>
                <w:szCs w:val="20"/>
              </w:rPr>
            </w:pPr>
            <w:r>
              <w:rPr>
                <w:color w:val="000000"/>
                <w:sz w:val="20"/>
                <w:szCs w:val="20"/>
              </w:rPr>
              <w:t>180,000</w:t>
            </w:r>
          </w:p>
        </w:tc>
      </w:tr>
      <w:tr w14:paraId="35DE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393C731B">
            <w:pPr>
              <w:spacing w:after="0" w:line="240" w:lineRule="auto"/>
              <w:ind w:firstLine="0"/>
              <w:contextualSpacing/>
              <w:jc w:val="center"/>
              <w:rPr>
                <w:b/>
                <w:bCs/>
                <w:color w:val="000000"/>
                <w:sz w:val="20"/>
                <w:szCs w:val="20"/>
              </w:rPr>
            </w:pPr>
            <w:r>
              <w:rPr>
                <w:color w:val="000000"/>
                <w:sz w:val="20"/>
                <w:szCs w:val="20"/>
              </w:rPr>
              <w:t>80</w:t>
            </w:r>
          </w:p>
        </w:tc>
        <w:tc>
          <w:tcPr>
            <w:tcW w:w="1177" w:type="pct"/>
            <w:shd w:val="clear" w:color="auto" w:fill="auto"/>
            <w:vAlign w:val="center"/>
          </w:tcPr>
          <w:p w14:paraId="582E304B">
            <w:pPr>
              <w:spacing w:after="0" w:line="240" w:lineRule="auto"/>
              <w:ind w:firstLine="0"/>
              <w:contextualSpacing/>
              <w:jc w:val="center"/>
              <w:rPr>
                <w:b/>
                <w:bCs/>
                <w:color w:val="000000"/>
                <w:sz w:val="20"/>
                <w:szCs w:val="20"/>
              </w:rPr>
            </w:pPr>
            <w:r>
              <w:rPr>
                <w:color w:val="000000"/>
                <w:sz w:val="20"/>
                <w:szCs w:val="20"/>
              </w:rPr>
              <w:t>1910</w:t>
            </w:r>
          </w:p>
        </w:tc>
        <w:tc>
          <w:tcPr>
            <w:tcW w:w="1837" w:type="pct"/>
            <w:vAlign w:val="bottom"/>
          </w:tcPr>
          <w:p w14:paraId="689DE8F5">
            <w:pPr>
              <w:spacing w:after="0" w:line="240" w:lineRule="auto"/>
              <w:ind w:firstLine="0"/>
              <w:contextualSpacing/>
              <w:jc w:val="center"/>
              <w:rPr>
                <w:color w:val="000000"/>
                <w:sz w:val="20"/>
                <w:szCs w:val="20"/>
              </w:rPr>
            </w:pPr>
            <w:r>
              <w:rPr>
                <w:color w:val="000000"/>
                <w:sz w:val="20"/>
                <w:szCs w:val="20"/>
              </w:rPr>
              <w:t>152,800</w:t>
            </w:r>
          </w:p>
        </w:tc>
      </w:tr>
      <w:tr w14:paraId="6DC2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2F328A4D">
            <w:pPr>
              <w:spacing w:after="0" w:line="240" w:lineRule="auto"/>
              <w:ind w:firstLine="0"/>
              <w:contextualSpacing/>
              <w:jc w:val="center"/>
              <w:rPr>
                <w:b/>
                <w:bCs/>
                <w:color w:val="000000"/>
                <w:sz w:val="20"/>
                <w:szCs w:val="20"/>
              </w:rPr>
            </w:pPr>
            <w:r>
              <w:rPr>
                <w:color w:val="000000"/>
                <w:sz w:val="20"/>
                <w:szCs w:val="20"/>
              </w:rPr>
              <w:t>89</w:t>
            </w:r>
          </w:p>
        </w:tc>
        <w:tc>
          <w:tcPr>
            <w:tcW w:w="1177" w:type="pct"/>
            <w:shd w:val="clear" w:color="auto" w:fill="auto"/>
            <w:vAlign w:val="center"/>
          </w:tcPr>
          <w:p w14:paraId="59803894">
            <w:pPr>
              <w:spacing w:after="0" w:line="240" w:lineRule="auto"/>
              <w:ind w:firstLine="0"/>
              <w:contextualSpacing/>
              <w:jc w:val="center"/>
              <w:rPr>
                <w:b/>
                <w:bCs/>
                <w:color w:val="000000"/>
                <w:sz w:val="20"/>
                <w:szCs w:val="20"/>
              </w:rPr>
            </w:pPr>
            <w:r>
              <w:rPr>
                <w:color w:val="000000"/>
                <w:sz w:val="20"/>
                <w:szCs w:val="20"/>
              </w:rPr>
              <w:t>555</w:t>
            </w:r>
          </w:p>
        </w:tc>
        <w:tc>
          <w:tcPr>
            <w:tcW w:w="1837" w:type="pct"/>
            <w:vAlign w:val="bottom"/>
          </w:tcPr>
          <w:p w14:paraId="64C9E54E">
            <w:pPr>
              <w:spacing w:after="0" w:line="240" w:lineRule="auto"/>
              <w:ind w:firstLine="0"/>
              <w:contextualSpacing/>
              <w:jc w:val="center"/>
              <w:rPr>
                <w:color w:val="000000"/>
                <w:sz w:val="20"/>
                <w:szCs w:val="20"/>
              </w:rPr>
            </w:pPr>
            <w:r>
              <w:rPr>
                <w:color w:val="000000"/>
                <w:sz w:val="20"/>
                <w:szCs w:val="20"/>
              </w:rPr>
              <w:t>49,395</w:t>
            </w:r>
          </w:p>
        </w:tc>
      </w:tr>
      <w:tr w14:paraId="5C96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263921AD">
            <w:pPr>
              <w:spacing w:after="0" w:line="240" w:lineRule="auto"/>
              <w:ind w:firstLine="0"/>
              <w:contextualSpacing/>
              <w:jc w:val="center"/>
              <w:rPr>
                <w:b/>
                <w:bCs/>
                <w:color w:val="000000"/>
                <w:sz w:val="20"/>
                <w:szCs w:val="20"/>
              </w:rPr>
            </w:pPr>
            <w:r>
              <w:rPr>
                <w:color w:val="000000"/>
                <w:sz w:val="20"/>
                <w:szCs w:val="20"/>
              </w:rPr>
              <w:t>108</w:t>
            </w:r>
          </w:p>
        </w:tc>
        <w:tc>
          <w:tcPr>
            <w:tcW w:w="1177" w:type="pct"/>
            <w:shd w:val="clear" w:color="auto" w:fill="auto"/>
            <w:vAlign w:val="center"/>
          </w:tcPr>
          <w:p w14:paraId="3828DEC6">
            <w:pPr>
              <w:spacing w:after="0" w:line="240" w:lineRule="auto"/>
              <w:ind w:firstLine="0"/>
              <w:contextualSpacing/>
              <w:jc w:val="center"/>
              <w:rPr>
                <w:b/>
                <w:bCs/>
                <w:color w:val="000000"/>
                <w:sz w:val="20"/>
                <w:szCs w:val="20"/>
              </w:rPr>
            </w:pPr>
            <w:r>
              <w:rPr>
                <w:color w:val="000000"/>
                <w:sz w:val="20"/>
                <w:szCs w:val="20"/>
              </w:rPr>
              <w:t>941</w:t>
            </w:r>
          </w:p>
        </w:tc>
        <w:tc>
          <w:tcPr>
            <w:tcW w:w="1837" w:type="pct"/>
            <w:vAlign w:val="bottom"/>
          </w:tcPr>
          <w:p w14:paraId="75A0A117">
            <w:pPr>
              <w:spacing w:after="0" w:line="240" w:lineRule="auto"/>
              <w:ind w:firstLine="0"/>
              <w:contextualSpacing/>
              <w:jc w:val="center"/>
              <w:rPr>
                <w:color w:val="000000"/>
                <w:sz w:val="20"/>
                <w:szCs w:val="20"/>
              </w:rPr>
            </w:pPr>
            <w:r>
              <w:rPr>
                <w:color w:val="000000"/>
                <w:sz w:val="20"/>
                <w:szCs w:val="20"/>
              </w:rPr>
              <w:t>101,628</w:t>
            </w:r>
          </w:p>
        </w:tc>
      </w:tr>
      <w:tr w14:paraId="4BBA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46541256">
            <w:pPr>
              <w:spacing w:after="0" w:line="240" w:lineRule="auto"/>
              <w:ind w:firstLine="0"/>
              <w:contextualSpacing/>
              <w:jc w:val="center"/>
              <w:rPr>
                <w:b/>
                <w:bCs/>
                <w:color w:val="000000"/>
                <w:sz w:val="20"/>
                <w:szCs w:val="20"/>
              </w:rPr>
            </w:pPr>
            <w:r>
              <w:rPr>
                <w:color w:val="000000"/>
                <w:sz w:val="20"/>
                <w:szCs w:val="20"/>
              </w:rPr>
              <w:t>57</w:t>
            </w:r>
          </w:p>
        </w:tc>
        <w:tc>
          <w:tcPr>
            <w:tcW w:w="1177" w:type="pct"/>
            <w:shd w:val="clear" w:color="auto" w:fill="auto"/>
            <w:vAlign w:val="center"/>
          </w:tcPr>
          <w:p w14:paraId="15E5CD3C">
            <w:pPr>
              <w:spacing w:after="0" w:line="240" w:lineRule="auto"/>
              <w:ind w:firstLine="0"/>
              <w:contextualSpacing/>
              <w:jc w:val="center"/>
              <w:rPr>
                <w:b/>
                <w:bCs/>
                <w:color w:val="000000"/>
                <w:sz w:val="20"/>
                <w:szCs w:val="20"/>
              </w:rPr>
            </w:pPr>
            <w:r>
              <w:rPr>
                <w:color w:val="000000"/>
                <w:sz w:val="20"/>
                <w:szCs w:val="20"/>
              </w:rPr>
              <w:t>58</w:t>
            </w:r>
          </w:p>
        </w:tc>
        <w:tc>
          <w:tcPr>
            <w:tcW w:w="1837" w:type="pct"/>
            <w:vAlign w:val="bottom"/>
          </w:tcPr>
          <w:p w14:paraId="730E72FA">
            <w:pPr>
              <w:spacing w:after="0" w:line="240" w:lineRule="auto"/>
              <w:ind w:firstLine="0"/>
              <w:contextualSpacing/>
              <w:jc w:val="center"/>
              <w:rPr>
                <w:color w:val="000000"/>
                <w:sz w:val="20"/>
                <w:szCs w:val="20"/>
              </w:rPr>
            </w:pPr>
            <w:r>
              <w:rPr>
                <w:color w:val="000000"/>
                <w:sz w:val="20"/>
                <w:szCs w:val="20"/>
              </w:rPr>
              <w:t>3,306</w:t>
            </w:r>
          </w:p>
        </w:tc>
      </w:tr>
      <w:tr w14:paraId="5455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3812FD69">
            <w:pPr>
              <w:spacing w:after="0" w:line="240" w:lineRule="auto"/>
              <w:ind w:firstLine="0"/>
              <w:contextualSpacing/>
              <w:jc w:val="center"/>
              <w:rPr>
                <w:b/>
                <w:bCs/>
                <w:color w:val="000000"/>
                <w:sz w:val="20"/>
                <w:szCs w:val="20"/>
              </w:rPr>
            </w:pPr>
            <w:r>
              <w:rPr>
                <w:color w:val="000000"/>
                <w:sz w:val="20"/>
                <w:szCs w:val="20"/>
              </w:rPr>
              <w:t>96</w:t>
            </w:r>
          </w:p>
        </w:tc>
        <w:tc>
          <w:tcPr>
            <w:tcW w:w="1177" w:type="pct"/>
            <w:shd w:val="clear" w:color="auto" w:fill="auto"/>
            <w:vAlign w:val="center"/>
          </w:tcPr>
          <w:p w14:paraId="0BAC4D73">
            <w:pPr>
              <w:spacing w:after="0" w:line="240" w:lineRule="auto"/>
              <w:ind w:firstLine="0"/>
              <w:contextualSpacing/>
              <w:jc w:val="center"/>
              <w:rPr>
                <w:b/>
                <w:bCs/>
                <w:color w:val="000000"/>
                <w:sz w:val="20"/>
                <w:szCs w:val="20"/>
              </w:rPr>
            </w:pPr>
            <w:r>
              <w:rPr>
                <w:color w:val="000000"/>
                <w:sz w:val="20"/>
                <w:szCs w:val="20"/>
              </w:rPr>
              <w:t>48</w:t>
            </w:r>
          </w:p>
        </w:tc>
        <w:tc>
          <w:tcPr>
            <w:tcW w:w="1837" w:type="pct"/>
            <w:vAlign w:val="bottom"/>
          </w:tcPr>
          <w:p w14:paraId="0081E3B4">
            <w:pPr>
              <w:spacing w:after="0" w:line="240" w:lineRule="auto"/>
              <w:ind w:firstLine="0"/>
              <w:contextualSpacing/>
              <w:jc w:val="center"/>
              <w:rPr>
                <w:color w:val="000000"/>
                <w:sz w:val="20"/>
                <w:szCs w:val="20"/>
              </w:rPr>
            </w:pPr>
            <w:r>
              <w:rPr>
                <w:color w:val="000000"/>
                <w:sz w:val="20"/>
                <w:szCs w:val="20"/>
              </w:rPr>
              <w:t>4,608</w:t>
            </w:r>
          </w:p>
        </w:tc>
      </w:tr>
      <w:tr w14:paraId="426D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6D87926D">
            <w:pPr>
              <w:spacing w:after="0" w:line="240" w:lineRule="auto"/>
              <w:ind w:firstLine="0"/>
              <w:contextualSpacing/>
              <w:jc w:val="center"/>
              <w:rPr>
                <w:b/>
                <w:bCs/>
                <w:color w:val="000000"/>
                <w:sz w:val="20"/>
                <w:szCs w:val="20"/>
              </w:rPr>
            </w:pPr>
            <w:r>
              <w:rPr>
                <w:color w:val="000000"/>
                <w:sz w:val="20"/>
                <w:szCs w:val="20"/>
              </w:rPr>
              <w:t>159</w:t>
            </w:r>
          </w:p>
        </w:tc>
        <w:tc>
          <w:tcPr>
            <w:tcW w:w="1177" w:type="pct"/>
            <w:shd w:val="clear" w:color="auto" w:fill="auto"/>
            <w:vAlign w:val="center"/>
          </w:tcPr>
          <w:p w14:paraId="46E06BAD">
            <w:pPr>
              <w:spacing w:after="0" w:line="240" w:lineRule="auto"/>
              <w:ind w:firstLine="0"/>
              <w:contextualSpacing/>
              <w:jc w:val="center"/>
              <w:rPr>
                <w:b/>
                <w:bCs/>
                <w:color w:val="000000"/>
                <w:sz w:val="20"/>
                <w:szCs w:val="20"/>
              </w:rPr>
            </w:pPr>
            <w:r>
              <w:rPr>
                <w:color w:val="000000"/>
                <w:sz w:val="20"/>
                <w:szCs w:val="20"/>
              </w:rPr>
              <w:t>248</w:t>
            </w:r>
          </w:p>
        </w:tc>
        <w:tc>
          <w:tcPr>
            <w:tcW w:w="1837" w:type="pct"/>
            <w:vAlign w:val="bottom"/>
          </w:tcPr>
          <w:p w14:paraId="782514B4">
            <w:pPr>
              <w:spacing w:after="0" w:line="240" w:lineRule="auto"/>
              <w:ind w:firstLine="0"/>
              <w:contextualSpacing/>
              <w:jc w:val="center"/>
              <w:rPr>
                <w:color w:val="000000"/>
                <w:sz w:val="20"/>
                <w:szCs w:val="20"/>
              </w:rPr>
            </w:pPr>
            <w:r>
              <w:rPr>
                <w:color w:val="000000"/>
                <w:sz w:val="20"/>
                <w:szCs w:val="20"/>
              </w:rPr>
              <w:t>39,432</w:t>
            </w:r>
          </w:p>
        </w:tc>
      </w:tr>
      <w:tr w14:paraId="2426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3F80C2CA">
            <w:pPr>
              <w:spacing w:after="0" w:line="240" w:lineRule="auto"/>
              <w:ind w:firstLine="0"/>
              <w:contextualSpacing/>
              <w:jc w:val="center"/>
              <w:rPr>
                <w:b/>
                <w:bCs/>
                <w:color w:val="000000"/>
                <w:sz w:val="20"/>
                <w:szCs w:val="20"/>
              </w:rPr>
            </w:pPr>
            <w:r>
              <w:rPr>
                <w:color w:val="000000"/>
                <w:sz w:val="20"/>
                <w:szCs w:val="20"/>
              </w:rPr>
              <w:t>273</w:t>
            </w:r>
          </w:p>
        </w:tc>
        <w:tc>
          <w:tcPr>
            <w:tcW w:w="1177" w:type="pct"/>
            <w:shd w:val="clear" w:color="auto" w:fill="auto"/>
            <w:vAlign w:val="center"/>
          </w:tcPr>
          <w:p w14:paraId="0F14E337">
            <w:pPr>
              <w:spacing w:after="0" w:line="240" w:lineRule="auto"/>
              <w:ind w:firstLine="0"/>
              <w:contextualSpacing/>
              <w:jc w:val="center"/>
              <w:rPr>
                <w:b/>
                <w:bCs/>
                <w:color w:val="000000"/>
                <w:sz w:val="20"/>
                <w:szCs w:val="20"/>
              </w:rPr>
            </w:pPr>
            <w:r>
              <w:rPr>
                <w:color w:val="000000"/>
                <w:sz w:val="20"/>
                <w:szCs w:val="20"/>
              </w:rPr>
              <w:t>300</w:t>
            </w:r>
          </w:p>
        </w:tc>
        <w:tc>
          <w:tcPr>
            <w:tcW w:w="1837" w:type="pct"/>
            <w:vAlign w:val="bottom"/>
          </w:tcPr>
          <w:p w14:paraId="39CD0F3A">
            <w:pPr>
              <w:spacing w:after="0" w:line="240" w:lineRule="auto"/>
              <w:ind w:firstLine="0"/>
              <w:contextualSpacing/>
              <w:jc w:val="center"/>
              <w:rPr>
                <w:color w:val="000000"/>
                <w:sz w:val="20"/>
                <w:szCs w:val="20"/>
              </w:rPr>
            </w:pPr>
            <w:r>
              <w:rPr>
                <w:color w:val="000000"/>
                <w:sz w:val="20"/>
                <w:szCs w:val="20"/>
              </w:rPr>
              <w:t>81,900</w:t>
            </w:r>
          </w:p>
        </w:tc>
      </w:tr>
      <w:tr w14:paraId="321A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0B1B42F2">
            <w:pPr>
              <w:spacing w:after="0" w:line="240" w:lineRule="auto"/>
              <w:ind w:firstLine="0"/>
              <w:contextualSpacing/>
              <w:jc w:val="center"/>
              <w:rPr>
                <w:b/>
                <w:bCs/>
                <w:color w:val="000000"/>
                <w:sz w:val="20"/>
                <w:szCs w:val="20"/>
              </w:rPr>
            </w:pPr>
            <w:r>
              <w:rPr>
                <w:color w:val="000000"/>
                <w:sz w:val="20"/>
                <w:szCs w:val="20"/>
              </w:rPr>
              <w:t>133</w:t>
            </w:r>
          </w:p>
        </w:tc>
        <w:tc>
          <w:tcPr>
            <w:tcW w:w="1177" w:type="pct"/>
            <w:shd w:val="clear" w:color="auto" w:fill="auto"/>
            <w:vAlign w:val="center"/>
          </w:tcPr>
          <w:p w14:paraId="54D8A395">
            <w:pPr>
              <w:spacing w:after="0" w:line="240" w:lineRule="auto"/>
              <w:ind w:firstLine="0"/>
              <w:contextualSpacing/>
              <w:jc w:val="center"/>
              <w:rPr>
                <w:b/>
                <w:bCs/>
                <w:color w:val="000000"/>
                <w:sz w:val="20"/>
                <w:szCs w:val="20"/>
              </w:rPr>
            </w:pPr>
            <w:r>
              <w:rPr>
                <w:color w:val="000000"/>
                <w:sz w:val="20"/>
                <w:szCs w:val="20"/>
              </w:rPr>
              <w:t>75</w:t>
            </w:r>
          </w:p>
        </w:tc>
        <w:tc>
          <w:tcPr>
            <w:tcW w:w="1837" w:type="pct"/>
            <w:vAlign w:val="bottom"/>
          </w:tcPr>
          <w:p w14:paraId="669FE862">
            <w:pPr>
              <w:spacing w:after="0" w:line="240" w:lineRule="auto"/>
              <w:ind w:firstLine="0"/>
              <w:contextualSpacing/>
              <w:jc w:val="center"/>
              <w:rPr>
                <w:color w:val="000000"/>
                <w:sz w:val="20"/>
                <w:szCs w:val="20"/>
              </w:rPr>
            </w:pPr>
            <w:r>
              <w:rPr>
                <w:color w:val="000000"/>
                <w:sz w:val="20"/>
                <w:szCs w:val="20"/>
              </w:rPr>
              <w:t>9,975</w:t>
            </w:r>
          </w:p>
        </w:tc>
      </w:tr>
      <w:tr w14:paraId="2DFC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5F6F9561">
            <w:pPr>
              <w:spacing w:after="0" w:line="240" w:lineRule="auto"/>
              <w:ind w:firstLine="0"/>
              <w:contextualSpacing/>
              <w:jc w:val="center"/>
              <w:rPr>
                <w:b/>
                <w:bCs/>
                <w:color w:val="000000"/>
                <w:sz w:val="20"/>
                <w:szCs w:val="20"/>
              </w:rPr>
            </w:pPr>
            <w:r>
              <w:rPr>
                <w:color w:val="000000"/>
                <w:sz w:val="20"/>
                <w:szCs w:val="20"/>
              </w:rPr>
              <w:t>219</w:t>
            </w:r>
          </w:p>
        </w:tc>
        <w:tc>
          <w:tcPr>
            <w:tcW w:w="1177" w:type="pct"/>
            <w:shd w:val="clear" w:color="auto" w:fill="auto"/>
            <w:vAlign w:val="center"/>
          </w:tcPr>
          <w:p w14:paraId="1AB45522">
            <w:pPr>
              <w:spacing w:after="0" w:line="240" w:lineRule="auto"/>
              <w:ind w:firstLine="0"/>
              <w:contextualSpacing/>
              <w:jc w:val="center"/>
              <w:rPr>
                <w:b/>
                <w:bCs/>
                <w:color w:val="000000"/>
                <w:sz w:val="20"/>
                <w:szCs w:val="20"/>
              </w:rPr>
            </w:pPr>
            <w:r>
              <w:rPr>
                <w:color w:val="000000"/>
                <w:sz w:val="20"/>
                <w:szCs w:val="20"/>
              </w:rPr>
              <w:t>105</w:t>
            </w:r>
          </w:p>
        </w:tc>
        <w:tc>
          <w:tcPr>
            <w:tcW w:w="1837" w:type="pct"/>
            <w:vAlign w:val="bottom"/>
          </w:tcPr>
          <w:p w14:paraId="0A1BCB5B">
            <w:pPr>
              <w:spacing w:after="0" w:line="240" w:lineRule="auto"/>
              <w:ind w:firstLine="0"/>
              <w:contextualSpacing/>
              <w:jc w:val="center"/>
              <w:rPr>
                <w:color w:val="000000"/>
                <w:sz w:val="20"/>
                <w:szCs w:val="20"/>
              </w:rPr>
            </w:pPr>
            <w:r>
              <w:rPr>
                <w:color w:val="000000"/>
                <w:sz w:val="20"/>
                <w:szCs w:val="20"/>
              </w:rPr>
              <w:t>22,995</w:t>
            </w:r>
          </w:p>
        </w:tc>
      </w:tr>
      <w:tr w14:paraId="512F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986" w:type="pct"/>
            <w:shd w:val="clear" w:color="auto" w:fill="auto"/>
            <w:vAlign w:val="center"/>
          </w:tcPr>
          <w:p w14:paraId="613C85F0">
            <w:pPr>
              <w:spacing w:after="0" w:line="240" w:lineRule="auto"/>
              <w:ind w:firstLine="0"/>
              <w:contextualSpacing/>
              <w:jc w:val="center"/>
              <w:rPr>
                <w:b/>
                <w:bCs/>
                <w:color w:val="000000"/>
                <w:sz w:val="20"/>
                <w:szCs w:val="20"/>
              </w:rPr>
            </w:pPr>
            <w:r>
              <w:rPr>
                <w:b/>
                <w:bCs/>
                <w:color w:val="000000"/>
                <w:sz w:val="20"/>
                <w:szCs w:val="20"/>
              </w:rPr>
              <w:t>Итого протяжённость сетей ТВС:</w:t>
            </w:r>
          </w:p>
        </w:tc>
        <w:tc>
          <w:tcPr>
            <w:tcW w:w="1177" w:type="pct"/>
            <w:shd w:val="clear" w:color="auto" w:fill="auto"/>
            <w:vAlign w:val="center"/>
          </w:tcPr>
          <w:p w14:paraId="5C90A1C4">
            <w:pPr>
              <w:spacing w:after="0" w:line="240" w:lineRule="auto"/>
              <w:ind w:firstLine="0"/>
              <w:contextualSpacing/>
              <w:jc w:val="center"/>
              <w:rPr>
                <w:b/>
                <w:bCs/>
                <w:color w:val="000000"/>
                <w:sz w:val="20"/>
                <w:szCs w:val="20"/>
              </w:rPr>
            </w:pPr>
            <w:r>
              <w:rPr>
                <w:b/>
                <w:bCs/>
                <w:color w:val="000000"/>
                <w:sz w:val="20"/>
                <w:szCs w:val="20"/>
              </w:rPr>
              <w:t>13690,9</w:t>
            </w:r>
          </w:p>
        </w:tc>
        <w:tc>
          <w:tcPr>
            <w:tcW w:w="1837" w:type="pct"/>
            <w:vAlign w:val="center"/>
          </w:tcPr>
          <w:p w14:paraId="455F6185">
            <w:pPr>
              <w:spacing w:after="0" w:line="240" w:lineRule="auto"/>
              <w:ind w:firstLine="0"/>
              <w:contextualSpacing/>
              <w:jc w:val="center"/>
              <w:rPr>
                <w:b/>
                <w:color w:val="000000"/>
                <w:sz w:val="20"/>
                <w:szCs w:val="20"/>
              </w:rPr>
            </w:pPr>
            <w:r>
              <w:rPr>
                <w:b/>
                <w:color w:val="000000"/>
                <w:sz w:val="20"/>
                <w:szCs w:val="20"/>
              </w:rPr>
              <w:t>2131,909</w:t>
            </w:r>
          </w:p>
        </w:tc>
      </w:tr>
    </w:tbl>
    <w:p w14:paraId="63BACF1D">
      <w:pPr>
        <w:spacing w:after="0" w:line="240" w:lineRule="auto"/>
        <w:contextualSpacing/>
        <w:jc w:val="both"/>
        <w:rPr>
          <w:sz w:val="24"/>
          <w:szCs w:val="24"/>
        </w:rPr>
      </w:pPr>
    </w:p>
    <w:p w14:paraId="4694428E">
      <w:pPr>
        <w:spacing w:after="0" w:line="240" w:lineRule="auto"/>
        <w:ind w:firstLine="0"/>
        <w:contextualSpacing/>
        <w:jc w:val="both"/>
        <w:rPr>
          <w:bCs/>
          <w:sz w:val="24"/>
          <w:szCs w:val="24"/>
        </w:rPr>
        <w:sectPr>
          <w:pgSz w:w="11906" w:h="16838"/>
          <w:pgMar w:top="1134" w:right="567" w:bottom="1134" w:left="1701" w:header="283" w:footer="567" w:gutter="0"/>
          <w:cols w:space="708" w:num="1"/>
          <w:docGrid w:linePitch="360" w:charSpace="0"/>
        </w:sectPr>
      </w:pPr>
    </w:p>
    <w:p w14:paraId="6CAEAAA0">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15</w:t>
      </w:r>
      <w:r>
        <w:rPr>
          <w:bCs/>
          <w:sz w:val="24"/>
          <w:szCs w:val="24"/>
        </w:rPr>
        <w:fldChar w:fldCharType="end"/>
      </w:r>
      <w:r>
        <w:rPr>
          <w:bCs/>
          <w:sz w:val="24"/>
          <w:szCs w:val="24"/>
        </w:rPr>
        <w:t xml:space="preserve"> – </w:t>
      </w:r>
      <w:r>
        <w:rPr>
          <w:sz w:val="24"/>
          <w:szCs w:val="24"/>
        </w:rPr>
        <w:t>Протяжённость сетей теплоснабжения МУП «БКС» 1 мкр</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4"/>
        <w:gridCol w:w="2698"/>
        <w:gridCol w:w="624"/>
        <w:gridCol w:w="1991"/>
        <w:gridCol w:w="1238"/>
        <w:gridCol w:w="12"/>
        <w:gridCol w:w="1377"/>
        <w:gridCol w:w="8"/>
        <w:gridCol w:w="2248"/>
        <w:gridCol w:w="10"/>
        <w:gridCol w:w="1158"/>
        <w:gridCol w:w="8"/>
        <w:gridCol w:w="1295"/>
        <w:gridCol w:w="11"/>
        <w:gridCol w:w="1324"/>
      </w:tblGrid>
      <w:tr w14:paraId="7B704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93" w:hRule="atLeast"/>
          <w:tblHeader/>
        </w:trPr>
        <w:tc>
          <w:tcPr>
            <w:tcW w:w="215" w:type="pct"/>
            <w:tcMar>
              <w:left w:w="28" w:type="dxa"/>
              <w:right w:w="28" w:type="dxa"/>
            </w:tcMar>
            <w:vAlign w:val="center"/>
          </w:tcPr>
          <w:p w14:paraId="0D15FF0A">
            <w:pPr>
              <w:spacing w:after="0" w:line="240" w:lineRule="auto"/>
              <w:ind w:firstLine="0"/>
              <w:jc w:val="center"/>
              <w:rPr>
                <w:sz w:val="20"/>
                <w:szCs w:val="20"/>
              </w:rPr>
            </w:pPr>
            <w:r>
              <w:rPr>
                <w:sz w:val="20"/>
                <w:szCs w:val="20"/>
              </w:rPr>
              <w:t>№</w:t>
            </w:r>
          </w:p>
          <w:p w14:paraId="0D39669E">
            <w:pPr>
              <w:spacing w:after="0" w:line="240" w:lineRule="auto"/>
              <w:ind w:firstLine="0"/>
              <w:jc w:val="center"/>
              <w:rPr>
                <w:sz w:val="20"/>
                <w:szCs w:val="20"/>
              </w:rPr>
            </w:pPr>
            <w:r>
              <w:rPr>
                <w:sz w:val="20"/>
                <w:szCs w:val="20"/>
              </w:rPr>
              <w:t>на схеме</w:t>
            </w:r>
          </w:p>
        </w:tc>
        <w:tc>
          <w:tcPr>
            <w:tcW w:w="924" w:type="pct"/>
            <w:tcMar>
              <w:left w:w="28" w:type="dxa"/>
              <w:right w:w="28" w:type="dxa"/>
            </w:tcMar>
            <w:vAlign w:val="center"/>
          </w:tcPr>
          <w:p w14:paraId="6AB9B54F">
            <w:pPr>
              <w:spacing w:after="0" w:line="240" w:lineRule="auto"/>
              <w:ind w:firstLine="0"/>
              <w:jc w:val="center"/>
              <w:rPr>
                <w:sz w:val="20"/>
                <w:szCs w:val="20"/>
              </w:rPr>
            </w:pPr>
            <w:r>
              <w:rPr>
                <w:sz w:val="20"/>
                <w:szCs w:val="20"/>
              </w:rPr>
              <w:t>Наименование</w:t>
            </w:r>
          </w:p>
        </w:tc>
        <w:tc>
          <w:tcPr>
            <w:tcW w:w="215" w:type="pct"/>
            <w:tcMar>
              <w:left w:w="28" w:type="dxa"/>
              <w:right w:w="28" w:type="dxa"/>
            </w:tcMar>
            <w:vAlign w:val="center"/>
          </w:tcPr>
          <w:p w14:paraId="419361B2">
            <w:pPr>
              <w:spacing w:after="0" w:line="240" w:lineRule="auto"/>
              <w:ind w:firstLine="0"/>
              <w:jc w:val="center"/>
              <w:rPr>
                <w:sz w:val="20"/>
                <w:szCs w:val="20"/>
              </w:rPr>
            </w:pPr>
            <w:r>
              <w:rPr>
                <w:sz w:val="20"/>
                <w:szCs w:val="20"/>
              </w:rPr>
              <w:t>Год ввода</w:t>
            </w:r>
          </w:p>
        </w:tc>
        <w:tc>
          <w:tcPr>
            <w:tcW w:w="682" w:type="pct"/>
            <w:tcMar>
              <w:left w:w="28" w:type="dxa"/>
              <w:right w:w="28" w:type="dxa"/>
            </w:tcMar>
            <w:vAlign w:val="center"/>
          </w:tcPr>
          <w:p w14:paraId="443050A5">
            <w:pPr>
              <w:spacing w:after="0" w:line="240" w:lineRule="auto"/>
              <w:ind w:firstLine="0"/>
              <w:jc w:val="center"/>
              <w:rPr>
                <w:sz w:val="20"/>
                <w:szCs w:val="20"/>
              </w:rPr>
            </w:pPr>
            <w:r>
              <w:rPr>
                <w:sz w:val="20"/>
                <w:szCs w:val="20"/>
              </w:rPr>
              <w:t>Адрес</w:t>
            </w:r>
          </w:p>
          <w:p w14:paraId="432B08AB">
            <w:pPr>
              <w:spacing w:after="0" w:line="240" w:lineRule="auto"/>
              <w:ind w:firstLine="0"/>
              <w:jc w:val="center"/>
              <w:rPr>
                <w:sz w:val="20"/>
                <w:szCs w:val="20"/>
              </w:rPr>
            </w:pPr>
            <w:r>
              <w:rPr>
                <w:sz w:val="20"/>
                <w:szCs w:val="20"/>
              </w:rPr>
              <w:t>(местонахождение)</w:t>
            </w:r>
          </w:p>
        </w:tc>
        <w:tc>
          <w:tcPr>
            <w:tcW w:w="415" w:type="pct"/>
            <w:tcMar>
              <w:left w:w="28" w:type="dxa"/>
              <w:right w:w="28" w:type="dxa"/>
            </w:tcMar>
            <w:vAlign w:val="center"/>
          </w:tcPr>
          <w:p w14:paraId="6D21F192">
            <w:pPr>
              <w:spacing w:after="0" w:line="240" w:lineRule="auto"/>
              <w:ind w:firstLine="0"/>
              <w:jc w:val="center"/>
              <w:rPr>
                <w:sz w:val="20"/>
                <w:szCs w:val="20"/>
              </w:rPr>
            </w:pPr>
            <w:r>
              <w:rPr>
                <w:sz w:val="20"/>
                <w:szCs w:val="20"/>
              </w:rPr>
              <w:t>Диаметр</w:t>
            </w:r>
          </w:p>
          <w:p w14:paraId="6808C94C">
            <w:pPr>
              <w:spacing w:after="0" w:line="240" w:lineRule="auto"/>
              <w:ind w:firstLine="0"/>
              <w:jc w:val="center"/>
              <w:rPr>
                <w:sz w:val="20"/>
                <w:szCs w:val="20"/>
              </w:rPr>
            </w:pPr>
            <w:r>
              <w:rPr>
                <w:sz w:val="20"/>
                <w:szCs w:val="20"/>
              </w:rPr>
              <w:t>трубопровода</w:t>
            </w:r>
          </w:p>
          <w:p w14:paraId="213D6E5D">
            <w:pPr>
              <w:spacing w:after="0" w:line="240" w:lineRule="auto"/>
              <w:ind w:firstLine="0"/>
              <w:jc w:val="center"/>
              <w:rPr>
                <w:sz w:val="20"/>
                <w:szCs w:val="20"/>
              </w:rPr>
            </w:pPr>
            <w:r>
              <w:rPr>
                <w:sz w:val="20"/>
                <w:szCs w:val="20"/>
              </w:rPr>
              <w:t>(мм)</w:t>
            </w:r>
          </w:p>
        </w:tc>
        <w:tc>
          <w:tcPr>
            <w:tcW w:w="466" w:type="pct"/>
            <w:gridSpan w:val="2"/>
            <w:tcMar>
              <w:left w:w="28" w:type="dxa"/>
              <w:right w:w="28" w:type="dxa"/>
            </w:tcMar>
            <w:vAlign w:val="center"/>
          </w:tcPr>
          <w:p w14:paraId="35BFA429">
            <w:pPr>
              <w:spacing w:after="0" w:line="240" w:lineRule="auto"/>
              <w:ind w:firstLine="0"/>
              <w:jc w:val="center"/>
              <w:rPr>
                <w:sz w:val="20"/>
                <w:szCs w:val="20"/>
              </w:rPr>
            </w:pPr>
            <w:r>
              <w:rPr>
                <w:sz w:val="20"/>
                <w:szCs w:val="20"/>
              </w:rPr>
              <w:t>Протяженность</w:t>
            </w:r>
          </w:p>
          <w:p w14:paraId="253FA9A7">
            <w:pPr>
              <w:spacing w:after="0" w:line="240" w:lineRule="auto"/>
              <w:ind w:firstLine="0"/>
              <w:jc w:val="center"/>
              <w:rPr>
                <w:sz w:val="20"/>
                <w:szCs w:val="20"/>
              </w:rPr>
            </w:pPr>
            <w:r>
              <w:rPr>
                <w:sz w:val="20"/>
                <w:szCs w:val="20"/>
              </w:rPr>
              <w:t>трубопровода</w:t>
            </w:r>
          </w:p>
          <w:p w14:paraId="02ABA57B">
            <w:pPr>
              <w:spacing w:after="0" w:line="240" w:lineRule="auto"/>
              <w:ind w:firstLine="0"/>
              <w:jc w:val="center"/>
              <w:rPr>
                <w:sz w:val="20"/>
                <w:szCs w:val="20"/>
              </w:rPr>
            </w:pPr>
            <w:r>
              <w:rPr>
                <w:sz w:val="20"/>
                <w:szCs w:val="20"/>
              </w:rPr>
              <w:t>(м/п)</w:t>
            </w:r>
          </w:p>
        </w:tc>
        <w:tc>
          <w:tcPr>
            <w:tcW w:w="774" w:type="pct"/>
            <w:gridSpan w:val="2"/>
            <w:tcMar>
              <w:left w:w="28" w:type="dxa"/>
              <w:right w:w="28" w:type="dxa"/>
            </w:tcMar>
            <w:vAlign w:val="center"/>
          </w:tcPr>
          <w:p w14:paraId="32D80915">
            <w:pPr>
              <w:spacing w:after="0" w:line="240" w:lineRule="auto"/>
              <w:ind w:firstLine="0"/>
              <w:jc w:val="center"/>
              <w:rPr>
                <w:sz w:val="20"/>
                <w:szCs w:val="20"/>
              </w:rPr>
            </w:pPr>
            <w:r>
              <w:rPr>
                <w:sz w:val="20"/>
                <w:szCs w:val="20"/>
              </w:rPr>
              <w:t>Изоляция</w:t>
            </w:r>
          </w:p>
          <w:p w14:paraId="68C5F1F7">
            <w:pPr>
              <w:spacing w:after="0" w:line="240" w:lineRule="auto"/>
              <w:ind w:firstLine="0"/>
              <w:jc w:val="center"/>
              <w:rPr>
                <w:sz w:val="20"/>
                <w:szCs w:val="20"/>
              </w:rPr>
            </w:pPr>
            <w:r>
              <w:rPr>
                <w:sz w:val="20"/>
                <w:szCs w:val="20"/>
              </w:rPr>
              <w:t>(тип)</w:t>
            </w:r>
          </w:p>
        </w:tc>
        <w:tc>
          <w:tcPr>
            <w:tcW w:w="402" w:type="pct"/>
            <w:gridSpan w:val="2"/>
            <w:tcMar>
              <w:left w:w="28" w:type="dxa"/>
              <w:right w:w="28" w:type="dxa"/>
            </w:tcMar>
            <w:vAlign w:val="center"/>
          </w:tcPr>
          <w:p w14:paraId="30344F3E">
            <w:pPr>
              <w:spacing w:after="0" w:line="240" w:lineRule="auto"/>
              <w:ind w:firstLine="0"/>
              <w:jc w:val="center"/>
              <w:rPr>
                <w:sz w:val="20"/>
                <w:szCs w:val="20"/>
              </w:rPr>
            </w:pPr>
            <w:r>
              <w:rPr>
                <w:sz w:val="20"/>
                <w:szCs w:val="20"/>
              </w:rPr>
              <w:t>Способ прокладки</w:t>
            </w:r>
          </w:p>
        </w:tc>
        <w:tc>
          <w:tcPr>
            <w:tcW w:w="448" w:type="pct"/>
            <w:gridSpan w:val="2"/>
            <w:tcMar>
              <w:left w:w="28" w:type="dxa"/>
              <w:right w:w="28" w:type="dxa"/>
            </w:tcMar>
            <w:vAlign w:val="center"/>
          </w:tcPr>
          <w:p w14:paraId="15073884">
            <w:pPr>
              <w:spacing w:after="0" w:line="240" w:lineRule="auto"/>
              <w:ind w:firstLine="0"/>
              <w:jc w:val="center"/>
              <w:rPr>
                <w:sz w:val="20"/>
                <w:szCs w:val="20"/>
              </w:rPr>
            </w:pPr>
            <w:r>
              <w:rPr>
                <w:sz w:val="20"/>
                <w:szCs w:val="20"/>
              </w:rPr>
              <w:t>Кадастровая стоимость</w:t>
            </w:r>
          </w:p>
        </w:tc>
        <w:tc>
          <w:tcPr>
            <w:tcW w:w="456" w:type="pct"/>
            <w:gridSpan w:val="2"/>
            <w:tcMar>
              <w:left w:w="28" w:type="dxa"/>
              <w:right w:w="28" w:type="dxa"/>
            </w:tcMar>
            <w:vAlign w:val="center"/>
          </w:tcPr>
          <w:p w14:paraId="0687C87E">
            <w:pPr>
              <w:spacing w:after="0" w:line="240" w:lineRule="auto"/>
              <w:ind w:firstLine="0"/>
              <w:jc w:val="center"/>
              <w:rPr>
                <w:sz w:val="20"/>
                <w:szCs w:val="20"/>
              </w:rPr>
            </w:pPr>
            <w:r>
              <w:rPr>
                <w:sz w:val="20"/>
                <w:szCs w:val="20"/>
              </w:rPr>
              <w:t>Согласование</w:t>
            </w:r>
          </w:p>
        </w:tc>
      </w:tr>
      <w:tr w14:paraId="2C172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00" w:type="pct"/>
            <w:gridSpan w:val="15"/>
            <w:tcMar>
              <w:left w:w="28" w:type="dxa"/>
              <w:right w:w="28" w:type="dxa"/>
            </w:tcMar>
            <w:vAlign w:val="center"/>
          </w:tcPr>
          <w:p w14:paraId="63F99617">
            <w:pPr>
              <w:spacing w:after="0" w:line="240" w:lineRule="auto"/>
              <w:ind w:firstLine="0"/>
              <w:jc w:val="center"/>
              <w:rPr>
                <w:sz w:val="20"/>
                <w:szCs w:val="20"/>
              </w:rPr>
            </w:pPr>
            <w:r>
              <w:rPr>
                <w:sz w:val="20"/>
                <w:szCs w:val="20"/>
              </w:rPr>
              <w:t>Сети теплоснабжения Т</w:t>
            </w:r>
            <w:r>
              <w:rPr>
                <w:sz w:val="20"/>
                <w:szCs w:val="20"/>
                <w:vertAlign w:val="subscript"/>
              </w:rPr>
              <w:t>1</w:t>
            </w:r>
            <w:r>
              <w:rPr>
                <w:sz w:val="20"/>
                <w:szCs w:val="20"/>
              </w:rPr>
              <w:t>, Т</w:t>
            </w:r>
            <w:r>
              <w:rPr>
                <w:sz w:val="20"/>
                <w:szCs w:val="20"/>
                <w:vertAlign w:val="subscript"/>
              </w:rPr>
              <w:t>2</w:t>
            </w:r>
            <w:r>
              <w:rPr>
                <w:sz w:val="20"/>
                <w:szCs w:val="20"/>
              </w:rPr>
              <w:t xml:space="preserve"> 1 мкр.</w:t>
            </w:r>
          </w:p>
        </w:tc>
      </w:tr>
      <w:tr w14:paraId="04B2E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E58BF76">
            <w:pPr>
              <w:spacing w:after="0" w:line="240" w:lineRule="auto"/>
              <w:ind w:firstLine="0"/>
              <w:jc w:val="center"/>
              <w:rPr>
                <w:sz w:val="20"/>
                <w:szCs w:val="20"/>
                <w:highlight w:val="yellow"/>
              </w:rPr>
            </w:pPr>
            <w:r>
              <w:rPr>
                <w:sz w:val="20"/>
                <w:szCs w:val="20"/>
              </w:rPr>
              <w:t>1</w:t>
            </w:r>
          </w:p>
        </w:tc>
        <w:tc>
          <w:tcPr>
            <w:tcW w:w="924" w:type="pct"/>
            <w:tcMar>
              <w:left w:w="28" w:type="dxa"/>
              <w:right w:w="28" w:type="dxa"/>
            </w:tcMar>
            <w:vAlign w:val="center"/>
          </w:tcPr>
          <w:p w14:paraId="34EA5F45">
            <w:pPr>
              <w:spacing w:after="0" w:line="240" w:lineRule="auto"/>
              <w:ind w:firstLine="0"/>
              <w:jc w:val="center"/>
              <w:rPr>
                <w:sz w:val="20"/>
                <w:szCs w:val="20"/>
              </w:rPr>
            </w:pPr>
            <w:r>
              <w:rPr>
                <w:sz w:val="20"/>
                <w:szCs w:val="20"/>
              </w:rPr>
              <w:t>Наружные сети теплоснабжения</w:t>
            </w:r>
          </w:p>
          <w:p w14:paraId="6F7B5033">
            <w:pPr>
              <w:spacing w:after="0" w:line="240" w:lineRule="auto"/>
              <w:ind w:firstLine="0"/>
              <w:jc w:val="center"/>
              <w:rPr>
                <w:sz w:val="20"/>
                <w:szCs w:val="20"/>
              </w:rPr>
            </w:pPr>
            <w:r>
              <w:rPr>
                <w:sz w:val="20"/>
                <w:szCs w:val="20"/>
              </w:rPr>
              <w:t>От Котельной №2 до точки №1а</w:t>
            </w:r>
          </w:p>
          <w:p w14:paraId="5A4C1C64">
            <w:pPr>
              <w:spacing w:after="0" w:line="240" w:lineRule="auto"/>
              <w:ind w:firstLine="0"/>
              <w:jc w:val="center"/>
              <w:rPr>
                <w:sz w:val="20"/>
                <w:szCs w:val="20"/>
              </w:rPr>
            </w:pPr>
            <w:r>
              <w:rPr>
                <w:rFonts w:eastAsia="TimesNewRomanPSMT"/>
                <w:sz w:val="20"/>
                <w:szCs w:val="20"/>
              </w:rPr>
              <w:t>86:06:0020401:1329</w:t>
            </w:r>
          </w:p>
        </w:tc>
        <w:tc>
          <w:tcPr>
            <w:tcW w:w="215" w:type="pct"/>
            <w:tcMar>
              <w:left w:w="28" w:type="dxa"/>
              <w:right w:w="28" w:type="dxa"/>
            </w:tcMar>
            <w:vAlign w:val="center"/>
          </w:tcPr>
          <w:p w14:paraId="4C2A03CB">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24B17BA1">
            <w:pPr>
              <w:spacing w:after="0" w:line="240" w:lineRule="auto"/>
              <w:ind w:firstLine="0"/>
              <w:jc w:val="center"/>
              <w:rPr>
                <w:sz w:val="20"/>
                <w:szCs w:val="20"/>
              </w:rPr>
            </w:pPr>
            <w:r>
              <w:rPr>
                <w:sz w:val="20"/>
                <w:szCs w:val="20"/>
              </w:rPr>
              <w:t>ХМАО,</w:t>
            </w:r>
          </w:p>
          <w:p w14:paraId="7B152101">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4BE56F7">
            <w:pPr>
              <w:spacing w:after="0" w:line="240" w:lineRule="auto"/>
              <w:ind w:firstLine="0"/>
              <w:jc w:val="center"/>
              <w:rPr>
                <w:sz w:val="20"/>
                <w:szCs w:val="20"/>
              </w:rPr>
            </w:pPr>
            <w:r>
              <w:rPr>
                <w:sz w:val="20"/>
                <w:szCs w:val="20"/>
              </w:rPr>
              <w:t>Т</w:t>
            </w:r>
            <w:r>
              <w:rPr>
                <w:sz w:val="20"/>
                <w:szCs w:val="20"/>
                <w:vertAlign w:val="subscript"/>
              </w:rPr>
              <w:t>1</w:t>
            </w:r>
            <w:r>
              <w:rPr>
                <w:sz w:val="20"/>
                <w:szCs w:val="20"/>
              </w:rPr>
              <w:t>-89,</w:t>
            </w:r>
          </w:p>
          <w:p w14:paraId="543B22BB">
            <w:pPr>
              <w:spacing w:after="0" w:line="240" w:lineRule="auto"/>
              <w:ind w:firstLine="0"/>
              <w:jc w:val="center"/>
              <w:rPr>
                <w:sz w:val="20"/>
                <w:szCs w:val="20"/>
              </w:rPr>
            </w:pPr>
            <w:r>
              <w:rPr>
                <w:sz w:val="20"/>
                <w:szCs w:val="20"/>
              </w:rPr>
              <w:t>Т</w:t>
            </w:r>
            <w:r>
              <w:rPr>
                <w:sz w:val="20"/>
                <w:szCs w:val="20"/>
                <w:vertAlign w:val="subscript"/>
              </w:rPr>
              <w:t>2</w:t>
            </w:r>
            <w:r>
              <w:rPr>
                <w:sz w:val="20"/>
                <w:szCs w:val="20"/>
              </w:rPr>
              <w:t>-57</w:t>
            </w:r>
          </w:p>
        </w:tc>
        <w:tc>
          <w:tcPr>
            <w:tcW w:w="466" w:type="pct"/>
            <w:gridSpan w:val="2"/>
            <w:tcMar>
              <w:left w:w="28" w:type="dxa"/>
              <w:right w:w="28" w:type="dxa"/>
            </w:tcMar>
            <w:vAlign w:val="center"/>
          </w:tcPr>
          <w:p w14:paraId="624AFC5D">
            <w:pPr>
              <w:spacing w:after="0" w:line="240" w:lineRule="auto"/>
              <w:ind w:firstLine="0"/>
              <w:jc w:val="center"/>
              <w:rPr>
                <w:sz w:val="20"/>
                <w:szCs w:val="20"/>
              </w:rPr>
            </w:pPr>
            <w:r>
              <w:rPr>
                <w:sz w:val="20"/>
                <w:szCs w:val="20"/>
              </w:rPr>
              <w:t>23</w:t>
            </w:r>
          </w:p>
          <w:p w14:paraId="408E5DF6">
            <w:pPr>
              <w:spacing w:after="0" w:line="240" w:lineRule="auto"/>
              <w:ind w:firstLine="0"/>
              <w:jc w:val="center"/>
              <w:rPr>
                <w:sz w:val="20"/>
                <w:szCs w:val="20"/>
              </w:rPr>
            </w:pPr>
            <w:r>
              <w:rPr>
                <w:sz w:val="20"/>
                <w:szCs w:val="20"/>
              </w:rPr>
              <w:t>23</w:t>
            </w:r>
          </w:p>
        </w:tc>
        <w:tc>
          <w:tcPr>
            <w:tcW w:w="774" w:type="pct"/>
            <w:gridSpan w:val="2"/>
            <w:tcMar>
              <w:left w:w="28" w:type="dxa"/>
              <w:right w:w="28" w:type="dxa"/>
            </w:tcMar>
            <w:vAlign w:val="center"/>
          </w:tcPr>
          <w:p w14:paraId="2A63F453">
            <w:pPr>
              <w:spacing w:after="0" w:line="240" w:lineRule="auto"/>
              <w:ind w:firstLine="0"/>
              <w:jc w:val="center"/>
              <w:rPr>
                <w:sz w:val="20"/>
                <w:szCs w:val="20"/>
              </w:rPr>
            </w:pPr>
            <w:r>
              <w:rPr>
                <w:sz w:val="20"/>
                <w:szCs w:val="20"/>
              </w:rPr>
              <w:t>Маты минераловатные,</w:t>
            </w:r>
          </w:p>
          <w:p w14:paraId="07DDFBBD">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40E39CDB">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639EF658">
            <w:pPr>
              <w:spacing w:after="0" w:line="240" w:lineRule="auto"/>
              <w:ind w:firstLine="0"/>
              <w:jc w:val="center"/>
              <w:rPr>
                <w:sz w:val="20"/>
                <w:szCs w:val="20"/>
              </w:rPr>
            </w:pPr>
            <w:r>
              <w:rPr>
                <w:rFonts w:eastAsia="TimesNewRomanPSMT"/>
                <w:sz w:val="20"/>
                <w:szCs w:val="20"/>
              </w:rPr>
              <w:t>63806.12</w:t>
            </w:r>
          </w:p>
        </w:tc>
        <w:tc>
          <w:tcPr>
            <w:tcW w:w="456" w:type="pct"/>
            <w:gridSpan w:val="2"/>
            <w:tcMar>
              <w:left w:w="28" w:type="dxa"/>
              <w:right w:w="28" w:type="dxa"/>
            </w:tcMar>
            <w:vAlign w:val="center"/>
          </w:tcPr>
          <w:p w14:paraId="0694BB37">
            <w:pPr>
              <w:spacing w:after="0" w:line="240" w:lineRule="auto"/>
              <w:ind w:firstLine="0"/>
              <w:jc w:val="center"/>
              <w:rPr>
                <w:sz w:val="20"/>
                <w:szCs w:val="20"/>
              </w:rPr>
            </w:pPr>
            <w:r>
              <w:rPr>
                <w:sz w:val="20"/>
                <w:szCs w:val="20"/>
              </w:rPr>
              <w:t>действующие сети</w:t>
            </w:r>
          </w:p>
        </w:tc>
      </w:tr>
      <w:tr w14:paraId="3ADAD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924AC39">
            <w:pPr>
              <w:spacing w:after="0" w:line="240" w:lineRule="auto"/>
              <w:ind w:firstLine="0"/>
              <w:jc w:val="center"/>
              <w:rPr>
                <w:sz w:val="20"/>
                <w:szCs w:val="20"/>
              </w:rPr>
            </w:pPr>
            <w:r>
              <w:rPr>
                <w:sz w:val="20"/>
                <w:szCs w:val="20"/>
              </w:rPr>
              <w:t>2</w:t>
            </w:r>
          </w:p>
        </w:tc>
        <w:tc>
          <w:tcPr>
            <w:tcW w:w="924" w:type="pct"/>
            <w:tcMar>
              <w:left w:w="28" w:type="dxa"/>
              <w:right w:w="28" w:type="dxa"/>
            </w:tcMar>
            <w:vAlign w:val="center"/>
          </w:tcPr>
          <w:p w14:paraId="5C806DA7">
            <w:pPr>
              <w:spacing w:after="0" w:line="240" w:lineRule="auto"/>
              <w:ind w:firstLine="0"/>
              <w:jc w:val="center"/>
              <w:rPr>
                <w:rFonts w:eastAsia="TimesNewRomanPSMT"/>
                <w:sz w:val="20"/>
                <w:szCs w:val="20"/>
              </w:rPr>
            </w:pPr>
            <w:r>
              <w:rPr>
                <w:rFonts w:eastAsia="TimesNewRomanPSMT"/>
                <w:sz w:val="20"/>
                <w:szCs w:val="20"/>
              </w:rPr>
              <w:t>Наружные сети теплоснабжения От Котельной №2 до точки №1а</w:t>
            </w:r>
          </w:p>
          <w:p w14:paraId="76AB327F">
            <w:pPr>
              <w:spacing w:after="0" w:line="240" w:lineRule="auto"/>
              <w:ind w:firstLine="0"/>
              <w:jc w:val="center"/>
              <w:rPr>
                <w:sz w:val="20"/>
                <w:szCs w:val="20"/>
              </w:rPr>
            </w:pPr>
            <w:r>
              <w:rPr>
                <w:rFonts w:eastAsia="TimesNewRomanPSMT"/>
                <w:sz w:val="20"/>
                <w:szCs w:val="20"/>
              </w:rPr>
              <w:t>86:06:0020401:1255</w:t>
            </w:r>
          </w:p>
        </w:tc>
        <w:tc>
          <w:tcPr>
            <w:tcW w:w="215" w:type="pct"/>
            <w:tcMar>
              <w:left w:w="28" w:type="dxa"/>
              <w:right w:w="28" w:type="dxa"/>
            </w:tcMar>
            <w:vAlign w:val="center"/>
          </w:tcPr>
          <w:p w14:paraId="72187060">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7F375D01">
            <w:pPr>
              <w:spacing w:after="0" w:line="240" w:lineRule="auto"/>
              <w:ind w:firstLine="0"/>
              <w:jc w:val="center"/>
              <w:rPr>
                <w:sz w:val="20"/>
                <w:szCs w:val="20"/>
              </w:rPr>
            </w:pPr>
            <w:r>
              <w:rPr>
                <w:sz w:val="20"/>
                <w:szCs w:val="20"/>
              </w:rPr>
              <w:t>ХМАО,</w:t>
            </w:r>
          </w:p>
          <w:p w14:paraId="5367545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6F9AB39">
            <w:pPr>
              <w:spacing w:after="0" w:line="240" w:lineRule="auto"/>
              <w:ind w:firstLine="0"/>
              <w:jc w:val="center"/>
              <w:rPr>
                <w:sz w:val="20"/>
                <w:szCs w:val="20"/>
              </w:rPr>
            </w:pPr>
            <w:r>
              <w:rPr>
                <w:sz w:val="20"/>
                <w:szCs w:val="20"/>
              </w:rPr>
              <w:t>Т</w:t>
            </w:r>
            <w:r>
              <w:rPr>
                <w:sz w:val="20"/>
                <w:szCs w:val="20"/>
                <w:vertAlign w:val="subscript"/>
              </w:rPr>
              <w:t>1</w:t>
            </w:r>
            <w:r>
              <w:rPr>
                <w:sz w:val="20"/>
                <w:szCs w:val="20"/>
              </w:rPr>
              <w:t>-89,</w:t>
            </w:r>
          </w:p>
          <w:p w14:paraId="263DA19B">
            <w:pPr>
              <w:spacing w:after="0" w:line="240" w:lineRule="auto"/>
              <w:ind w:firstLine="0"/>
              <w:jc w:val="center"/>
              <w:rPr>
                <w:sz w:val="20"/>
                <w:szCs w:val="20"/>
              </w:rPr>
            </w:pPr>
            <w:r>
              <w:rPr>
                <w:sz w:val="20"/>
                <w:szCs w:val="20"/>
              </w:rPr>
              <w:t>Т</w:t>
            </w:r>
            <w:r>
              <w:rPr>
                <w:sz w:val="20"/>
                <w:szCs w:val="20"/>
                <w:vertAlign w:val="subscript"/>
              </w:rPr>
              <w:t>2</w:t>
            </w:r>
            <w:r>
              <w:rPr>
                <w:sz w:val="20"/>
                <w:szCs w:val="20"/>
              </w:rPr>
              <w:t>-57</w:t>
            </w:r>
          </w:p>
        </w:tc>
        <w:tc>
          <w:tcPr>
            <w:tcW w:w="466" w:type="pct"/>
            <w:gridSpan w:val="2"/>
            <w:tcMar>
              <w:left w:w="28" w:type="dxa"/>
              <w:right w:w="28" w:type="dxa"/>
            </w:tcMar>
            <w:vAlign w:val="center"/>
          </w:tcPr>
          <w:p w14:paraId="5280F161">
            <w:pPr>
              <w:spacing w:after="0" w:line="240" w:lineRule="auto"/>
              <w:ind w:firstLine="0"/>
              <w:jc w:val="center"/>
              <w:rPr>
                <w:sz w:val="20"/>
                <w:szCs w:val="20"/>
              </w:rPr>
            </w:pPr>
            <w:r>
              <w:rPr>
                <w:sz w:val="20"/>
                <w:szCs w:val="20"/>
              </w:rPr>
              <w:t>27</w:t>
            </w:r>
          </w:p>
          <w:p w14:paraId="69F6E2FC">
            <w:pPr>
              <w:spacing w:after="0" w:line="240" w:lineRule="auto"/>
              <w:ind w:firstLine="0"/>
              <w:jc w:val="center"/>
              <w:rPr>
                <w:sz w:val="20"/>
                <w:szCs w:val="20"/>
              </w:rPr>
            </w:pPr>
            <w:r>
              <w:rPr>
                <w:sz w:val="20"/>
                <w:szCs w:val="20"/>
              </w:rPr>
              <w:t>27</w:t>
            </w:r>
          </w:p>
        </w:tc>
        <w:tc>
          <w:tcPr>
            <w:tcW w:w="774" w:type="pct"/>
            <w:gridSpan w:val="2"/>
            <w:tcMar>
              <w:left w:w="28" w:type="dxa"/>
              <w:right w:w="28" w:type="dxa"/>
            </w:tcMar>
            <w:vAlign w:val="center"/>
          </w:tcPr>
          <w:p w14:paraId="359EF5B1">
            <w:pPr>
              <w:spacing w:after="0" w:line="240" w:lineRule="auto"/>
              <w:ind w:firstLine="0"/>
              <w:jc w:val="center"/>
              <w:rPr>
                <w:sz w:val="20"/>
                <w:szCs w:val="20"/>
              </w:rPr>
            </w:pPr>
            <w:r>
              <w:rPr>
                <w:sz w:val="20"/>
                <w:szCs w:val="20"/>
              </w:rPr>
              <w:t>Маты минераловатные,</w:t>
            </w:r>
          </w:p>
          <w:p w14:paraId="6804ECAD">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30B84EBE">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C1C4DE2">
            <w:pPr>
              <w:spacing w:after="0" w:line="240" w:lineRule="auto"/>
              <w:ind w:firstLine="0"/>
              <w:jc w:val="center"/>
              <w:rPr>
                <w:rFonts w:eastAsia="TimesNewRomanPSMT"/>
                <w:sz w:val="20"/>
                <w:szCs w:val="20"/>
              </w:rPr>
            </w:pPr>
            <w:r>
              <w:rPr>
                <w:rFonts w:eastAsia="TimesNewRomanPSMT"/>
                <w:sz w:val="20"/>
                <w:szCs w:val="20"/>
              </w:rPr>
              <w:t>74902.84</w:t>
            </w:r>
          </w:p>
        </w:tc>
        <w:tc>
          <w:tcPr>
            <w:tcW w:w="456" w:type="pct"/>
            <w:gridSpan w:val="2"/>
            <w:tcMar>
              <w:left w:w="28" w:type="dxa"/>
              <w:right w:w="28" w:type="dxa"/>
            </w:tcMar>
            <w:vAlign w:val="center"/>
          </w:tcPr>
          <w:p w14:paraId="7E77F5E9">
            <w:pPr>
              <w:spacing w:after="0" w:line="240" w:lineRule="auto"/>
              <w:ind w:firstLine="0"/>
              <w:jc w:val="center"/>
              <w:rPr>
                <w:sz w:val="20"/>
                <w:szCs w:val="20"/>
              </w:rPr>
            </w:pPr>
            <w:r>
              <w:rPr>
                <w:sz w:val="20"/>
                <w:szCs w:val="20"/>
              </w:rPr>
              <w:t>действующие сети</w:t>
            </w:r>
          </w:p>
        </w:tc>
      </w:tr>
      <w:tr w14:paraId="0DE68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0E44084">
            <w:pPr>
              <w:spacing w:after="0" w:line="240" w:lineRule="auto"/>
              <w:ind w:firstLine="0"/>
              <w:jc w:val="center"/>
              <w:rPr>
                <w:sz w:val="20"/>
                <w:szCs w:val="20"/>
              </w:rPr>
            </w:pPr>
            <w:r>
              <w:rPr>
                <w:sz w:val="20"/>
                <w:szCs w:val="20"/>
              </w:rPr>
              <w:t>3</w:t>
            </w:r>
          </w:p>
        </w:tc>
        <w:tc>
          <w:tcPr>
            <w:tcW w:w="924" w:type="pct"/>
            <w:tcMar>
              <w:left w:w="28" w:type="dxa"/>
              <w:right w:w="28" w:type="dxa"/>
            </w:tcMar>
            <w:vAlign w:val="center"/>
          </w:tcPr>
          <w:p w14:paraId="46F03CB2">
            <w:pPr>
              <w:spacing w:after="0" w:line="240" w:lineRule="auto"/>
              <w:ind w:firstLine="0"/>
              <w:jc w:val="center"/>
              <w:rPr>
                <w:sz w:val="20"/>
                <w:szCs w:val="20"/>
              </w:rPr>
            </w:pPr>
            <w:r>
              <w:rPr>
                <w:sz w:val="20"/>
                <w:szCs w:val="20"/>
              </w:rPr>
              <w:t>Наружные сети теплоснабжения</w:t>
            </w:r>
          </w:p>
          <w:p w14:paraId="2F5E77D4">
            <w:pPr>
              <w:spacing w:after="0" w:line="240" w:lineRule="auto"/>
              <w:ind w:firstLine="0"/>
              <w:jc w:val="center"/>
              <w:rPr>
                <w:sz w:val="20"/>
                <w:szCs w:val="20"/>
              </w:rPr>
            </w:pPr>
            <w:r>
              <w:rPr>
                <w:sz w:val="20"/>
                <w:szCs w:val="20"/>
              </w:rPr>
              <w:t>От точки №1а, до точки № 1</w:t>
            </w:r>
          </w:p>
          <w:p w14:paraId="4D4F6842">
            <w:pPr>
              <w:spacing w:after="0" w:line="240" w:lineRule="auto"/>
              <w:ind w:firstLine="0"/>
              <w:jc w:val="center"/>
              <w:rPr>
                <w:sz w:val="20"/>
                <w:szCs w:val="20"/>
              </w:rPr>
            </w:pPr>
            <w:r>
              <w:rPr>
                <w:color w:val="2A2A2A"/>
                <w:sz w:val="20"/>
                <w:szCs w:val="20"/>
                <w:lang w:val="en-US"/>
              </w:rPr>
              <w:t>86:06:0020401:125</w:t>
            </w:r>
            <w:r>
              <w:rPr>
                <w:color w:val="2A2A2A"/>
                <w:sz w:val="20"/>
                <w:szCs w:val="20"/>
              </w:rPr>
              <w:t>0</w:t>
            </w:r>
          </w:p>
        </w:tc>
        <w:tc>
          <w:tcPr>
            <w:tcW w:w="215" w:type="pct"/>
            <w:tcMar>
              <w:left w:w="28" w:type="dxa"/>
              <w:right w:w="28" w:type="dxa"/>
            </w:tcMar>
            <w:vAlign w:val="center"/>
          </w:tcPr>
          <w:p w14:paraId="7B23F20D">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14D4938">
            <w:pPr>
              <w:spacing w:after="0" w:line="240" w:lineRule="auto"/>
              <w:ind w:firstLine="0"/>
              <w:jc w:val="center"/>
              <w:rPr>
                <w:sz w:val="20"/>
                <w:szCs w:val="20"/>
              </w:rPr>
            </w:pPr>
            <w:r>
              <w:rPr>
                <w:sz w:val="20"/>
                <w:szCs w:val="20"/>
              </w:rPr>
              <w:t>ХМАО,</w:t>
            </w:r>
          </w:p>
          <w:p w14:paraId="410AC8E2">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B08502B">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-89,</w:t>
            </w:r>
          </w:p>
          <w:p w14:paraId="25B30799">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-57</w:t>
            </w:r>
          </w:p>
        </w:tc>
        <w:tc>
          <w:tcPr>
            <w:tcW w:w="466" w:type="pct"/>
            <w:gridSpan w:val="2"/>
            <w:tcMar>
              <w:left w:w="28" w:type="dxa"/>
              <w:right w:w="28" w:type="dxa"/>
            </w:tcMar>
            <w:vAlign w:val="center"/>
          </w:tcPr>
          <w:p w14:paraId="1D83E31D">
            <w:pPr>
              <w:spacing w:after="0" w:line="240" w:lineRule="auto"/>
              <w:ind w:firstLine="0"/>
              <w:jc w:val="center"/>
              <w:rPr>
                <w:sz w:val="20"/>
                <w:szCs w:val="20"/>
              </w:rPr>
            </w:pPr>
            <w:r>
              <w:rPr>
                <w:sz w:val="20"/>
                <w:szCs w:val="20"/>
              </w:rPr>
              <w:t>40</w:t>
            </w:r>
          </w:p>
          <w:p w14:paraId="71E5303D">
            <w:pPr>
              <w:spacing w:after="0" w:line="240" w:lineRule="auto"/>
              <w:ind w:firstLine="0"/>
              <w:jc w:val="center"/>
              <w:rPr>
                <w:sz w:val="20"/>
                <w:szCs w:val="20"/>
              </w:rPr>
            </w:pPr>
            <w:r>
              <w:rPr>
                <w:sz w:val="20"/>
                <w:szCs w:val="20"/>
              </w:rPr>
              <w:t>40</w:t>
            </w:r>
          </w:p>
        </w:tc>
        <w:tc>
          <w:tcPr>
            <w:tcW w:w="774" w:type="pct"/>
            <w:gridSpan w:val="2"/>
            <w:tcMar>
              <w:left w:w="28" w:type="dxa"/>
              <w:right w:w="28" w:type="dxa"/>
            </w:tcMar>
            <w:vAlign w:val="center"/>
          </w:tcPr>
          <w:p w14:paraId="255A62DB">
            <w:pPr>
              <w:spacing w:after="0" w:line="240" w:lineRule="auto"/>
              <w:ind w:firstLine="0"/>
              <w:jc w:val="center"/>
              <w:rPr>
                <w:sz w:val="20"/>
                <w:szCs w:val="20"/>
              </w:rPr>
            </w:pPr>
            <w:r>
              <w:rPr>
                <w:sz w:val="20"/>
                <w:szCs w:val="20"/>
              </w:rPr>
              <w:t>Маты минераловатные,</w:t>
            </w:r>
          </w:p>
          <w:p w14:paraId="616DC0D6">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56E9B5D9">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2E234288">
            <w:pPr>
              <w:spacing w:after="0" w:line="240" w:lineRule="auto"/>
              <w:ind w:firstLine="0"/>
              <w:jc w:val="center"/>
              <w:rPr>
                <w:sz w:val="20"/>
                <w:szCs w:val="20"/>
              </w:rPr>
            </w:pPr>
            <w:r>
              <w:rPr>
                <w:rFonts w:eastAsia="TimesNewRomanPSMT"/>
                <w:sz w:val="20"/>
                <w:szCs w:val="20"/>
              </w:rPr>
              <w:t>110967.17</w:t>
            </w:r>
          </w:p>
        </w:tc>
        <w:tc>
          <w:tcPr>
            <w:tcW w:w="456" w:type="pct"/>
            <w:gridSpan w:val="2"/>
            <w:tcMar>
              <w:left w:w="28" w:type="dxa"/>
              <w:right w:w="28" w:type="dxa"/>
            </w:tcMar>
            <w:vAlign w:val="center"/>
          </w:tcPr>
          <w:p w14:paraId="1FF628C7">
            <w:pPr>
              <w:spacing w:after="0" w:line="240" w:lineRule="auto"/>
              <w:ind w:firstLine="0"/>
              <w:jc w:val="center"/>
              <w:rPr>
                <w:sz w:val="20"/>
                <w:szCs w:val="20"/>
              </w:rPr>
            </w:pPr>
            <w:r>
              <w:rPr>
                <w:sz w:val="20"/>
                <w:szCs w:val="20"/>
              </w:rPr>
              <w:t>действующие сети</w:t>
            </w:r>
          </w:p>
        </w:tc>
      </w:tr>
      <w:tr w14:paraId="421FF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335C6F4">
            <w:pPr>
              <w:spacing w:after="0" w:line="240" w:lineRule="auto"/>
              <w:ind w:firstLine="0"/>
              <w:jc w:val="center"/>
              <w:rPr>
                <w:sz w:val="20"/>
                <w:szCs w:val="20"/>
              </w:rPr>
            </w:pPr>
            <w:r>
              <w:rPr>
                <w:sz w:val="20"/>
                <w:szCs w:val="20"/>
              </w:rPr>
              <w:t>4</w:t>
            </w:r>
          </w:p>
        </w:tc>
        <w:tc>
          <w:tcPr>
            <w:tcW w:w="924" w:type="pct"/>
            <w:tcMar>
              <w:left w:w="28" w:type="dxa"/>
              <w:right w:w="28" w:type="dxa"/>
            </w:tcMar>
            <w:vAlign w:val="center"/>
          </w:tcPr>
          <w:p w14:paraId="54B59B94">
            <w:pPr>
              <w:spacing w:after="0" w:line="240" w:lineRule="auto"/>
              <w:ind w:firstLine="0"/>
              <w:jc w:val="center"/>
              <w:rPr>
                <w:sz w:val="20"/>
                <w:szCs w:val="20"/>
              </w:rPr>
            </w:pPr>
            <w:r>
              <w:rPr>
                <w:sz w:val="20"/>
                <w:szCs w:val="20"/>
              </w:rPr>
              <w:t>Наружные сети теплоснабжения</w:t>
            </w:r>
          </w:p>
          <w:p w14:paraId="70D0C141">
            <w:pPr>
              <w:spacing w:after="0" w:line="240" w:lineRule="auto"/>
              <w:ind w:firstLine="0"/>
              <w:jc w:val="center"/>
              <w:rPr>
                <w:sz w:val="20"/>
                <w:szCs w:val="20"/>
              </w:rPr>
            </w:pPr>
            <w:r>
              <w:rPr>
                <w:sz w:val="20"/>
                <w:szCs w:val="20"/>
              </w:rPr>
              <w:t>От точки №1а, до точки № 1</w:t>
            </w:r>
          </w:p>
          <w:p w14:paraId="3699DBA2">
            <w:pPr>
              <w:spacing w:after="0" w:line="240" w:lineRule="auto"/>
              <w:ind w:firstLine="0"/>
              <w:jc w:val="center"/>
              <w:rPr>
                <w:sz w:val="20"/>
                <w:szCs w:val="20"/>
              </w:rPr>
            </w:pPr>
            <w:r>
              <w:rPr>
                <w:sz w:val="20"/>
                <w:szCs w:val="20"/>
              </w:rPr>
              <w:t>86:06:0020401:1330</w:t>
            </w:r>
          </w:p>
        </w:tc>
        <w:tc>
          <w:tcPr>
            <w:tcW w:w="215" w:type="pct"/>
            <w:tcMar>
              <w:left w:w="28" w:type="dxa"/>
              <w:right w:w="28" w:type="dxa"/>
            </w:tcMar>
            <w:vAlign w:val="center"/>
          </w:tcPr>
          <w:p w14:paraId="419FDCEC">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42C02D0">
            <w:pPr>
              <w:spacing w:after="0" w:line="240" w:lineRule="auto"/>
              <w:ind w:firstLine="0"/>
              <w:jc w:val="center"/>
              <w:rPr>
                <w:sz w:val="20"/>
                <w:szCs w:val="20"/>
              </w:rPr>
            </w:pPr>
            <w:r>
              <w:rPr>
                <w:sz w:val="20"/>
                <w:szCs w:val="20"/>
              </w:rPr>
              <w:t>ХМАО,</w:t>
            </w:r>
          </w:p>
          <w:p w14:paraId="2A258A32">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5B167F9">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-89,</w:t>
            </w:r>
          </w:p>
          <w:p w14:paraId="1DCE8FF8">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-57</w:t>
            </w:r>
          </w:p>
        </w:tc>
        <w:tc>
          <w:tcPr>
            <w:tcW w:w="466" w:type="pct"/>
            <w:gridSpan w:val="2"/>
            <w:tcMar>
              <w:left w:w="28" w:type="dxa"/>
              <w:right w:w="28" w:type="dxa"/>
            </w:tcMar>
            <w:vAlign w:val="center"/>
          </w:tcPr>
          <w:p w14:paraId="5FCFA05A">
            <w:pPr>
              <w:spacing w:after="0" w:line="240" w:lineRule="auto"/>
              <w:ind w:firstLine="0"/>
              <w:jc w:val="center"/>
              <w:rPr>
                <w:sz w:val="20"/>
                <w:szCs w:val="20"/>
              </w:rPr>
            </w:pPr>
            <w:r>
              <w:rPr>
                <w:sz w:val="20"/>
                <w:szCs w:val="20"/>
              </w:rPr>
              <w:t>26</w:t>
            </w:r>
          </w:p>
          <w:p w14:paraId="37FDC866">
            <w:pPr>
              <w:spacing w:after="0" w:line="240" w:lineRule="auto"/>
              <w:ind w:firstLine="0"/>
              <w:jc w:val="center"/>
              <w:rPr>
                <w:sz w:val="20"/>
                <w:szCs w:val="20"/>
              </w:rPr>
            </w:pPr>
            <w:r>
              <w:rPr>
                <w:sz w:val="20"/>
                <w:szCs w:val="20"/>
              </w:rPr>
              <w:t>26</w:t>
            </w:r>
          </w:p>
        </w:tc>
        <w:tc>
          <w:tcPr>
            <w:tcW w:w="774" w:type="pct"/>
            <w:gridSpan w:val="2"/>
            <w:tcMar>
              <w:left w:w="28" w:type="dxa"/>
              <w:right w:w="28" w:type="dxa"/>
            </w:tcMar>
            <w:vAlign w:val="center"/>
          </w:tcPr>
          <w:p w14:paraId="6AB044C6">
            <w:pPr>
              <w:spacing w:after="0" w:line="240" w:lineRule="auto"/>
              <w:ind w:firstLine="0"/>
              <w:jc w:val="center"/>
              <w:rPr>
                <w:sz w:val="20"/>
                <w:szCs w:val="20"/>
              </w:rPr>
            </w:pPr>
            <w:r>
              <w:rPr>
                <w:sz w:val="20"/>
                <w:szCs w:val="20"/>
              </w:rPr>
              <w:t>Маты минераловатные,</w:t>
            </w:r>
          </w:p>
          <w:p w14:paraId="13DF8F34">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6AB37BD1">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3EC77A48">
            <w:pPr>
              <w:spacing w:after="0" w:line="240" w:lineRule="auto"/>
              <w:ind w:firstLine="0"/>
              <w:jc w:val="center"/>
              <w:rPr>
                <w:rFonts w:eastAsia="TimesNewRomanPSMT"/>
                <w:sz w:val="20"/>
                <w:szCs w:val="20"/>
              </w:rPr>
            </w:pPr>
            <w:r>
              <w:rPr>
                <w:rFonts w:eastAsia="TimesNewRomanPSMT"/>
                <w:sz w:val="20"/>
                <w:szCs w:val="20"/>
              </w:rPr>
              <w:t>72128.66</w:t>
            </w:r>
          </w:p>
        </w:tc>
        <w:tc>
          <w:tcPr>
            <w:tcW w:w="456" w:type="pct"/>
            <w:gridSpan w:val="2"/>
            <w:tcMar>
              <w:left w:w="28" w:type="dxa"/>
              <w:right w:w="28" w:type="dxa"/>
            </w:tcMar>
            <w:vAlign w:val="center"/>
          </w:tcPr>
          <w:p w14:paraId="782FB29C">
            <w:pPr>
              <w:spacing w:after="0" w:line="240" w:lineRule="auto"/>
              <w:ind w:firstLine="0"/>
              <w:jc w:val="center"/>
              <w:rPr>
                <w:sz w:val="20"/>
                <w:szCs w:val="20"/>
              </w:rPr>
            </w:pPr>
            <w:r>
              <w:rPr>
                <w:sz w:val="20"/>
                <w:szCs w:val="20"/>
              </w:rPr>
              <w:t>действующие сети</w:t>
            </w:r>
          </w:p>
        </w:tc>
      </w:tr>
      <w:tr w14:paraId="18869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2B464CC">
            <w:pPr>
              <w:spacing w:after="0" w:line="240" w:lineRule="auto"/>
              <w:ind w:firstLine="0"/>
              <w:jc w:val="center"/>
              <w:rPr>
                <w:sz w:val="20"/>
                <w:szCs w:val="20"/>
              </w:rPr>
            </w:pPr>
            <w:r>
              <w:rPr>
                <w:sz w:val="20"/>
                <w:szCs w:val="20"/>
              </w:rPr>
              <w:t>5</w:t>
            </w:r>
          </w:p>
        </w:tc>
        <w:tc>
          <w:tcPr>
            <w:tcW w:w="924" w:type="pct"/>
            <w:tcMar>
              <w:left w:w="28" w:type="dxa"/>
              <w:right w:w="28" w:type="dxa"/>
            </w:tcMar>
            <w:vAlign w:val="center"/>
          </w:tcPr>
          <w:p w14:paraId="5EAC65B1">
            <w:pPr>
              <w:spacing w:after="0" w:line="240" w:lineRule="auto"/>
              <w:ind w:firstLine="0"/>
              <w:jc w:val="center"/>
              <w:rPr>
                <w:sz w:val="20"/>
                <w:szCs w:val="20"/>
              </w:rPr>
            </w:pPr>
            <w:r>
              <w:rPr>
                <w:sz w:val="20"/>
                <w:szCs w:val="20"/>
              </w:rPr>
              <w:t>Наружные сети теплоснабжения</w:t>
            </w:r>
          </w:p>
          <w:p w14:paraId="2919D823">
            <w:pPr>
              <w:spacing w:after="0" w:line="240" w:lineRule="auto"/>
              <w:ind w:firstLine="0"/>
              <w:jc w:val="center"/>
              <w:rPr>
                <w:sz w:val="20"/>
                <w:szCs w:val="20"/>
              </w:rPr>
            </w:pPr>
            <w:r>
              <w:rPr>
                <w:sz w:val="20"/>
                <w:szCs w:val="20"/>
              </w:rPr>
              <w:t>От точки №1 до точки № 2</w:t>
            </w:r>
          </w:p>
          <w:p w14:paraId="495B48F5">
            <w:pPr>
              <w:spacing w:after="0" w:line="240" w:lineRule="auto"/>
              <w:ind w:firstLine="0"/>
              <w:jc w:val="center"/>
              <w:rPr>
                <w:sz w:val="20"/>
                <w:szCs w:val="20"/>
              </w:rPr>
            </w:pPr>
            <w:r>
              <w:rPr>
                <w:color w:val="2A2A2A"/>
                <w:sz w:val="20"/>
                <w:szCs w:val="20"/>
                <w:lang w:val="en-US"/>
              </w:rPr>
              <w:t>86:06:0020401:1249</w:t>
            </w:r>
          </w:p>
        </w:tc>
        <w:tc>
          <w:tcPr>
            <w:tcW w:w="215" w:type="pct"/>
            <w:tcMar>
              <w:left w:w="28" w:type="dxa"/>
              <w:right w:w="28" w:type="dxa"/>
            </w:tcMar>
            <w:vAlign w:val="center"/>
          </w:tcPr>
          <w:p w14:paraId="6E8E74C4">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0409FD64">
            <w:pPr>
              <w:spacing w:after="0" w:line="240" w:lineRule="auto"/>
              <w:ind w:firstLine="0"/>
              <w:jc w:val="center"/>
              <w:rPr>
                <w:sz w:val="20"/>
                <w:szCs w:val="20"/>
              </w:rPr>
            </w:pPr>
            <w:r>
              <w:rPr>
                <w:sz w:val="20"/>
                <w:szCs w:val="20"/>
              </w:rPr>
              <w:t>ХМАО,</w:t>
            </w:r>
          </w:p>
          <w:p w14:paraId="7CE62BD2">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E1046CE">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-89,</w:t>
            </w:r>
          </w:p>
          <w:p w14:paraId="1CDA273C">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-57</w:t>
            </w:r>
          </w:p>
        </w:tc>
        <w:tc>
          <w:tcPr>
            <w:tcW w:w="466" w:type="pct"/>
            <w:gridSpan w:val="2"/>
            <w:tcMar>
              <w:left w:w="28" w:type="dxa"/>
              <w:right w:w="28" w:type="dxa"/>
            </w:tcMar>
            <w:vAlign w:val="center"/>
          </w:tcPr>
          <w:p w14:paraId="0750F866">
            <w:pPr>
              <w:spacing w:after="0" w:line="240" w:lineRule="auto"/>
              <w:ind w:firstLine="0"/>
              <w:jc w:val="center"/>
              <w:rPr>
                <w:sz w:val="20"/>
                <w:szCs w:val="20"/>
              </w:rPr>
            </w:pPr>
            <w:r>
              <w:rPr>
                <w:sz w:val="20"/>
                <w:szCs w:val="20"/>
              </w:rPr>
              <w:t>11</w:t>
            </w:r>
          </w:p>
          <w:p w14:paraId="102F9BD0">
            <w:pPr>
              <w:spacing w:after="0" w:line="240" w:lineRule="auto"/>
              <w:ind w:firstLine="0"/>
              <w:jc w:val="center"/>
              <w:rPr>
                <w:sz w:val="20"/>
                <w:szCs w:val="20"/>
              </w:rPr>
            </w:pPr>
            <w:r>
              <w:rPr>
                <w:sz w:val="20"/>
                <w:szCs w:val="20"/>
              </w:rPr>
              <w:t>11</w:t>
            </w:r>
          </w:p>
        </w:tc>
        <w:tc>
          <w:tcPr>
            <w:tcW w:w="774" w:type="pct"/>
            <w:gridSpan w:val="2"/>
            <w:tcMar>
              <w:left w:w="28" w:type="dxa"/>
              <w:right w:w="28" w:type="dxa"/>
            </w:tcMar>
            <w:vAlign w:val="center"/>
          </w:tcPr>
          <w:p w14:paraId="6DDA100C">
            <w:pPr>
              <w:spacing w:after="0" w:line="240" w:lineRule="auto"/>
              <w:ind w:firstLine="0"/>
              <w:jc w:val="center"/>
              <w:rPr>
                <w:sz w:val="20"/>
                <w:szCs w:val="20"/>
              </w:rPr>
            </w:pPr>
            <w:r>
              <w:rPr>
                <w:sz w:val="20"/>
                <w:szCs w:val="20"/>
              </w:rPr>
              <w:t>Маты минераловатные,</w:t>
            </w:r>
          </w:p>
          <w:p w14:paraId="0B7B1B75">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358AA7BC">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5CCDFD21">
            <w:pPr>
              <w:spacing w:after="0" w:line="240" w:lineRule="auto"/>
              <w:ind w:firstLine="0"/>
              <w:jc w:val="center"/>
              <w:rPr>
                <w:sz w:val="20"/>
                <w:szCs w:val="20"/>
              </w:rPr>
            </w:pPr>
            <w:r>
              <w:rPr>
                <w:rFonts w:eastAsia="TimesNewRomanPSMT"/>
                <w:sz w:val="20"/>
                <w:szCs w:val="20"/>
              </w:rPr>
              <w:t>30515.97</w:t>
            </w:r>
          </w:p>
        </w:tc>
        <w:tc>
          <w:tcPr>
            <w:tcW w:w="456" w:type="pct"/>
            <w:gridSpan w:val="2"/>
            <w:tcMar>
              <w:left w:w="28" w:type="dxa"/>
              <w:right w:w="28" w:type="dxa"/>
            </w:tcMar>
            <w:vAlign w:val="center"/>
          </w:tcPr>
          <w:p w14:paraId="0D9D41B3">
            <w:pPr>
              <w:spacing w:after="0" w:line="240" w:lineRule="auto"/>
              <w:ind w:firstLine="0"/>
              <w:jc w:val="center"/>
              <w:rPr>
                <w:sz w:val="20"/>
                <w:szCs w:val="20"/>
              </w:rPr>
            </w:pPr>
            <w:r>
              <w:rPr>
                <w:sz w:val="20"/>
                <w:szCs w:val="20"/>
              </w:rPr>
              <w:t>действующие сети</w:t>
            </w:r>
          </w:p>
        </w:tc>
      </w:tr>
      <w:tr w14:paraId="1B07D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58373DBD">
            <w:pPr>
              <w:spacing w:after="0" w:line="240" w:lineRule="auto"/>
              <w:ind w:firstLine="0"/>
              <w:jc w:val="center"/>
              <w:rPr>
                <w:sz w:val="20"/>
                <w:szCs w:val="20"/>
              </w:rPr>
            </w:pPr>
            <w:r>
              <w:rPr>
                <w:sz w:val="20"/>
                <w:szCs w:val="20"/>
              </w:rPr>
              <w:t>6</w:t>
            </w:r>
          </w:p>
        </w:tc>
        <w:tc>
          <w:tcPr>
            <w:tcW w:w="924" w:type="pct"/>
            <w:tcMar>
              <w:left w:w="28" w:type="dxa"/>
              <w:right w:w="28" w:type="dxa"/>
            </w:tcMar>
            <w:vAlign w:val="center"/>
          </w:tcPr>
          <w:p w14:paraId="78D41B76">
            <w:pPr>
              <w:spacing w:after="0" w:line="240" w:lineRule="auto"/>
              <w:ind w:firstLine="0"/>
              <w:jc w:val="center"/>
              <w:rPr>
                <w:sz w:val="20"/>
                <w:szCs w:val="20"/>
              </w:rPr>
            </w:pPr>
            <w:r>
              <w:rPr>
                <w:sz w:val="20"/>
                <w:szCs w:val="20"/>
              </w:rPr>
              <w:t>Наружные сети теплоснабжения</w:t>
            </w:r>
          </w:p>
          <w:p w14:paraId="42459E71">
            <w:pPr>
              <w:spacing w:after="0" w:line="240" w:lineRule="auto"/>
              <w:ind w:firstLine="0"/>
              <w:jc w:val="center"/>
              <w:rPr>
                <w:sz w:val="20"/>
                <w:szCs w:val="20"/>
              </w:rPr>
            </w:pPr>
            <w:r>
              <w:rPr>
                <w:sz w:val="20"/>
                <w:szCs w:val="20"/>
              </w:rPr>
              <w:t>От точки №2 до точки Ввод ж.д №1</w:t>
            </w:r>
          </w:p>
          <w:p w14:paraId="01CFD4EF">
            <w:pPr>
              <w:spacing w:after="0" w:line="240" w:lineRule="auto"/>
              <w:ind w:firstLine="0"/>
              <w:jc w:val="center"/>
              <w:rPr>
                <w:sz w:val="20"/>
                <w:szCs w:val="20"/>
              </w:rPr>
            </w:pPr>
            <w:r>
              <w:rPr>
                <w:color w:val="2A2A2A"/>
                <w:sz w:val="20"/>
                <w:szCs w:val="20"/>
                <w:lang w:val="en-US"/>
              </w:rPr>
              <w:t>86:06:0020401:1256</w:t>
            </w:r>
          </w:p>
        </w:tc>
        <w:tc>
          <w:tcPr>
            <w:tcW w:w="215" w:type="pct"/>
            <w:tcMar>
              <w:left w:w="28" w:type="dxa"/>
              <w:right w:w="28" w:type="dxa"/>
            </w:tcMar>
            <w:vAlign w:val="center"/>
          </w:tcPr>
          <w:p w14:paraId="0B980B6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09EE0272">
            <w:pPr>
              <w:spacing w:after="0" w:line="240" w:lineRule="auto"/>
              <w:ind w:firstLine="0"/>
              <w:jc w:val="center"/>
              <w:rPr>
                <w:sz w:val="20"/>
                <w:szCs w:val="20"/>
              </w:rPr>
            </w:pPr>
            <w:r>
              <w:rPr>
                <w:sz w:val="20"/>
                <w:szCs w:val="20"/>
              </w:rPr>
              <w:t>ХМАО,</w:t>
            </w:r>
          </w:p>
          <w:p w14:paraId="0CF43E3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3DFDA8B">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-42,</w:t>
            </w:r>
          </w:p>
          <w:p w14:paraId="2A43D83A">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-32</w:t>
            </w:r>
          </w:p>
        </w:tc>
        <w:tc>
          <w:tcPr>
            <w:tcW w:w="466" w:type="pct"/>
            <w:gridSpan w:val="2"/>
            <w:tcMar>
              <w:left w:w="28" w:type="dxa"/>
              <w:right w:w="28" w:type="dxa"/>
            </w:tcMar>
            <w:vAlign w:val="center"/>
          </w:tcPr>
          <w:p w14:paraId="272F8EB6">
            <w:pPr>
              <w:spacing w:after="0" w:line="240" w:lineRule="auto"/>
              <w:ind w:firstLine="0"/>
              <w:jc w:val="center"/>
              <w:rPr>
                <w:sz w:val="20"/>
                <w:szCs w:val="20"/>
              </w:rPr>
            </w:pPr>
            <w:r>
              <w:rPr>
                <w:sz w:val="20"/>
                <w:szCs w:val="20"/>
              </w:rPr>
              <w:t>6</w:t>
            </w:r>
          </w:p>
          <w:p w14:paraId="2A41E224">
            <w:pPr>
              <w:spacing w:after="0" w:line="240" w:lineRule="auto"/>
              <w:ind w:firstLine="0"/>
              <w:jc w:val="center"/>
              <w:rPr>
                <w:sz w:val="20"/>
                <w:szCs w:val="20"/>
              </w:rPr>
            </w:pPr>
            <w:r>
              <w:rPr>
                <w:sz w:val="20"/>
                <w:szCs w:val="20"/>
              </w:rPr>
              <w:t>6</w:t>
            </w:r>
          </w:p>
        </w:tc>
        <w:tc>
          <w:tcPr>
            <w:tcW w:w="774" w:type="pct"/>
            <w:gridSpan w:val="2"/>
            <w:tcMar>
              <w:left w:w="28" w:type="dxa"/>
              <w:right w:w="28" w:type="dxa"/>
            </w:tcMar>
            <w:vAlign w:val="center"/>
          </w:tcPr>
          <w:p w14:paraId="75C952FD">
            <w:pPr>
              <w:spacing w:after="0" w:line="240" w:lineRule="auto"/>
              <w:ind w:firstLine="0"/>
              <w:jc w:val="center"/>
              <w:rPr>
                <w:sz w:val="20"/>
                <w:szCs w:val="20"/>
              </w:rPr>
            </w:pPr>
            <w:r>
              <w:rPr>
                <w:sz w:val="20"/>
                <w:szCs w:val="20"/>
              </w:rPr>
              <w:t>Маты минераловатные,</w:t>
            </w:r>
          </w:p>
          <w:p w14:paraId="2A4D50B6">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213F9B7E">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7182548D">
            <w:pPr>
              <w:spacing w:after="0" w:line="240" w:lineRule="auto"/>
              <w:ind w:firstLine="0"/>
              <w:jc w:val="center"/>
              <w:rPr>
                <w:sz w:val="20"/>
                <w:szCs w:val="20"/>
              </w:rPr>
            </w:pPr>
            <w:r>
              <w:rPr>
                <w:rFonts w:eastAsia="TimesNewRomanPSMT"/>
                <w:sz w:val="20"/>
                <w:szCs w:val="20"/>
              </w:rPr>
              <w:t>16645.08</w:t>
            </w:r>
          </w:p>
        </w:tc>
        <w:tc>
          <w:tcPr>
            <w:tcW w:w="456" w:type="pct"/>
            <w:gridSpan w:val="2"/>
            <w:tcMar>
              <w:left w:w="28" w:type="dxa"/>
              <w:right w:w="28" w:type="dxa"/>
            </w:tcMar>
            <w:vAlign w:val="center"/>
          </w:tcPr>
          <w:p w14:paraId="4B0C2BE1">
            <w:pPr>
              <w:spacing w:after="0" w:line="240" w:lineRule="auto"/>
              <w:ind w:firstLine="0"/>
              <w:jc w:val="center"/>
              <w:rPr>
                <w:sz w:val="20"/>
                <w:szCs w:val="20"/>
              </w:rPr>
            </w:pPr>
            <w:r>
              <w:rPr>
                <w:sz w:val="20"/>
                <w:szCs w:val="20"/>
              </w:rPr>
              <w:t>действующие сети</w:t>
            </w:r>
          </w:p>
        </w:tc>
      </w:tr>
      <w:tr w14:paraId="52146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4BFF3D6">
            <w:pPr>
              <w:spacing w:after="0" w:line="240" w:lineRule="auto"/>
              <w:ind w:firstLine="0"/>
              <w:jc w:val="center"/>
              <w:rPr>
                <w:sz w:val="20"/>
                <w:szCs w:val="20"/>
              </w:rPr>
            </w:pPr>
            <w:r>
              <w:rPr>
                <w:sz w:val="20"/>
                <w:szCs w:val="20"/>
              </w:rPr>
              <w:t>7</w:t>
            </w:r>
          </w:p>
        </w:tc>
        <w:tc>
          <w:tcPr>
            <w:tcW w:w="924" w:type="pct"/>
            <w:tcMar>
              <w:left w:w="28" w:type="dxa"/>
              <w:right w:w="28" w:type="dxa"/>
            </w:tcMar>
            <w:vAlign w:val="center"/>
          </w:tcPr>
          <w:p w14:paraId="4DF2F3F5">
            <w:pPr>
              <w:spacing w:after="0" w:line="240" w:lineRule="auto"/>
              <w:ind w:firstLine="0"/>
              <w:jc w:val="center"/>
              <w:rPr>
                <w:sz w:val="20"/>
                <w:szCs w:val="20"/>
              </w:rPr>
            </w:pPr>
            <w:r>
              <w:rPr>
                <w:sz w:val="20"/>
                <w:szCs w:val="20"/>
              </w:rPr>
              <w:t>Наружные сети теплоснабжения</w:t>
            </w:r>
          </w:p>
          <w:p w14:paraId="275EC51A">
            <w:pPr>
              <w:spacing w:after="0" w:line="240" w:lineRule="auto"/>
              <w:ind w:firstLine="0"/>
              <w:jc w:val="center"/>
              <w:rPr>
                <w:sz w:val="20"/>
                <w:szCs w:val="20"/>
              </w:rPr>
            </w:pPr>
            <w:r>
              <w:rPr>
                <w:sz w:val="20"/>
                <w:szCs w:val="20"/>
              </w:rPr>
              <w:t>От точки №2 до точки № 3</w:t>
            </w:r>
          </w:p>
          <w:p w14:paraId="2ADC5070">
            <w:pPr>
              <w:spacing w:after="0" w:line="240" w:lineRule="auto"/>
              <w:ind w:firstLine="0"/>
              <w:jc w:val="center"/>
              <w:rPr>
                <w:sz w:val="20"/>
                <w:szCs w:val="20"/>
              </w:rPr>
            </w:pPr>
            <w:r>
              <w:rPr>
                <w:color w:val="2A2A2A"/>
                <w:sz w:val="20"/>
                <w:szCs w:val="20"/>
                <w:lang w:val="en-US"/>
              </w:rPr>
              <w:t>86:06:0020401:1251</w:t>
            </w:r>
          </w:p>
        </w:tc>
        <w:tc>
          <w:tcPr>
            <w:tcW w:w="215" w:type="pct"/>
            <w:tcMar>
              <w:left w:w="28" w:type="dxa"/>
              <w:right w:w="28" w:type="dxa"/>
            </w:tcMar>
            <w:vAlign w:val="center"/>
          </w:tcPr>
          <w:p w14:paraId="391AF74D">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2285162C">
            <w:pPr>
              <w:spacing w:after="0" w:line="240" w:lineRule="auto"/>
              <w:ind w:firstLine="0"/>
              <w:jc w:val="center"/>
              <w:rPr>
                <w:sz w:val="20"/>
                <w:szCs w:val="20"/>
              </w:rPr>
            </w:pPr>
            <w:r>
              <w:rPr>
                <w:sz w:val="20"/>
                <w:szCs w:val="20"/>
              </w:rPr>
              <w:t>ХМАО,</w:t>
            </w:r>
          </w:p>
          <w:p w14:paraId="2036DEBB">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2B85ED8">
            <w:pPr>
              <w:spacing w:after="0" w:line="240" w:lineRule="auto"/>
              <w:ind w:firstLine="0"/>
              <w:jc w:val="center"/>
              <w:rPr>
                <w:sz w:val="20"/>
                <w:szCs w:val="20"/>
              </w:rPr>
            </w:pPr>
            <w:r>
              <w:rPr>
                <w:sz w:val="20"/>
                <w:szCs w:val="20"/>
              </w:rPr>
              <w:t>Т</w:t>
            </w:r>
            <w:r>
              <w:rPr>
                <w:sz w:val="20"/>
                <w:szCs w:val="20"/>
                <w:vertAlign w:val="subscript"/>
              </w:rPr>
              <w:t>1</w:t>
            </w:r>
            <w:r>
              <w:rPr>
                <w:sz w:val="20"/>
                <w:szCs w:val="20"/>
              </w:rPr>
              <w:t>- 89</w:t>
            </w:r>
          </w:p>
          <w:p w14:paraId="4A88B810">
            <w:pPr>
              <w:spacing w:after="0" w:line="240" w:lineRule="auto"/>
              <w:ind w:firstLine="0"/>
              <w:jc w:val="center"/>
              <w:rPr>
                <w:sz w:val="20"/>
                <w:szCs w:val="20"/>
              </w:rPr>
            </w:pPr>
            <w:r>
              <w:rPr>
                <w:sz w:val="20"/>
                <w:szCs w:val="20"/>
              </w:rPr>
              <w:t>Т</w:t>
            </w:r>
            <w:r>
              <w:rPr>
                <w:sz w:val="20"/>
                <w:szCs w:val="20"/>
                <w:vertAlign w:val="subscript"/>
              </w:rPr>
              <w:t>2</w:t>
            </w:r>
            <w:r>
              <w:rPr>
                <w:sz w:val="20"/>
                <w:szCs w:val="20"/>
              </w:rPr>
              <w:t xml:space="preserve"> </w:t>
            </w:r>
            <w:r>
              <w:rPr>
                <w:i/>
                <w:sz w:val="20"/>
                <w:szCs w:val="20"/>
              </w:rPr>
              <w:t>-</w:t>
            </w:r>
            <w:r>
              <w:rPr>
                <w:sz w:val="20"/>
                <w:szCs w:val="20"/>
              </w:rPr>
              <w:t>57</w:t>
            </w:r>
          </w:p>
        </w:tc>
        <w:tc>
          <w:tcPr>
            <w:tcW w:w="466" w:type="pct"/>
            <w:gridSpan w:val="2"/>
            <w:tcMar>
              <w:left w:w="28" w:type="dxa"/>
              <w:right w:w="28" w:type="dxa"/>
            </w:tcMar>
            <w:vAlign w:val="center"/>
          </w:tcPr>
          <w:p w14:paraId="3870C758">
            <w:pPr>
              <w:spacing w:after="0" w:line="240" w:lineRule="auto"/>
              <w:ind w:firstLine="0"/>
              <w:jc w:val="center"/>
              <w:rPr>
                <w:sz w:val="20"/>
                <w:szCs w:val="20"/>
              </w:rPr>
            </w:pPr>
            <w:r>
              <w:rPr>
                <w:sz w:val="20"/>
                <w:szCs w:val="20"/>
              </w:rPr>
              <w:t>28</w:t>
            </w:r>
          </w:p>
          <w:p w14:paraId="7989A0FD">
            <w:pPr>
              <w:spacing w:after="0" w:line="240" w:lineRule="auto"/>
              <w:ind w:firstLine="0"/>
              <w:jc w:val="center"/>
              <w:rPr>
                <w:sz w:val="20"/>
                <w:szCs w:val="20"/>
              </w:rPr>
            </w:pPr>
            <w:r>
              <w:rPr>
                <w:sz w:val="20"/>
                <w:szCs w:val="20"/>
              </w:rPr>
              <w:t>28</w:t>
            </w:r>
          </w:p>
        </w:tc>
        <w:tc>
          <w:tcPr>
            <w:tcW w:w="774" w:type="pct"/>
            <w:gridSpan w:val="2"/>
            <w:tcMar>
              <w:left w:w="28" w:type="dxa"/>
              <w:right w:w="28" w:type="dxa"/>
            </w:tcMar>
            <w:vAlign w:val="center"/>
          </w:tcPr>
          <w:p w14:paraId="6110C2F4">
            <w:pPr>
              <w:spacing w:after="0" w:line="240" w:lineRule="auto"/>
              <w:ind w:firstLine="0"/>
              <w:jc w:val="center"/>
              <w:rPr>
                <w:sz w:val="20"/>
                <w:szCs w:val="20"/>
              </w:rPr>
            </w:pPr>
            <w:r>
              <w:rPr>
                <w:sz w:val="20"/>
                <w:szCs w:val="20"/>
              </w:rPr>
              <w:t>Маты минераловатные,</w:t>
            </w:r>
          </w:p>
          <w:p w14:paraId="1DE96B57">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5EA4A87A">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032D0FD8">
            <w:pPr>
              <w:spacing w:after="0" w:line="240" w:lineRule="auto"/>
              <w:ind w:firstLine="0"/>
              <w:jc w:val="center"/>
              <w:rPr>
                <w:sz w:val="20"/>
                <w:szCs w:val="20"/>
              </w:rPr>
            </w:pPr>
            <w:r>
              <w:rPr>
                <w:rFonts w:eastAsia="TimesNewRomanPSMT"/>
                <w:sz w:val="20"/>
                <w:szCs w:val="20"/>
              </w:rPr>
              <w:t>77677.02</w:t>
            </w:r>
          </w:p>
        </w:tc>
        <w:tc>
          <w:tcPr>
            <w:tcW w:w="456" w:type="pct"/>
            <w:gridSpan w:val="2"/>
            <w:tcMar>
              <w:left w:w="28" w:type="dxa"/>
              <w:right w:w="28" w:type="dxa"/>
            </w:tcMar>
            <w:vAlign w:val="center"/>
          </w:tcPr>
          <w:p w14:paraId="602A336C">
            <w:pPr>
              <w:spacing w:after="0" w:line="240" w:lineRule="auto"/>
              <w:ind w:firstLine="0"/>
              <w:jc w:val="center"/>
              <w:rPr>
                <w:sz w:val="20"/>
                <w:szCs w:val="20"/>
              </w:rPr>
            </w:pPr>
            <w:r>
              <w:rPr>
                <w:sz w:val="20"/>
                <w:szCs w:val="20"/>
              </w:rPr>
              <w:t>выведенные из эксплуатации в связи со сносом домов</w:t>
            </w:r>
          </w:p>
        </w:tc>
      </w:tr>
      <w:tr w14:paraId="5530C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16B160C">
            <w:pPr>
              <w:tabs>
                <w:tab w:val="left" w:pos="4536"/>
              </w:tabs>
              <w:spacing w:after="0" w:line="240" w:lineRule="auto"/>
              <w:ind w:firstLine="0"/>
              <w:jc w:val="center"/>
              <w:rPr>
                <w:sz w:val="20"/>
                <w:szCs w:val="20"/>
              </w:rPr>
            </w:pPr>
            <w:r>
              <w:rPr>
                <w:sz w:val="20"/>
                <w:szCs w:val="20"/>
              </w:rPr>
              <w:t>8</w:t>
            </w:r>
          </w:p>
        </w:tc>
        <w:tc>
          <w:tcPr>
            <w:tcW w:w="924" w:type="pct"/>
            <w:tcMar>
              <w:left w:w="28" w:type="dxa"/>
              <w:right w:w="28" w:type="dxa"/>
            </w:tcMar>
            <w:vAlign w:val="center"/>
          </w:tcPr>
          <w:p w14:paraId="3FDD2733">
            <w:pPr>
              <w:spacing w:after="0" w:line="240" w:lineRule="auto"/>
              <w:ind w:firstLine="0"/>
              <w:jc w:val="center"/>
              <w:rPr>
                <w:sz w:val="20"/>
                <w:szCs w:val="20"/>
              </w:rPr>
            </w:pPr>
            <w:r>
              <w:rPr>
                <w:sz w:val="20"/>
                <w:szCs w:val="20"/>
              </w:rPr>
              <w:t>Наружные сети теплоснабжения</w:t>
            </w:r>
          </w:p>
          <w:p w14:paraId="2C9B908B">
            <w:pPr>
              <w:tabs>
                <w:tab w:val="center" w:pos="1622"/>
                <w:tab w:val="right" w:pos="3245"/>
              </w:tabs>
              <w:spacing w:after="0" w:line="240" w:lineRule="auto"/>
              <w:ind w:firstLine="0"/>
              <w:jc w:val="center"/>
              <w:rPr>
                <w:sz w:val="20"/>
                <w:szCs w:val="20"/>
              </w:rPr>
            </w:pPr>
            <w:r>
              <w:rPr>
                <w:sz w:val="20"/>
                <w:szCs w:val="20"/>
              </w:rPr>
              <w:t>От точки №3 до точки Ввод 2 ж.д №1</w:t>
            </w:r>
          </w:p>
          <w:p w14:paraId="654486B5">
            <w:pPr>
              <w:tabs>
                <w:tab w:val="center" w:pos="1622"/>
                <w:tab w:val="right" w:pos="3245"/>
              </w:tabs>
              <w:spacing w:after="0" w:line="240" w:lineRule="auto"/>
              <w:ind w:firstLine="0"/>
              <w:jc w:val="center"/>
              <w:rPr>
                <w:sz w:val="20"/>
                <w:szCs w:val="20"/>
              </w:rPr>
            </w:pPr>
            <w:r>
              <w:rPr>
                <w:color w:val="2A2A2A"/>
                <w:sz w:val="20"/>
                <w:szCs w:val="20"/>
                <w:lang w:val="en-US"/>
              </w:rPr>
              <w:t>86:06:0020401:1257</w:t>
            </w:r>
          </w:p>
        </w:tc>
        <w:tc>
          <w:tcPr>
            <w:tcW w:w="215" w:type="pct"/>
            <w:tcMar>
              <w:left w:w="28" w:type="dxa"/>
              <w:right w:w="28" w:type="dxa"/>
            </w:tcMar>
            <w:vAlign w:val="center"/>
          </w:tcPr>
          <w:p w14:paraId="40CF2AB9">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3C9FE7A">
            <w:pPr>
              <w:spacing w:after="0" w:line="240" w:lineRule="auto"/>
              <w:ind w:firstLine="0"/>
              <w:jc w:val="center"/>
              <w:rPr>
                <w:sz w:val="20"/>
                <w:szCs w:val="20"/>
              </w:rPr>
            </w:pPr>
            <w:r>
              <w:rPr>
                <w:sz w:val="20"/>
                <w:szCs w:val="20"/>
              </w:rPr>
              <w:t>ХМАО,</w:t>
            </w:r>
          </w:p>
          <w:p w14:paraId="050EBC4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22A22B1">
            <w:pPr>
              <w:spacing w:after="0" w:line="240" w:lineRule="auto"/>
              <w:ind w:firstLine="0"/>
              <w:jc w:val="center"/>
              <w:rPr>
                <w:sz w:val="20"/>
                <w:szCs w:val="20"/>
              </w:rPr>
            </w:pPr>
            <w:r>
              <w:rPr>
                <w:sz w:val="20"/>
                <w:szCs w:val="20"/>
              </w:rPr>
              <w:t>Т</w:t>
            </w:r>
            <w:r>
              <w:rPr>
                <w:sz w:val="20"/>
                <w:szCs w:val="20"/>
                <w:vertAlign w:val="subscript"/>
              </w:rPr>
              <w:t>1</w:t>
            </w:r>
            <w:r>
              <w:rPr>
                <w:sz w:val="20"/>
                <w:szCs w:val="20"/>
              </w:rPr>
              <w:t>-42</w:t>
            </w:r>
          </w:p>
          <w:p w14:paraId="1B7AB2BF">
            <w:pPr>
              <w:spacing w:after="0" w:line="240" w:lineRule="auto"/>
              <w:ind w:firstLine="0"/>
              <w:jc w:val="center"/>
              <w:rPr>
                <w:sz w:val="20"/>
                <w:szCs w:val="20"/>
              </w:rPr>
            </w:pPr>
            <w:r>
              <w:rPr>
                <w:sz w:val="20"/>
                <w:szCs w:val="20"/>
              </w:rPr>
              <w:t>Т</w:t>
            </w:r>
            <w:r>
              <w:rPr>
                <w:sz w:val="20"/>
                <w:szCs w:val="20"/>
                <w:vertAlign w:val="subscript"/>
              </w:rPr>
              <w:t>2</w:t>
            </w:r>
            <w:r>
              <w:rPr>
                <w:sz w:val="20"/>
                <w:szCs w:val="20"/>
              </w:rPr>
              <w:t>-32</w:t>
            </w:r>
          </w:p>
        </w:tc>
        <w:tc>
          <w:tcPr>
            <w:tcW w:w="466" w:type="pct"/>
            <w:gridSpan w:val="2"/>
            <w:tcMar>
              <w:left w:w="28" w:type="dxa"/>
              <w:right w:w="28" w:type="dxa"/>
            </w:tcMar>
            <w:vAlign w:val="center"/>
          </w:tcPr>
          <w:p w14:paraId="6A701703">
            <w:pPr>
              <w:spacing w:after="0" w:line="240" w:lineRule="auto"/>
              <w:ind w:firstLine="0"/>
              <w:jc w:val="center"/>
              <w:rPr>
                <w:sz w:val="20"/>
                <w:szCs w:val="20"/>
              </w:rPr>
            </w:pPr>
            <w:r>
              <w:rPr>
                <w:sz w:val="20"/>
                <w:szCs w:val="20"/>
              </w:rPr>
              <w:t>6</w:t>
            </w:r>
          </w:p>
          <w:p w14:paraId="0C39BB01">
            <w:pPr>
              <w:spacing w:after="0" w:line="240" w:lineRule="auto"/>
              <w:ind w:firstLine="0"/>
              <w:jc w:val="center"/>
              <w:rPr>
                <w:sz w:val="20"/>
                <w:szCs w:val="20"/>
              </w:rPr>
            </w:pPr>
            <w:r>
              <w:rPr>
                <w:sz w:val="20"/>
                <w:szCs w:val="20"/>
              </w:rPr>
              <w:t>6</w:t>
            </w:r>
          </w:p>
        </w:tc>
        <w:tc>
          <w:tcPr>
            <w:tcW w:w="774" w:type="pct"/>
            <w:gridSpan w:val="2"/>
            <w:tcMar>
              <w:left w:w="28" w:type="dxa"/>
              <w:right w:w="28" w:type="dxa"/>
            </w:tcMar>
            <w:vAlign w:val="center"/>
          </w:tcPr>
          <w:p w14:paraId="6741CFC3">
            <w:pPr>
              <w:spacing w:after="0" w:line="240" w:lineRule="auto"/>
              <w:ind w:firstLine="0"/>
              <w:jc w:val="center"/>
              <w:rPr>
                <w:sz w:val="20"/>
                <w:szCs w:val="20"/>
              </w:rPr>
            </w:pPr>
            <w:r>
              <w:rPr>
                <w:sz w:val="20"/>
                <w:szCs w:val="20"/>
              </w:rPr>
              <w:t>Маты минераловатные,</w:t>
            </w:r>
          </w:p>
          <w:p w14:paraId="199DF8B6">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07AC479C">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6E158ED8">
            <w:pPr>
              <w:spacing w:after="0" w:line="240" w:lineRule="auto"/>
              <w:ind w:firstLine="0"/>
              <w:jc w:val="center"/>
              <w:rPr>
                <w:sz w:val="20"/>
                <w:szCs w:val="20"/>
              </w:rPr>
            </w:pPr>
            <w:r>
              <w:rPr>
                <w:rFonts w:eastAsia="TimesNewRomanPSMT"/>
                <w:sz w:val="20"/>
                <w:szCs w:val="20"/>
              </w:rPr>
              <w:t>16645.08</w:t>
            </w:r>
          </w:p>
        </w:tc>
        <w:tc>
          <w:tcPr>
            <w:tcW w:w="456" w:type="pct"/>
            <w:gridSpan w:val="2"/>
            <w:tcMar>
              <w:left w:w="28" w:type="dxa"/>
              <w:right w:w="28" w:type="dxa"/>
            </w:tcMar>
            <w:vAlign w:val="center"/>
          </w:tcPr>
          <w:p w14:paraId="54AF9BEE">
            <w:pPr>
              <w:spacing w:after="0" w:line="240" w:lineRule="auto"/>
              <w:ind w:firstLine="0"/>
              <w:jc w:val="center"/>
              <w:rPr>
                <w:sz w:val="20"/>
                <w:szCs w:val="20"/>
              </w:rPr>
            </w:pPr>
            <w:r>
              <w:rPr>
                <w:sz w:val="20"/>
                <w:szCs w:val="20"/>
              </w:rPr>
              <w:t>выведенные из эксплуатации в связи со сносом домов</w:t>
            </w:r>
          </w:p>
        </w:tc>
      </w:tr>
      <w:tr w14:paraId="26E98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04610A6F">
            <w:pPr>
              <w:spacing w:after="0" w:line="240" w:lineRule="auto"/>
              <w:ind w:firstLine="0"/>
              <w:jc w:val="center"/>
              <w:rPr>
                <w:sz w:val="20"/>
                <w:szCs w:val="20"/>
              </w:rPr>
            </w:pPr>
            <w:r>
              <w:rPr>
                <w:sz w:val="20"/>
                <w:szCs w:val="20"/>
              </w:rPr>
              <w:t>9</w:t>
            </w:r>
          </w:p>
        </w:tc>
        <w:tc>
          <w:tcPr>
            <w:tcW w:w="924" w:type="pct"/>
            <w:tcMar>
              <w:left w:w="28" w:type="dxa"/>
              <w:right w:w="28" w:type="dxa"/>
            </w:tcMar>
            <w:vAlign w:val="center"/>
          </w:tcPr>
          <w:p w14:paraId="4FBFC291">
            <w:pPr>
              <w:spacing w:after="0" w:line="240" w:lineRule="auto"/>
              <w:ind w:firstLine="0"/>
              <w:jc w:val="center"/>
              <w:rPr>
                <w:sz w:val="20"/>
                <w:szCs w:val="20"/>
              </w:rPr>
            </w:pPr>
            <w:r>
              <w:rPr>
                <w:sz w:val="20"/>
                <w:szCs w:val="20"/>
              </w:rPr>
              <w:t>Наружные сети теплоснабжения</w:t>
            </w:r>
          </w:p>
          <w:p w14:paraId="268E95F1">
            <w:pPr>
              <w:spacing w:after="0" w:line="240" w:lineRule="auto"/>
              <w:ind w:firstLine="0"/>
              <w:jc w:val="center"/>
              <w:rPr>
                <w:sz w:val="20"/>
                <w:szCs w:val="20"/>
              </w:rPr>
            </w:pPr>
            <w:r>
              <w:rPr>
                <w:sz w:val="20"/>
                <w:szCs w:val="20"/>
              </w:rPr>
              <w:t>От точки №3 до точки № 4</w:t>
            </w:r>
          </w:p>
          <w:p w14:paraId="027DF11B">
            <w:pPr>
              <w:spacing w:after="0" w:line="240" w:lineRule="auto"/>
              <w:ind w:firstLine="0"/>
              <w:jc w:val="center"/>
              <w:rPr>
                <w:sz w:val="20"/>
                <w:szCs w:val="20"/>
              </w:rPr>
            </w:pPr>
            <w:r>
              <w:rPr>
                <w:color w:val="2A2A2A"/>
                <w:sz w:val="20"/>
                <w:szCs w:val="20"/>
                <w:lang w:val="en-US"/>
              </w:rPr>
              <w:t>86:06:0020401:1253</w:t>
            </w:r>
          </w:p>
        </w:tc>
        <w:tc>
          <w:tcPr>
            <w:tcW w:w="215" w:type="pct"/>
            <w:tcMar>
              <w:left w:w="28" w:type="dxa"/>
              <w:right w:w="28" w:type="dxa"/>
            </w:tcMar>
            <w:vAlign w:val="center"/>
          </w:tcPr>
          <w:p w14:paraId="39F1EED3">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1AC6FCAB">
            <w:pPr>
              <w:spacing w:after="0" w:line="240" w:lineRule="auto"/>
              <w:ind w:firstLine="0"/>
              <w:jc w:val="center"/>
              <w:rPr>
                <w:sz w:val="20"/>
                <w:szCs w:val="20"/>
              </w:rPr>
            </w:pPr>
            <w:r>
              <w:rPr>
                <w:sz w:val="20"/>
                <w:szCs w:val="20"/>
              </w:rPr>
              <w:t>ХМАО,</w:t>
            </w:r>
          </w:p>
          <w:p w14:paraId="69B17F15">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B290F5B">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-89</w:t>
            </w:r>
          </w:p>
          <w:p w14:paraId="0DE09674">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-57</w:t>
            </w:r>
          </w:p>
        </w:tc>
        <w:tc>
          <w:tcPr>
            <w:tcW w:w="466" w:type="pct"/>
            <w:gridSpan w:val="2"/>
            <w:tcMar>
              <w:left w:w="28" w:type="dxa"/>
              <w:right w:w="28" w:type="dxa"/>
            </w:tcMar>
            <w:vAlign w:val="center"/>
          </w:tcPr>
          <w:p w14:paraId="7E35490E">
            <w:pPr>
              <w:spacing w:after="0" w:line="240" w:lineRule="auto"/>
              <w:ind w:firstLine="0"/>
              <w:jc w:val="center"/>
              <w:rPr>
                <w:sz w:val="20"/>
                <w:szCs w:val="20"/>
              </w:rPr>
            </w:pPr>
            <w:r>
              <w:rPr>
                <w:sz w:val="20"/>
                <w:szCs w:val="20"/>
              </w:rPr>
              <w:t>50</w:t>
            </w:r>
          </w:p>
          <w:p w14:paraId="27A205AC">
            <w:pPr>
              <w:spacing w:after="0" w:line="240" w:lineRule="auto"/>
              <w:ind w:firstLine="0"/>
              <w:jc w:val="center"/>
              <w:rPr>
                <w:sz w:val="20"/>
                <w:szCs w:val="20"/>
              </w:rPr>
            </w:pPr>
            <w:r>
              <w:rPr>
                <w:sz w:val="20"/>
                <w:szCs w:val="20"/>
              </w:rPr>
              <w:t>50</w:t>
            </w:r>
          </w:p>
        </w:tc>
        <w:tc>
          <w:tcPr>
            <w:tcW w:w="774" w:type="pct"/>
            <w:gridSpan w:val="2"/>
            <w:tcMar>
              <w:left w:w="28" w:type="dxa"/>
              <w:right w:w="28" w:type="dxa"/>
            </w:tcMar>
            <w:vAlign w:val="center"/>
          </w:tcPr>
          <w:p w14:paraId="6658E461">
            <w:pPr>
              <w:spacing w:after="0" w:line="240" w:lineRule="auto"/>
              <w:ind w:firstLine="0"/>
              <w:jc w:val="center"/>
              <w:rPr>
                <w:sz w:val="20"/>
                <w:szCs w:val="20"/>
              </w:rPr>
            </w:pPr>
            <w:r>
              <w:rPr>
                <w:sz w:val="20"/>
                <w:szCs w:val="20"/>
              </w:rPr>
              <w:t>Маты минераловатные,</w:t>
            </w:r>
          </w:p>
          <w:p w14:paraId="08469A6B">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62EBB3CB">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7575267B">
            <w:pPr>
              <w:spacing w:after="0" w:line="240" w:lineRule="auto"/>
              <w:ind w:firstLine="0"/>
              <w:jc w:val="center"/>
              <w:rPr>
                <w:sz w:val="20"/>
                <w:szCs w:val="20"/>
              </w:rPr>
            </w:pPr>
            <w:r>
              <w:rPr>
                <w:rFonts w:eastAsia="TimesNewRomanPSMT"/>
                <w:sz w:val="20"/>
                <w:szCs w:val="20"/>
              </w:rPr>
              <w:t>138708.96</w:t>
            </w:r>
          </w:p>
        </w:tc>
        <w:tc>
          <w:tcPr>
            <w:tcW w:w="456" w:type="pct"/>
            <w:gridSpan w:val="2"/>
            <w:tcMar>
              <w:left w:w="28" w:type="dxa"/>
              <w:right w:w="28" w:type="dxa"/>
            </w:tcMar>
            <w:vAlign w:val="center"/>
          </w:tcPr>
          <w:p w14:paraId="1E44C7FD">
            <w:pPr>
              <w:spacing w:after="0" w:line="240" w:lineRule="auto"/>
              <w:ind w:firstLine="0"/>
              <w:jc w:val="center"/>
              <w:rPr>
                <w:sz w:val="20"/>
                <w:szCs w:val="20"/>
              </w:rPr>
            </w:pPr>
            <w:r>
              <w:rPr>
                <w:sz w:val="20"/>
                <w:szCs w:val="20"/>
              </w:rPr>
              <w:t>выведенные из эксплуатации в связи со сносом домов</w:t>
            </w:r>
          </w:p>
        </w:tc>
      </w:tr>
      <w:tr w14:paraId="5117E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00B07C79">
            <w:pPr>
              <w:spacing w:after="0" w:line="240" w:lineRule="auto"/>
              <w:ind w:firstLine="0"/>
              <w:jc w:val="center"/>
              <w:rPr>
                <w:sz w:val="20"/>
                <w:szCs w:val="20"/>
              </w:rPr>
            </w:pPr>
            <w:r>
              <w:rPr>
                <w:sz w:val="20"/>
                <w:szCs w:val="20"/>
              </w:rPr>
              <w:t>10</w:t>
            </w:r>
          </w:p>
        </w:tc>
        <w:tc>
          <w:tcPr>
            <w:tcW w:w="924" w:type="pct"/>
            <w:tcMar>
              <w:left w:w="28" w:type="dxa"/>
              <w:right w:w="28" w:type="dxa"/>
            </w:tcMar>
            <w:vAlign w:val="center"/>
          </w:tcPr>
          <w:p w14:paraId="305174D1">
            <w:pPr>
              <w:spacing w:after="0" w:line="240" w:lineRule="auto"/>
              <w:ind w:firstLine="0"/>
              <w:jc w:val="center"/>
              <w:rPr>
                <w:sz w:val="20"/>
                <w:szCs w:val="20"/>
              </w:rPr>
            </w:pPr>
            <w:r>
              <w:rPr>
                <w:sz w:val="20"/>
                <w:szCs w:val="20"/>
              </w:rPr>
              <w:t>Наружные сети теплоснабжения</w:t>
            </w:r>
          </w:p>
          <w:p w14:paraId="07D1B263">
            <w:pPr>
              <w:spacing w:after="0" w:line="240" w:lineRule="auto"/>
              <w:ind w:firstLine="0"/>
              <w:jc w:val="center"/>
              <w:rPr>
                <w:sz w:val="20"/>
                <w:szCs w:val="20"/>
              </w:rPr>
            </w:pPr>
            <w:r>
              <w:rPr>
                <w:sz w:val="20"/>
                <w:szCs w:val="20"/>
              </w:rPr>
              <w:t>От точки №4 до точки Ввод 1 ж.д №2</w:t>
            </w:r>
          </w:p>
          <w:p w14:paraId="4A7A32A6">
            <w:pPr>
              <w:autoSpaceDE w:val="0"/>
              <w:autoSpaceDN w:val="0"/>
              <w:adjustRightInd w:val="0"/>
              <w:spacing w:after="0" w:line="240" w:lineRule="auto"/>
              <w:ind w:firstLine="0"/>
              <w:jc w:val="center"/>
              <w:rPr>
                <w:sz w:val="20"/>
                <w:szCs w:val="20"/>
              </w:rPr>
            </w:pPr>
            <w:r>
              <w:rPr>
                <w:color w:val="2A2A2A"/>
                <w:sz w:val="20"/>
                <w:szCs w:val="20"/>
                <w:lang w:val="en-US"/>
              </w:rPr>
              <w:t>86:06:0020401:1254</w:t>
            </w:r>
          </w:p>
        </w:tc>
        <w:tc>
          <w:tcPr>
            <w:tcW w:w="215" w:type="pct"/>
            <w:tcMar>
              <w:left w:w="28" w:type="dxa"/>
              <w:right w:w="28" w:type="dxa"/>
            </w:tcMar>
            <w:vAlign w:val="center"/>
          </w:tcPr>
          <w:p w14:paraId="1F76D4E5">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9CDC99B">
            <w:pPr>
              <w:spacing w:after="0" w:line="240" w:lineRule="auto"/>
              <w:ind w:firstLine="0"/>
              <w:jc w:val="center"/>
              <w:rPr>
                <w:sz w:val="20"/>
                <w:szCs w:val="20"/>
              </w:rPr>
            </w:pPr>
            <w:r>
              <w:rPr>
                <w:sz w:val="20"/>
                <w:szCs w:val="20"/>
              </w:rPr>
              <w:t>ХМАО,</w:t>
            </w:r>
          </w:p>
          <w:p w14:paraId="0FAA0F00">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56B4077">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086B8808">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1BCAC1D1">
            <w:pPr>
              <w:spacing w:after="0" w:line="240" w:lineRule="auto"/>
              <w:ind w:firstLine="0"/>
              <w:jc w:val="center"/>
              <w:rPr>
                <w:sz w:val="20"/>
                <w:szCs w:val="20"/>
              </w:rPr>
            </w:pPr>
            <w:r>
              <w:rPr>
                <w:sz w:val="20"/>
                <w:szCs w:val="20"/>
              </w:rPr>
              <w:t>6</w:t>
            </w:r>
          </w:p>
          <w:p w14:paraId="50702F45">
            <w:pPr>
              <w:spacing w:after="0" w:line="240" w:lineRule="auto"/>
              <w:ind w:firstLine="0"/>
              <w:jc w:val="center"/>
              <w:rPr>
                <w:sz w:val="20"/>
                <w:szCs w:val="20"/>
              </w:rPr>
            </w:pPr>
            <w:r>
              <w:rPr>
                <w:sz w:val="20"/>
                <w:szCs w:val="20"/>
              </w:rPr>
              <w:t>6</w:t>
            </w:r>
          </w:p>
        </w:tc>
        <w:tc>
          <w:tcPr>
            <w:tcW w:w="774" w:type="pct"/>
            <w:gridSpan w:val="2"/>
            <w:tcMar>
              <w:left w:w="28" w:type="dxa"/>
              <w:right w:w="28" w:type="dxa"/>
            </w:tcMar>
            <w:vAlign w:val="center"/>
          </w:tcPr>
          <w:p w14:paraId="3703FA4E">
            <w:pPr>
              <w:spacing w:after="0" w:line="240" w:lineRule="auto"/>
              <w:ind w:firstLine="0"/>
              <w:jc w:val="center"/>
              <w:rPr>
                <w:sz w:val="20"/>
                <w:szCs w:val="20"/>
              </w:rPr>
            </w:pPr>
            <w:r>
              <w:rPr>
                <w:sz w:val="20"/>
                <w:szCs w:val="20"/>
              </w:rPr>
              <w:t>Маты минераловатные,</w:t>
            </w:r>
          </w:p>
          <w:p w14:paraId="5D6CBF56">
            <w:pPr>
              <w:spacing w:after="0" w:line="240" w:lineRule="auto"/>
              <w:ind w:firstLine="0"/>
              <w:jc w:val="center"/>
              <w:rPr>
                <w:sz w:val="20"/>
                <w:szCs w:val="20"/>
              </w:rPr>
            </w:pPr>
            <w:r>
              <w:rPr>
                <w:sz w:val="20"/>
                <w:szCs w:val="20"/>
              </w:rPr>
              <w:t>пленка ПВХ</w:t>
            </w:r>
          </w:p>
        </w:tc>
        <w:tc>
          <w:tcPr>
            <w:tcW w:w="402" w:type="pct"/>
            <w:gridSpan w:val="2"/>
            <w:tcMar>
              <w:left w:w="28" w:type="dxa"/>
              <w:right w:w="28" w:type="dxa"/>
            </w:tcMar>
            <w:vAlign w:val="center"/>
          </w:tcPr>
          <w:p w14:paraId="288CE15B">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61B19130">
            <w:pPr>
              <w:spacing w:after="0" w:line="240" w:lineRule="auto"/>
              <w:ind w:firstLine="0"/>
              <w:jc w:val="center"/>
              <w:rPr>
                <w:sz w:val="20"/>
                <w:szCs w:val="20"/>
              </w:rPr>
            </w:pPr>
            <w:r>
              <w:rPr>
                <w:rFonts w:eastAsia="TimesNewRomanPSMT"/>
                <w:sz w:val="20"/>
                <w:szCs w:val="20"/>
              </w:rPr>
              <w:t>16645.08</w:t>
            </w:r>
          </w:p>
        </w:tc>
        <w:tc>
          <w:tcPr>
            <w:tcW w:w="456" w:type="pct"/>
            <w:gridSpan w:val="2"/>
            <w:tcMar>
              <w:left w:w="28" w:type="dxa"/>
              <w:right w:w="28" w:type="dxa"/>
            </w:tcMar>
            <w:vAlign w:val="center"/>
          </w:tcPr>
          <w:p w14:paraId="177F95A6">
            <w:pPr>
              <w:spacing w:after="0" w:line="240" w:lineRule="auto"/>
              <w:ind w:firstLine="0"/>
              <w:jc w:val="center"/>
              <w:rPr>
                <w:sz w:val="20"/>
                <w:szCs w:val="20"/>
              </w:rPr>
            </w:pPr>
            <w:r>
              <w:rPr>
                <w:sz w:val="20"/>
                <w:szCs w:val="20"/>
              </w:rPr>
              <w:t>выведенные из эксплуатации в связи со сносом домов</w:t>
            </w:r>
          </w:p>
        </w:tc>
      </w:tr>
      <w:tr w14:paraId="41281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07C32E9">
            <w:pPr>
              <w:spacing w:after="0" w:line="240" w:lineRule="auto"/>
              <w:ind w:firstLine="0"/>
              <w:jc w:val="center"/>
              <w:rPr>
                <w:sz w:val="20"/>
                <w:szCs w:val="20"/>
              </w:rPr>
            </w:pPr>
            <w:r>
              <w:rPr>
                <w:sz w:val="20"/>
                <w:szCs w:val="20"/>
              </w:rPr>
              <w:t>11</w:t>
            </w:r>
          </w:p>
        </w:tc>
        <w:tc>
          <w:tcPr>
            <w:tcW w:w="924" w:type="pct"/>
            <w:tcMar>
              <w:left w:w="28" w:type="dxa"/>
              <w:right w:w="28" w:type="dxa"/>
            </w:tcMar>
            <w:vAlign w:val="center"/>
          </w:tcPr>
          <w:p w14:paraId="7FB767FC">
            <w:pPr>
              <w:spacing w:after="0" w:line="240" w:lineRule="auto"/>
              <w:ind w:firstLine="0"/>
              <w:jc w:val="center"/>
              <w:rPr>
                <w:sz w:val="20"/>
                <w:szCs w:val="20"/>
              </w:rPr>
            </w:pPr>
            <w:r>
              <w:rPr>
                <w:sz w:val="20"/>
                <w:szCs w:val="20"/>
              </w:rPr>
              <w:t>Наружные сети теплоснабжения</w:t>
            </w:r>
          </w:p>
          <w:p w14:paraId="13BCF994">
            <w:pPr>
              <w:spacing w:after="0" w:line="240" w:lineRule="auto"/>
              <w:ind w:firstLine="0"/>
              <w:jc w:val="center"/>
              <w:rPr>
                <w:sz w:val="20"/>
                <w:szCs w:val="20"/>
              </w:rPr>
            </w:pPr>
            <w:r>
              <w:rPr>
                <w:sz w:val="20"/>
                <w:szCs w:val="20"/>
              </w:rPr>
              <w:t>От точки №4 до точки № 4а</w:t>
            </w:r>
          </w:p>
          <w:p w14:paraId="1B4769B0">
            <w:pPr>
              <w:spacing w:after="0" w:line="240" w:lineRule="auto"/>
              <w:ind w:firstLine="0"/>
              <w:jc w:val="center"/>
              <w:rPr>
                <w:sz w:val="20"/>
                <w:szCs w:val="20"/>
              </w:rPr>
            </w:pPr>
            <w:r>
              <w:rPr>
                <w:color w:val="2A2A2A"/>
                <w:sz w:val="20"/>
                <w:szCs w:val="20"/>
                <w:lang w:val="en-US"/>
              </w:rPr>
              <w:t>86:06:0020401:1258</w:t>
            </w:r>
          </w:p>
        </w:tc>
        <w:tc>
          <w:tcPr>
            <w:tcW w:w="215" w:type="pct"/>
            <w:tcMar>
              <w:left w:w="28" w:type="dxa"/>
              <w:right w:w="28" w:type="dxa"/>
            </w:tcMar>
            <w:vAlign w:val="center"/>
          </w:tcPr>
          <w:p w14:paraId="58A1C849">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489D27A">
            <w:pPr>
              <w:spacing w:after="0" w:line="240" w:lineRule="auto"/>
              <w:ind w:firstLine="0"/>
              <w:jc w:val="center"/>
              <w:rPr>
                <w:sz w:val="20"/>
                <w:szCs w:val="20"/>
              </w:rPr>
            </w:pPr>
            <w:r>
              <w:rPr>
                <w:sz w:val="20"/>
                <w:szCs w:val="20"/>
              </w:rPr>
              <w:t>ХМАО,</w:t>
            </w:r>
          </w:p>
          <w:p w14:paraId="24954A85">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2A961EC8">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- 89</w:t>
            </w:r>
          </w:p>
          <w:p w14:paraId="237A05A5">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11472710">
            <w:pPr>
              <w:spacing w:after="0" w:line="240" w:lineRule="auto"/>
              <w:ind w:firstLine="0"/>
              <w:jc w:val="center"/>
              <w:rPr>
                <w:sz w:val="20"/>
                <w:szCs w:val="20"/>
              </w:rPr>
            </w:pPr>
            <w:r>
              <w:rPr>
                <w:sz w:val="20"/>
                <w:szCs w:val="20"/>
              </w:rPr>
              <w:t>47</w:t>
            </w:r>
          </w:p>
          <w:p w14:paraId="75D641B5">
            <w:pPr>
              <w:spacing w:after="0" w:line="240" w:lineRule="auto"/>
              <w:ind w:firstLine="0"/>
              <w:jc w:val="center"/>
              <w:rPr>
                <w:sz w:val="20"/>
                <w:szCs w:val="20"/>
              </w:rPr>
            </w:pPr>
            <w:r>
              <w:rPr>
                <w:sz w:val="20"/>
                <w:szCs w:val="20"/>
              </w:rPr>
              <w:t>47</w:t>
            </w:r>
          </w:p>
        </w:tc>
        <w:tc>
          <w:tcPr>
            <w:tcW w:w="774" w:type="pct"/>
            <w:gridSpan w:val="2"/>
            <w:tcMar>
              <w:left w:w="28" w:type="dxa"/>
              <w:right w:w="28" w:type="dxa"/>
            </w:tcMar>
            <w:vAlign w:val="center"/>
          </w:tcPr>
          <w:p w14:paraId="2C458593">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1606DCC1">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6F61FBFF">
            <w:pPr>
              <w:spacing w:after="0" w:line="240" w:lineRule="auto"/>
              <w:ind w:firstLine="0"/>
              <w:jc w:val="center"/>
              <w:rPr>
                <w:sz w:val="20"/>
                <w:szCs w:val="20"/>
              </w:rPr>
            </w:pPr>
            <w:r>
              <w:rPr>
                <w:rFonts w:eastAsia="TimesNewRomanPSMT"/>
                <w:sz w:val="20"/>
                <w:szCs w:val="20"/>
              </w:rPr>
              <w:t>130386.42</w:t>
            </w:r>
          </w:p>
        </w:tc>
        <w:tc>
          <w:tcPr>
            <w:tcW w:w="456" w:type="pct"/>
            <w:gridSpan w:val="2"/>
            <w:tcMar>
              <w:left w:w="28" w:type="dxa"/>
              <w:right w:w="28" w:type="dxa"/>
            </w:tcMar>
            <w:vAlign w:val="center"/>
          </w:tcPr>
          <w:p w14:paraId="5BA9ED6E">
            <w:pPr>
              <w:spacing w:after="0" w:line="240" w:lineRule="auto"/>
              <w:ind w:firstLine="0"/>
              <w:jc w:val="center"/>
              <w:rPr>
                <w:sz w:val="20"/>
                <w:szCs w:val="20"/>
              </w:rPr>
            </w:pPr>
            <w:r>
              <w:rPr>
                <w:sz w:val="20"/>
                <w:szCs w:val="20"/>
              </w:rPr>
              <w:t>выведенные из эксплуатации в связи со сносом домов</w:t>
            </w:r>
          </w:p>
        </w:tc>
      </w:tr>
      <w:tr w14:paraId="74880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51D3B7C4">
            <w:pPr>
              <w:spacing w:after="0" w:line="240" w:lineRule="auto"/>
              <w:ind w:firstLine="0"/>
              <w:jc w:val="center"/>
              <w:rPr>
                <w:sz w:val="20"/>
                <w:szCs w:val="20"/>
              </w:rPr>
            </w:pPr>
            <w:r>
              <w:rPr>
                <w:sz w:val="20"/>
                <w:szCs w:val="20"/>
              </w:rPr>
              <w:t>12</w:t>
            </w:r>
          </w:p>
        </w:tc>
        <w:tc>
          <w:tcPr>
            <w:tcW w:w="924" w:type="pct"/>
            <w:tcMar>
              <w:left w:w="28" w:type="dxa"/>
              <w:right w:w="28" w:type="dxa"/>
            </w:tcMar>
            <w:vAlign w:val="center"/>
          </w:tcPr>
          <w:p w14:paraId="3DD7C154">
            <w:pPr>
              <w:spacing w:after="0" w:line="240" w:lineRule="auto"/>
              <w:ind w:firstLine="0"/>
              <w:jc w:val="center"/>
              <w:rPr>
                <w:sz w:val="20"/>
                <w:szCs w:val="20"/>
              </w:rPr>
            </w:pPr>
            <w:r>
              <w:rPr>
                <w:sz w:val="20"/>
                <w:szCs w:val="20"/>
              </w:rPr>
              <w:t>Наружные сети теплоснабжения</w:t>
            </w:r>
          </w:p>
          <w:p w14:paraId="43E782CD">
            <w:pPr>
              <w:spacing w:after="0" w:line="240" w:lineRule="auto"/>
              <w:ind w:firstLine="0"/>
              <w:jc w:val="center"/>
              <w:rPr>
                <w:sz w:val="20"/>
                <w:szCs w:val="20"/>
              </w:rPr>
            </w:pPr>
            <w:r>
              <w:rPr>
                <w:sz w:val="20"/>
                <w:szCs w:val="20"/>
              </w:rPr>
              <w:t>От точки № 4а до точки м-н Наташа</w:t>
            </w:r>
          </w:p>
          <w:p w14:paraId="6F4F61C6">
            <w:pPr>
              <w:autoSpaceDE w:val="0"/>
              <w:autoSpaceDN w:val="0"/>
              <w:adjustRightInd w:val="0"/>
              <w:spacing w:after="0" w:line="240" w:lineRule="auto"/>
              <w:ind w:firstLine="0"/>
              <w:jc w:val="center"/>
              <w:rPr>
                <w:sz w:val="20"/>
                <w:szCs w:val="20"/>
              </w:rPr>
            </w:pPr>
            <w:r>
              <w:rPr>
                <w:color w:val="2A2A2A"/>
                <w:sz w:val="20"/>
                <w:szCs w:val="20"/>
                <w:lang w:val="en-US"/>
              </w:rPr>
              <w:t>86:06:0020401:1252</w:t>
            </w:r>
          </w:p>
        </w:tc>
        <w:tc>
          <w:tcPr>
            <w:tcW w:w="215" w:type="pct"/>
            <w:tcMar>
              <w:left w:w="28" w:type="dxa"/>
              <w:right w:w="28" w:type="dxa"/>
            </w:tcMar>
            <w:vAlign w:val="center"/>
          </w:tcPr>
          <w:p w14:paraId="609622F8">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27685CF">
            <w:pPr>
              <w:spacing w:after="0" w:line="240" w:lineRule="auto"/>
              <w:ind w:firstLine="0"/>
              <w:jc w:val="center"/>
              <w:rPr>
                <w:sz w:val="20"/>
                <w:szCs w:val="20"/>
              </w:rPr>
            </w:pPr>
            <w:r>
              <w:rPr>
                <w:sz w:val="20"/>
                <w:szCs w:val="20"/>
              </w:rPr>
              <w:t>ХМАО,</w:t>
            </w:r>
          </w:p>
          <w:p w14:paraId="65D5038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9B899D3">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- 0</w:t>
            </w:r>
          </w:p>
          <w:p w14:paraId="5F64643D">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- 0</w:t>
            </w:r>
          </w:p>
        </w:tc>
        <w:tc>
          <w:tcPr>
            <w:tcW w:w="466" w:type="pct"/>
            <w:gridSpan w:val="2"/>
            <w:tcMar>
              <w:left w:w="28" w:type="dxa"/>
              <w:right w:w="28" w:type="dxa"/>
            </w:tcMar>
            <w:vAlign w:val="center"/>
          </w:tcPr>
          <w:p w14:paraId="34E52480">
            <w:pPr>
              <w:spacing w:after="0" w:line="240" w:lineRule="auto"/>
              <w:ind w:firstLine="0"/>
              <w:jc w:val="center"/>
              <w:rPr>
                <w:sz w:val="20"/>
                <w:szCs w:val="20"/>
              </w:rPr>
            </w:pPr>
            <w:r>
              <w:rPr>
                <w:sz w:val="20"/>
                <w:szCs w:val="20"/>
              </w:rPr>
              <w:t>8</w:t>
            </w:r>
          </w:p>
          <w:p w14:paraId="7142E8EE">
            <w:pPr>
              <w:spacing w:after="0" w:line="240" w:lineRule="auto"/>
              <w:ind w:firstLine="0"/>
              <w:jc w:val="center"/>
              <w:rPr>
                <w:sz w:val="20"/>
                <w:szCs w:val="20"/>
              </w:rPr>
            </w:pPr>
            <w:r>
              <w:rPr>
                <w:sz w:val="20"/>
                <w:szCs w:val="20"/>
              </w:rPr>
              <w:t>8</w:t>
            </w:r>
          </w:p>
        </w:tc>
        <w:tc>
          <w:tcPr>
            <w:tcW w:w="774" w:type="pct"/>
            <w:gridSpan w:val="2"/>
            <w:tcMar>
              <w:left w:w="28" w:type="dxa"/>
              <w:right w:w="28" w:type="dxa"/>
            </w:tcMar>
            <w:vAlign w:val="center"/>
          </w:tcPr>
          <w:p w14:paraId="611B6FA8">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16B0934">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E88ABBD">
            <w:pPr>
              <w:spacing w:after="0" w:line="240" w:lineRule="auto"/>
              <w:ind w:firstLine="0"/>
              <w:jc w:val="center"/>
              <w:rPr>
                <w:sz w:val="20"/>
                <w:szCs w:val="20"/>
              </w:rPr>
            </w:pPr>
            <w:r>
              <w:rPr>
                <w:rFonts w:eastAsia="TimesNewRomanPSMT"/>
                <w:sz w:val="20"/>
                <w:szCs w:val="20"/>
              </w:rPr>
              <w:t>22193.43</w:t>
            </w:r>
          </w:p>
        </w:tc>
        <w:tc>
          <w:tcPr>
            <w:tcW w:w="456" w:type="pct"/>
            <w:gridSpan w:val="2"/>
            <w:tcMar>
              <w:left w:w="28" w:type="dxa"/>
              <w:right w:w="28" w:type="dxa"/>
            </w:tcMar>
            <w:vAlign w:val="center"/>
          </w:tcPr>
          <w:p w14:paraId="7DAC3D3F">
            <w:pPr>
              <w:spacing w:after="0" w:line="240" w:lineRule="auto"/>
              <w:ind w:firstLine="0"/>
              <w:jc w:val="center"/>
              <w:rPr>
                <w:sz w:val="20"/>
                <w:szCs w:val="20"/>
              </w:rPr>
            </w:pPr>
            <w:r>
              <w:rPr>
                <w:sz w:val="20"/>
                <w:szCs w:val="20"/>
              </w:rPr>
              <w:t>выведенные из эксплуатации в связи со сносом домов</w:t>
            </w:r>
          </w:p>
        </w:tc>
      </w:tr>
      <w:tr w14:paraId="245A4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98ECACC">
            <w:pPr>
              <w:spacing w:after="0" w:line="240" w:lineRule="auto"/>
              <w:ind w:firstLine="0"/>
              <w:jc w:val="center"/>
              <w:rPr>
                <w:sz w:val="20"/>
                <w:szCs w:val="20"/>
              </w:rPr>
            </w:pPr>
            <w:r>
              <w:rPr>
                <w:sz w:val="20"/>
                <w:szCs w:val="20"/>
              </w:rPr>
              <w:t>13</w:t>
            </w:r>
          </w:p>
        </w:tc>
        <w:tc>
          <w:tcPr>
            <w:tcW w:w="924" w:type="pct"/>
            <w:tcMar>
              <w:left w:w="28" w:type="dxa"/>
              <w:right w:w="28" w:type="dxa"/>
            </w:tcMar>
            <w:vAlign w:val="center"/>
          </w:tcPr>
          <w:p w14:paraId="7DA2725B">
            <w:pPr>
              <w:spacing w:after="0" w:line="240" w:lineRule="auto"/>
              <w:ind w:firstLine="0"/>
              <w:jc w:val="center"/>
              <w:rPr>
                <w:sz w:val="20"/>
                <w:szCs w:val="20"/>
              </w:rPr>
            </w:pPr>
            <w:r>
              <w:rPr>
                <w:sz w:val="20"/>
                <w:szCs w:val="20"/>
              </w:rPr>
              <w:t>Наружные сети теплоснабжения</w:t>
            </w:r>
          </w:p>
          <w:p w14:paraId="14B48DA5">
            <w:pPr>
              <w:spacing w:after="0" w:line="240" w:lineRule="auto"/>
              <w:ind w:firstLine="0"/>
              <w:jc w:val="center"/>
              <w:rPr>
                <w:sz w:val="20"/>
                <w:szCs w:val="20"/>
              </w:rPr>
            </w:pPr>
            <w:r>
              <w:rPr>
                <w:sz w:val="20"/>
                <w:szCs w:val="20"/>
              </w:rPr>
              <w:t>От точки № 4а до точки № 5</w:t>
            </w:r>
          </w:p>
          <w:p w14:paraId="4BF0158D">
            <w:pPr>
              <w:autoSpaceDE w:val="0"/>
              <w:autoSpaceDN w:val="0"/>
              <w:adjustRightInd w:val="0"/>
              <w:spacing w:after="0" w:line="240" w:lineRule="auto"/>
              <w:ind w:firstLine="0"/>
              <w:jc w:val="center"/>
              <w:rPr>
                <w:sz w:val="20"/>
                <w:szCs w:val="20"/>
              </w:rPr>
            </w:pPr>
            <w:r>
              <w:rPr>
                <w:color w:val="2A2A2A"/>
                <w:sz w:val="20"/>
                <w:szCs w:val="20"/>
                <w:lang w:val="en-US"/>
              </w:rPr>
              <w:t>86:06:0020401:1261</w:t>
            </w:r>
          </w:p>
        </w:tc>
        <w:tc>
          <w:tcPr>
            <w:tcW w:w="215" w:type="pct"/>
            <w:tcMar>
              <w:left w:w="28" w:type="dxa"/>
              <w:right w:w="28" w:type="dxa"/>
            </w:tcMar>
            <w:vAlign w:val="center"/>
          </w:tcPr>
          <w:p w14:paraId="11F0B4F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812F26F">
            <w:pPr>
              <w:spacing w:after="0" w:line="240" w:lineRule="auto"/>
              <w:ind w:firstLine="0"/>
              <w:jc w:val="center"/>
              <w:rPr>
                <w:sz w:val="20"/>
                <w:szCs w:val="20"/>
              </w:rPr>
            </w:pPr>
            <w:r>
              <w:rPr>
                <w:sz w:val="20"/>
                <w:szCs w:val="20"/>
              </w:rPr>
              <w:t>ХМАО,</w:t>
            </w:r>
          </w:p>
          <w:p w14:paraId="1EC1C8A0">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E44711E">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- 89</w:t>
            </w:r>
          </w:p>
          <w:p w14:paraId="7F7D1117">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01529E4F">
            <w:pPr>
              <w:spacing w:after="0" w:line="240" w:lineRule="auto"/>
              <w:ind w:firstLine="0"/>
              <w:jc w:val="center"/>
              <w:rPr>
                <w:sz w:val="20"/>
                <w:szCs w:val="20"/>
              </w:rPr>
            </w:pPr>
            <w:r>
              <w:rPr>
                <w:sz w:val="20"/>
                <w:szCs w:val="20"/>
              </w:rPr>
              <w:t>26</w:t>
            </w:r>
          </w:p>
          <w:p w14:paraId="2E16EEFF">
            <w:pPr>
              <w:spacing w:after="0" w:line="240" w:lineRule="auto"/>
              <w:ind w:firstLine="0"/>
              <w:jc w:val="center"/>
              <w:rPr>
                <w:sz w:val="20"/>
                <w:szCs w:val="20"/>
              </w:rPr>
            </w:pPr>
            <w:r>
              <w:rPr>
                <w:sz w:val="20"/>
                <w:szCs w:val="20"/>
              </w:rPr>
              <w:t>26</w:t>
            </w:r>
          </w:p>
        </w:tc>
        <w:tc>
          <w:tcPr>
            <w:tcW w:w="774" w:type="pct"/>
            <w:gridSpan w:val="2"/>
            <w:tcMar>
              <w:left w:w="28" w:type="dxa"/>
              <w:right w:w="28" w:type="dxa"/>
            </w:tcMar>
            <w:vAlign w:val="center"/>
          </w:tcPr>
          <w:p w14:paraId="317D4962">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00CE0408">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7375DE06">
            <w:pPr>
              <w:spacing w:after="0" w:line="240" w:lineRule="auto"/>
              <w:ind w:firstLine="0"/>
              <w:jc w:val="center"/>
              <w:rPr>
                <w:sz w:val="20"/>
                <w:szCs w:val="20"/>
              </w:rPr>
            </w:pPr>
            <w:r>
              <w:rPr>
                <w:rFonts w:eastAsia="TimesNewRomanPSMT"/>
                <w:sz w:val="20"/>
                <w:szCs w:val="20"/>
              </w:rPr>
              <w:t>72128.66</w:t>
            </w:r>
          </w:p>
        </w:tc>
        <w:tc>
          <w:tcPr>
            <w:tcW w:w="456" w:type="pct"/>
            <w:gridSpan w:val="2"/>
            <w:tcMar>
              <w:left w:w="28" w:type="dxa"/>
              <w:right w:w="28" w:type="dxa"/>
            </w:tcMar>
            <w:vAlign w:val="center"/>
          </w:tcPr>
          <w:p w14:paraId="2DC2237C">
            <w:pPr>
              <w:spacing w:after="0" w:line="240" w:lineRule="auto"/>
              <w:ind w:firstLine="0"/>
              <w:jc w:val="center"/>
              <w:rPr>
                <w:sz w:val="20"/>
                <w:szCs w:val="20"/>
              </w:rPr>
            </w:pPr>
            <w:r>
              <w:rPr>
                <w:sz w:val="20"/>
                <w:szCs w:val="20"/>
              </w:rPr>
              <w:t>выведенные из эксплуатации в связи со сносом домов</w:t>
            </w:r>
          </w:p>
        </w:tc>
      </w:tr>
      <w:tr w14:paraId="44CB3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1DA8E25">
            <w:pPr>
              <w:spacing w:after="0" w:line="240" w:lineRule="auto"/>
              <w:ind w:firstLine="0"/>
              <w:jc w:val="center"/>
              <w:rPr>
                <w:sz w:val="20"/>
                <w:szCs w:val="20"/>
              </w:rPr>
            </w:pPr>
            <w:r>
              <w:rPr>
                <w:sz w:val="20"/>
                <w:szCs w:val="20"/>
              </w:rPr>
              <w:t>14</w:t>
            </w:r>
          </w:p>
        </w:tc>
        <w:tc>
          <w:tcPr>
            <w:tcW w:w="924" w:type="pct"/>
            <w:tcMar>
              <w:left w:w="28" w:type="dxa"/>
              <w:right w:w="28" w:type="dxa"/>
            </w:tcMar>
            <w:vAlign w:val="center"/>
          </w:tcPr>
          <w:p w14:paraId="25F8C527">
            <w:pPr>
              <w:spacing w:after="0" w:line="240" w:lineRule="auto"/>
              <w:ind w:firstLine="0"/>
              <w:jc w:val="center"/>
              <w:rPr>
                <w:sz w:val="20"/>
                <w:szCs w:val="20"/>
              </w:rPr>
            </w:pPr>
            <w:r>
              <w:rPr>
                <w:sz w:val="20"/>
                <w:szCs w:val="20"/>
              </w:rPr>
              <w:t>Наружные сети теплоснабжения</w:t>
            </w:r>
          </w:p>
          <w:p w14:paraId="713DF331">
            <w:pPr>
              <w:spacing w:after="0" w:line="240" w:lineRule="auto"/>
              <w:ind w:firstLine="0"/>
              <w:jc w:val="center"/>
              <w:rPr>
                <w:sz w:val="20"/>
                <w:szCs w:val="20"/>
              </w:rPr>
            </w:pPr>
            <w:r>
              <w:rPr>
                <w:sz w:val="20"/>
                <w:szCs w:val="20"/>
              </w:rPr>
              <w:t>От точки № 5 до точки Ввод 1 ж.д № 3</w:t>
            </w:r>
          </w:p>
          <w:p w14:paraId="4939DB5B">
            <w:pPr>
              <w:autoSpaceDE w:val="0"/>
              <w:autoSpaceDN w:val="0"/>
              <w:adjustRightInd w:val="0"/>
              <w:spacing w:after="0" w:line="240" w:lineRule="auto"/>
              <w:ind w:firstLine="0"/>
              <w:jc w:val="center"/>
              <w:rPr>
                <w:sz w:val="20"/>
                <w:szCs w:val="20"/>
              </w:rPr>
            </w:pPr>
            <w:r>
              <w:rPr>
                <w:color w:val="2A2A2A"/>
                <w:sz w:val="20"/>
                <w:szCs w:val="20"/>
                <w:lang w:val="en-US"/>
              </w:rPr>
              <w:t>86:06:0020401:1259</w:t>
            </w:r>
          </w:p>
        </w:tc>
        <w:tc>
          <w:tcPr>
            <w:tcW w:w="215" w:type="pct"/>
            <w:tcMar>
              <w:left w:w="28" w:type="dxa"/>
              <w:right w:w="28" w:type="dxa"/>
            </w:tcMar>
            <w:vAlign w:val="center"/>
          </w:tcPr>
          <w:p w14:paraId="559CD263">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1068506">
            <w:pPr>
              <w:spacing w:after="0" w:line="240" w:lineRule="auto"/>
              <w:ind w:firstLine="0"/>
              <w:jc w:val="center"/>
              <w:rPr>
                <w:sz w:val="20"/>
                <w:szCs w:val="20"/>
              </w:rPr>
            </w:pPr>
            <w:r>
              <w:rPr>
                <w:sz w:val="20"/>
                <w:szCs w:val="20"/>
              </w:rPr>
              <w:t>ХМАО,</w:t>
            </w:r>
          </w:p>
          <w:p w14:paraId="1C49981F">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24BC848A">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-42</w:t>
            </w:r>
          </w:p>
          <w:p w14:paraId="25D11F17">
            <w:pPr>
              <w:spacing w:after="0" w:line="240" w:lineRule="auto"/>
              <w:ind w:firstLine="0"/>
              <w:jc w:val="center"/>
              <w:rPr>
                <w:sz w:val="20"/>
                <w:szCs w:val="20"/>
              </w:rPr>
            </w:pPr>
            <w:r>
              <w:rPr>
                <w:sz w:val="20"/>
                <w:szCs w:val="20"/>
              </w:rPr>
              <w:t>Т</w:t>
            </w:r>
            <w:r>
              <w:rPr>
                <w:sz w:val="20"/>
                <w:szCs w:val="20"/>
                <w:vertAlign w:val="subscript"/>
              </w:rPr>
              <w:t>2</w:t>
            </w:r>
            <w:r>
              <w:rPr>
                <w:sz w:val="20"/>
                <w:szCs w:val="20"/>
              </w:rPr>
              <w:t>-32</w:t>
            </w:r>
          </w:p>
        </w:tc>
        <w:tc>
          <w:tcPr>
            <w:tcW w:w="466" w:type="pct"/>
            <w:gridSpan w:val="2"/>
            <w:tcMar>
              <w:left w:w="28" w:type="dxa"/>
              <w:right w:w="28" w:type="dxa"/>
            </w:tcMar>
            <w:vAlign w:val="center"/>
          </w:tcPr>
          <w:p w14:paraId="0A4D3EE6">
            <w:pPr>
              <w:spacing w:after="0" w:line="240" w:lineRule="auto"/>
              <w:ind w:firstLine="0"/>
              <w:jc w:val="center"/>
              <w:rPr>
                <w:sz w:val="20"/>
                <w:szCs w:val="20"/>
              </w:rPr>
            </w:pPr>
            <w:r>
              <w:rPr>
                <w:sz w:val="20"/>
                <w:szCs w:val="20"/>
              </w:rPr>
              <w:t>7</w:t>
            </w:r>
          </w:p>
          <w:p w14:paraId="2B7CD8CF">
            <w:pPr>
              <w:spacing w:after="0" w:line="240" w:lineRule="auto"/>
              <w:ind w:firstLine="0"/>
              <w:jc w:val="center"/>
              <w:rPr>
                <w:sz w:val="20"/>
                <w:szCs w:val="20"/>
              </w:rPr>
            </w:pPr>
            <w:r>
              <w:rPr>
                <w:sz w:val="20"/>
                <w:szCs w:val="20"/>
              </w:rPr>
              <w:t>7</w:t>
            </w:r>
          </w:p>
        </w:tc>
        <w:tc>
          <w:tcPr>
            <w:tcW w:w="774" w:type="pct"/>
            <w:gridSpan w:val="2"/>
            <w:tcMar>
              <w:left w:w="28" w:type="dxa"/>
              <w:right w:w="28" w:type="dxa"/>
            </w:tcMar>
            <w:vAlign w:val="center"/>
          </w:tcPr>
          <w:p w14:paraId="08B76AD1">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48DBFBF5">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6A2CAF85">
            <w:pPr>
              <w:spacing w:after="0" w:line="240" w:lineRule="auto"/>
              <w:ind w:firstLine="0"/>
              <w:jc w:val="center"/>
              <w:rPr>
                <w:sz w:val="20"/>
                <w:szCs w:val="20"/>
              </w:rPr>
            </w:pPr>
            <w:r>
              <w:rPr>
                <w:rFonts w:eastAsia="TimesNewRomanPSMT"/>
                <w:sz w:val="20"/>
                <w:szCs w:val="20"/>
              </w:rPr>
              <w:t>19419.25</w:t>
            </w:r>
          </w:p>
        </w:tc>
        <w:tc>
          <w:tcPr>
            <w:tcW w:w="456" w:type="pct"/>
            <w:gridSpan w:val="2"/>
            <w:tcMar>
              <w:left w:w="28" w:type="dxa"/>
              <w:right w:w="28" w:type="dxa"/>
            </w:tcMar>
            <w:vAlign w:val="center"/>
          </w:tcPr>
          <w:p w14:paraId="0FE5CAD7">
            <w:pPr>
              <w:spacing w:after="0" w:line="240" w:lineRule="auto"/>
              <w:ind w:firstLine="0"/>
              <w:jc w:val="center"/>
              <w:rPr>
                <w:sz w:val="20"/>
                <w:szCs w:val="20"/>
              </w:rPr>
            </w:pPr>
            <w:r>
              <w:rPr>
                <w:sz w:val="20"/>
                <w:szCs w:val="20"/>
              </w:rPr>
              <w:t>выведенные из эксплуатации в связи со сносом домов</w:t>
            </w:r>
          </w:p>
        </w:tc>
      </w:tr>
      <w:tr w14:paraId="3DB4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4622367E">
            <w:pPr>
              <w:spacing w:after="0" w:line="240" w:lineRule="auto"/>
              <w:ind w:firstLine="0"/>
              <w:jc w:val="center"/>
              <w:rPr>
                <w:sz w:val="20"/>
                <w:szCs w:val="20"/>
              </w:rPr>
            </w:pPr>
            <w:r>
              <w:rPr>
                <w:sz w:val="20"/>
                <w:szCs w:val="20"/>
              </w:rPr>
              <w:t>15</w:t>
            </w:r>
          </w:p>
        </w:tc>
        <w:tc>
          <w:tcPr>
            <w:tcW w:w="924" w:type="pct"/>
            <w:tcMar>
              <w:left w:w="28" w:type="dxa"/>
              <w:right w:w="28" w:type="dxa"/>
            </w:tcMar>
            <w:vAlign w:val="center"/>
          </w:tcPr>
          <w:p w14:paraId="611B9ACA">
            <w:pPr>
              <w:spacing w:after="0" w:line="240" w:lineRule="auto"/>
              <w:ind w:firstLine="0"/>
              <w:jc w:val="center"/>
              <w:rPr>
                <w:sz w:val="20"/>
                <w:szCs w:val="20"/>
              </w:rPr>
            </w:pPr>
            <w:r>
              <w:rPr>
                <w:sz w:val="20"/>
                <w:szCs w:val="20"/>
              </w:rPr>
              <w:t>Наружные сети теплоснабжения</w:t>
            </w:r>
          </w:p>
          <w:p w14:paraId="227E6EC5">
            <w:pPr>
              <w:spacing w:after="0" w:line="240" w:lineRule="auto"/>
              <w:ind w:firstLine="0"/>
              <w:jc w:val="center"/>
              <w:rPr>
                <w:sz w:val="20"/>
                <w:szCs w:val="20"/>
              </w:rPr>
            </w:pPr>
            <w:r>
              <w:rPr>
                <w:sz w:val="20"/>
                <w:szCs w:val="20"/>
              </w:rPr>
              <w:t>От точки № 5 до точки № 6</w:t>
            </w:r>
          </w:p>
          <w:p w14:paraId="7FF9B4E1">
            <w:pPr>
              <w:spacing w:after="0" w:line="240" w:lineRule="auto"/>
              <w:ind w:firstLine="0"/>
              <w:jc w:val="center"/>
              <w:rPr>
                <w:sz w:val="20"/>
                <w:szCs w:val="20"/>
              </w:rPr>
            </w:pPr>
            <w:r>
              <w:rPr>
                <w:color w:val="2A2A2A"/>
                <w:sz w:val="20"/>
                <w:szCs w:val="20"/>
                <w:lang w:val="en-US"/>
              </w:rPr>
              <w:t>86:06:0020401:1260</w:t>
            </w:r>
          </w:p>
        </w:tc>
        <w:tc>
          <w:tcPr>
            <w:tcW w:w="215" w:type="pct"/>
            <w:tcMar>
              <w:left w:w="28" w:type="dxa"/>
              <w:right w:w="28" w:type="dxa"/>
            </w:tcMar>
            <w:vAlign w:val="center"/>
          </w:tcPr>
          <w:p w14:paraId="7221ECFC">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181A252C">
            <w:pPr>
              <w:spacing w:after="0" w:line="240" w:lineRule="auto"/>
              <w:ind w:firstLine="0"/>
              <w:jc w:val="center"/>
              <w:rPr>
                <w:sz w:val="20"/>
                <w:szCs w:val="20"/>
              </w:rPr>
            </w:pPr>
            <w:r>
              <w:rPr>
                <w:sz w:val="20"/>
                <w:szCs w:val="20"/>
              </w:rPr>
              <w:t>ХМАО,</w:t>
            </w:r>
          </w:p>
          <w:p w14:paraId="046A12DA">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25BB89B3">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- 89</w:t>
            </w:r>
          </w:p>
          <w:p w14:paraId="4B411741">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092C6A65">
            <w:pPr>
              <w:spacing w:after="0" w:line="240" w:lineRule="auto"/>
              <w:ind w:firstLine="0"/>
              <w:jc w:val="center"/>
              <w:rPr>
                <w:sz w:val="20"/>
                <w:szCs w:val="20"/>
              </w:rPr>
            </w:pPr>
            <w:r>
              <w:rPr>
                <w:sz w:val="20"/>
                <w:szCs w:val="20"/>
              </w:rPr>
              <w:t>28</w:t>
            </w:r>
          </w:p>
          <w:p w14:paraId="56666C8A">
            <w:pPr>
              <w:spacing w:after="0" w:line="240" w:lineRule="auto"/>
              <w:ind w:firstLine="0"/>
              <w:jc w:val="center"/>
              <w:rPr>
                <w:sz w:val="20"/>
                <w:szCs w:val="20"/>
              </w:rPr>
            </w:pPr>
            <w:r>
              <w:rPr>
                <w:sz w:val="20"/>
                <w:szCs w:val="20"/>
              </w:rPr>
              <w:t>28</w:t>
            </w:r>
          </w:p>
        </w:tc>
        <w:tc>
          <w:tcPr>
            <w:tcW w:w="774" w:type="pct"/>
            <w:gridSpan w:val="2"/>
            <w:tcMar>
              <w:left w:w="28" w:type="dxa"/>
              <w:right w:w="28" w:type="dxa"/>
            </w:tcMar>
            <w:vAlign w:val="center"/>
          </w:tcPr>
          <w:p w14:paraId="686B2F91">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4080CD5A">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7D0CEFB1">
            <w:pPr>
              <w:spacing w:after="0" w:line="240" w:lineRule="auto"/>
              <w:ind w:firstLine="0"/>
              <w:jc w:val="center"/>
              <w:rPr>
                <w:sz w:val="20"/>
                <w:szCs w:val="20"/>
              </w:rPr>
            </w:pPr>
            <w:r>
              <w:rPr>
                <w:rFonts w:eastAsia="TimesNewRomanPSMT"/>
                <w:sz w:val="20"/>
                <w:szCs w:val="20"/>
              </w:rPr>
              <w:t>77677.02</w:t>
            </w:r>
          </w:p>
        </w:tc>
        <w:tc>
          <w:tcPr>
            <w:tcW w:w="456" w:type="pct"/>
            <w:gridSpan w:val="2"/>
            <w:tcMar>
              <w:left w:w="28" w:type="dxa"/>
              <w:right w:w="28" w:type="dxa"/>
            </w:tcMar>
            <w:vAlign w:val="center"/>
          </w:tcPr>
          <w:p w14:paraId="5D8E3CEC">
            <w:pPr>
              <w:spacing w:after="0" w:line="240" w:lineRule="auto"/>
              <w:ind w:firstLine="0"/>
              <w:jc w:val="center"/>
              <w:rPr>
                <w:sz w:val="20"/>
                <w:szCs w:val="20"/>
              </w:rPr>
            </w:pPr>
            <w:r>
              <w:rPr>
                <w:sz w:val="20"/>
                <w:szCs w:val="20"/>
              </w:rPr>
              <w:t>выведенные из эксплуатации в связи со сносом домов</w:t>
            </w:r>
          </w:p>
        </w:tc>
      </w:tr>
      <w:tr w14:paraId="3135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3EAB7EC">
            <w:pPr>
              <w:spacing w:after="0" w:line="240" w:lineRule="auto"/>
              <w:ind w:firstLine="0"/>
              <w:jc w:val="center"/>
              <w:rPr>
                <w:sz w:val="20"/>
                <w:szCs w:val="20"/>
              </w:rPr>
            </w:pPr>
            <w:r>
              <w:rPr>
                <w:sz w:val="20"/>
                <w:szCs w:val="20"/>
              </w:rPr>
              <w:t>16</w:t>
            </w:r>
          </w:p>
        </w:tc>
        <w:tc>
          <w:tcPr>
            <w:tcW w:w="924" w:type="pct"/>
            <w:tcMar>
              <w:left w:w="28" w:type="dxa"/>
              <w:right w:w="28" w:type="dxa"/>
            </w:tcMar>
            <w:vAlign w:val="center"/>
          </w:tcPr>
          <w:p w14:paraId="47043625">
            <w:pPr>
              <w:spacing w:after="0" w:line="240" w:lineRule="auto"/>
              <w:ind w:firstLine="0"/>
              <w:jc w:val="center"/>
              <w:rPr>
                <w:sz w:val="20"/>
                <w:szCs w:val="20"/>
              </w:rPr>
            </w:pPr>
            <w:r>
              <w:rPr>
                <w:sz w:val="20"/>
                <w:szCs w:val="20"/>
              </w:rPr>
              <w:t>Наружные сети теплоснабжения</w:t>
            </w:r>
          </w:p>
          <w:p w14:paraId="32C5454C">
            <w:pPr>
              <w:spacing w:after="0" w:line="240" w:lineRule="auto"/>
              <w:ind w:firstLine="0"/>
              <w:jc w:val="center"/>
              <w:rPr>
                <w:sz w:val="20"/>
                <w:szCs w:val="20"/>
              </w:rPr>
            </w:pPr>
            <w:r>
              <w:rPr>
                <w:sz w:val="20"/>
                <w:szCs w:val="20"/>
              </w:rPr>
              <w:t>От точки № 6 до точки Ввод 2 ж.д № 3</w:t>
            </w:r>
          </w:p>
          <w:p w14:paraId="0D5B6CE6">
            <w:pPr>
              <w:spacing w:after="0" w:line="240" w:lineRule="auto"/>
              <w:ind w:firstLine="0"/>
              <w:jc w:val="center"/>
              <w:rPr>
                <w:sz w:val="20"/>
                <w:szCs w:val="20"/>
              </w:rPr>
            </w:pPr>
            <w:r>
              <w:rPr>
                <w:color w:val="2A2A2A"/>
                <w:sz w:val="20"/>
                <w:szCs w:val="20"/>
                <w:lang w:val="en-US"/>
              </w:rPr>
              <w:t>86:06:0020401:1263</w:t>
            </w:r>
          </w:p>
        </w:tc>
        <w:tc>
          <w:tcPr>
            <w:tcW w:w="215" w:type="pct"/>
            <w:tcMar>
              <w:left w:w="28" w:type="dxa"/>
              <w:right w:w="28" w:type="dxa"/>
            </w:tcMar>
            <w:vAlign w:val="center"/>
          </w:tcPr>
          <w:p w14:paraId="46EBEABB">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6E027E3">
            <w:pPr>
              <w:spacing w:after="0" w:line="240" w:lineRule="auto"/>
              <w:ind w:firstLine="0"/>
              <w:jc w:val="center"/>
              <w:rPr>
                <w:sz w:val="20"/>
                <w:szCs w:val="20"/>
              </w:rPr>
            </w:pPr>
            <w:r>
              <w:rPr>
                <w:sz w:val="20"/>
                <w:szCs w:val="20"/>
              </w:rPr>
              <w:t>ХМАО,</w:t>
            </w:r>
          </w:p>
          <w:p w14:paraId="7E2D542A">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25322E4">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-42</w:t>
            </w:r>
          </w:p>
          <w:p w14:paraId="35FA3319">
            <w:pPr>
              <w:spacing w:after="0" w:line="240" w:lineRule="auto"/>
              <w:ind w:firstLine="0"/>
              <w:jc w:val="center"/>
              <w:rPr>
                <w:sz w:val="20"/>
                <w:szCs w:val="20"/>
              </w:rPr>
            </w:pPr>
            <w:r>
              <w:rPr>
                <w:sz w:val="20"/>
                <w:szCs w:val="20"/>
              </w:rPr>
              <w:t>Т</w:t>
            </w:r>
            <w:r>
              <w:rPr>
                <w:sz w:val="20"/>
                <w:szCs w:val="20"/>
                <w:vertAlign w:val="subscript"/>
              </w:rPr>
              <w:t>2</w:t>
            </w:r>
            <w:r>
              <w:rPr>
                <w:sz w:val="20"/>
                <w:szCs w:val="20"/>
              </w:rPr>
              <w:t>-32</w:t>
            </w:r>
          </w:p>
        </w:tc>
        <w:tc>
          <w:tcPr>
            <w:tcW w:w="466" w:type="pct"/>
            <w:gridSpan w:val="2"/>
            <w:tcMar>
              <w:left w:w="28" w:type="dxa"/>
              <w:right w:w="28" w:type="dxa"/>
            </w:tcMar>
            <w:vAlign w:val="center"/>
          </w:tcPr>
          <w:p w14:paraId="32F605BD">
            <w:pPr>
              <w:spacing w:after="0" w:line="240" w:lineRule="auto"/>
              <w:ind w:firstLine="0"/>
              <w:jc w:val="center"/>
              <w:rPr>
                <w:sz w:val="20"/>
                <w:szCs w:val="20"/>
              </w:rPr>
            </w:pPr>
            <w:r>
              <w:rPr>
                <w:sz w:val="20"/>
                <w:szCs w:val="20"/>
              </w:rPr>
              <w:t>6</w:t>
            </w:r>
          </w:p>
          <w:p w14:paraId="72C43723">
            <w:pPr>
              <w:spacing w:after="0" w:line="240" w:lineRule="auto"/>
              <w:ind w:firstLine="0"/>
              <w:jc w:val="center"/>
              <w:rPr>
                <w:sz w:val="20"/>
                <w:szCs w:val="20"/>
              </w:rPr>
            </w:pPr>
            <w:r>
              <w:rPr>
                <w:sz w:val="20"/>
                <w:szCs w:val="20"/>
              </w:rPr>
              <w:t>6</w:t>
            </w:r>
          </w:p>
        </w:tc>
        <w:tc>
          <w:tcPr>
            <w:tcW w:w="774" w:type="pct"/>
            <w:gridSpan w:val="2"/>
            <w:tcMar>
              <w:left w:w="28" w:type="dxa"/>
              <w:right w:w="28" w:type="dxa"/>
            </w:tcMar>
            <w:vAlign w:val="center"/>
          </w:tcPr>
          <w:p w14:paraId="03479CA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10F2D456">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56EEBF0">
            <w:pPr>
              <w:spacing w:after="0" w:line="240" w:lineRule="auto"/>
              <w:ind w:firstLine="0"/>
              <w:jc w:val="center"/>
              <w:rPr>
                <w:sz w:val="20"/>
                <w:szCs w:val="20"/>
              </w:rPr>
            </w:pPr>
            <w:r>
              <w:rPr>
                <w:rFonts w:eastAsia="TimesNewRomanPSMT"/>
                <w:sz w:val="20"/>
                <w:szCs w:val="20"/>
              </w:rPr>
              <w:t>16645.08</w:t>
            </w:r>
          </w:p>
        </w:tc>
        <w:tc>
          <w:tcPr>
            <w:tcW w:w="456" w:type="pct"/>
            <w:gridSpan w:val="2"/>
            <w:tcMar>
              <w:left w:w="28" w:type="dxa"/>
              <w:right w:w="28" w:type="dxa"/>
            </w:tcMar>
            <w:vAlign w:val="center"/>
          </w:tcPr>
          <w:p w14:paraId="6AEADAB5">
            <w:pPr>
              <w:spacing w:after="0" w:line="240" w:lineRule="auto"/>
              <w:ind w:firstLine="0"/>
              <w:jc w:val="center"/>
              <w:rPr>
                <w:sz w:val="20"/>
                <w:szCs w:val="20"/>
              </w:rPr>
            </w:pPr>
            <w:r>
              <w:rPr>
                <w:sz w:val="20"/>
                <w:szCs w:val="20"/>
              </w:rPr>
              <w:t>выведенные из эксплуатации в связи со сносом домов</w:t>
            </w:r>
          </w:p>
        </w:tc>
      </w:tr>
      <w:tr w14:paraId="49C3B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266581C4">
            <w:pPr>
              <w:spacing w:after="0" w:line="240" w:lineRule="auto"/>
              <w:ind w:firstLine="0"/>
              <w:jc w:val="center"/>
              <w:rPr>
                <w:sz w:val="20"/>
                <w:szCs w:val="20"/>
              </w:rPr>
            </w:pPr>
            <w:r>
              <w:rPr>
                <w:sz w:val="20"/>
                <w:szCs w:val="20"/>
              </w:rPr>
              <w:t>17</w:t>
            </w:r>
          </w:p>
        </w:tc>
        <w:tc>
          <w:tcPr>
            <w:tcW w:w="924" w:type="pct"/>
            <w:tcMar>
              <w:left w:w="28" w:type="dxa"/>
              <w:right w:w="28" w:type="dxa"/>
            </w:tcMar>
            <w:vAlign w:val="center"/>
          </w:tcPr>
          <w:p w14:paraId="1969B20E">
            <w:pPr>
              <w:spacing w:after="0" w:line="240" w:lineRule="auto"/>
              <w:ind w:firstLine="0"/>
              <w:jc w:val="center"/>
              <w:rPr>
                <w:sz w:val="20"/>
                <w:szCs w:val="20"/>
              </w:rPr>
            </w:pPr>
            <w:r>
              <w:rPr>
                <w:sz w:val="20"/>
                <w:szCs w:val="20"/>
              </w:rPr>
              <w:t>Наружные сети теплоснабжения</w:t>
            </w:r>
          </w:p>
          <w:p w14:paraId="2361487E">
            <w:pPr>
              <w:spacing w:after="0" w:line="240" w:lineRule="auto"/>
              <w:ind w:firstLine="0"/>
              <w:jc w:val="center"/>
              <w:rPr>
                <w:sz w:val="20"/>
                <w:szCs w:val="20"/>
              </w:rPr>
            </w:pPr>
            <w:r>
              <w:rPr>
                <w:sz w:val="20"/>
                <w:szCs w:val="20"/>
              </w:rPr>
              <w:t>От точки № 6 до точки № 7</w:t>
            </w:r>
          </w:p>
          <w:p w14:paraId="55DE6231">
            <w:pPr>
              <w:spacing w:after="0" w:line="240" w:lineRule="auto"/>
              <w:ind w:firstLine="0"/>
              <w:jc w:val="center"/>
              <w:rPr>
                <w:sz w:val="20"/>
                <w:szCs w:val="20"/>
              </w:rPr>
            </w:pPr>
            <w:r>
              <w:rPr>
                <w:color w:val="2A2A2A"/>
                <w:sz w:val="20"/>
                <w:szCs w:val="20"/>
                <w:lang w:val="en-US"/>
              </w:rPr>
              <w:t>86:06:0020401:1262</w:t>
            </w:r>
          </w:p>
        </w:tc>
        <w:tc>
          <w:tcPr>
            <w:tcW w:w="215" w:type="pct"/>
            <w:tcMar>
              <w:left w:w="28" w:type="dxa"/>
              <w:right w:w="28" w:type="dxa"/>
            </w:tcMar>
            <w:vAlign w:val="center"/>
          </w:tcPr>
          <w:p w14:paraId="75052F31">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2333CC6A">
            <w:pPr>
              <w:spacing w:after="0" w:line="240" w:lineRule="auto"/>
              <w:ind w:firstLine="0"/>
              <w:jc w:val="center"/>
              <w:rPr>
                <w:sz w:val="20"/>
                <w:szCs w:val="20"/>
              </w:rPr>
            </w:pPr>
            <w:r>
              <w:rPr>
                <w:sz w:val="20"/>
                <w:szCs w:val="20"/>
              </w:rPr>
              <w:t>ХМАО,</w:t>
            </w:r>
          </w:p>
          <w:p w14:paraId="1AED8D48">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52126EF7">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- 89</w:t>
            </w:r>
          </w:p>
          <w:p w14:paraId="336C8856">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1282D2EC">
            <w:pPr>
              <w:spacing w:after="0" w:line="240" w:lineRule="auto"/>
              <w:ind w:firstLine="0"/>
              <w:jc w:val="center"/>
              <w:rPr>
                <w:sz w:val="20"/>
                <w:szCs w:val="20"/>
              </w:rPr>
            </w:pPr>
            <w:r>
              <w:rPr>
                <w:sz w:val="20"/>
                <w:szCs w:val="20"/>
              </w:rPr>
              <w:t>74</w:t>
            </w:r>
          </w:p>
          <w:p w14:paraId="3FC42C27">
            <w:pPr>
              <w:spacing w:after="0" w:line="240" w:lineRule="auto"/>
              <w:ind w:firstLine="0"/>
              <w:jc w:val="center"/>
              <w:rPr>
                <w:sz w:val="20"/>
                <w:szCs w:val="20"/>
              </w:rPr>
            </w:pPr>
            <w:r>
              <w:rPr>
                <w:sz w:val="20"/>
                <w:szCs w:val="20"/>
              </w:rPr>
              <w:t>74</w:t>
            </w:r>
          </w:p>
        </w:tc>
        <w:tc>
          <w:tcPr>
            <w:tcW w:w="774" w:type="pct"/>
            <w:gridSpan w:val="2"/>
            <w:tcMar>
              <w:left w:w="28" w:type="dxa"/>
              <w:right w:w="28" w:type="dxa"/>
            </w:tcMar>
            <w:vAlign w:val="center"/>
          </w:tcPr>
          <w:p w14:paraId="69BE218C">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42082EE2">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B3FB629">
            <w:pPr>
              <w:spacing w:after="0" w:line="240" w:lineRule="auto"/>
              <w:ind w:firstLine="0"/>
              <w:jc w:val="center"/>
              <w:rPr>
                <w:sz w:val="20"/>
                <w:szCs w:val="20"/>
              </w:rPr>
            </w:pPr>
            <w:r>
              <w:rPr>
                <w:rFonts w:eastAsia="TimesNewRomanPSMT"/>
                <w:sz w:val="20"/>
                <w:szCs w:val="20"/>
              </w:rPr>
              <w:t>205289.26</w:t>
            </w:r>
          </w:p>
        </w:tc>
        <w:tc>
          <w:tcPr>
            <w:tcW w:w="456" w:type="pct"/>
            <w:gridSpan w:val="2"/>
            <w:tcMar>
              <w:left w:w="28" w:type="dxa"/>
              <w:right w:w="28" w:type="dxa"/>
            </w:tcMar>
            <w:vAlign w:val="center"/>
          </w:tcPr>
          <w:p w14:paraId="17811883">
            <w:pPr>
              <w:spacing w:after="0" w:line="240" w:lineRule="auto"/>
              <w:ind w:firstLine="0"/>
              <w:jc w:val="center"/>
              <w:rPr>
                <w:sz w:val="20"/>
                <w:szCs w:val="20"/>
              </w:rPr>
            </w:pPr>
            <w:r>
              <w:rPr>
                <w:sz w:val="20"/>
                <w:szCs w:val="20"/>
              </w:rPr>
              <w:t>выведенные из эксплуатации в связи со сносом домов</w:t>
            </w:r>
          </w:p>
        </w:tc>
      </w:tr>
      <w:tr w14:paraId="5CDB6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06463AD">
            <w:pPr>
              <w:spacing w:after="0" w:line="240" w:lineRule="auto"/>
              <w:ind w:firstLine="0"/>
              <w:jc w:val="center"/>
              <w:rPr>
                <w:sz w:val="20"/>
                <w:szCs w:val="20"/>
              </w:rPr>
            </w:pPr>
            <w:r>
              <w:rPr>
                <w:sz w:val="20"/>
                <w:szCs w:val="20"/>
              </w:rPr>
              <w:t>18</w:t>
            </w:r>
          </w:p>
        </w:tc>
        <w:tc>
          <w:tcPr>
            <w:tcW w:w="924" w:type="pct"/>
            <w:tcMar>
              <w:left w:w="28" w:type="dxa"/>
              <w:right w:w="28" w:type="dxa"/>
            </w:tcMar>
            <w:vAlign w:val="center"/>
          </w:tcPr>
          <w:p w14:paraId="1AC03FE8">
            <w:pPr>
              <w:spacing w:after="0" w:line="240" w:lineRule="auto"/>
              <w:ind w:firstLine="0"/>
              <w:jc w:val="center"/>
              <w:rPr>
                <w:sz w:val="20"/>
                <w:szCs w:val="20"/>
              </w:rPr>
            </w:pPr>
            <w:r>
              <w:rPr>
                <w:sz w:val="20"/>
                <w:szCs w:val="20"/>
              </w:rPr>
              <w:t>Наружные сети теплоснабжения</w:t>
            </w:r>
          </w:p>
          <w:p w14:paraId="56E1AFB4">
            <w:pPr>
              <w:spacing w:after="0" w:line="240" w:lineRule="auto"/>
              <w:ind w:firstLine="0"/>
              <w:jc w:val="center"/>
              <w:rPr>
                <w:sz w:val="20"/>
                <w:szCs w:val="20"/>
              </w:rPr>
            </w:pPr>
            <w:r>
              <w:rPr>
                <w:sz w:val="20"/>
                <w:szCs w:val="20"/>
              </w:rPr>
              <w:t>От точки № 7до точки № 8</w:t>
            </w:r>
          </w:p>
          <w:p w14:paraId="22BE3E1A">
            <w:pPr>
              <w:spacing w:after="0" w:line="240" w:lineRule="auto"/>
              <w:ind w:firstLine="0"/>
              <w:jc w:val="center"/>
              <w:rPr>
                <w:sz w:val="20"/>
                <w:szCs w:val="20"/>
              </w:rPr>
            </w:pPr>
            <w:r>
              <w:rPr>
                <w:rFonts w:eastAsia="TimesNewRomanPSMT"/>
                <w:sz w:val="20"/>
                <w:szCs w:val="20"/>
              </w:rPr>
              <w:t>86:06:0020401:1289</w:t>
            </w:r>
          </w:p>
        </w:tc>
        <w:tc>
          <w:tcPr>
            <w:tcW w:w="215" w:type="pct"/>
            <w:tcMar>
              <w:left w:w="28" w:type="dxa"/>
              <w:right w:w="28" w:type="dxa"/>
            </w:tcMar>
            <w:vAlign w:val="center"/>
          </w:tcPr>
          <w:p w14:paraId="1EC4C1A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72F37B7">
            <w:pPr>
              <w:spacing w:after="0" w:line="240" w:lineRule="auto"/>
              <w:ind w:firstLine="0"/>
              <w:jc w:val="center"/>
              <w:rPr>
                <w:sz w:val="20"/>
                <w:szCs w:val="20"/>
              </w:rPr>
            </w:pPr>
            <w:r>
              <w:rPr>
                <w:sz w:val="20"/>
                <w:szCs w:val="20"/>
              </w:rPr>
              <w:t>ХМАО,</w:t>
            </w:r>
          </w:p>
          <w:p w14:paraId="7193767F">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25D3111">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- 89</w:t>
            </w:r>
          </w:p>
          <w:p w14:paraId="323F3498">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6C05C7D9">
            <w:pPr>
              <w:spacing w:after="0" w:line="240" w:lineRule="auto"/>
              <w:ind w:firstLine="0"/>
              <w:jc w:val="center"/>
              <w:rPr>
                <w:sz w:val="20"/>
                <w:szCs w:val="20"/>
              </w:rPr>
            </w:pPr>
            <w:r>
              <w:rPr>
                <w:sz w:val="20"/>
                <w:szCs w:val="20"/>
              </w:rPr>
              <w:t>28</w:t>
            </w:r>
          </w:p>
          <w:p w14:paraId="3DC5014A">
            <w:pPr>
              <w:spacing w:after="0" w:line="240" w:lineRule="auto"/>
              <w:ind w:firstLine="0"/>
              <w:jc w:val="center"/>
              <w:rPr>
                <w:sz w:val="20"/>
                <w:szCs w:val="20"/>
              </w:rPr>
            </w:pPr>
            <w:r>
              <w:rPr>
                <w:sz w:val="20"/>
                <w:szCs w:val="20"/>
              </w:rPr>
              <w:t>28</w:t>
            </w:r>
          </w:p>
        </w:tc>
        <w:tc>
          <w:tcPr>
            <w:tcW w:w="774" w:type="pct"/>
            <w:gridSpan w:val="2"/>
            <w:tcMar>
              <w:left w:w="28" w:type="dxa"/>
              <w:right w:w="28" w:type="dxa"/>
            </w:tcMar>
            <w:vAlign w:val="center"/>
          </w:tcPr>
          <w:p w14:paraId="7B0097CB">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57BB3A6F">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6F014CC">
            <w:pPr>
              <w:spacing w:after="0" w:line="240" w:lineRule="auto"/>
              <w:ind w:firstLine="0"/>
              <w:jc w:val="center"/>
              <w:rPr>
                <w:sz w:val="20"/>
                <w:szCs w:val="20"/>
              </w:rPr>
            </w:pPr>
            <w:r>
              <w:rPr>
                <w:rFonts w:eastAsia="TimesNewRomanPSMT"/>
                <w:sz w:val="20"/>
                <w:szCs w:val="20"/>
              </w:rPr>
              <w:t>77677.02</w:t>
            </w:r>
          </w:p>
        </w:tc>
        <w:tc>
          <w:tcPr>
            <w:tcW w:w="456" w:type="pct"/>
            <w:gridSpan w:val="2"/>
            <w:tcMar>
              <w:left w:w="28" w:type="dxa"/>
              <w:right w:w="28" w:type="dxa"/>
            </w:tcMar>
            <w:vAlign w:val="center"/>
          </w:tcPr>
          <w:p w14:paraId="38D36FC0">
            <w:pPr>
              <w:spacing w:after="0" w:line="240" w:lineRule="auto"/>
              <w:ind w:firstLine="0"/>
              <w:jc w:val="center"/>
              <w:rPr>
                <w:sz w:val="20"/>
                <w:szCs w:val="20"/>
              </w:rPr>
            </w:pPr>
            <w:r>
              <w:rPr>
                <w:sz w:val="20"/>
                <w:szCs w:val="20"/>
              </w:rPr>
              <w:t>выведенные из эксплуатации в связи со сносом домов</w:t>
            </w:r>
          </w:p>
        </w:tc>
      </w:tr>
      <w:tr w14:paraId="30476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C3C4166">
            <w:pPr>
              <w:spacing w:after="0" w:line="240" w:lineRule="auto"/>
              <w:ind w:firstLine="0"/>
              <w:jc w:val="center"/>
              <w:rPr>
                <w:sz w:val="20"/>
                <w:szCs w:val="20"/>
              </w:rPr>
            </w:pPr>
            <w:r>
              <w:rPr>
                <w:sz w:val="20"/>
                <w:szCs w:val="20"/>
              </w:rPr>
              <w:t>19</w:t>
            </w:r>
          </w:p>
        </w:tc>
        <w:tc>
          <w:tcPr>
            <w:tcW w:w="924" w:type="pct"/>
            <w:tcMar>
              <w:left w:w="28" w:type="dxa"/>
              <w:right w:w="28" w:type="dxa"/>
            </w:tcMar>
            <w:vAlign w:val="center"/>
          </w:tcPr>
          <w:p w14:paraId="36E2AEC6">
            <w:pPr>
              <w:spacing w:after="0" w:line="240" w:lineRule="auto"/>
              <w:ind w:firstLine="0"/>
              <w:jc w:val="center"/>
              <w:rPr>
                <w:sz w:val="20"/>
                <w:szCs w:val="20"/>
              </w:rPr>
            </w:pPr>
            <w:r>
              <w:rPr>
                <w:sz w:val="20"/>
                <w:szCs w:val="20"/>
              </w:rPr>
              <w:t>Наружные сети теплоснабжения</w:t>
            </w:r>
          </w:p>
          <w:p w14:paraId="4439AAE7">
            <w:pPr>
              <w:spacing w:after="0" w:line="240" w:lineRule="auto"/>
              <w:ind w:firstLine="0"/>
              <w:jc w:val="center"/>
              <w:rPr>
                <w:sz w:val="20"/>
                <w:szCs w:val="20"/>
              </w:rPr>
            </w:pPr>
            <w:r>
              <w:rPr>
                <w:sz w:val="20"/>
                <w:szCs w:val="20"/>
              </w:rPr>
              <w:t>От точки № 8 до точки Ввод 2 ж.д № 4</w:t>
            </w:r>
          </w:p>
          <w:p w14:paraId="7993AD15">
            <w:pPr>
              <w:spacing w:after="0" w:line="240" w:lineRule="auto"/>
              <w:ind w:firstLine="0"/>
              <w:jc w:val="center"/>
              <w:rPr>
                <w:sz w:val="20"/>
                <w:szCs w:val="20"/>
              </w:rPr>
            </w:pPr>
            <w:r>
              <w:rPr>
                <w:rFonts w:eastAsia="TimesNewRomanPSMT"/>
                <w:sz w:val="20"/>
                <w:szCs w:val="20"/>
              </w:rPr>
              <w:t>86:06:0020401:1288</w:t>
            </w:r>
          </w:p>
        </w:tc>
        <w:tc>
          <w:tcPr>
            <w:tcW w:w="215" w:type="pct"/>
            <w:tcMar>
              <w:left w:w="28" w:type="dxa"/>
              <w:right w:w="28" w:type="dxa"/>
            </w:tcMar>
            <w:vAlign w:val="center"/>
          </w:tcPr>
          <w:p w14:paraId="54B4E67E">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1B90CCF1">
            <w:pPr>
              <w:spacing w:after="0" w:line="240" w:lineRule="auto"/>
              <w:ind w:firstLine="0"/>
              <w:jc w:val="center"/>
              <w:rPr>
                <w:sz w:val="20"/>
                <w:szCs w:val="20"/>
              </w:rPr>
            </w:pPr>
            <w:r>
              <w:rPr>
                <w:sz w:val="20"/>
                <w:szCs w:val="20"/>
              </w:rPr>
              <w:t>ХМАО,</w:t>
            </w:r>
          </w:p>
          <w:p w14:paraId="758BCA53">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64D2769F">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71C52CAC">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6C089975">
            <w:pPr>
              <w:spacing w:after="0" w:line="240" w:lineRule="auto"/>
              <w:ind w:firstLine="0"/>
              <w:jc w:val="center"/>
              <w:rPr>
                <w:sz w:val="20"/>
                <w:szCs w:val="20"/>
              </w:rPr>
            </w:pPr>
            <w:r>
              <w:rPr>
                <w:sz w:val="20"/>
                <w:szCs w:val="20"/>
              </w:rPr>
              <w:t>6</w:t>
            </w:r>
          </w:p>
          <w:p w14:paraId="3ED6ADC4">
            <w:pPr>
              <w:spacing w:after="0" w:line="240" w:lineRule="auto"/>
              <w:ind w:firstLine="0"/>
              <w:jc w:val="center"/>
              <w:rPr>
                <w:sz w:val="20"/>
                <w:szCs w:val="20"/>
              </w:rPr>
            </w:pPr>
            <w:r>
              <w:rPr>
                <w:sz w:val="20"/>
                <w:szCs w:val="20"/>
              </w:rPr>
              <w:t>6</w:t>
            </w:r>
          </w:p>
        </w:tc>
        <w:tc>
          <w:tcPr>
            <w:tcW w:w="774" w:type="pct"/>
            <w:gridSpan w:val="2"/>
            <w:tcMar>
              <w:left w:w="28" w:type="dxa"/>
              <w:right w:w="28" w:type="dxa"/>
            </w:tcMar>
            <w:vAlign w:val="center"/>
          </w:tcPr>
          <w:p w14:paraId="1DDB319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22EE6FCB">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0E44CF1B">
            <w:pPr>
              <w:spacing w:after="0" w:line="240" w:lineRule="auto"/>
              <w:ind w:firstLine="0"/>
              <w:jc w:val="center"/>
              <w:rPr>
                <w:sz w:val="20"/>
                <w:szCs w:val="20"/>
              </w:rPr>
            </w:pPr>
            <w:r>
              <w:rPr>
                <w:rFonts w:eastAsia="TimesNewRomanPSMT"/>
                <w:sz w:val="20"/>
                <w:szCs w:val="20"/>
              </w:rPr>
              <w:t>16645.08</w:t>
            </w:r>
          </w:p>
        </w:tc>
        <w:tc>
          <w:tcPr>
            <w:tcW w:w="456" w:type="pct"/>
            <w:gridSpan w:val="2"/>
            <w:tcMar>
              <w:left w:w="28" w:type="dxa"/>
              <w:right w:w="28" w:type="dxa"/>
            </w:tcMar>
            <w:vAlign w:val="center"/>
          </w:tcPr>
          <w:p w14:paraId="0BDD6A98">
            <w:pPr>
              <w:spacing w:after="0" w:line="240" w:lineRule="auto"/>
              <w:ind w:firstLine="0"/>
              <w:jc w:val="center"/>
              <w:rPr>
                <w:sz w:val="20"/>
                <w:szCs w:val="20"/>
              </w:rPr>
            </w:pPr>
            <w:r>
              <w:rPr>
                <w:sz w:val="20"/>
                <w:szCs w:val="20"/>
              </w:rPr>
              <w:t>выведенные из эксплуатации в связи со сносом домов</w:t>
            </w:r>
          </w:p>
        </w:tc>
      </w:tr>
      <w:tr w14:paraId="2E81A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10B95487">
            <w:pPr>
              <w:spacing w:after="0" w:line="240" w:lineRule="auto"/>
              <w:ind w:firstLine="0"/>
              <w:jc w:val="center"/>
              <w:rPr>
                <w:sz w:val="20"/>
                <w:szCs w:val="20"/>
              </w:rPr>
            </w:pPr>
            <w:r>
              <w:rPr>
                <w:sz w:val="20"/>
                <w:szCs w:val="20"/>
              </w:rPr>
              <w:t>20</w:t>
            </w:r>
          </w:p>
        </w:tc>
        <w:tc>
          <w:tcPr>
            <w:tcW w:w="924" w:type="pct"/>
            <w:tcMar>
              <w:left w:w="28" w:type="dxa"/>
              <w:right w:w="28" w:type="dxa"/>
            </w:tcMar>
            <w:vAlign w:val="center"/>
          </w:tcPr>
          <w:p w14:paraId="4665B435">
            <w:pPr>
              <w:spacing w:after="0" w:line="240" w:lineRule="auto"/>
              <w:ind w:firstLine="0"/>
              <w:jc w:val="center"/>
              <w:rPr>
                <w:sz w:val="20"/>
                <w:szCs w:val="20"/>
              </w:rPr>
            </w:pPr>
            <w:r>
              <w:rPr>
                <w:sz w:val="20"/>
                <w:szCs w:val="20"/>
              </w:rPr>
              <w:t>Наружные сети теплоснабжения</w:t>
            </w:r>
          </w:p>
          <w:p w14:paraId="6D72BC3E">
            <w:pPr>
              <w:spacing w:after="0" w:line="240" w:lineRule="auto"/>
              <w:ind w:firstLine="0"/>
              <w:jc w:val="center"/>
              <w:rPr>
                <w:sz w:val="20"/>
                <w:szCs w:val="20"/>
              </w:rPr>
            </w:pPr>
            <w:r>
              <w:rPr>
                <w:sz w:val="20"/>
                <w:szCs w:val="20"/>
              </w:rPr>
              <w:t>От точки № 8 до точки № 9</w:t>
            </w:r>
          </w:p>
          <w:p w14:paraId="33246B33">
            <w:pPr>
              <w:spacing w:after="0" w:line="240" w:lineRule="auto"/>
              <w:ind w:firstLine="0"/>
              <w:jc w:val="center"/>
              <w:rPr>
                <w:sz w:val="20"/>
                <w:szCs w:val="20"/>
              </w:rPr>
            </w:pPr>
            <w:r>
              <w:rPr>
                <w:rFonts w:eastAsia="TimesNewRomanPSMT"/>
                <w:sz w:val="20"/>
                <w:szCs w:val="20"/>
              </w:rPr>
              <w:t>86:06:0020401:1286</w:t>
            </w:r>
          </w:p>
        </w:tc>
        <w:tc>
          <w:tcPr>
            <w:tcW w:w="215" w:type="pct"/>
            <w:tcMar>
              <w:left w:w="28" w:type="dxa"/>
              <w:right w:w="28" w:type="dxa"/>
            </w:tcMar>
            <w:vAlign w:val="center"/>
          </w:tcPr>
          <w:p w14:paraId="5967F3B8">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C8604B7">
            <w:pPr>
              <w:spacing w:after="0" w:line="240" w:lineRule="auto"/>
              <w:ind w:firstLine="0"/>
              <w:jc w:val="center"/>
              <w:rPr>
                <w:sz w:val="20"/>
                <w:szCs w:val="20"/>
              </w:rPr>
            </w:pPr>
            <w:r>
              <w:rPr>
                <w:sz w:val="20"/>
                <w:szCs w:val="20"/>
              </w:rPr>
              <w:t>ХМАО,</w:t>
            </w:r>
          </w:p>
          <w:p w14:paraId="55B28701">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3BF9944">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- 89</w:t>
            </w:r>
          </w:p>
          <w:p w14:paraId="0BC917F0">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0CFB268B">
            <w:pPr>
              <w:spacing w:after="0" w:line="240" w:lineRule="auto"/>
              <w:ind w:firstLine="0"/>
              <w:jc w:val="center"/>
              <w:rPr>
                <w:sz w:val="20"/>
                <w:szCs w:val="20"/>
              </w:rPr>
            </w:pPr>
            <w:r>
              <w:rPr>
                <w:sz w:val="20"/>
                <w:szCs w:val="20"/>
              </w:rPr>
              <w:t>52</w:t>
            </w:r>
          </w:p>
          <w:p w14:paraId="78866A46">
            <w:pPr>
              <w:spacing w:after="0" w:line="240" w:lineRule="auto"/>
              <w:ind w:firstLine="0"/>
              <w:jc w:val="center"/>
              <w:rPr>
                <w:sz w:val="20"/>
                <w:szCs w:val="20"/>
              </w:rPr>
            </w:pPr>
            <w:r>
              <w:rPr>
                <w:sz w:val="20"/>
                <w:szCs w:val="20"/>
              </w:rPr>
              <w:t>52</w:t>
            </w:r>
          </w:p>
        </w:tc>
        <w:tc>
          <w:tcPr>
            <w:tcW w:w="774" w:type="pct"/>
            <w:gridSpan w:val="2"/>
            <w:tcMar>
              <w:left w:w="28" w:type="dxa"/>
              <w:right w:w="28" w:type="dxa"/>
            </w:tcMar>
            <w:vAlign w:val="center"/>
          </w:tcPr>
          <w:p w14:paraId="52D66620">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7D777521">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5672BF7C">
            <w:pPr>
              <w:spacing w:after="0" w:line="240" w:lineRule="auto"/>
              <w:ind w:firstLine="0"/>
              <w:jc w:val="center"/>
              <w:rPr>
                <w:sz w:val="20"/>
                <w:szCs w:val="20"/>
              </w:rPr>
            </w:pPr>
            <w:r>
              <w:rPr>
                <w:rFonts w:eastAsia="TimesNewRomanPSMT"/>
                <w:sz w:val="20"/>
                <w:szCs w:val="20"/>
              </w:rPr>
              <w:t>144257.32</w:t>
            </w:r>
          </w:p>
        </w:tc>
        <w:tc>
          <w:tcPr>
            <w:tcW w:w="456" w:type="pct"/>
            <w:gridSpan w:val="2"/>
            <w:tcMar>
              <w:left w:w="28" w:type="dxa"/>
              <w:right w:w="28" w:type="dxa"/>
            </w:tcMar>
            <w:vAlign w:val="center"/>
          </w:tcPr>
          <w:p w14:paraId="332222C2">
            <w:pPr>
              <w:spacing w:after="0" w:line="240" w:lineRule="auto"/>
              <w:ind w:firstLine="0"/>
              <w:jc w:val="center"/>
              <w:rPr>
                <w:sz w:val="20"/>
                <w:szCs w:val="20"/>
              </w:rPr>
            </w:pPr>
            <w:r>
              <w:rPr>
                <w:sz w:val="20"/>
                <w:szCs w:val="20"/>
              </w:rPr>
              <w:t>выведенные из эксплуатации в связи со сносом домов</w:t>
            </w:r>
          </w:p>
        </w:tc>
      </w:tr>
      <w:tr w14:paraId="45FCD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21F4BCB">
            <w:pPr>
              <w:numPr>
                <w:ilvl w:val="0"/>
                <w:numId w:val="29"/>
              </w:numPr>
              <w:spacing w:after="0" w:line="240" w:lineRule="auto"/>
              <w:ind w:left="0" w:firstLine="0"/>
              <w:jc w:val="center"/>
              <w:rPr>
                <w:sz w:val="20"/>
                <w:szCs w:val="20"/>
              </w:rPr>
            </w:pPr>
          </w:p>
        </w:tc>
        <w:tc>
          <w:tcPr>
            <w:tcW w:w="924" w:type="pct"/>
            <w:tcMar>
              <w:left w:w="28" w:type="dxa"/>
              <w:right w:w="28" w:type="dxa"/>
            </w:tcMar>
            <w:vAlign w:val="center"/>
          </w:tcPr>
          <w:p w14:paraId="4E0FBA2C">
            <w:pPr>
              <w:spacing w:after="0" w:line="240" w:lineRule="auto"/>
              <w:ind w:firstLine="0"/>
              <w:jc w:val="center"/>
              <w:rPr>
                <w:sz w:val="20"/>
                <w:szCs w:val="20"/>
              </w:rPr>
            </w:pPr>
            <w:r>
              <w:rPr>
                <w:sz w:val="20"/>
                <w:szCs w:val="20"/>
              </w:rPr>
              <w:t>Наружные сети теплоснабжения</w:t>
            </w:r>
          </w:p>
          <w:p w14:paraId="4305B209">
            <w:pPr>
              <w:spacing w:after="0" w:line="240" w:lineRule="auto"/>
              <w:ind w:firstLine="0"/>
              <w:jc w:val="center"/>
              <w:rPr>
                <w:sz w:val="20"/>
                <w:szCs w:val="20"/>
              </w:rPr>
            </w:pPr>
            <w:r>
              <w:rPr>
                <w:sz w:val="20"/>
                <w:szCs w:val="20"/>
              </w:rPr>
              <w:t>От точки № 9до точки Ввод 1 ж.д № 5</w:t>
            </w:r>
          </w:p>
          <w:p w14:paraId="12502DA3">
            <w:pPr>
              <w:spacing w:after="0" w:line="240" w:lineRule="auto"/>
              <w:ind w:firstLine="0"/>
              <w:jc w:val="center"/>
              <w:rPr>
                <w:sz w:val="20"/>
                <w:szCs w:val="20"/>
              </w:rPr>
            </w:pPr>
            <w:r>
              <w:rPr>
                <w:rFonts w:eastAsia="TimesNewRomanPSMT"/>
                <w:sz w:val="20"/>
                <w:szCs w:val="20"/>
              </w:rPr>
              <w:t>86:06:0020401:1285</w:t>
            </w:r>
          </w:p>
        </w:tc>
        <w:tc>
          <w:tcPr>
            <w:tcW w:w="215" w:type="pct"/>
            <w:tcMar>
              <w:left w:w="28" w:type="dxa"/>
              <w:right w:w="28" w:type="dxa"/>
            </w:tcMar>
            <w:vAlign w:val="center"/>
          </w:tcPr>
          <w:p w14:paraId="2A4AE3F0">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2A761528">
            <w:pPr>
              <w:spacing w:after="0" w:line="240" w:lineRule="auto"/>
              <w:ind w:firstLine="0"/>
              <w:jc w:val="center"/>
              <w:rPr>
                <w:sz w:val="20"/>
                <w:szCs w:val="20"/>
              </w:rPr>
            </w:pPr>
            <w:r>
              <w:rPr>
                <w:sz w:val="20"/>
                <w:szCs w:val="20"/>
              </w:rPr>
              <w:t>ХМАО,</w:t>
            </w:r>
          </w:p>
          <w:p w14:paraId="5F8BDC2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50A3BC85">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2E39A1B2">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33F81E04">
            <w:pPr>
              <w:spacing w:after="0" w:line="240" w:lineRule="auto"/>
              <w:ind w:firstLine="0"/>
              <w:jc w:val="center"/>
              <w:rPr>
                <w:sz w:val="20"/>
                <w:szCs w:val="20"/>
              </w:rPr>
            </w:pPr>
            <w:r>
              <w:rPr>
                <w:sz w:val="20"/>
                <w:szCs w:val="20"/>
              </w:rPr>
              <w:t>7</w:t>
            </w:r>
          </w:p>
          <w:p w14:paraId="18E76582">
            <w:pPr>
              <w:spacing w:after="0" w:line="240" w:lineRule="auto"/>
              <w:ind w:firstLine="0"/>
              <w:jc w:val="center"/>
              <w:rPr>
                <w:sz w:val="20"/>
                <w:szCs w:val="20"/>
              </w:rPr>
            </w:pPr>
            <w:r>
              <w:rPr>
                <w:sz w:val="20"/>
                <w:szCs w:val="20"/>
              </w:rPr>
              <w:t>7</w:t>
            </w:r>
          </w:p>
        </w:tc>
        <w:tc>
          <w:tcPr>
            <w:tcW w:w="774" w:type="pct"/>
            <w:gridSpan w:val="2"/>
            <w:tcMar>
              <w:left w:w="28" w:type="dxa"/>
              <w:right w:w="28" w:type="dxa"/>
            </w:tcMar>
            <w:vAlign w:val="center"/>
          </w:tcPr>
          <w:p w14:paraId="54E7A04A">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59D6275B">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2DC7E4B">
            <w:pPr>
              <w:spacing w:after="0" w:line="240" w:lineRule="auto"/>
              <w:ind w:firstLine="0"/>
              <w:jc w:val="center"/>
              <w:rPr>
                <w:sz w:val="20"/>
                <w:szCs w:val="20"/>
              </w:rPr>
            </w:pPr>
            <w:r>
              <w:rPr>
                <w:rFonts w:eastAsia="TimesNewRomanPSMT"/>
                <w:sz w:val="20"/>
                <w:szCs w:val="20"/>
              </w:rPr>
              <w:t>19419.25</w:t>
            </w:r>
          </w:p>
        </w:tc>
        <w:tc>
          <w:tcPr>
            <w:tcW w:w="456" w:type="pct"/>
            <w:gridSpan w:val="2"/>
            <w:tcMar>
              <w:left w:w="28" w:type="dxa"/>
              <w:right w:w="28" w:type="dxa"/>
            </w:tcMar>
            <w:vAlign w:val="center"/>
          </w:tcPr>
          <w:p w14:paraId="30CB0269">
            <w:pPr>
              <w:spacing w:after="0" w:line="240" w:lineRule="auto"/>
              <w:ind w:firstLine="0"/>
              <w:jc w:val="center"/>
              <w:rPr>
                <w:sz w:val="20"/>
                <w:szCs w:val="20"/>
              </w:rPr>
            </w:pPr>
            <w:r>
              <w:rPr>
                <w:sz w:val="20"/>
                <w:szCs w:val="20"/>
              </w:rPr>
              <w:t>выведенные из эксплуатации в связи со сносом домов</w:t>
            </w:r>
          </w:p>
        </w:tc>
      </w:tr>
      <w:tr w14:paraId="77EDC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4ADBB5A2">
            <w:pPr>
              <w:numPr>
                <w:ilvl w:val="0"/>
                <w:numId w:val="29"/>
              </w:numPr>
              <w:spacing w:after="0" w:line="240" w:lineRule="auto"/>
              <w:ind w:left="0" w:firstLine="0"/>
              <w:jc w:val="center"/>
              <w:rPr>
                <w:sz w:val="20"/>
                <w:szCs w:val="20"/>
              </w:rPr>
            </w:pPr>
          </w:p>
        </w:tc>
        <w:tc>
          <w:tcPr>
            <w:tcW w:w="924" w:type="pct"/>
            <w:tcMar>
              <w:left w:w="28" w:type="dxa"/>
              <w:right w:w="28" w:type="dxa"/>
            </w:tcMar>
            <w:vAlign w:val="center"/>
          </w:tcPr>
          <w:p w14:paraId="4DDCF7E9">
            <w:pPr>
              <w:spacing w:after="0" w:line="240" w:lineRule="auto"/>
              <w:ind w:firstLine="0"/>
              <w:jc w:val="center"/>
              <w:rPr>
                <w:sz w:val="20"/>
                <w:szCs w:val="20"/>
              </w:rPr>
            </w:pPr>
            <w:r>
              <w:rPr>
                <w:sz w:val="20"/>
                <w:szCs w:val="20"/>
              </w:rPr>
              <w:t>Наружные сети теплоснабжения</w:t>
            </w:r>
          </w:p>
          <w:p w14:paraId="401500B1">
            <w:pPr>
              <w:spacing w:after="0" w:line="240" w:lineRule="auto"/>
              <w:ind w:firstLine="0"/>
              <w:jc w:val="center"/>
              <w:rPr>
                <w:sz w:val="20"/>
                <w:szCs w:val="20"/>
              </w:rPr>
            </w:pPr>
            <w:r>
              <w:rPr>
                <w:sz w:val="20"/>
                <w:szCs w:val="20"/>
              </w:rPr>
              <w:t>От точки № 9 до точки № 10</w:t>
            </w:r>
          </w:p>
          <w:p w14:paraId="0937C3F7">
            <w:pPr>
              <w:spacing w:after="0" w:line="240" w:lineRule="auto"/>
              <w:ind w:firstLine="0"/>
              <w:jc w:val="center"/>
              <w:rPr>
                <w:sz w:val="20"/>
                <w:szCs w:val="20"/>
              </w:rPr>
            </w:pPr>
            <w:r>
              <w:rPr>
                <w:rFonts w:eastAsia="TimesNewRomanPSMT"/>
                <w:sz w:val="20"/>
                <w:szCs w:val="20"/>
              </w:rPr>
              <w:t>86:06:0020401:1280</w:t>
            </w:r>
          </w:p>
        </w:tc>
        <w:tc>
          <w:tcPr>
            <w:tcW w:w="215" w:type="pct"/>
            <w:tcMar>
              <w:left w:w="28" w:type="dxa"/>
              <w:right w:w="28" w:type="dxa"/>
            </w:tcMar>
            <w:vAlign w:val="center"/>
          </w:tcPr>
          <w:p w14:paraId="6A53D4F3">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8E352ED">
            <w:pPr>
              <w:spacing w:after="0" w:line="240" w:lineRule="auto"/>
              <w:ind w:firstLine="0"/>
              <w:jc w:val="center"/>
              <w:rPr>
                <w:sz w:val="20"/>
                <w:szCs w:val="20"/>
              </w:rPr>
            </w:pPr>
            <w:r>
              <w:rPr>
                <w:sz w:val="20"/>
                <w:szCs w:val="20"/>
              </w:rPr>
              <w:t>ХМАО,</w:t>
            </w:r>
          </w:p>
          <w:p w14:paraId="536C9D7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4922B30B">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5A82661C">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55566E35">
            <w:pPr>
              <w:spacing w:after="0" w:line="240" w:lineRule="auto"/>
              <w:ind w:firstLine="0"/>
              <w:jc w:val="center"/>
              <w:rPr>
                <w:sz w:val="20"/>
                <w:szCs w:val="20"/>
              </w:rPr>
            </w:pPr>
            <w:r>
              <w:rPr>
                <w:sz w:val="20"/>
                <w:szCs w:val="20"/>
              </w:rPr>
              <w:t>20</w:t>
            </w:r>
          </w:p>
          <w:p w14:paraId="54C11847">
            <w:pPr>
              <w:spacing w:after="0" w:line="240" w:lineRule="auto"/>
              <w:ind w:firstLine="0"/>
              <w:jc w:val="center"/>
              <w:rPr>
                <w:sz w:val="20"/>
                <w:szCs w:val="20"/>
              </w:rPr>
            </w:pPr>
            <w:r>
              <w:rPr>
                <w:sz w:val="20"/>
                <w:szCs w:val="20"/>
              </w:rPr>
              <w:t>20</w:t>
            </w:r>
          </w:p>
        </w:tc>
        <w:tc>
          <w:tcPr>
            <w:tcW w:w="774" w:type="pct"/>
            <w:gridSpan w:val="2"/>
            <w:tcMar>
              <w:left w:w="28" w:type="dxa"/>
              <w:right w:w="28" w:type="dxa"/>
            </w:tcMar>
            <w:vAlign w:val="center"/>
          </w:tcPr>
          <w:p w14:paraId="790CEE8C">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7EE243A4">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4867B27">
            <w:pPr>
              <w:spacing w:after="0" w:line="240" w:lineRule="auto"/>
              <w:ind w:firstLine="0"/>
              <w:jc w:val="center"/>
              <w:rPr>
                <w:sz w:val="20"/>
                <w:szCs w:val="20"/>
              </w:rPr>
            </w:pPr>
            <w:r>
              <w:rPr>
                <w:rFonts w:eastAsia="TimesNewRomanPSMT"/>
                <w:sz w:val="20"/>
                <w:szCs w:val="20"/>
              </w:rPr>
              <w:t>55483.58</w:t>
            </w:r>
          </w:p>
        </w:tc>
        <w:tc>
          <w:tcPr>
            <w:tcW w:w="456" w:type="pct"/>
            <w:gridSpan w:val="2"/>
            <w:tcMar>
              <w:left w:w="28" w:type="dxa"/>
              <w:right w:w="28" w:type="dxa"/>
            </w:tcMar>
            <w:vAlign w:val="center"/>
          </w:tcPr>
          <w:p w14:paraId="02C78604">
            <w:pPr>
              <w:spacing w:after="0" w:line="240" w:lineRule="auto"/>
              <w:ind w:firstLine="0"/>
              <w:jc w:val="center"/>
              <w:rPr>
                <w:sz w:val="20"/>
                <w:szCs w:val="20"/>
              </w:rPr>
            </w:pPr>
            <w:r>
              <w:rPr>
                <w:sz w:val="20"/>
                <w:szCs w:val="20"/>
              </w:rPr>
              <w:t>выведенные из эксплуатации в связи со сносом домов</w:t>
            </w:r>
          </w:p>
        </w:tc>
      </w:tr>
      <w:tr w14:paraId="26F95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01765D86">
            <w:pPr>
              <w:spacing w:after="0" w:line="240" w:lineRule="auto"/>
              <w:ind w:firstLine="0"/>
              <w:jc w:val="center"/>
              <w:rPr>
                <w:sz w:val="20"/>
                <w:szCs w:val="20"/>
              </w:rPr>
            </w:pPr>
            <w:r>
              <w:rPr>
                <w:sz w:val="20"/>
                <w:szCs w:val="20"/>
              </w:rPr>
              <w:t>23</w:t>
            </w:r>
          </w:p>
        </w:tc>
        <w:tc>
          <w:tcPr>
            <w:tcW w:w="924" w:type="pct"/>
            <w:tcMar>
              <w:left w:w="28" w:type="dxa"/>
              <w:right w:w="28" w:type="dxa"/>
            </w:tcMar>
            <w:vAlign w:val="center"/>
          </w:tcPr>
          <w:p w14:paraId="1B6A40AE">
            <w:pPr>
              <w:spacing w:after="0" w:line="240" w:lineRule="auto"/>
              <w:ind w:firstLine="0"/>
              <w:jc w:val="center"/>
              <w:rPr>
                <w:sz w:val="20"/>
                <w:szCs w:val="20"/>
              </w:rPr>
            </w:pPr>
            <w:r>
              <w:rPr>
                <w:sz w:val="20"/>
                <w:szCs w:val="20"/>
              </w:rPr>
              <w:t>Наружные сети теплоснабжения</w:t>
            </w:r>
          </w:p>
          <w:p w14:paraId="7AC71E0D">
            <w:pPr>
              <w:spacing w:after="0" w:line="240" w:lineRule="auto"/>
              <w:ind w:firstLine="0"/>
              <w:jc w:val="center"/>
              <w:rPr>
                <w:sz w:val="20"/>
                <w:szCs w:val="20"/>
              </w:rPr>
            </w:pPr>
            <w:r>
              <w:rPr>
                <w:sz w:val="20"/>
                <w:szCs w:val="20"/>
              </w:rPr>
              <w:t>От точки № 10 до точки Ввод 2 ж.д № 5</w:t>
            </w:r>
          </w:p>
          <w:p w14:paraId="41A3A5D3">
            <w:pPr>
              <w:spacing w:after="0" w:line="240" w:lineRule="auto"/>
              <w:ind w:firstLine="0"/>
              <w:jc w:val="center"/>
              <w:rPr>
                <w:sz w:val="20"/>
                <w:szCs w:val="20"/>
              </w:rPr>
            </w:pPr>
            <w:r>
              <w:rPr>
                <w:rFonts w:eastAsia="TimesNewRomanPSMT"/>
                <w:sz w:val="20"/>
                <w:szCs w:val="20"/>
              </w:rPr>
              <w:t>86:06:0020401:1291</w:t>
            </w:r>
          </w:p>
        </w:tc>
        <w:tc>
          <w:tcPr>
            <w:tcW w:w="215" w:type="pct"/>
            <w:tcMar>
              <w:left w:w="28" w:type="dxa"/>
              <w:right w:w="28" w:type="dxa"/>
            </w:tcMar>
            <w:vAlign w:val="center"/>
          </w:tcPr>
          <w:p w14:paraId="6687F2EC">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0AD1E0AE">
            <w:pPr>
              <w:spacing w:after="0" w:line="240" w:lineRule="auto"/>
              <w:ind w:firstLine="0"/>
              <w:jc w:val="center"/>
              <w:rPr>
                <w:sz w:val="20"/>
                <w:szCs w:val="20"/>
              </w:rPr>
            </w:pPr>
            <w:r>
              <w:rPr>
                <w:sz w:val="20"/>
                <w:szCs w:val="20"/>
              </w:rPr>
              <w:t>ХМАО,</w:t>
            </w:r>
          </w:p>
          <w:p w14:paraId="215C323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26721719">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4C3CF30B">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51EFCF5A">
            <w:pPr>
              <w:spacing w:after="0" w:line="240" w:lineRule="auto"/>
              <w:ind w:firstLine="0"/>
              <w:jc w:val="center"/>
              <w:rPr>
                <w:sz w:val="20"/>
                <w:szCs w:val="20"/>
              </w:rPr>
            </w:pPr>
            <w:r>
              <w:rPr>
                <w:sz w:val="20"/>
                <w:szCs w:val="20"/>
              </w:rPr>
              <w:t>8</w:t>
            </w:r>
          </w:p>
          <w:p w14:paraId="029A15F5">
            <w:pPr>
              <w:spacing w:after="0" w:line="240" w:lineRule="auto"/>
              <w:ind w:firstLine="0"/>
              <w:jc w:val="center"/>
              <w:rPr>
                <w:sz w:val="20"/>
                <w:szCs w:val="20"/>
              </w:rPr>
            </w:pPr>
            <w:r>
              <w:rPr>
                <w:sz w:val="20"/>
                <w:szCs w:val="20"/>
              </w:rPr>
              <w:t>8</w:t>
            </w:r>
          </w:p>
        </w:tc>
        <w:tc>
          <w:tcPr>
            <w:tcW w:w="774" w:type="pct"/>
            <w:gridSpan w:val="2"/>
            <w:tcMar>
              <w:left w:w="28" w:type="dxa"/>
              <w:right w:w="28" w:type="dxa"/>
            </w:tcMar>
            <w:vAlign w:val="center"/>
          </w:tcPr>
          <w:p w14:paraId="5A1BC887">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6AAD8A09">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2D7D7AB8">
            <w:pPr>
              <w:spacing w:after="0" w:line="240" w:lineRule="auto"/>
              <w:ind w:firstLine="0"/>
              <w:jc w:val="center"/>
              <w:rPr>
                <w:sz w:val="20"/>
                <w:szCs w:val="20"/>
              </w:rPr>
            </w:pPr>
            <w:r>
              <w:rPr>
                <w:rFonts w:eastAsia="TimesNewRomanPSMT"/>
                <w:sz w:val="20"/>
                <w:szCs w:val="20"/>
              </w:rPr>
              <w:t>22193.43</w:t>
            </w:r>
          </w:p>
        </w:tc>
        <w:tc>
          <w:tcPr>
            <w:tcW w:w="456" w:type="pct"/>
            <w:gridSpan w:val="2"/>
            <w:tcMar>
              <w:left w:w="28" w:type="dxa"/>
              <w:right w:w="28" w:type="dxa"/>
            </w:tcMar>
            <w:vAlign w:val="center"/>
          </w:tcPr>
          <w:p w14:paraId="23558669">
            <w:pPr>
              <w:spacing w:after="0" w:line="240" w:lineRule="auto"/>
              <w:ind w:firstLine="0"/>
              <w:jc w:val="center"/>
              <w:rPr>
                <w:sz w:val="20"/>
                <w:szCs w:val="20"/>
              </w:rPr>
            </w:pPr>
            <w:r>
              <w:rPr>
                <w:sz w:val="20"/>
                <w:szCs w:val="20"/>
              </w:rPr>
              <w:t>выведенные из эксплуатации в связи со сносом домов</w:t>
            </w:r>
          </w:p>
        </w:tc>
      </w:tr>
      <w:tr w14:paraId="1F8D1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B0DC9DF">
            <w:pPr>
              <w:spacing w:after="0" w:line="240" w:lineRule="auto"/>
              <w:ind w:firstLine="0"/>
              <w:jc w:val="center"/>
              <w:rPr>
                <w:sz w:val="20"/>
                <w:szCs w:val="20"/>
              </w:rPr>
            </w:pPr>
            <w:r>
              <w:rPr>
                <w:sz w:val="20"/>
                <w:szCs w:val="20"/>
              </w:rPr>
              <w:t>24</w:t>
            </w:r>
          </w:p>
        </w:tc>
        <w:tc>
          <w:tcPr>
            <w:tcW w:w="924" w:type="pct"/>
            <w:tcMar>
              <w:left w:w="28" w:type="dxa"/>
              <w:right w:w="28" w:type="dxa"/>
            </w:tcMar>
            <w:vAlign w:val="center"/>
          </w:tcPr>
          <w:p w14:paraId="755D76EC">
            <w:pPr>
              <w:spacing w:after="0" w:line="240" w:lineRule="auto"/>
              <w:ind w:firstLine="0"/>
              <w:jc w:val="center"/>
              <w:rPr>
                <w:sz w:val="20"/>
                <w:szCs w:val="20"/>
              </w:rPr>
            </w:pPr>
            <w:r>
              <w:rPr>
                <w:sz w:val="20"/>
                <w:szCs w:val="20"/>
              </w:rPr>
              <w:t>Наружные сети теплоснабжения</w:t>
            </w:r>
          </w:p>
          <w:p w14:paraId="6CF80B37">
            <w:pPr>
              <w:spacing w:after="0" w:line="240" w:lineRule="auto"/>
              <w:ind w:firstLine="0"/>
              <w:jc w:val="center"/>
              <w:rPr>
                <w:sz w:val="20"/>
                <w:szCs w:val="20"/>
              </w:rPr>
            </w:pPr>
            <w:r>
              <w:rPr>
                <w:sz w:val="20"/>
                <w:szCs w:val="20"/>
              </w:rPr>
              <w:t>От точки № 10 до точки № 11</w:t>
            </w:r>
          </w:p>
          <w:p w14:paraId="63BD246D">
            <w:pPr>
              <w:spacing w:after="0" w:line="240" w:lineRule="auto"/>
              <w:ind w:firstLine="0"/>
              <w:jc w:val="center"/>
              <w:rPr>
                <w:sz w:val="20"/>
                <w:szCs w:val="20"/>
              </w:rPr>
            </w:pPr>
            <w:r>
              <w:rPr>
                <w:rFonts w:eastAsia="TimesNewRomanPSMT"/>
                <w:sz w:val="20"/>
                <w:szCs w:val="20"/>
              </w:rPr>
              <w:t>86:06:0020401:1284</w:t>
            </w:r>
          </w:p>
        </w:tc>
        <w:tc>
          <w:tcPr>
            <w:tcW w:w="215" w:type="pct"/>
            <w:tcMar>
              <w:left w:w="28" w:type="dxa"/>
              <w:right w:w="28" w:type="dxa"/>
            </w:tcMar>
            <w:vAlign w:val="center"/>
          </w:tcPr>
          <w:p w14:paraId="53652095">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08D30A39">
            <w:pPr>
              <w:spacing w:after="0" w:line="240" w:lineRule="auto"/>
              <w:ind w:firstLine="0"/>
              <w:jc w:val="center"/>
              <w:rPr>
                <w:sz w:val="20"/>
                <w:szCs w:val="20"/>
              </w:rPr>
            </w:pPr>
            <w:r>
              <w:rPr>
                <w:sz w:val="20"/>
                <w:szCs w:val="20"/>
              </w:rPr>
              <w:t>ХМАО,</w:t>
            </w:r>
          </w:p>
          <w:p w14:paraId="791A78AE">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A5EE5D3">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001FB01F">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42E19458">
            <w:pPr>
              <w:spacing w:after="0" w:line="240" w:lineRule="auto"/>
              <w:ind w:firstLine="0"/>
              <w:jc w:val="center"/>
              <w:rPr>
                <w:sz w:val="20"/>
                <w:szCs w:val="20"/>
              </w:rPr>
            </w:pPr>
            <w:r>
              <w:rPr>
                <w:sz w:val="20"/>
                <w:szCs w:val="20"/>
              </w:rPr>
              <w:t>41</w:t>
            </w:r>
          </w:p>
          <w:p w14:paraId="3FADDFA1">
            <w:pPr>
              <w:spacing w:after="0" w:line="240" w:lineRule="auto"/>
              <w:ind w:firstLine="0"/>
              <w:jc w:val="center"/>
              <w:rPr>
                <w:sz w:val="20"/>
                <w:szCs w:val="20"/>
              </w:rPr>
            </w:pPr>
            <w:r>
              <w:rPr>
                <w:sz w:val="20"/>
                <w:szCs w:val="20"/>
              </w:rPr>
              <w:t>41</w:t>
            </w:r>
          </w:p>
        </w:tc>
        <w:tc>
          <w:tcPr>
            <w:tcW w:w="774" w:type="pct"/>
            <w:gridSpan w:val="2"/>
            <w:tcMar>
              <w:left w:w="28" w:type="dxa"/>
              <w:right w:w="28" w:type="dxa"/>
            </w:tcMar>
            <w:vAlign w:val="center"/>
          </w:tcPr>
          <w:p w14:paraId="238913BE">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54BBBD8E">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5DE43473">
            <w:pPr>
              <w:spacing w:after="0" w:line="240" w:lineRule="auto"/>
              <w:ind w:firstLine="0"/>
              <w:jc w:val="center"/>
              <w:rPr>
                <w:sz w:val="20"/>
                <w:szCs w:val="20"/>
              </w:rPr>
            </w:pPr>
            <w:r>
              <w:rPr>
                <w:rFonts w:eastAsia="TimesNewRomanPSMT"/>
                <w:sz w:val="20"/>
                <w:szCs w:val="20"/>
              </w:rPr>
              <w:t>113741.35</w:t>
            </w:r>
          </w:p>
        </w:tc>
        <w:tc>
          <w:tcPr>
            <w:tcW w:w="456" w:type="pct"/>
            <w:gridSpan w:val="2"/>
            <w:tcMar>
              <w:left w:w="28" w:type="dxa"/>
              <w:right w:w="28" w:type="dxa"/>
            </w:tcMar>
            <w:vAlign w:val="center"/>
          </w:tcPr>
          <w:p w14:paraId="77AAB043">
            <w:pPr>
              <w:spacing w:after="0" w:line="240" w:lineRule="auto"/>
              <w:ind w:firstLine="0"/>
              <w:jc w:val="center"/>
              <w:rPr>
                <w:sz w:val="20"/>
                <w:szCs w:val="20"/>
              </w:rPr>
            </w:pPr>
            <w:r>
              <w:rPr>
                <w:sz w:val="20"/>
                <w:szCs w:val="20"/>
              </w:rPr>
              <w:t>выведенные из эксплуатации в связи со сносом домов</w:t>
            </w:r>
          </w:p>
        </w:tc>
      </w:tr>
      <w:tr w14:paraId="70E35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D478766">
            <w:pPr>
              <w:spacing w:after="0" w:line="240" w:lineRule="auto"/>
              <w:ind w:firstLine="0"/>
              <w:jc w:val="center"/>
              <w:rPr>
                <w:sz w:val="20"/>
                <w:szCs w:val="20"/>
              </w:rPr>
            </w:pPr>
            <w:r>
              <w:rPr>
                <w:sz w:val="20"/>
                <w:szCs w:val="20"/>
              </w:rPr>
              <w:t>25</w:t>
            </w:r>
          </w:p>
        </w:tc>
        <w:tc>
          <w:tcPr>
            <w:tcW w:w="924" w:type="pct"/>
            <w:tcMar>
              <w:left w:w="28" w:type="dxa"/>
              <w:right w:w="28" w:type="dxa"/>
            </w:tcMar>
            <w:vAlign w:val="center"/>
          </w:tcPr>
          <w:p w14:paraId="4270EBCD">
            <w:pPr>
              <w:spacing w:after="0" w:line="240" w:lineRule="auto"/>
              <w:ind w:firstLine="0"/>
              <w:jc w:val="center"/>
              <w:rPr>
                <w:sz w:val="20"/>
                <w:szCs w:val="20"/>
              </w:rPr>
            </w:pPr>
            <w:r>
              <w:rPr>
                <w:sz w:val="20"/>
                <w:szCs w:val="20"/>
              </w:rPr>
              <w:t>Наружные сети теплоснабжения</w:t>
            </w:r>
          </w:p>
          <w:p w14:paraId="607A795A">
            <w:pPr>
              <w:spacing w:after="0" w:line="240" w:lineRule="auto"/>
              <w:ind w:firstLine="0"/>
              <w:jc w:val="center"/>
              <w:rPr>
                <w:sz w:val="20"/>
                <w:szCs w:val="20"/>
              </w:rPr>
            </w:pPr>
            <w:r>
              <w:rPr>
                <w:sz w:val="20"/>
                <w:szCs w:val="20"/>
              </w:rPr>
              <w:t>От точки № 11 до точки УПП, д.6</w:t>
            </w:r>
          </w:p>
          <w:p w14:paraId="67E77FAD">
            <w:pPr>
              <w:spacing w:after="0" w:line="240" w:lineRule="auto"/>
              <w:ind w:firstLine="0"/>
              <w:jc w:val="center"/>
              <w:rPr>
                <w:sz w:val="20"/>
                <w:szCs w:val="20"/>
              </w:rPr>
            </w:pPr>
            <w:r>
              <w:rPr>
                <w:rFonts w:eastAsia="TimesNewRomanPSMT"/>
                <w:sz w:val="20"/>
                <w:szCs w:val="20"/>
              </w:rPr>
              <w:t>86:06:0020401:1283</w:t>
            </w:r>
          </w:p>
        </w:tc>
        <w:tc>
          <w:tcPr>
            <w:tcW w:w="215" w:type="pct"/>
            <w:tcMar>
              <w:left w:w="28" w:type="dxa"/>
              <w:right w:w="28" w:type="dxa"/>
            </w:tcMar>
            <w:vAlign w:val="center"/>
          </w:tcPr>
          <w:p w14:paraId="4A44E80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07D6B31">
            <w:pPr>
              <w:spacing w:after="0" w:line="240" w:lineRule="auto"/>
              <w:ind w:firstLine="0"/>
              <w:jc w:val="center"/>
              <w:rPr>
                <w:sz w:val="20"/>
                <w:szCs w:val="20"/>
              </w:rPr>
            </w:pPr>
            <w:r>
              <w:rPr>
                <w:sz w:val="20"/>
                <w:szCs w:val="20"/>
              </w:rPr>
              <w:t>ХМАО,</w:t>
            </w:r>
          </w:p>
          <w:p w14:paraId="79ED1EB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5B69FC7C">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3F8658CB">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6BAC8163">
            <w:pPr>
              <w:spacing w:after="0" w:line="240" w:lineRule="auto"/>
              <w:ind w:firstLine="0"/>
              <w:jc w:val="center"/>
              <w:rPr>
                <w:sz w:val="20"/>
                <w:szCs w:val="20"/>
              </w:rPr>
            </w:pPr>
            <w:r>
              <w:rPr>
                <w:sz w:val="20"/>
                <w:szCs w:val="20"/>
              </w:rPr>
              <w:t>23</w:t>
            </w:r>
          </w:p>
          <w:p w14:paraId="78DF2762">
            <w:pPr>
              <w:spacing w:after="0" w:line="240" w:lineRule="auto"/>
              <w:ind w:firstLine="0"/>
              <w:jc w:val="center"/>
              <w:rPr>
                <w:sz w:val="20"/>
                <w:szCs w:val="20"/>
              </w:rPr>
            </w:pPr>
            <w:r>
              <w:rPr>
                <w:sz w:val="20"/>
                <w:szCs w:val="20"/>
              </w:rPr>
              <w:t>23</w:t>
            </w:r>
          </w:p>
        </w:tc>
        <w:tc>
          <w:tcPr>
            <w:tcW w:w="774" w:type="pct"/>
            <w:gridSpan w:val="2"/>
            <w:tcMar>
              <w:left w:w="28" w:type="dxa"/>
              <w:right w:w="28" w:type="dxa"/>
            </w:tcMar>
            <w:vAlign w:val="center"/>
          </w:tcPr>
          <w:p w14:paraId="51E33C3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2CADBAC">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32149146">
            <w:pPr>
              <w:spacing w:after="0" w:line="240" w:lineRule="auto"/>
              <w:ind w:firstLine="0"/>
              <w:jc w:val="center"/>
              <w:rPr>
                <w:sz w:val="20"/>
                <w:szCs w:val="20"/>
              </w:rPr>
            </w:pPr>
            <w:r>
              <w:rPr>
                <w:rFonts w:eastAsia="TimesNewRomanPSMT"/>
                <w:sz w:val="20"/>
                <w:szCs w:val="20"/>
              </w:rPr>
              <w:t>63806.12</w:t>
            </w:r>
          </w:p>
        </w:tc>
        <w:tc>
          <w:tcPr>
            <w:tcW w:w="456" w:type="pct"/>
            <w:gridSpan w:val="2"/>
            <w:tcMar>
              <w:left w:w="28" w:type="dxa"/>
              <w:right w:w="28" w:type="dxa"/>
            </w:tcMar>
            <w:vAlign w:val="center"/>
          </w:tcPr>
          <w:p w14:paraId="742CD2D9">
            <w:pPr>
              <w:spacing w:after="0" w:line="240" w:lineRule="auto"/>
              <w:ind w:firstLine="0"/>
              <w:jc w:val="center"/>
              <w:rPr>
                <w:sz w:val="20"/>
                <w:szCs w:val="20"/>
              </w:rPr>
            </w:pPr>
            <w:r>
              <w:rPr>
                <w:sz w:val="20"/>
                <w:szCs w:val="20"/>
              </w:rPr>
              <w:t>действующие сети</w:t>
            </w:r>
          </w:p>
        </w:tc>
      </w:tr>
      <w:tr w14:paraId="58ADB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DFB3B30">
            <w:pPr>
              <w:spacing w:after="0" w:line="240" w:lineRule="auto"/>
              <w:ind w:firstLine="0"/>
              <w:jc w:val="center"/>
              <w:rPr>
                <w:sz w:val="20"/>
                <w:szCs w:val="20"/>
              </w:rPr>
            </w:pPr>
            <w:r>
              <w:rPr>
                <w:sz w:val="20"/>
                <w:szCs w:val="20"/>
              </w:rPr>
              <w:t>26</w:t>
            </w:r>
          </w:p>
        </w:tc>
        <w:tc>
          <w:tcPr>
            <w:tcW w:w="924" w:type="pct"/>
            <w:tcMar>
              <w:left w:w="28" w:type="dxa"/>
              <w:right w:w="28" w:type="dxa"/>
            </w:tcMar>
            <w:vAlign w:val="center"/>
          </w:tcPr>
          <w:p w14:paraId="2E51A02B">
            <w:pPr>
              <w:spacing w:after="0" w:line="240" w:lineRule="auto"/>
              <w:ind w:firstLine="0"/>
              <w:jc w:val="center"/>
              <w:rPr>
                <w:sz w:val="20"/>
                <w:szCs w:val="20"/>
              </w:rPr>
            </w:pPr>
            <w:r>
              <w:rPr>
                <w:sz w:val="20"/>
                <w:szCs w:val="20"/>
              </w:rPr>
              <w:t>Наружные сети теплоснабжения</w:t>
            </w:r>
          </w:p>
          <w:p w14:paraId="534DA7CE">
            <w:pPr>
              <w:spacing w:after="0" w:line="240" w:lineRule="auto"/>
              <w:ind w:firstLine="0"/>
              <w:jc w:val="center"/>
              <w:rPr>
                <w:sz w:val="20"/>
                <w:szCs w:val="20"/>
              </w:rPr>
            </w:pPr>
            <w:r>
              <w:rPr>
                <w:sz w:val="20"/>
                <w:szCs w:val="20"/>
              </w:rPr>
              <w:t>От точки № 11 до точки № 12</w:t>
            </w:r>
          </w:p>
          <w:p w14:paraId="0CEBA0D5">
            <w:pPr>
              <w:spacing w:after="0" w:line="240" w:lineRule="auto"/>
              <w:ind w:firstLine="0"/>
              <w:jc w:val="center"/>
              <w:rPr>
                <w:sz w:val="20"/>
                <w:szCs w:val="20"/>
              </w:rPr>
            </w:pPr>
            <w:r>
              <w:rPr>
                <w:rFonts w:eastAsia="TimesNewRomanPSMT"/>
                <w:sz w:val="20"/>
                <w:szCs w:val="20"/>
              </w:rPr>
              <w:t>86:06:0020401:1282</w:t>
            </w:r>
          </w:p>
        </w:tc>
        <w:tc>
          <w:tcPr>
            <w:tcW w:w="215" w:type="pct"/>
            <w:tcMar>
              <w:left w:w="28" w:type="dxa"/>
              <w:right w:w="28" w:type="dxa"/>
            </w:tcMar>
            <w:vAlign w:val="center"/>
          </w:tcPr>
          <w:p w14:paraId="796A206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EB46089">
            <w:pPr>
              <w:spacing w:after="0" w:line="240" w:lineRule="auto"/>
              <w:ind w:firstLine="0"/>
              <w:jc w:val="center"/>
              <w:rPr>
                <w:sz w:val="20"/>
                <w:szCs w:val="20"/>
              </w:rPr>
            </w:pPr>
            <w:r>
              <w:rPr>
                <w:sz w:val="20"/>
                <w:szCs w:val="20"/>
              </w:rPr>
              <w:t>ХМАО,</w:t>
            </w:r>
          </w:p>
          <w:p w14:paraId="27297F2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502E4AF9">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50493B0C">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07AE9ED7">
            <w:pPr>
              <w:spacing w:after="0" w:line="240" w:lineRule="auto"/>
              <w:ind w:firstLine="0"/>
              <w:jc w:val="center"/>
              <w:rPr>
                <w:sz w:val="20"/>
                <w:szCs w:val="20"/>
              </w:rPr>
            </w:pPr>
            <w:r>
              <w:rPr>
                <w:sz w:val="20"/>
                <w:szCs w:val="20"/>
              </w:rPr>
              <w:t>47</w:t>
            </w:r>
          </w:p>
          <w:p w14:paraId="59233B19">
            <w:pPr>
              <w:spacing w:after="0" w:line="240" w:lineRule="auto"/>
              <w:ind w:firstLine="0"/>
              <w:jc w:val="center"/>
              <w:rPr>
                <w:sz w:val="20"/>
                <w:szCs w:val="20"/>
              </w:rPr>
            </w:pPr>
            <w:r>
              <w:rPr>
                <w:sz w:val="20"/>
                <w:szCs w:val="20"/>
              </w:rPr>
              <w:t>47</w:t>
            </w:r>
          </w:p>
        </w:tc>
        <w:tc>
          <w:tcPr>
            <w:tcW w:w="774" w:type="pct"/>
            <w:gridSpan w:val="2"/>
            <w:tcMar>
              <w:left w:w="28" w:type="dxa"/>
              <w:right w:w="28" w:type="dxa"/>
            </w:tcMar>
            <w:vAlign w:val="center"/>
          </w:tcPr>
          <w:p w14:paraId="5FCDC204">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63BA6790">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093F91EE">
            <w:pPr>
              <w:spacing w:after="0" w:line="240" w:lineRule="auto"/>
              <w:ind w:firstLine="0"/>
              <w:jc w:val="center"/>
              <w:rPr>
                <w:sz w:val="20"/>
                <w:szCs w:val="20"/>
              </w:rPr>
            </w:pPr>
            <w:r>
              <w:rPr>
                <w:rFonts w:eastAsia="TimesNewRomanPSMT"/>
                <w:sz w:val="20"/>
                <w:szCs w:val="20"/>
              </w:rPr>
              <w:t>130386.42</w:t>
            </w:r>
          </w:p>
        </w:tc>
        <w:tc>
          <w:tcPr>
            <w:tcW w:w="456" w:type="pct"/>
            <w:gridSpan w:val="2"/>
            <w:tcMar>
              <w:left w:w="28" w:type="dxa"/>
              <w:right w:w="28" w:type="dxa"/>
            </w:tcMar>
            <w:vAlign w:val="center"/>
          </w:tcPr>
          <w:p w14:paraId="53AFC743">
            <w:pPr>
              <w:spacing w:after="0" w:line="240" w:lineRule="auto"/>
              <w:ind w:firstLine="0"/>
              <w:jc w:val="center"/>
              <w:rPr>
                <w:sz w:val="20"/>
                <w:szCs w:val="20"/>
              </w:rPr>
            </w:pPr>
            <w:r>
              <w:rPr>
                <w:sz w:val="20"/>
                <w:szCs w:val="20"/>
              </w:rPr>
              <w:t>действующие сети</w:t>
            </w:r>
          </w:p>
        </w:tc>
      </w:tr>
      <w:tr w14:paraId="1AC25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516E5110">
            <w:pPr>
              <w:spacing w:after="0" w:line="240" w:lineRule="auto"/>
              <w:ind w:firstLine="0"/>
              <w:jc w:val="center"/>
              <w:rPr>
                <w:sz w:val="20"/>
                <w:szCs w:val="20"/>
              </w:rPr>
            </w:pPr>
            <w:r>
              <w:rPr>
                <w:sz w:val="20"/>
                <w:szCs w:val="20"/>
              </w:rPr>
              <w:t>27</w:t>
            </w:r>
          </w:p>
        </w:tc>
        <w:tc>
          <w:tcPr>
            <w:tcW w:w="924" w:type="pct"/>
            <w:tcMar>
              <w:left w:w="28" w:type="dxa"/>
              <w:right w:w="28" w:type="dxa"/>
            </w:tcMar>
            <w:vAlign w:val="center"/>
          </w:tcPr>
          <w:p w14:paraId="7F674851">
            <w:pPr>
              <w:spacing w:after="0" w:line="240" w:lineRule="auto"/>
              <w:ind w:firstLine="0"/>
              <w:jc w:val="center"/>
              <w:rPr>
                <w:sz w:val="20"/>
                <w:szCs w:val="20"/>
              </w:rPr>
            </w:pPr>
            <w:r>
              <w:rPr>
                <w:sz w:val="20"/>
                <w:szCs w:val="20"/>
              </w:rPr>
              <w:t>Наружные сети теплоснабжения</w:t>
            </w:r>
          </w:p>
          <w:p w14:paraId="1B37BCE5">
            <w:pPr>
              <w:spacing w:after="0" w:line="240" w:lineRule="auto"/>
              <w:ind w:firstLine="0"/>
              <w:jc w:val="center"/>
              <w:rPr>
                <w:sz w:val="20"/>
                <w:szCs w:val="20"/>
              </w:rPr>
            </w:pPr>
            <w:r>
              <w:rPr>
                <w:sz w:val="20"/>
                <w:szCs w:val="20"/>
              </w:rPr>
              <w:t>От точки №12 до точки м-н Северянка, д.7</w:t>
            </w:r>
          </w:p>
          <w:p w14:paraId="29BFE2D3">
            <w:pPr>
              <w:spacing w:after="0" w:line="240" w:lineRule="auto"/>
              <w:ind w:firstLine="0"/>
              <w:jc w:val="center"/>
              <w:rPr>
                <w:sz w:val="20"/>
                <w:szCs w:val="20"/>
              </w:rPr>
            </w:pPr>
            <w:r>
              <w:rPr>
                <w:rFonts w:eastAsia="TimesNewRomanPSMT"/>
                <w:sz w:val="20"/>
                <w:szCs w:val="20"/>
              </w:rPr>
              <w:t>86:06:0020401:1290</w:t>
            </w:r>
          </w:p>
        </w:tc>
        <w:tc>
          <w:tcPr>
            <w:tcW w:w="215" w:type="pct"/>
            <w:tcMar>
              <w:left w:w="28" w:type="dxa"/>
              <w:right w:w="28" w:type="dxa"/>
            </w:tcMar>
            <w:vAlign w:val="center"/>
          </w:tcPr>
          <w:p w14:paraId="1CEFA31B">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754C5987">
            <w:pPr>
              <w:spacing w:after="0" w:line="240" w:lineRule="auto"/>
              <w:ind w:firstLine="0"/>
              <w:jc w:val="center"/>
              <w:rPr>
                <w:sz w:val="20"/>
                <w:szCs w:val="20"/>
              </w:rPr>
            </w:pPr>
            <w:r>
              <w:rPr>
                <w:sz w:val="20"/>
                <w:szCs w:val="20"/>
              </w:rPr>
              <w:t>ХМАО,</w:t>
            </w:r>
          </w:p>
          <w:p w14:paraId="47A57683">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5255E43E">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6FA4300A">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17799956">
            <w:pPr>
              <w:spacing w:after="0" w:line="240" w:lineRule="auto"/>
              <w:ind w:firstLine="0"/>
              <w:jc w:val="center"/>
              <w:rPr>
                <w:sz w:val="20"/>
                <w:szCs w:val="20"/>
              </w:rPr>
            </w:pPr>
            <w:r>
              <w:rPr>
                <w:sz w:val="20"/>
                <w:szCs w:val="20"/>
              </w:rPr>
              <w:t>20</w:t>
            </w:r>
          </w:p>
          <w:p w14:paraId="0FAA123A">
            <w:pPr>
              <w:spacing w:after="0" w:line="240" w:lineRule="auto"/>
              <w:ind w:firstLine="0"/>
              <w:jc w:val="center"/>
              <w:rPr>
                <w:sz w:val="20"/>
                <w:szCs w:val="20"/>
              </w:rPr>
            </w:pPr>
            <w:r>
              <w:rPr>
                <w:sz w:val="20"/>
                <w:szCs w:val="20"/>
              </w:rPr>
              <w:t>20</w:t>
            </w:r>
          </w:p>
        </w:tc>
        <w:tc>
          <w:tcPr>
            <w:tcW w:w="774" w:type="pct"/>
            <w:gridSpan w:val="2"/>
            <w:tcMar>
              <w:left w:w="28" w:type="dxa"/>
              <w:right w:w="28" w:type="dxa"/>
            </w:tcMar>
            <w:vAlign w:val="center"/>
          </w:tcPr>
          <w:p w14:paraId="31DF07B8">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5D7918D">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5C91B3FC">
            <w:pPr>
              <w:spacing w:after="0" w:line="240" w:lineRule="auto"/>
              <w:ind w:firstLine="0"/>
              <w:jc w:val="center"/>
              <w:rPr>
                <w:sz w:val="20"/>
                <w:szCs w:val="20"/>
              </w:rPr>
            </w:pPr>
            <w:r>
              <w:rPr>
                <w:rFonts w:eastAsia="TimesNewRomanPSMT"/>
                <w:sz w:val="20"/>
                <w:szCs w:val="20"/>
              </w:rPr>
              <w:t>55483.58</w:t>
            </w:r>
          </w:p>
        </w:tc>
        <w:tc>
          <w:tcPr>
            <w:tcW w:w="456" w:type="pct"/>
            <w:gridSpan w:val="2"/>
            <w:tcMar>
              <w:left w:w="28" w:type="dxa"/>
              <w:right w:w="28" w:type="dxa"/>
            </w:tcMar>
            <w:vAlign w:val="center"/>
          </w:tcPr>
          <w:p w14:paraId="47C55476">
            <w:pPr>
              <w:spacing w:after="0" w:line="240" w:lineRule="auto"/>
              <w:ind w:firstLine="0"/>
              <w:jc w:val="center"/>
              <w:rPr>
                <w:sz w:val="20"/>
                <w:szCs w:val="20"/>
              </w:rPr>
            </w:pPr>
            <w:r>
              <w:rPr>
                <w:sz w:val="20"/>
                <w:szCs w:val="20"/>
              </w:rPr>
              <w:t>действующие сети</w:t>
            </w:r>
          </w:p>
        </w:tc>
      </w:tr>
      <w:tr w14:paraId="06E88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4EC0D206">
            <w:pPr>
              <w:spacing w:after="0" w:line="240" w:lineRule="auto"/>
              <w:ind w:firstLine="0"/>
              <w:jc w:val="center"/>
              <w:rPr>
                <w:sz w:val="20"/>
                <w:szCs w:val="20"/>
              </w:rPr>
            </w:pPr>
            <w:r>
              <w:rPr>
                <w:sz w:val="20"/>
                <w:szCs w:val="20"/>
              </w:rPr>
              <w:t>28</w:t>
            </w:r>
          </w:p>
        </w:tc>
        <w:tc>
          <w:tcPr>
            <w:tcW w:w="924" w:type="pct"/>
            <w:tcMar>
              <w:left w:w="28" w:type="dxa"/>
              <w:right w:w="28" w:type="dxa"/>
            </w:tcMar>
            <w:vAlign w:val="center"/>
          </w:tcPr>
          <w:p w14:paraId="7498C9E7">
            <w:pPr>
              <w:spacing w:after="0" w:line="240" w:lineRule="auto"/>
              <w:ind w:firstLine="0"/>
              <w:jc w:val="center"/>
              <w:rPr>
                <w:sz w:val="20"/>
                <w:szCs w:val="20"/>
              </w:rPr>
            </w:pPr>
            <w:r>
              <w:rPr>
                <w:sz w:val="20"/>
                <w:szCs w:val="20"/>
              </w:rPr>
              <w:t>Наружные сети теплоснабжения</w:t>
            </w:r>
          </w:p>
          <w:p w14:paraId="254E0C89">
            <w:pPr>
              <w:spacing w:after="0" w:line="240" w:lineRule="auto"/>
              <w:ind w:firstLine="0"/>
              <w:jc w:val="center"/>
              <w:rPr>
                <w:sz w:val="20"/>
                <w:szCs w:val="20"/>
              </w:rPr>
            </w:pPr>
            <w:r>
              <w:rPr>
                <w:sz w:val="20"/>
                <w:szCs w:val="20"/>
              </w:rPr>
              <w:t>От точки М-н Северянка, д.7 до точки Овощехранилище, д.11</w:t>
            </w:r>
          </w:p>
          <w:p w14:paraId="610262B9">
            <w:pPr>
              <w:spacing w:after="0" w:line="240" w:lineRule="auto"/>
              <w:ind w:firstLine="0"/>
              <w:jc w:val="center"/>
              <w:rPr>
                <w:sz w:val="20"/>
                <w:szCs w:val="20"/>
              </w:rPr>
            </w:pPr>
            <w:r>
              <w:rPr>
                <w:rFonts w:eastAsia="TimesNewRomanPSMT"/>
                <w:sz w:val="20"/>
                <w:szCs w:val="20"/>
              </w:rPr>
              <w:t>86:06:0020401:1281</w:t>
            </w:r>
          </w:p>
        </w:tc>
        <w:tc>
          <w:tcPr>
            <w:tcW w:w="215" w:type="pct"/>
            <w:tcMar>
              <w:left w:w="28" w:type="dxa"/>
              <w:right w:w="28" w:type="dxa"/>
            </w:tcMar>
            <w:vAlign w:val="center"/>
          </w:tcPr>
          <w:p w14:paraId="4F52EBE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1FBAB48">
            <w:pPr>
              <w:spacing w:after="0" w:line="240" w:lineRule="auto"/>
              <w:ind w:firstLine="0"/>
              <w:jc w:val="center"/>
              <w:rPr>
                <w:sz w:val="20"/>
                <w:szCs w:val="20"/>
              </w:rPr>
            </w:pPr>
            <w:r>
              <w:rPr>
                <w:sz w:val="20"/>
                <w:szCs w:val="20"/>
              </w:rPr>
              <w:t>ХМАО,</w:t>
            </w:r>
          </w:p>
          <w:p w14:paraId="0463A04F">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4389DBE">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- 50</w:t>
            </w:r>
          </w:p>
          <w:p w14:paraId="7F7B4D3E">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- 42</w:t>
            </w:r>
          </w:p>
        </w:tc>
        <w:tc>
          <w:tcPr>
            <w:tcW w:w="466" w:type="pct"/>
            <w:gridSpan w:val="2"/>
            <w:tcMar>
              <w:left w:w="28" w:type="dxa"/>
              <w:right w:w="28" w:type="dxa"/>
            </w:tcMar>
            <w:vAlign w:val="center"/>
          </w:tcPr>
          <w:p w14:paraId="0CDEDBD1">
            <w:pPr>
              <w:spacing w:after="0" w:line="240" w:lineRule="auto"/>
              <w:ind w:firstLine="0"/>
              <w:jc w:val="center"/>
              <w:rPr>
                <w:sz w:val="20"/>
                <w:szCs w:val="20"/>
              </w:rPr>
            </w:pPr>
            <w:r>
              <w:rPr>
                <w:sz w:val="20"/>
                <w:szCs w:val="20"/>
              </w:rPr>
              <w:t>21</w:t>
            </w:r>
          </w:p>
          <w:p w14:paraId="2E405B68">
            <w:pPr>
              <w:spacing w:after="0" w:line="240" w:lineRule="auto"/>
              <w:ind w:firstLine="0"/>
              <w:jc w:val="center"/>
              <w:rPr>
                <w:sz w:val="20"/>
                <w:szCs w:val="20"/>
              </w:rPr>
            </w:pPr>
            <w:r>
              <w:rPr>
                <w:sz w:val="20"/>
                <w:szCs w:val="20"/>
              </w:rPr>
              <w:t>21</w:t>
            </w:r>
          </w:p>
        </w:tc>
        <w:tc>
          <w:tcPr>
            <w:tcW w:w="774" w:type="pct"/>
            <w:gridSpan w:val="2"/>
            <w:tcMar>
              <w:left w:w="28" w:type="dxa"/>
              <w:right w:w="28" w:type="dxa"/>
            </w:tcMar>
            <w:vAlign w:val="center"/>
          </w:tcPr>
          <w:p w14:paraId="266FE689">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463C424">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82746F4">
            <w:pPr>
              <w:spacing w:after="0" w:line="240" w:lineRule="auto"/>
              <w:ind w:firstLine="0"/>
              <w:jc w:val="center"/>
              <w:rPr>
                <w:sz w:val="20"/>
                <w:szCs w:val="20"/>
              </w:rPr>
            </w:pPr>
            <w:r>
              <w:rPr>
                <w:rFonts w:eastAsia="TimesNewRomanPSMT"/>
                <w:sz w:val="20"/>
                <w:szCs w:val="20"/>
              </w:rPr>
              <w:t>58257.76</w:t>
            </w:r>
          </w:p>
        </w:tc>
        <w:tc>
          <w:tcPr>
            <w:tcW w:w="456" w:type="pct"/>
            <w:gridSpan w:val="2"/>
            <w:tcMar>
              <w:left w:w="28" w:type="dxa"/>
              <w:right w:w="28" w:type="dxa"/>
            </w:tcMar>
            <w:vAlign w:val="center"/>
          </w:tcPr>
          <w:p w14:paraId="51D0B034">
            <w:pPr>
              <w:spacing w:after="0" w:line="240" w:lineRule="auto"/>
              <w:ind w:firstLine="0"/>
              <w:jc w:val="center"/>
              <w:rPr>
                <w:sz w:val="20"/>
                <w:szCs w:val="20"/>
              </w:rPr>
            </w:pPr>
            <w:r>
              <w:rPr>
                <w:sz w:val="20"/>
                <w:szCs w:val="20"/>
              </w:rPr>
              <w:t>действующие сети</w:t>
            </w:r>
          </w:p>
        </w:tc>
      </w:tr>
      <w:tr w14:paraId="57E50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5EA1D43D">
            <w:pPr>
              <w:spacing w:after="0" w:line="240" w:lineRule="auto"/>
              <w:ind w:firstLine="0"/>
              <w:jc w:val="center"/>
              <w:rPr>
                <w:sz w:val="20"/>
                <w:szCs w:val="20"/>
              </w:rPr>
            </w:pPr>
            <w:r>
              <w:rPr>
                <w:sz w:val="20"/>
                <w:szCs w:val="20"/>
              </w:rPr>
              <w:t>29</w:t>
            </w:r>
          </w:p>
        </w:tc>
        <w:tc>
          <w:tcPr>
            <w:tcW w:w="924" w:type="pct"/>
            <w:tcMar>
              <w:left w:w="28" w:type="dxa"/>
              <w:right w:w="28" w:type="dxa"/>
            </w:tcMar>
            <w:vAlign w:val="center"/>
          </w:tcPr>
          <w:p w14:paraId="3503A122">
            <w:pPr>
              <w:spacing w:after="0" w:line="240" w:lineRule="auto"/>
              <w:ind w:firstLine="0"/>
              <w:jc w:val="center"/>
              <w:rPr>
                <w:sz w:val="20"/>
                <w:szCs w:val="20"/>
              </w:rPr>
            </w:pPr>
            <w:r>
              <w:rPr>
                <w:sz w:val="20"/>
                <w:szCs w:val="20"/>
              </w:rPr>
              <w:t>Наружные сети теплоснабжения</w:t>
            </w:r>
          </w:p>
          <w:p w14:paraId="7F6E8424">
            <w:pPr>
              <w:spacing w:after="0" w:line="240" w:lineRule="auto"/>
              <w:ind w:firstLine="0"/>
              <w:jc w:val="center"/>
              <w:rPr>
                <w:sz w:val="20"/>
                <w:szCs w:val="20"/>
              </w:rPr>
            </w:pPr>
            <w:r>
              <w:rPr>
                <w:sz w:val="20"/>
                <w:szCs w:val="20"/>
              </w:rPr>
              <w:t>От точки № 12 до точки Детский дворовый клуб, д.8</w:t>
            </w:r>
          </w:p>
          <w:p w14:paraId="75D45B47">
            <w:pPr>
              <w:spacing w:after="0" w:line="240" w:lineRule="auto"/>
              <w:ind w:firstLine="0"/>
              <w:jc w:val="center"/>
              <w:rPr>
                <w:sz w:val="20"/>
                <w:szCs w:val="20"/>
              </w:rPr>
            </w:pPr>
            <w:r>
              <w:rPr>
                <w:rFonts w:eastAsia="TimesNewRomanPSMT"/>
                <w:sz w:val="20"/>
                <w:szCs w:val="20"/>
              </w:rPr>
              <w:t>86:06:0020401:1279</w:t>
            </w:r>
          </w:p>
        </w:tc>
        <w:tc>
          <w:tcPr>
            <w:tcW w:w="215" w:type="pct"/>
            <w:tcMar>
              <w:left w:w="28" w:type="dxa"/>
              <w:right w:w="28" w:type="dxa"/>
            </w:tcMar>
            <w:vAlign w:val="center"/>
          </w:tcPr>
          <w:p w14:paraId="6DA9FE3E">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7D1A3845">
            <w:pPr>
              <w:spacing w:after="0" w:line="240" w:lineRule="auto"/>
              <w:ind w:firstLine="0"/>
              <w:jc w:val="center"/>
              <w:rPr>
                <w:sz w:val="20"/>
                <w:szCs w:val="20"/>
              </w:rPr>
            </w:pPr>
            <w:r>
              <w:rPr>
                <w:sz w:val="20"/>
                <w:szCs w:val="20"/>
              </w:rPr>
              <w:t>ХМАО,</w:t>
            </w:r>
          </w:p>
          <w:p w14:paraId="240FCAC7">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3E12AFC">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44711C9B">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58E1E605">
            <w:pPr>
              <w:spacing w:after="0" w:line="240" w:lineRule="auto"/>
              <w:ind w:firstLine="0"/>
              <w:jc w:val="center"/>
              <w:rPr>
                <w:sz w:val="20"/>
                <w:szCs w:val="20"/>
              </w:rPr>
            </w:pPr>
            <w:r>
              <w:rPr>
                <w:sz w:val="20"/>
                <w:szCs w:val="20"/>
              </w:rPr>
              <w:t>28</w:t>
            </w:r>
          </w:p>
          <w:p w14:paraId="52FBC195">
            <w:pPr>
              <w:spacing w:after="0" w:line="240" w:lineRule="auto"/>
              <w:ind w:firstLine="0"/>
              <w:jc w:val="center"/>
              <w:rPr>
                <w:sz w:val="20"/>
                <w:szCs w:val="20"/>
              </w:rPr>
            </w:pPr>
            <w:r>
              <w:rPr>
                <w:sz w:val="20"/>
                <w:szCs w:val="20"/>
              </w:rPr>
              <w:t>28</w:t>
            </w:r>
          </w:p>
        </w:tc>
        <w:tc>
          <w:tcPr>
            <w:tcW w:w="774" w:type="pct"/>
            <w:gridSpan w:val="2"/>
            <w:tcMar>
              <w:left w:w="28" w:type="dxa"/>
              <w:right w:w="28" w:type="dxa"/>
            </w:tcMar>
            <w:vAlign w:val="center"/>
          </w:tcPr>
          <w:p w14:paraId="67059A77">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605EBEE">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6A8A594">
            <w:pPr>
              <w:spacing w:after="0" w:line="240" w:lineRule="auto"/>
              <w:ind w:firstLine="0"/>
              <w:jc w:val="center"/>
              <w:rPr>
                <w:sz w:val="20"/>
                <w:szCs w:val="20"/>
              </w:rPr>
            </w:pPr>
            <w:r>
              <w:rPr>
                <w:rFonts w:eastAsia="TimesNewRomanPSMT"/>
                <w:sz w:val="20"/>
                <w:szCs w:val="20"/>
              </w:rPr>
              <w:t>77677.02</w:t>
            </w:r>
          </w:p>
        </w:tc>
        <w:tc>
          <w:tcPr>
            <w:tcW w:w="456" w:type="pct"/>
            <w:gridSpan w:val="2"/>
            <w:tcMar>
              <w:left w:w="28" w:type="dxa"/>
              <w:right w:w="28" w:type="dxa"/>
            </w:tcMar>
            <w:vAlign w:val="center"/>
          </w:tcPr>
          <w:p w14:paraId="48980C49">
            <w:pPr>
              <w:spacing w:after="0" w:line="240" w:lineRule="auto"/>
              <w:ind w:firstLine="0"/>
              <w:jc w:val="center"/>
              <w:rPr>
                <w:sz w:val="20"/>
                <w:szCs w:val="20"/>
              </w:rPr>
            </w:pPr>
            <w:r>
              <w:rPr>
                <w:sz w:val="20"/>
                <w:szCs w:val="20"/>
              </w:rPr>
              <w:t>действующие сети</w:t>
            </w:r>
          </w:p>
        </w:tc>
      </w:tr>
      <w:tr w14:paraId="3B797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06652302">
            <w:pPr>
              <w:spacing w:after="0" w:line="240" w:lineRule="auto"/>
              <w:ind w:firstLine="0"/>
              <w:jc w:val="center"/>
              <w:rPr>
                <w:sz w:val="20"/>
                <w:szCs w:val="20"/>
              </w:rPr>
            </w:pPr>
            <w:r>
              <w:rPr>
                <w:sz w:val="20"/>
                <w:szCs w:val="20"/>
              </w:rPr>
              <w:t>30</w:t>
            </w:r>
          </w:p>
        </w:tc>
        <w:tc>
          <w:tcPr>
            <w:tcW w:w="924" w:type="pct"/>
            <w:tcMar>
              <w:left w:w="28" w:type="dxa"/>
              <w:right w:w="28" w:type="dxa"/>
            </w:tcMar>
            <w:vAlign w:val="center"/>
          </w:tcPr>
          <w:p w14:paraId="468E9D9C">
            <w:pPr>
              <w:spacing w:after="0" w:line="240" w:lineRule="auto"/>
              <w:ind w:firstLine="0"/>
              <w:jc w:val="center"/>
              <w:rPr>
                <w:sz w:val="20"/>
                <w:szCs w:val="20"/>
              </w:rPr>
            </w:pPr>
            <w:r>
              <w:rPr>
                <w:sz w:val="20"/>
                <w:szCs w:val="20"/>
              </w:rPr>
              <w:t>Наружные сети теплоснабжения</w:t>
            </w:r>
          </w:p>
          <w:p w14:paraId="3016DABC">
            <w:pPr>
              <w:spacing w:after="0" w:line="240" w:lineRule="auto"/>
              <w:ind w:firstLine="0"/>
              <w:jc w:val="center"/>
              <w:rPr>
                <w:sz w:val="20"/>
                <w:szCs w:val="20"/>
              </w:rPr>
            </w:pPr>
            <w:r>
              <w:rPr>
                <w:sz w:val="20"/>
                <w:szCs w:val="20"/>
              </w:rPr>
              <w:t>От точки № 12до точки № 13</w:t>
            </w:r>
          </w:p>
          <w:p w14:paraId="090320D1">
            <w:pPr>
              <w:spacing w:after="0" w:line="240" w:lineRule="auto"/>
              <w:ind w:firstLine="0"/>
              <w:jc w:val="center"/>
              <w:rPr>
                <w:sz w:val="20"/>
                <w:szCs w:val="20"/>
              </w:rPr>
            </w:pPr>
            <w:r>
              <w:rPr>
                <w:rFonts w:eastAsia="TimesNewRomanPSMT"/>
                <w:sz w:val="20"/>
                <w:szCs w:val="20"/>
              </w:rPr>
              <w:t>86:06:0020401:1287</w:t>
            </w:r>
          </w:p>
        </w:tc>
        <w:tc>
          <w:tcPr>
            <w:tcW w:w="215" w:type="pct"/>
            <w:tcMar>
              <w:left w:w="28" w:type="dxa"/>
              <w:right w:w="28" w:type="dxa"/>
            </w:tcMar>
            <w:vAlign w:val="center"/>
          </w:tcPr>
          <w:p w14:paraId="3224B2E9">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BE69252">
            <w:pPr>
              <w:spacing w:after="0" w:line="240" w:lineRule="auto"/>
              <w:ind w:firstLine="0"/>
              <w:jc w:val="center"/>
              <w:rPr>
                <w:sz w:val="20"/>
                <w:szCs w:val="20"/>
              </w:rPr>
            </w:pPr>
            <w:r>
              <w:rPr>
                <w:sz w:val="20"/>
                <w:szCs w:val="20"/>
              </w:rPr>
              <w:t>ХМАО,</w:t>
            </w:r>
          </w:p>
          <w:p w14:paraId="033724C4">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40E35DC">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6CD699B3">
            <w:pPr>
              <w:spacing w:after="0" w:line="240" w:lineRule="auto"/>
              <w:ind w:firstLine="0"/>
              <w:jc w:val="center"/>
              <w:rPr>
                <w:sz w:val="20"/>
                <w:szCs w:val="20"/>
              </w:rPr>
            </w:pPr>
            <w:r>
              <w:rPr>
                <w:sz w:val="20"/>
                <w:szCs w:val="20"/>
              </w:rPr>
              <w:t>Т</w:t>
            </w:r>
            <w:r>
              <w:rPr>
                <w:sz w:val="20"/>
                <w:szCs w:val="20"/>
                <w:vertAlign w:val="subscript"/>
              </w:rPr>
              <w:t xml:space="preserve"> 2</w:t>
            </w:r>
            <w:r>
              <w:rPr>
                <w:sz w:val="20"/>
                <w:szCs w:val="20"/>
              </w:rPr>
              <w:t>- 57</w:t>
            </w:r>
          </w:p>
        </w:tc>
        <w:tc>
          <w:tcPr>
            <w:tcW w:w="466" w:type="pct"/>
            <w:gridSpan w:val="2"/>
            <w:tcMar>
              <w:left w:w="28" w:type="dxa"/>
              <w:right w:w="28" w:type="dxa"/>
            </w:tcMar>
            <w:vAlign w:val="center"/>
          </w:tcPr>
          <w:p w14:paraId="000ED384">
            <w:pPr>
              <w:spacing w:after="0" w:line="240" w:lineRule="auto"/>
              <w:ind w:firstLine="0"/>
              <w:jc w:val="center"/>
              <w:rPr>
                <w:sz w:val="20"/>
                <w:szCs w:val="20"/>
              </w:rPr>
            </w:pPr>
            <w:r>
              <w:rPr>
                <w:sz w:val="20"/>
                <w:szCs w:val="20"/>
              </w:rPr>
              <w:t>12</w:t>
            </w:r>
          </w:p>
          <w:p w14:paraId="650E775E">
            <w:pPr>
              <w:spacing w:after="0" w:line="240" w:lineRule="auto"/>
              <w:ind w:firstLine="0"/>
              <w:jc w:val="center"/>
              <w:rPr>
                <w:sz w:val="20"/>
                <w:szCs w:val="20"/>
              </w:rPr>
            </w:pPr>
            <w:r>
              <w:rPr>
                <w:sz w:val="20"/>
                <w:szCs w:val="20"/>
              </w:rPr>
              <w:t>12</w:t>
            </w:r>
          </w:p>
        </w:tc>
        <w:tc>
          <w:tcPr>
            <w:tcW w:w="774" w:type="pct"/>
            <w:gridSpan w:val="2"/>
            <w:tcMar>
              <w:left w:w="28" w:type="dxa"/>
              <w:right w:w="28" w:type="dxa"/>
            </w:tcMar>
            <w:vAlign w:val="center"/>
          </w:tcPr>
          <w:p w14:paraId="0764A36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08059138">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0C4442E7">
            <w:pPr>
              <w:spacing w:after="0" w:line="240" w:lineRule="auto"/>
              <w:ind w:firstLine="0"/>
              <w:jc w:val="center"/>
              <w:rPr>
                <w:sz w:val="20"/>
                <w:szCs w:val="20"/>
              </w:rPr>
            </w:pPr>
            <w:r>
              <w:rPr>
                <w:rFonts w:eastAsia="TimesNewRomanPSMT"/>
                <w:sz w:val="20"/>
                <w:szCs w:val="20"/>
              </w:rPr>
              <w:t>33290.15</w:t>
            </w:r>
          </w:p>
        </w:tc>
        <w:tc>
          <w:tcPr>
            <w:tcW w:w="456" w:type="pct"/>
            <w:gridSpan w:val="2"/>
            <w:tcMar>
              <w:left w:w="28" w:type="dxa"/>
              <w:right w:w="28" w:type="dxa"/>
            </w:tcMar>
            <w:vAlign w:val="center"/>
          </w:tcPr>
          <w:p w14:paraId="37BC66B3">
            <w:pPr>
              <w:spacing w:after="0" w:line="240" w:lineRule="auto"/>
              <w:ind w:firstLine="0"/>
              <w:jc w:val="center"/>
              <w:rPr>
                <w:sz w:val="20"/>
                <w:szCs w:val="20"/>
              </w:rPr>
            </w:pPr>
            <w:r>
              <w:rPr>
                <w:sz w:val="20"/>
                <w:szCs w:val="20"/>
              </w:rPr>
              <w:t>действующие сети</w:t>
            </w:r>
          </w:p>
        </w:tc>
      </w:tr>
      <w:tr w14:paraId="09C6A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53DF8023">
            <w:pPr>
              <w:spacing w:after="0" w:line="240" w:lineRule="auto"/>
              <w:ind w:firstLine="0"/>
              <w:jc w:val="center"/>
              <w:rPr>
                <w:sz w:val="20"/>
                <w:szCs w:val="20"/>
              </w:rPr>
            </w:pPr>
            <w:r>
              <w:rPr>
                <w:sz w:val="20"/>
                <w:szCs w:val="20"/>
              </w:rPr>
              <w:t>31</w:t>
            </w:r>
          </w:p>
        </w:tc>
        <w:tc>
          <w:tcPr>
            <w:tcW w:w="924" w:type="pct"/>
            <w:tcMar>
              <w:left w:w="28" w:type="dxa"/>
              <w:right w:w="28" w:type="dxa"/>
            </w:tcMar>
            <w:vAlign w:val="center"/>
          </w:tcPr>
          <w:p w14:paraId="2CA2F2ED">
            <w:pPr>
              <w:spacing w:after="0" w:line="240" w:lineRule="auto"/>
              <w:ind w:firstLine="0"/>
              <w:jc w:val="center"/>
              <w:rPr>
                <w:sz w:val="20"/>
                <w:szCs w:val="20"/>
              </w:rPr>
            </w:pPr>
            <w:r>
              <w:rPr>
                <w:sz w:val="20"/>
                <w:szCs w:val="20"/>
              </w:rPr>
              <w:t>Наружные сети теплоснабжения</w:t>
            </w:r>
          </w:p>
          <w:p w14:paraId="2253B98E">
            <w:pPr>
              <w:spacing w:after="0" w:line="240" w:lineRule="auto"/>
              <w:ind w:firstLine="0"/>
              <w:jc w:val="center"/>
              <w:rPr>
                <w:sz w:val="20"/>
                <w:szCs w:val="20"/>
              </w:rPr>
            </w:pPr>
            <w:r>
              <w:rPr>
                <w:sz w:val="20"/>
                <w:szCs w:val="20"/>
              </w:rPr>
              <w:t>От точки № 13до точки Пекарня, д.9</w:t>
            </w:r>
          </w:p>
          <w:p w14:paraId="5D3B5D71">
            <w:pPr>
              <w:spacing w:after="0" w:line="240" w:lineRule="auto"/>
              <w:ind w:firstLine="0"/>
              <w:jc w:val="center"/>
              <w:rPr>
                <w:sz w:val="20"/>
                <w:szCs w:val="20"/>
              </w:rPr>
            </w:pPr>
            <w:r>
              <w:rPr>
                <w:rFonts w:eastAsia="TimesNewRomanPSMT"/>
                <w:sz w:val="20"/>
                <w:szCs w:val="20"/>
              </w:rPr>
              <w:t>86:06:0020401:1300</w:t>
            </w:r>
          </w:p>
        </w:tc>
        <w:tc>
          <w:tcPr>
            <w:tcW w:w="215" w:type="pct"/>
            <w:tcMar>
              <w:left w:w="28" w:type="dxa"/>
              <w:right w:w="28" w:type="dxa"/>
            </w:tcMar>
            <w:vAlign w:val="center"/>
          </w:tcPr>
          <w:p w14:paraId="0B046B49">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FB1CAD1">
            <w:pPr>
              <w:spacing w:after="0" w:line="240" w:lineRule="auto"/>
              <w:ind w:firstLine="0"/>
              <w:jc w:val="center"/>
              <w:rPr>
                <w:sz w:val="20"/>
                <w:szCs w:val="20"/>
              </w:rPr>
            </w:pPr>
            <w:r>
              <w:rPr>
                <w:sz w:val="20"/>
                <w:szCs w:val="20"/>
              </w:rPr>
              <w:t>ХМАО,</w:t>
            </w:r>
          </w:p>
          <w:p w14:paraId="4CE1329A">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51776E5">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3BD586D2">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0323400F">
            <w:pPr>
              <w:spacing w:after="0" w:line="240" w:lineRule="auto"/>
              <w:ind w:firstLine="0"/>
              <w:jc w:val="center"/>
              <w:rPr>
                <w:sz w:val="20"/>
                <w:szCs w:val="20"/>
              </w:rPr>
            </w:pPr>
            <w:r>
              <w:rPr>
                <w:sz w:val="20"/>
                <w:szCs w:val="20"/>
              </w:rPr>
              <w:t>14</w:t>
            </w:r>
          </w:p>
          <w:p w14:paraId="5596AE36">
            <w:pPr>
              <w:spacing w:after="0" w:line="240" w:lineRule="auto"/>
              <w:ind w:firstLine="0"/>
              <w:jc w:val="center"/>
              <w:rPr>
                <w:sz w:val="20"/>
                <w:szCs w:val="20"/>
              </w:rPr>
            </w:pPr>
            <w:r>
              <w:rPr>
                <w:sz w:val="20"/>
                <w:szCs w:val="20"/>
              </w:rPr>
              <w:t>14</w:t>
            </w:r>
          </w:p>
        </w:tc>
        <w:tc>
          <w:tcPr>
            <w:tcW w:w="774" w:type="pct"/>
            <w:gridSpan w:val="2"/>
            <w:tcMar>
              <w:left w:w="28" w:type="dxa"/>
              <w:right w:w="28" w:type="dxa"/>
            </w:tcMar>
            <w:vAlign w:val="center"/>
          </w:tcPr>
          <w:p w14:paraId="1DB1CCF0">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24B3BE3B">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6ED960B">
            <w:pPr>
              <w:spacing w:after="0" w:line="240" w:lineRule="auto"/>
              <w:ind w:firstLine="0"/>
              <w:jc w:val="center"/>
              <w:rPr>
                <w:sz w:val="20"/>
                <w:szCs w:val="20"/>
              </w:rPr>
            </w:pPr>
            <w:r>
              <w:rPr>
                <w:rFonts w:eastAsia="TimesNewRomanPSMT"/>
                <w:sz w:val="20"/>
                <w:szCs w:val="20"/>
              </w:rPr>
              <w:t>38838.51</w:t>
            </w:r>
          </w:p>
        </w:tc>
        <w:tc>
          <w:tcPr>
            <w:tcW w:w="456" w:type="pct"/>
            <w:gridSpan w:val="2"/>
            <w:tcMar>
              <w:left w:w="28" w:type="dxa"/>
              <w:right w:w="28" w:type="dxa"/>
            </w:tcMar>
            <w:vAlign w:val="center"/>
          </w:tcPr>
          <w:p w14:paraId="4E6060C7">
            <w:pPr>
              <w:spacing w:after="0" w:line="240" w:lineRule="auto"/>
              <w:ind w:firstLine="0"/>
              <w:jc w:val="center"/>
              <w:rPr>
                <w:sz w:val="20"/>
                <w:szCs w:val="20"/>
              </w:rPr>
            </w:pPr>
            <w:r>
              <w:rPr>
                <w:sz w:val="20"/>
                <w:szCs w:val="20"/>
              </w:rPr>
              <w:t>действующие сети</w:t>
            </w:r>
          </w:p>
        </w:tc>
      </w:tr>
      <w:tr w14:paraId="61C18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6C6778D">
            <w:pPr>
              <w:spacing w:after="0" w:line="240" w:lineRule="auto"/>
              <w:ind w:firstLine="0"/>
              <w:jc w:val="center"/>
              <w:rPr>
                <w:sz w:val="20"/>
                <w:szCs w:val="20"/>
              </w:rPr>
            </w:pPr>
            <w:r>
              <w:rPr>
                <w:sz w:val="20"/>
                <w:szCs w:val="20"/>
              </w:rPr>
              <w:t>32</w:t>
            </w:r>
          </w:p>
        </w:tc>
        <w:tc>
          <w:tcPr>
            <w:tcW w:w="924" w:type="pct"/>
            <w:tcMar>
              <w:left w:w="28" w:type="dxa"/>
              <w:right w:w="28" w:type="dxa"/>
            </w:tcMar>
            <w:vAlign w:val="center"/>
          </w:tcPr>
          <w:p w14:paraId="5E7781C1">
            <w:pPr>
              <w:spacing w:after="0" w:line="240" w:lineRule="auto"/>
              <w:ind w:firstLine="0"/>
              <w:jc w:val="center"/>
              <w:rPr>
                <w:sz w:val="20"/>
                <w:szCs w:val="20"/>
              </w:rPr>
            </w:pPr>
            <w:r>
              <w:rPr>
                <w:sz w:val="20"/>
                <w:szCs w:val="20"/>
              </w:rPr>
              <w:t>Наружные сети теплоснабжения</w:t>
            </w:r>
          </w:p>
          <w:p w14:paraId="3AE9E60B">
            <w:pPr>
              <w:spacing w:after="0" w:line="240" w:lineRule="auto"/>
              <w:ind w:firstLine="0"/>
              <w:jc w:val="center"/>
              <w:rPr>
                <w:sz w:val="20"/>
                <w:szCs w:val="20"/>
              </w:rPr>
            </w:pPr>
            <w:r>
              <w:rPr>
                <w:sz w:val="20"/>
                <w:szCs w:val="20"/>
              </w:rPr>
              <w:t>От точки № 13до точки Спортзал д.10</w:t>
            </w:r>
          </w:p>
          <w:p w14:paraId="21E5FF3D">
            <w:pPr>
              <w:spacing w:after="0" w:line="240" w:lineRule="auto"/>
              <w:ind w:firstLine="0"/>
              <w:jc w:val="center"/>
              <w:rPr>
                <w:sz w:val="20"/>
                <w:szCs w:val="20"/>
              </w:rPr>
            </w:pPr>
            <w:r>
              <w:rPr>
                <w:rFonts w:eastAsia="TimesNewRomanPSMT"/>
                <w:sz w:val="20"/>
                <w:szCs w:val="20"/>
              </w:rPr>
              <w:t>86:06:0020401:1304</w:t>
            </w:r>
          </w:p>
        </w:tc>
        <w:tc>
          <w:tcPr>
            <w:tcW w:w="215" w:type="pct"/>
            <w:tcMar>
              <w:left w:w="28" w:type="dxa"/>
              <w:right w:w="28" w:type="dxa"/>
            </w:tcMar>
            <w:vAlign w:val="center"/>
          </w:tcPr>
          <w:p w14:paraId="5CA90EEC">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1932718B">
            <w:pPr>
              <w:spacing w:after="0" w:line="240" w:lineRule="auto"/>
              <w:ind w:firstLine="0"/>
              <w:jc w:val="center"/>
              <w:rPr>
                <w:sz w:val="20"/>
                <w:szCs w:val="20"/>
              </w:rPr>
            </w:pPr>
            <w:r>
              <w:rPr>
                <w:sz w:val="20"/>
                <w:szCs w:val="20"/>
              </w:rPr>
              <w:t>ХМАО,</w:t>
            </w:r>
          </w:p>
          <w:p w14:paraId="03D3E64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8E4FBA1">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3D2CDAEA">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07D5C9E2">
            <w:pPr>
              <w:spacing w:after="0" w:line="240" w:lineRule="auto"/>
              <w:ind w:firstLine="0"/>
              <w:jc w:val="center"/>
              <w:rPr>
                <w:sz w:val="20"/>
                <w:szCs w:val="20"/>
              </w:rPr>
            </w:pPr>
            <w:r>
              <w:rPr>
                <w:sz w:val="20"/>
                <w:szCs w:val="20"/>
              </w:rPr>
              <w:t>33</w:t>
            </w:r>
          </w:p>
          <w:p w14:paraId="28857152">
            <w:pPr>
              <w:spacing w:after="0" w:line="240" w:lineRule="auto"/>
              <w:ind w:firstLine="0"/>
              <w:jc w:val="center"/>
              <w:rPr>
                <w:sz w:val="20"/>
                <w:szCs w:val="20"/>
              </w:rPr>
            </w:pPr>
            <w:r>
              <w:rPr>
                <w:sz w:val="20"/>
                <w:szCs w:val="20"/>
              </w:rPr>
              <w:t>33</w:t>
            </w:r>
          </w:p>
        </w:tc>
        <w:tc>
          <w:tcPr>
            <w:tcW w:w="774" w:type="pct"/>
            <w:gridSpan w:val="2"/>
            <w:tcMar>
              <w:left w:w="28" w:type="dxa"/>
              <w:right w:w="28" w:type="dxa"/>
            </w:tcMar>
            <w:vAlign w:val="center"/>
          </w:tcPr>
          <w:p w14:paraId="0075C71C">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51D844A3">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2E8FF774">
            <w:pPr>
              <w:spacing w:after="0" w:line="240" w:lineRule="auto"/>
              <w:ind w:firstLine="0"/>
              <w:jc w:val="center"/>
              <w:rPr>
                <w:sz w:val="20"/>
                <w:szCs w:val="20"/>
              </w:rPr>
            </w:pPr>
            <w:r>
              <w:rPr>
                <w:rFonts w:eastAsia="TimesNewRomanPSMT"/>
                <w:sz w:val="20"/>
                <w:szCs w:val="20"/>
              </w:rPr>
              <w:t>91547.91</w:t>
            </w:r>
          </w:p>
        </w:tc>
        <w:tc>
          <w:tcPr>
            <w:tcW w:w="456" w:type="pct"/>
            <w:gridSpan w:val="2"/>
            <w:tcMar>
              <w:left w:w="28" w:type="dxa"/>
              <w:right w:w="28" w:type="dxa"/>
            </w:tcMar>
            <w:vAlign w:val="center"/>
          </w:tcPr>
          <w:p w14:paraId="55305B2C">
            <w:pPr>
              <w:spacing w:after="0" w:line="240" w:lineRule="auto"/>
              <w:ind w:firstLine="0"/>
              <w:jc w:val="center"/>
              <w:rPr>
                <w:sz w:val="20"/>
                <w:szCs w:val="20"/>
              </w:rPr>
            </w:pPr>
            <w:r>
              <w:rPr>
                <w:sz w:val="20"/>
                <w:szCs w:val="20"/>
              </w:rPr>
              <w:t>действующие сети</w:t>
            </w:r>
          </w:p>
        </w:tc>
      </w:tr>
      <w:tr w14:paraId="3489E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85DF48D">
            <w:pPr>
              <w:spacing w:after="0" w:line="240" w:lineRule="auto"/>
              <w:ind w:firstLine="0"/>
              <w:jc w:val="center"/>
              <w:rPr>
                <w:sz w:val="20"/>
                <w:szCs w:val="20"/>
              </w:rPr>
            </w:pPr>
            <w:r>
              <w:rPr>
                <w:sz w:val="20"/>
                <w:szCs w:val="20"/>
              </w:rPr>
              <w:t>33</w:t>
            </w:r>
          </w:p>
        </w:tc>
        <w:tc>
          <w:tcPr>
            <w:tcW w:w="924" w:type="pct"/>
            <w:tcMar>
              <w:left w:w="28" w:type="dxa"/>
              <w:right w:w="28" w:type="dxa"/>
            </w:tcMar>
            <w:vAlign w:val="center"/>
          </w:tcPr>
          <w:p w14:paraId="4C51E69D">
            <w:pPr>
              <w:spacing w:after="0" w:line="240" w:lineRule="auto"/>
              <w:ind w:firstLine="0"/>
              <w:jc w:val="center"/>
              <w:rPr>
                <w:sz w:val="20"/>
                <w:szCs w:val="20"/>
              </w:rPr>
            </w:pPr>
            <w:r>
              <w:rPr>
                <w:sz w:val="20"/>
                <w:szCs w:val="20"/>
              </w:rPr>
              <w:t>Наружные сети теплоснабжения</w:t>
            </w:r>
          </w:p>
          <w:p w14:paraId="666EB3A7">
            <w:pPr>
              <w:spacing w:after="0" w:line="240" w:lineRule="auto"/>
              <w:ind w:firstLine="0"/>
              <w:jc w:val="center"/>
              <w:rPr>
                <w:sz w:val="20"/>
                <w:szCs w:val="20"/>
              </w:rPr>
            </w:pPr>
            <w:r>
              <w:rPr>
                <w:sz w:val="20"/>
                <w:szCs w:val="20"/>
              </w:rPr>
              <w:t>От точки № 13 до точки № 14</w:t>
            </w:r>
          </w:p>
          <w:p w14:paraId="2886D7FA">
            <w:pPr>
              <w:spacing w:after="0" w:line="240" w:lineRule="auto"/>
              <w:ind w:firstLine="0"/>
              <w:jc w:val="center"/>
              <w:rPr>
                <w:sz w:val="20"/>
                <w:szCs w:val="20"/>
              </w:rPr>
            </w:pPr>
            <w:r>
              <w:rPr>
                <w:rFonts w:eastAsia="TimesNewRomanPSMT"/>
                <w:sz w:val="20"/>
                <w:szCs w:val="20"/>
              </w:rPr>
              <w:t>86:06:0020401:1293</w:t>
            </w:r>
          </w:p>
        </w:tc>
        <w:tc>
          <w:tcPr>
            <w:tcW w:w="215" w:type="pct"/>
            <w:tcMar>
              <w:left w:w="28" w:type="dxa"/>
              <w:right w:w="28" w:type="dxa"/>
            </w:tcMar>
            <w:vAlign w:val="center"/>
          </w:tcPr>
          <w:p w14:paraId="37D6BC44">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34261286">
            <w:pPr>
              <w:spacing w:after="0" w:line="240" w:lineRule="auto"/>
              <w:ind w:firstLine="0"/>
              <w:jc w:val="center"/>
              <w:rPr>
                <w:sz w:val="20"/>
                <w:szCs w:val="20"/>
              </w:rPr>
            </w:pPr>
            <w:r>
              <w:rPr>
                <w:sz w:val="20"/>
                <w:szCs w:val="20"/>
              </w:rPr>
              <w:t>ХМАО,</w:t>
            </w:r>
          </w:p>
          <w:p w14:paraId="2021877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0635D0D">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038A53B9">
            <w:pPr>
              <w:spacing w:after="0" w:line="240" w:lineRule="auto"/>
              <w:ind w:firstLine="0"/>
              <w:jc w:val="center"/>
              <w:rPr>
                <w:sz w:val="20"/>
                <w:szCs w:val="20"/>
              </w:rPr>
            </w:pPr>
            <w:r>
              <w:rPr>
                <w:sz w:val="20"/>
                <w:szCs w:val="20"/>
              </w:rPr>
              <w:t>Т</w:t>
            </w:r>
            <w:r>
              <w:rPr>
                <w:sz w:val="20"/>
                <w:szCs w:val="20"/>
                <w:vertAlign w:val="subscript"/>
              </w:rPr>
              <w:t xml:space="preserve"> 2</w:t>
            </w:r>
            <w:r>
              <w:rPr>
                <w:sz w:val="20"/>
                <w:szCs w:val="20"/>
              </w:rPr>
              <w:t>- 57</w:t>
            </w:r>
          </w:p>
        </w:tc>
        <w:tc>
          <w:tcPr>
            <w:tcW w:w="466" w:type="pct"/>
            <w:gridSpan w:val="2"/>
            <w:tcMar>
              <w:left w:w="28" w:type="dxa"/>
              <w:right w:w="28" w:type="dxa"/>
            </w:tcMar>
            <w:vAlign w:val="center"/>
          </w:tcPr>
          <w:p w14:paraId="2185A415">
            <w:pPr>
              <w:spacing w:after="0" w:line="240" w:lineRule="auto"/>
              <w:ind w:firstLine="0"/>
              <w:jc w:val="center"/>
              <w:rPr>
                <w:sz w:val="20"/>
                <w:szCs w:val="20"/>
              </w:rPr>
            </w:pPr>
            <w:r>
              <w:rPr>
                <w:sz w:val="20"/>
                <w:szCs w:val="20"/>
              </w:rPr>
              <w:t>59</w:t>
            </w:r>
          </w:p>
          <w:p w14:paraId="15F58314">
            <w:pPr>
              <w:spacing w:after="0" w:line="240" w:lineRule="auto"/>
              <w:ind w:firstLine="0"/>
              <w:jc w:val="center"/>
              <w:rPr>
                <w:sz w:val="20"/>
                <w:szCs w:val="20"/>
              </w:rPr>
            </w:pPr>
            <w:r>
              <w:rPr>
                <w:sz w:val="20"/>
                <w:szCs w:val="20"/>
              </w:rPr>
              <w:t>59</w:t>
            </w:r>
          </w:p>
        </w:tc>
        <w:tc>
          <w:tcPr>
            <w:tcW w:w="774" w:type="pct"/>
            <w:gridSpan w:val="2"/>
            <w:tcMar>
              <w:left w:w="28" w:type="dxa"/>
              <w:right w:w="28" w:type="dxa"/>
            </w:tcMar>
            <w:vAlign w:val="center"/>
          </w:tcPr>
          <w:p w14:paraId="2FE3FD98">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13431090">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FCC3E9E">
            <w:pPr>
              <w:spacing w:after="0" w:line="240" w:lineRule="auto"/>
              <w:ind w:firstLine="0"/>
              <w:jc w:val="center"/>
              <w:rPr>
                <w:sz w:val="20"/>
                <w:szCs w:val="20"/>
              </w:rPr>
            </w:pPr>
            <w:r>
              <w:rPr>
                <w:rFonts w:eastAsia="TimesNewRomanPSMT"/>
                <w:sz w:val="20"/>
                <w:szCs w:val="20"/>
              </w:rPr>
              <w:t>163676.57</w:t>
            </w:r>
          </w:p>
        </w:tc>
        <w:tc>
          <w:tcPr>
            <w:tcW w:w="456" w:type="pct"/>
            <w:gridSpan w:val="2"/>
            <w:tcMar>
              <w:left w:w="28" w:type="dxa"/>
              <w:right w:w="28" w:type="dxa"/>
            </w:tcMar>
            <w:vAlign w:val="center"/>
          </w:tcPr>
          <w:p w14:paraId="3CAB1355">
            <w:pPr>
              <w:spacing w:after="0" w:line="240" w:lineRule="auto"/>
              <w:ind w:firstLine="0"/>
              <w:jc w:val="center"/>
              <w:rPr>
                <w:sz w:val="20"/>
                <w:szCs w:val="20"/>
              </w:rPr>
            </w:pPr>
            <w:r>
              <w:rPr>
                <w:sz w:val="20"/>
                <w:szCs w:val="20"/>
              </w:rPr>
              <w:t>действующие сети</w:t>
            </w:r>
          </w:p>
        </w:tc>
      </w:tr>
      <w:tr w14:paraId="03F54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7D607AE6">
            <w:pPr>
              <w:spacing w:after="0" w:line="240" w:lineRule="auto"/>
              <w:ind w:firstLine="0"/>
              <w:jc w:val="center"/>
              <w:rPr>
                <w:sz w:val="20"/>
                <w:szCs w:val="20"/>
              </w:rPr>
            </w:pPr>
            <w:r>
              <w:rPr>
                <w:sz w:val="20"/>
                <w:szCs w:val="20"/>
              </w:rPr>
              <w:t>34</w:t>
            </w:r>
          </w:p>
        </w:tc>
        <w:tc>
          <w:tcPr>
            <w:tcW w:w="924" w:type="pct"/>
            <w:tcMar>
              <w:left w:w="28" w:type="dxa"/>
              <w:right w:w="28" w:type="dxa"/>
            </w:tcMar>
            <w:vAlign w:val="center"/>
          </w:tcPr>
          <w:p w14:paraId="39FEF17B">
            <w:pPr>
              <w:spacing w:after="0" w:line="240" w:lineRule="auto"/>
              <w:ind w:firstLine="0"/>
              <w:jc w:val="center"/>
              <w:rPr>
                <w:sz w:val="20"/>
                <w:szCs w:val="20"/>
              </w:rPr>
            </w:pPr>
            <w:r>
              <w:rPr>
                <w:sz w:val="20"/>
                <w:szCs w:val="20"/>
              </w:rPr>
              <w:t>Наружные сети теплоснабжения</w:t>
            </w:r>
          </w:p>
          <w:p w14:paraId="1663DA47">
            <w:pPr>
              <w:spacing w:after="0" w:line="240" w:lineRule="auto"/>
              <w:ind w:firstLine="0"/>
              <w:jc w:val="center"/>
              <w:rPr>
                <w:sz w:val="20"/>
                <w:szCs w:val="20"/>
              </w:rPr>
            </w:pPr>
            <w:r>
              <w:rPr>
                <w:sz w:val="20"/>
                <w:szCs w:val="20"/>
              </w:rPr>
              <w:t>От точки № 14 до точки БУАВР, д.13</w:t>
            </w:r>
          </w:p>
          <w:p w14:paraId="4D26A4CE">
            <w:pPr>
              <w:spacing w:after="0" w:line="240" w:lineRule="auto"/>
              <w:ind w:firstLine="0"/>
              <w:jc w:val="center"/>
              <w:rPr>
                <w:sz w:val="20"/>
                <w:szCs w:val="20"/>
              </w:rPr>
            </w:pPr>
            <w:r>
              <w:rPr>
                <w:rFonts w:eastAsia="TimesNewRomanPSMT"/>
                <w:sz w:val="20"/>
                <w:szCs w:val="20"/>
              </w:rPr>
              <w:t>86:06:0020401:1301</w:t>
            </w:r>
          </w:p>
        </w:tc>
        <w:tc>
          <w:tcPr>
            <w:tcW w:w="215" w:type="pct"/>
            <w:tcMar>
              <w:left w:w="28" w:type="dxa"/>
              <w:right w:w="28" w:type="dxa"/>
            </w:tcMar>
            <w:vAlign w:val="center"/>
          </w:tcPr>
          <w:p w14:paraId="741A5F73">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341025BB">
            <w:pPr>
              <w:spacing w:after="0" w:line="240" w:lineRule="auto"/>
              <w:ind w:firstLine="0"/>
              <w:jc w:val="center"/>
              <w:rPr>
                <w:sz w:val="20"/>
                <w:szCs w:val="20"/>
              </w:rPr>
            </w:pPr>
            <w:r>
              <w:rPr>
                <w:sz w:val="20"/>
                <w:szCs w:val="20"/>
              </w:rPr>
              <w:t>ХМАО,</w:t>
            </w:r>
          </w:p>
          <w:p w14:paraId="4558C051">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62AD758">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06808558">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5BDC0626">
            <w:pPr>
              <w:spacing w:after="0" w:line="240" w:lineRule="auto"/>
              <w:ind w:firstLine="0"/>
              <w:jc w:val="center"/>
              <w:rPr>
                <w:sz w:val="20"/>
                <w:szCs w:val="20"/>
              </w:rPr>
            </w:pPr>
            <w:r>
              <w:rPr>
                <w:sz w:val="20"/>
                <w:szCs w:val="20"/>
              </w:rPr>
              <w:t>22</w:t>
            </w:r>
          </w:p>
          <w:p w14:paraId="7E3FA59D">
            <w:pPr>
              <w:spacing w:after="0" w:line="240" w:lineRule="auto"/>
              <w:ind w:firstLine="0"/>
              <w:jc w:val="center"/>
              <w:rPr>
                <w:sz w:val="20"/>
                <w:szCs w:val="20"/>
              </w:rPr>
            </w:pPr>
            <w:r>
              <w:rPr>
                <w:sz w:val="20"/>
                <w:szCs w:val="20"/>
              </w:rPr>
              <w:t>22</w:t>
            </w:r>
          </w:p>
        </w:tc>
        <w:tc>
          <w:tcPr>
            <w:tcW w:w="774" w:type="pct"/>
            <w:gridSpan w:val="2"/>
            <w:tcMar>
              <w:left w:w="28" w:type="dxa"/>
              <w:right w:w="28" w:type="dxa"/>
            </w:tcMar>
            <w:vAlign w:val="center"/>
          </w:tcPr>
          <w:p w14:paraId="4D1D376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2A7F6FB5">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0A317B76">
            <w:pPr>
              <w:spacing w:after="0" w:line="240" w:lineRule="auto"/>
              <w:ind w:firstLine="0"/>
              <w:jc w:val="center"/>
              <w:rPr>
                <w:sz w:val="20"/>
                <w:szCs w:val="20"/>
              </w:rPr>
            </w:pPr>
            <w:r>
              <w:rPr>
                <w:sz w:val="20"/>
                <w:szCs w:val="20"/>
              </w:rPr>
              <w:t>61031.94</w:t>
            </w:r>
          </w:p>
        </w:tc>
        <w:tc>
          <w:tcPr>
            <w:tcW w:w="456" w:type="pct"/>
            <w:gridSpan w:val="2"/>
            <w:tcMar>
              <w:left w:w="28" w:type="dxa"/>
              <w:right w:w="28" w:type="dxa"/>
            </w:tcMar>
            <w:vAlign w:val="center"/>
          </w:tcPr>
          <w:p w14:paraId="38B56E21">
            <w:pPr>
              <w:spacing w:after="0" w:line="240" w:lineRule="auto"/>
              <w:ind w:firstLine="0"/>
              <w:jc w:val="center"/>
              <w:rPr>
                <w:sz w:val="20"/>
                <w:szCs w:val="20"/>
              </w:rPr>
            </w:pPr>
            <w:r>
              <w:rPr>
                <w:sz w:val="20"/>
                <w:szCs w:val="20"/>
              </w:rPr>
              <w:t>действующие сети</w:t>
            </w:r>
          </w:p>
        </w:tc>
      </w:tr>
      <w:tr w14:paraId="504C3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22BE9589">
            <w:pPr>
              <w:spacing w:after="0" w:line="240" w:lineRule="auto"/>
              <w:ind w:firstLine="0"/>
              <w:jc w:val="center"/>
              <w:rPr>
                <w:sz w:val="20"/>
                <w:szCs w:val="20"/>
              </w:rPr>
            </w:pPr>
            <w:r>
              <w:rPr>
                <w:sz w:val="20"/>
                <w:szCs w:val="20"/>
              </w:rPr>
              <w:t>35</w:t>
            </w:r>
          </w:p>
        </w:tc>
        <w:tc>
          <w:tcPr>
            <w:tcW w:w="924" w:type="pct"/>
            <w:tcMar>
              <w:left w:w="28" w:type="dxa"/>
              <w:right w:w="28" w:type="dxa"/>
            </w:tcMar>
            <w:vAlign w:val="center"/>
          </w:tcPr>
          <w:p w14:paraId="354F24E1">
            <w:pPr>
              <w:spacing w:after="0" w:line="240" w:lineRule="auto"/>
              <w:ind w:firstLine="0"/>
              <w:jc w:val="center"/>
              <w:rPr>
                <w:sz w:val="20"/>
                <w:szCs w:val="20"/>
              </w:rPr>
            </w:pPr>
            <w:r>
              <w:rPr>
                <w:sz w:val="20"/>
                <w:szCs w:val="20"/>
              </w:rPr>
              <w:t>Наружные сети теплоснабжения</w:t>
            </w:r>
          </w:p>
          <w:p w14:paraId="2237316A">
            <w:pPr>
              <w:spacing w:after="0" w:line="240" w:lineRule="auto"/>
              <w:ind w:firstLine="0"/>
              <w:jc w:val="center"/>
              <w:rPr>
                <w:sz w:val="20"/>
                <w:szCs w:val="20"/>
              </w:rPr>
            </w:pPr>
            <w:r>
              <w:rPr>
                <w:sz w:val="20"/>
                <w:szCs w:val="20"/>
              </w:rPr>
              <w:t>От точки № 14 до точки Православный приход, д.12</w:t>
            </w:r>
          </w:p>
          <w:p w14:paraId="36F9D8F9">
            <w:pPr>
              <w:spacing w:after="0" w:line="240" w:lineRule="auto"/>
              <w:ind w:firstLine="0"/>
              <w:jc w:val="center"/>
              <w:rPr>
                <w:sz w:val="20"/>
                <w:szCs w:val="20"/>
              </w:rPr>
            </w:pPr>
            <w:r>
              <w:rPr>
                <w:rFonts w:eastAsia="TimesNewRomanPSMT"/>
                <w:sz w:val="20"/>
                <w:szCs w:val="20"/>
              </w:rPr>
              <w:t>86:06:0020401:1298</w:t>
            </w:r>
          </w:p>
        </w:tc>
        <w:tc>
          <w:tcPr>
            <w:tcW w:w="215" w:type="pct"/>
            <w:tcMar>
              <w:left w:w="28" w:type="dxa"/>
              <w:right w:w="28" w:type="dxa"/>
            </w:tcMar>
            <w:vAlign w:val="center"/>
          </w:tcPr>
          <w:p w14:paraId="65A9CFCB">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DF01330">
            <w:pPr>
              <w:spacing w:after="0" w:line="240" w:lineRule="auto"/>
              <w:ind w:firstLine="0"/>
              <w:jc w:val="center"/>
              <w:rPr>
                <w:sz w:val="20"/>
                <w:szCs w:val="20"/>
              </w:rPr>
            </w:pPr>
            <w:r>
              <w:rPr>
                <w:sz w:val="20"/>
                <w:szCs w:val="20"/>
              </w:rPr>
              <w:t>ХМАО,</w:t>
            </w:r>
          </w:p>
          <w:p w14:paraId="7031C266">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5831195">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- 42</w:t>
            </w:r>
          </w:p>
          <w:p w14:paraId="23EB46E6">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- 32</w:t>
            </w:r>
          </w:p>
        </w:tc>
        <w:tc>
          <w:tcPr>
            <w:tcW w:w="466" w:type="pct"/>
            <w:gridSpan w:val="2"/>
            <w:tcMar>
              <w:left w:w="28" w:type="dxa"/>
              <w:right w:w="28" w:type="dxa"/>
            </w:tcMar>
            <w:vAlign w:val="center"/>
          </w:tcPr>
          <w:p w14:paraId="3B3ECB26">
            <w:pPr>
              <w:spacing w:after="0" w:line="240" w:lineRule="auto"/>
              <w:ind w:firstLine="0"/>
              <w:jc w:val="center"/>
              <w:rPr>
                <w:sz w:val="20"/>
                <w:szCs w:val="20"/>
              </w:rPr>
            </w:pPr>
            <w:r>
              <w:rPr>
                <w:sz w:val="20"/>
                <w:szCs w:val="20"/>
              </w:rPr>
              <w:t>48</w:t>
            </w:r>
          </w:p>
          <w:p w14:paraId="46B0D2B1">
            <w:pPr>
              <w:spacing w:after="0" w:line="240" w:lineRule="auto"/>
              <w:ind w:firstLine="0"/>
              <w:jc w:val="center"/>
              <w:rPr>
                <w:sz w:val="20"/>
                <w:szCs w:val="20"/>
              </w:rPr>
            </w:pPr>
            <w:r>
              <w:rPr>
                <w:sz w:val="20"/>
                <w:szCs w:val="20"/>
              </w:rPr>
              <w:t>48</w:t>
            </w:r>
          </w:p>
        </w:tc>
        <w:tc>
          <w:tcPr>
            <w:tcW w:w="774" w:type="pct"/>
            <w:gridSpan w:val="2"/>
            <w:tcMar>
              <w:left w:w="28" w:type="dxa"/>
              <w:right w:w="28" w:type="dxa"/>
            </w:tcMar>
            <w:vAlign w:val="center"/>
          </w:tcPr>
          <w:p w14:paraId="214353FE">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778F8EFE">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23B1618">
            <w:pPr>
              <w:spacing w:after="0" w:line="240" w:lineRule="auto"/>
              <w:ind w:firstLine="0"/>
              <w:jc w:val="center"/>
              <w:rPr>
                <w:sz w:val="20"/>
                <w:szCs w:val="20"/>
              </w:rPr>
            </w:pPr>
            <w:r>
              <w:rPr>
                <w:rFonts w:eastAsia="TimesNewRomanPSMT"/>
                <w:sz w:val="20"/>
                <w:szCs w:val="20"/>
              </w:rPr>
              <w:t>133160.6</w:t>
            </w:r>
          </w:p>
        </w:tc>
        <w:tc>
          <w:tcPr>
            <w:tcW w:w="456" w:type="pct"/>
            <w:gridSpan w:val="2"/>
            <w:tcMar>
              <w:left w:w="28" w:type="dxa"/>
              <w:right w:w="28" w:type="dxa"/>
            </w:tcMar>
            <w:vAlign w:val="center"/>
          </w:tcPr>
          <w:p w14:paraId="4C28C81C">
            <w:pPr>
              <w:spacing w:after="0" w:line="240" w:lineRule="auto"/>
              <w:ind w:firstLine="0"/>
              <w:jc w:val="center"/>
              <w:rPr>
                <w:sz w:val="20"/>
                <w:szCs w:val="20"/>
              </w:rPr>
            </w:pPr>
            <w:r>
              <w:rPr>
                <w:sz w:val="20"/>
                <w:szCs w:val="20"/>
              </w:rPr>
              <w:t>действующие сети</w:t>
            </w:r>
          </w:p>
        </w:tc>
      </w:tr>
      <w:tr w14:paraId="15442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503AA64">
            <w:pPr>
              <w:spacing w:after="0" w:line="240" w:lineRule="auto"/>
              <w:ind w:firstLine="0"/>
              <w:jc w:val="center"/>
              <w:rPr>
                <w:sz w:val="20"/>
                <w:szCs w:val="20"/>
              </w:rPr>
            </w:pPr>
            <w:r>
              <w:rPr>
                <w:sz w:val="20"/>
                <w:szCs w:val="20"/>
              </w:rPr>
              <w:t>36</w:t>
            </w:r>
          </w:p>
        </w:tc>
        <w:tc>
          <w:tcPr>
            <w:tcW w:w="924" w:type="pct"/>
            <w:tcMar>
              <w:left w:w="28" w:type="dxa"/>
              <w:right w:w="28" w:type="dxa"/>
            </w:tcMar>
            <w:vAlign w:val="center"/>
          </w:tcPr>
          <w:p w14:paraId="2EAAA609">
            <w:pPr>
              <w:spacing w:after="0" w:line="240" w:lineRule="auto"/>
              <w:ind w:firstLine="0"/>
              <w:jc w:val="center"/>
              <w:rPr>
                <w:sz w:val="20"/>
                <w:szCs w:val="20"/>
              </w:rPr>
            </w:pPr>
            <w:r>
              <w:rPr>
                <w:sz w:val="20"/>
                <w:szCs w:val="20"/>
              </w:rPr>
              <w:t>Наружные сети теплоснабжения</w:t>
            </w:r>
          </w:p>
          <w:p w14:paraId="518F79D6">
            <w:pPr>
              <w:spacing w:after="0" w:line="240" w:lineRule="auto"/>
              <w:ind w:firstLine="0"/>
              <w:jc w:val="center"/>
              <w:rPr>
                <w:sz w:val="20"/>
                <w:szCs w:val="20"/>
              </w:rPr>
            </w:pPr>
            <w:r>
              <w:rPr>
                <w:sz w:val="20"/>
                <w:szCs w:val="20"/>
              </w:rPr>
              <w:t>От точки № 14 до точки № 15</w:t>
            </w:r>
          </w:p>
          <w:p w14:paraId="2D7513E7">
            <w:pPr>
              <w:spacing w:after="0" w:line="240" w:lineRule="auto"/>
              <w:ind w:firstLine="0"/>
              <w:jc w:val="center"/>
              <w:rPr>
                <w:sz w:val="20"/>
                <w:szCs w:val="20"/>
              </w:rPr>
            </w:pPr>
            <w:r>
              <w:rPr>
                <w:rFonts w:eastAsia="TimesNewRomanPSMT"/>
                <w:sz w:val="20"/>
                <w:szCs w:val="20"/>
              </w:rPr>
              <w:t>86:06:0020401:1299</w:t>
            </w:r>
          </w:p>
        </w:tc>
        <w:tc>
          <w:tcPr>
            <w:tcW w:w="215" w:type="pct"/>
            <w:tcMar>
              <w:left w:w="28" w:type="dxa"/>
              <w:right w:w="28" w:type="dxa"/>
            </w:tcMar>
            <w:vAlign w:val="center"/>
          </w:tcPr>
          <w:p w14:paraId="4013F97C">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3A7FEF8">
            <w:pPr>
              <w:spacing w:after="0" w:line="240" w:lineRule="auto"/>
              <w:ind w:firstLine="0"/>
              <w:jc w:val="center"/>
              <w:rPr>
                <w:sz w:val="20"/>
                <w:szCs w:val="20"/>
              </w:rPr>
            </w:pPr>
            <w:r>
              <w:rPr>
                <w:sz w:val="20"/>
                <w:szCs w:val="20"/>
              </w:rPr>
              <w:t>ХМАО,</w:t>
            </w:r>
          </w:p>
          <w:p w14:paraId="3614F45E">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2CE469FC">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49486830">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6A3D7522">
            <w:pPr>
              <w:spacing w:after="0" w:line="240" w:lineRule="auto"/>
              <w:ind w:firstLine="0"/>
              <w:jc w:val="center"/>
              <w:rPr>
                <w:sz w:val="20"/>
                <w:szCs w:val="20"/>
              </w:rPr>
            </w:pPr>
            <w:r>
              <w:rPr>
                <w:sz w:val="20"/>
                <w:szCs w:val="20"/>
              </w:rPr>
              <w:t>21</w:t>
            </w:r>
          </w:p>
          <w:p w14:paraId="37DF184C">
            <w:pPr>
              <w:spacing w:after="0" w:line="240" w:lineRule="auto"/>
              <w:ind w:firstLine="0"/>
              <w:jc w:val="center"/>
              <w:rPr>
                <w:sz w:val="20"/>
                <w:szCs w:val="20"/>
              </w:rPr>
            </w:pPr>
            <w:r>
              <w:rPr>
                <w:sz w:val="20"/>
                <w:szCs w:val="20"/>
              </w:rPr>
              <w:t>21</w:t>
            </w:r>
          </w:p>
        </w:tc>
        <w:tc>
          <w:tcPr>
            <w:tcW w:w="774" w:type="pct"/>
            <w:gridSpan w:val="2"/>
            <w:tcMar>
              <w:left w:w="28" w:type="dxa"/>
              <w:right w:w="28" w:type="dxa"/>
            </w:tcMar>
            <w:vAlign w:val="center"/>
          </w:tcPr>
          <w:p w14:paraId="2EA042B0">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6E7AEA88">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29AA30C2">
            <w:pPr>
              <w:spacing w:after="0" w:line="240" w:lineRule="auto"/>
              <w:ind w:firstLine="0"/>
              <w:jc w:val="center"/>
              <w:rPr>
                <w:sz w:val="20"/>
                <w:szCs w:val="20"/>
              </w:rPr>
            </w:pPr>
            <w:r>
              <w:rPr>
                <w:sz w:val="20"/>
                <w:szCs w:val="20"/>
              </w:rPr>
              <w:t>58257.76</w:t>
            </w:r>
          </w:p>
        </w:tc>
        <w:tc>
          <w:tcPr>
            <w:tcW w:w="456" w:type="pct"/>
            <w:gridSpan w:val="2"/>
            <w:tcMar>
              <w:left w:w="28" w:type="dxa"/>
              <w:right w:w="28" w:type="dxa"/>
            </w:tcMar>
            <w:vAlign w:val="center"/>
          </w:tcPr>
          <w:p w14:paraId="3F0F35EC">
            <w:pPr>
              <w:spacing w:after="0" w:line="240" w:lineRule="auto"/>
              <w:ind w:firstLine="0"/>
              <w:jc w:val="center"/>
              <w:rPr>
                <w:sz w:val="20"/>
                <w:szCs w:val="20"/>
              </w:rPr>
            </w:pPr>
            <w:r>
              <w:rPr>
                <w:sz w:val="20"/>
                <w:szCs w:val="20"/>
              </w:rPr>
              <w:t>действующие сети</w:t>
            </w:r>
          </w:p>
        </w:tc>
      </w:tr>
      <w:tr w14:paraId="77019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05D79275">
            <w:pPr>
              <w:spacing w:after="0" w:line="240" w:lineRule="auto"/>
              <w:ind w:firstLine="0"/>
              <w:jc w:val="center"/>
              <w:rPr>
                <w:sz w:val="20"/>
                <w:szCs w:val="20"/>
              </w:rPr>
            </w:pPr>
            <w:r>
              <w:rPr>
                <w:sz w:val="20"/>
                <w:szCs w:val="20"/>
              </w:rPr>
              <w:t>37</w:t>
            </w:r>
          </w:p>
        </w:tc>
        <w:tc>
          <w:tcPr>
            <w:tcW w:w="924" w:type="pct"/>
            <w:tcMar>
              <w:left w:w="28" w:type="dxa"/>
              <w:right w:w="28" w:type="dxa"/>
            </w:tcMar>
            <w:vAlign w:val="center"/>
          </w:tcPr>
          <w:p w14:paraId="31951405">
            <w:pPr>
              <w:spacing w:after="0" w:line="240" w:lineRule="auto"/>
              <w:ind w:firstLine="0"/>
              <w:jc w:val="center"/>
              <w:rPr>
                <w:sz w:val="20"/>
                <w:szCs w:val="20"/>
              </w:rPr>
            </w:pPr>
            <w:r>
              <w:rPr>
                <w:sz w:val="20"/>
                <w:szCs w:val="20"/>
              </w:rPr>
              <w:t>Наружные сети теплоснабжения</w:t>
            </w:r>
          </w:p>
          <w:p w14:paraId="7A4440F1">
            <w:pPr>
              <w:spacing w:after="0" w:line="240" w:lineRule="auto"/>
              <w:ind w:firstLine="0"/>
              <w:jc w:val="center"/>
              <w:rPr>
                <w:sz w:val="20"/>
                <w:szCs w:val="20"/>
              </w:rPr>
            </w:pPr>
            <w:r>
              <w:rPr>
                <w:sz w:val="20"/>
                <w:szCs w:val="20"/>
              </w:rPr>
              <w:t>От точки № 15 до точки № 16</w:t>
            </w:r>
          </w:p>
          <w:p w14:paraId="5425E0B8">
            <w:pPr>
              <w:spacing w:after="0" w:line="240" w:lineRule="auto"/>
              <w:ind w:firstLine="0"/>
              <w:jc w:val="center"/>
              <w:rPr>
                <w:sz w:val="20"/>
                <w:szCs w:val="20"/>
              </w:rPr>
            </w:pPr>
            <w:r>
              <w:rPr>
                <w:rFonts w:eastAsia="TimesNewRomanPSMT"/>
                <w:sz w:val="20"/>
                <w:szCs w:val="20"/>
              </w:rPr>
              <w:t>86:06:0020401:1292</w:t>
            </w:r>
          </w:p>
        </w:tc>
        <w:tc>
          <w:tcPr>
            <w:tcW w:w="215" w:type="pct"/>
            <w:tcMar>
              <w:left w:w="28" w:type="dxa"/>
              <w:right w:w="28" w:type="dxa"/>
            </w:tcMar>
            <w:vAlign w:val="center"/>
          </w:tcPr>
          <w:p w14:paraId="6D8D6D2A">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7648F644">
            <w:pPr>
              <w:spacing w:after="0" w:line="240" w:lineRule="auto"/>
              <w:ind w:firstLine="0"/>
              <w:jc w:val="center"/>
              <w:rPr>
                <w:sz w:val="20"/>
                <w:szCs w:val="20"/>
              </w:rPr>
            </w:pPr>
            <w:r>
              <w:rPr>
                <w:sz w:val="20"/>
                <w:szCs w:val="20"/>
              </w:rPr>
              <w:t>ХМАО,</w:t>
            </w:r>
          </w:p>
          <w:p w14:paraId="36AC8317">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CE4B198">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074B051A">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0F4C4CA0">
            <w:pPr>
              <w:spacing w:after="0" w:line="240" w:lineRule="auto"/>
              <w:ind w:firstLine="0"/>
              <w:jc w:val="center"/>
              <w:rPr>
                <w:sz w:val="20"/>
                <w:szCs w:val="20"/>
              </w:rPr>
            </w:pPr>
            <w:r>
              <w:rPr>
                <w:sz w:val="20"/>
                <w:szCs w:val="20"/>
              </w:rPr>
              <w:t>37</w:t>
            </w:r>
          </w:p>
          <w:p w14:paraId="6D0E2D7E">
            <w:pPr>
              <w:spacing w:after="0" w:line="240" w:lineRule="auto"/>
              <w:ind w:firstLine="0"/>
              <w:jc w:val="center"/>
              <w:rPr>
                <w:sz w:val="20"/>
                <w:szCs w:val="20"/>
              </w:rPr>
            </w:pPr>
            <w:r>
              <w:rPr>
                <w:sz w:val="20"/>
                <w:szCs w:val="20"/>
              </w:rPr>
              <w:t>37</w:t>
            </w:r>
          </w:p>
        </w:tc>
        <w:tc>
          <w:tcPr>
            <w:tcW w:w="774" w:type="pct"/>
            <w:gridSpan w:val="2"/>
            <w:tcMar>
              <w:left w:w="28" w:type="dxa"/>
              <w:right w:w="28" w:type="dxa"/>
            </w:tcMar>
            <w:vAlign w:val="center"/>
          </w:tcPr>
          <w:p w14:paraId="37725F77">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87B5371">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D05B4CD">
            <w:pPr>
              <w:spacing w:after="0" w:line="240" w:lineRule="auto"/>
              <w:ind w:firstLine="0"/>
              <w:jc w:val="center"/>
              <w:rPr>
                <w:sz w:val="20"/>
                <w:szCs w:val="20"/>
              </w:rPr>
            </w:pPr>
            <w:r>
              <w:rPr>
                <w:rFonts w:eastAsia="TimesNewRomanPSMT"/>
                <w:sz w:val="20"/>
                <w:szCs w:val="20"/>
              </w:rPr>
              <w:t>102644.63</w:t>
            </w:r>
          </w:p>
        </w:tc>
        <w:tc>
          <w:tcPr>
            <w:tcW w:w="456" w:type="pct"/>
            <w:gridSpan w:val="2"/>
            <w:tcMar>
              <w:left w:w="28" w:type="dxa"/>
              <w:right w:w="28" w:type="dxa"/>
            </w:tcMar>
            <w:vAlign w:val="center"/>
          </w:tcPr>
          <w:p w14:paraId="149BB551">
            <w:pPr>
              <w:spacing w:after="0" w:line="240" w:lineRule="auto"/>
              <w:ind w:firstLine="0"/>
              <w:jc w:val="center"/>
              <w:rPr>
                <w:sz w:val="20"/>
                <w:szCs w:val="20"/>
              </w:rPr>
            </w:pPr>
            <w:r>
              <w:rPr>
                <w:sz w:val="20"/>
                <w:szCs w:val="20"/>
              </w:rPr>
              <w:t>действующие сети</w:t>
            </w:r>
          </w:p>
        </w:tc>
      </w:tr>
      <w:tr w14:paraId="70A3A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1F71C78B">
            <w:pPr>
              <w:spacing w:after="0" w:line="240" w:lineRule="auto"/>
              <w:ind w:firstLine="0"/>
              <w:jc w:val="center"/>
              <w:rPr>
                <w:sz w:val="20"/>
                <w:szCs w:val="20"/>
              </w:rPr>
            </w:pPr>
            <w:r>
              <w:rPr>
                <w:sz w:val="20"/>
                <w:szCs w:val="20"/>
              </w:rPr>
              <w:t>38</w:t>
            </w:r>
          </w:p>
        </w:tc>
        <w:tc>
          <w:tcPr>
            <w:tcW w:w="924" w:type="pct"/>
            <w:tcMar>
              <w:left w:w="28" w:type="dxa"/>
              <w:right w:w="28" w:type="dxa"/>
            </w:tcMar>
            <w:vAlign w:val="center"/>
          </w:tcPr>
          <w:p w14:paraId="1C4FD7C5">
            <w:pPr>
              <w:spacing w:after="0" w:line="240" w:lineRule="auto"/>
              <w:ind w:firstLine="0"/>
              <w:jc w:val="center"/>
              <w:rPr>
                <w:sz w:val="20"/>
                <w:szCs w:val="20"/>
              </w:rPr>
            </w:pPr>
            <w:r>
              <w:rPr>
                <w:sz w:val="20"/>
                <w:szCs w:val="20"/>
              </w:rPr>
              <w:t>Наружные сети теплоснабжения</w:t>
            </w:r>
          </w:p>
          <w:p w14:paraId="60E47AF4">
            <w:pPr>
              <w:spacing w:after="0" w:line="240" w:lineRule="auto"/>
              <w:ind w:firstLine="0"/>
              <w:jc w:val="center"/>
              <w:rPr>
                <w:sz w:val="20"/>
                <w:szCs w:val="20"/>
              </w:rPr>
            </w:pPr>
            <w:r>
              <w:rPr>
                <w:sz w:val="20"/>
                <w:szCs w:val="20"/>
              </w:rPr>
              <w:t>От точки № 16 до точки № 17</w:t>
            </w:r>
          </w:p>
          <w:p w14:paraId="177EEACF">
            <w:pPr>
              <w:spacing w:after="0" w:line="240" w:lineRule="auto"/>
              <w:ind w:firstLine="0"/>
              <w:jc w:val="center"/>
              <w:rPr>
                <w:sz w:val="20"/>
                <w:szCs w:val="20"/>
              </w:rPr>
            </w:pPr>
            <w:r>
              <w:rPr>
                <w:rFonts w:eastAsia="TimesNewRomanPSMT"/>
                <w:sz w:val="20"/>
                <w:szCs w:val="20"/>
              </w:rPr>
              <w:t>86:06:0020401:1337</w:t>
            </w:r>
          </w:p>
        </w:tc>
        <w:tc>
          <w:tcPr>
            <w:tcW w:w="215" w:type="pct"/>
            <w:tcMar>
              <w:left w:w="28" w:type="dxa"/>
              <w:right w:w="28" w:type="dxa"/>
            </w:tcMar>
            <w:vAlign w:val="center"/>
          </w:tcPr>
          <w:p w14:paraId="2941F2A7">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3FD0D107">
            <w:pPr>
              <w:spacing w:after="0" w:line="240" w:lineRule="auto"/>
              <w:ind w:firstLine="0"/>
              <w:jc w:val="center"/>
              <w:rPr>
                <w:sz w:val="20"/>
                <w:szCs w:val="20"/>
              </w:rPr>
            </w:pPr>
            <w:r>
              <w:rPr>
                <w:sz w:val="20"/>
                <w:szCs w:val="20"/>
              </w:rPr>
              <w:t>ХМАО,</w:t>
            </w:r>
          </w:p>
          <w:p w14:paraId="3A27B450">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52D0EAAC">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7F1A11CC">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1CD54447">
            <w:pPr>
              <w:spacing w:after="0" w:line="240" w:lineRule="auto"/>
              <w:ind w:firstLine="0"/>
              <w:jc w:val="center"/>
              <w:rPr>
                <w:sz w:val="20"/>
                <w:szCs w:val="20"/>
              </w:rPr>
            </w:pPr>
            <w:r>
              <w:rPr>
                <w:sz w:val="20"/>
                <w:szCs w:val="20"/>
              </w:rPr>
              <w:t>38</w:t>
            </w:r>
          </w:p>
          <w:p w14:paraId="66781B0A">
            <w:pPr>
              <w:spacing w:after="0" w:line="240" w:lineRule="auto"/>
              <w:ind w:firstLine="0"/>
              <w:jc w:val="center"/>
              <w:rPr>
                <w:sz w:val="20"/>
                <w:szCs w:val="20"/>
              </w:rPr>
            </w:pPr>
            <w:r>
              <w:rPr>
                <w:sz w:val="20"/>
                <w:szCs w:val="20"/>
              </w:rPr>
              <w:t>38</w:t>
            </w:r>
          </w:p>
        </w:tc>
        <w:tc>
          <w:tcPr>
            <w:tcW w:w="774" w:type="pct"/>
            <w:gridSpan w:val="2"/>
            <w:tcMar>
              <w:left w:w="28" w:type="dxa"/>
              <w:right w:w="28" w:type="dxa"/>
            </w:tcMar>
            <w:vAlign w:val="center"/>
          </w:tcPr>
          <w:p w14:paraId="788BB325">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3F254776">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52655D5A">
            <w:pPr>
              <w:spacing w:after="0" w:line="240" w:lineRule="auto"/>
              <w:ind w:firstLine="0"/>
              <w:jc w:val="center"/>
              <w:rPr>
                <w:sz w:val="20"/>
                <w:szCs w:val="20"/>
              </w:rPr>
            </w:pPr>
            <w:r>
              <w:rPr>
                <w:sz w:val="20"/>
                <w:szCs w:val="20"/>
              </w:rPr>
              <w:t>131773.51</w:t>
            </w:r>
          </w:p>
        </w:tc>
        <w:tc>
          <w:tcPr>
            <w:tcW w:w="456" w:type="pct"/>
            <w:gridSpan w:val="2"/>
            <w:tcMar>
              <w:left w:w="28" w:type="dxa"/>
              <w:right w:w="28" w:type="dxa"/>
            </w:tcMar>
            <w:vAlign w:val="center"/>
          </w:tcPr>
          <w:p w14:paraId="0701CA89">
            <w:pPr>
              <w:spacing w:after="0" w:line="240" w:lineRule="auto"/>
              <w:ind w:firstLine="0"/>
              <w:jc w:val="center"/>
              <w:rPr>
                <w:sz w:val="20"/>
                <w:szCs w:val="20"/>
              </w:rPr>
            </w:pPr>
            <w:r>
              <w:rPr>
                <w:sz w:val="20"/>
                <w:szCs w:val="20"/>
              </w:rPr>
              <w:t>действующие сети</w:t>
            </w:r>
          </w:p>
        </w:tc>
      </w:tr>
      <w:tr w14:paraId="68F11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48DF6B20">
            <w:pPr>
              <w:spacing w:after="0" w:line="240" w:lineRule="auto"/>
              <w:ind w:firstLine="0"/>
              <w:jc w:val="center"/>
              <w:rPr>
                <w:sz w:val="20"/>
                <w:szCs w:val="20"/>
              </w:rPr>
            </w:pPr>
            <w:r>
              <w:rPr>
                <w:sz w:val="20"/>
                <w:szCs w:val="20"/>
              </w:rPr>
              <w:t>39</w:t>
            </w:r>
          </w:p>
        </w:tc>
        <w:tc>
          <w:tcPr>
            <w:tcW w:w="924" w:type="pct"/>
            <w:tcMar>
              <w:left w:w="28" w:type="dxa"/>
              <w:right w:w="28" w:type="dxa"/>
            </w:tcMar>
            <w:vAlign w:val="center"/>
          </w:tcPr>
          <w:p w14:paraId="0A6B8217">
            <w:pPr>
              <w:spacing w:after="0" w:line="240" w:lineRule="auto"/>
              <w:ind w:firstLine="0"/>
              <w:jc w:val="center"/>
              <w:rPr>
                <w:sz w:val="20"/>
                <w:szCs w:val="20"/>
              </w:rPr>
            </w:pPr>
            <w:r>
              <w:rPr>
                <w:sz w:val="20"/>
                <w:szCs w:val="20"/>
              </w:rPr>
              <w:t>Наружные сети теплоснабжения</w:t>
            </w:r>
          </w:p>
          <w:p w14:paraId="50C954AB">
            <w:pPr>
              <w:spacing w:after="0" w:line="240" w:lineRule="auto"/>
              <w:ind w:firstLine="0"/>
              <w:jc w:val="center"/>
              <w:rPr>
                <w:sz w:val="20"/>
                <w:szCs w:val="20"/>
              </w:rPr>
            </w:pPr>
            <w:r>
              <w:rPr>
                <w:sz w:val="20"/>
                <w:szCs w:val="20"/>
              </w:rPr>
              <w:t>От точки № 17до точки № 18</w:t>
            </w:r>
          </w:p>
          <w:p w14:paraId="706FFEED">
            <w:pPr>
              <w:spacing w:after="0" w:line="240" w:lineRule="auto"/>
              <w:ind w:firstLine="0"/>
              <w:jc w:val="center"/>
              <w:rPr>
                <w:sz w:val="20"/>
                <w:szCs w:val="20"/>
              </w:rPr>
            </w:pPr>
            <w:r>
              <w:rPr>
                <w:rFonts w:eastAsia="TimesNewRomanPSMT"/>
                <w:sz w:val="20"/>
                <w:szCs w:val="20"/>
              </w:rPr>
              <w:t>86:06:0020401:1306</w:t>
            </w:r>
          </w:p>
        </w:tc>
        <w:tc>
          <w:tcPr>
            <w:tcW w:w="215" w:type="pct"/>
            <w:tcMar>
              <w:left w:w="28" w:type="dxa"/>
              <w:right w:w="28" w:type="dxa"/>
            </w:tcMar>
            <w:vAlign w:val="center"/>
          </w:tcPr>
          <w:p w14:paraId="3B50D35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474D3C28">
            <w:pPr>
              <w:spacing w:after="0" w:line="240" w:lineRule="auto"/>
              <w:ind w:firstLine="0"/>
              <w:jc w:val="center"/>
              <w:rPr>
                <w:sz w:val="20"/>
                <w:szCs w:val="20"/>
              </w:rPr>
            </w:pPr>
            <w:r>
              <w:rPr>
                <w:sz w:val="20"/>
                <w:szCs w:val="20"/>
              </w:rPr>
              <w:t>ХМАО,</w:t>
            </w:r>
          </w:p>
          <w:p w14:paraId="7333CA04">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1980D9B">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02F99A56">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75408638">
            <w:pPr>
              <w:spacing w:after="0" w:line="240" w:lineRule="auto"/>
              <w:ind w:firstLine="0"/>
              <w:jc w:val="center"/>
              <w:rPr>
                <w:sz w:val="20"/>
                <w:szCs w:val="20"/>
              </w:rPr>
            </w:pPr>
            <w:r>
              <w:rPr>
                <w:sz w:val="20"/>
                <w:szCs w:val="20"/>
              </w:rPr>
              <w:t>60</w:t>
            </w:r>
          </w:p>
          <w:p w14:paraId="3D8B9359">
            <w:pPr>
              <w:spacing w:after="0" w:line="240" w:lineRule="auto"/>
              <w:ind w:firstLine="0"/>
              <w:jc w:val="center"/>
              <w:rPr>
                <w:sz w:val="20"/>
                <w:szCs w:val="20"/>
              </w:rPr>
            </w:pPr>
            <w:r>
              <w:rPr>
                <w:sz w:val="20"/>
                <w:szCs w:val="20"/>
              </w:rPr>
              <w:t>60</w:t>
            </w:r>
          </w:p>
        </w:tc>
        <w:tc>
          <w:tcPr>
            <w:tcW w:w="774" w:type="pct"/>
            <w:gridSpan w:val="2"/>
            <w:tcMar>
              <w:left w:w="28" w:type="dxa"/>
              <w:right w:w="28" w:type="dxa"/>
            </w:tcMar>
            <w:vAlign w:val="center"/>
          </w:tcPr>
          <w:p w14:paraId="518F992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178EBF25">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46167D2F">
            <w:pPr>
              <w:spacing w:after="0" w:line="240" w:lineRule="auto"/>
              <w:ind w:firstLine="0"/>
              <w:jc w:val="center"/>
              <w:rPr>
                <w:sz w:val="20"/>
                <w:szCs w:val="20"/>
              </w:rPr>
            </w:pPr>
            <w:r>
              <w:rPr>
                <w:rFonts w:eastAsia="TimesNewRomanPSMT"/>
                <w:sz w:val="20"/>
                <w:szCs w:val="20"/>
              </w:rPr>
              <w:t>166450.75</w:t>
            </w:r>
          </w:p>
        </w:tc>
        <w:tc>
          <w:tcPr>
            <w:tcW w:w="456" w:type="pct"/>
            <w:gridSpan w:val="2"/>
            <w:tcMar>
              <w:left w:w="28" w:type="dxa"/>
              <w:right w:w="28" w:type="dxa"/>
            </w:tcMar>
            <w:vAlign w:val="center"/>
          </w:tcPr>
          <w:p w14:paraId="6000C68C">
            <w:pPr>
              <w:spacing w:after="0" w:line="240" w:lineRule="auto"/>
              <w:ind w:firstLine="0"/>
              <w:jc w:val="center"/>
              <w:rPr>
                <w:sz w:val="20"/>
                <w:szCs w:val="20"/>
              </w:rPr>
            </w:pPr>
            <w:r>
              <w:rPr>
                <w:sz w:val="20"/>
                <w:szCs w:val="20"/>
              </w:rPr>
              <w:t>действующие сети</w:t>
            </w:r>
          </w:p>
        </w:tc>
      </w:tr>
      <w:tr w14:paraId="35855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3BB4B349">
            <w:pPr>
              <w:spacing w:after="0" w:line="240" w:lineRule="auto"/>
              <w:ind w:firstLine="0"/>
              <w:jc w:val="center"/>
              <w:rPr>
                <w:sz w:val="20"/>
                <w:szCs w:val="20"/>
              </w:rPr>
            </w:pPr>
            <w:r>
              <w:rPr>
                <w:sz w:val="20"/>
                <w:szCs w:val="20"/>
              </w:rPr>
              <w:t>40</w:t>
            </w:r>
          </w:p>
        </w:tc>
        <w:tc>
          <w:tcPr>
            <w:tcW w:w="924" w:type="pct"/>
            <w:tcMar>
              <w:left w:w="28" w:type="dxa"/>
              <w:right w:w="28" w:type="dxa"/>
            </w:tcMar>
            <w:vAlign w:val="center"/>
          </w:tcPr>
          <w:p w14:paraId="42315504">
            <w:pPr>
              <w:spacing w:after="0" w:line="240" w:lineRule="auto"/>
              <w:ind w:firstLine="0"/>
              <w:jc w:val="center"/>
              <w:rPr>
                <w:sz w:val="20"/>
                <w:szCs w:val="20"/>
              </w:rPr>
            </w:pPr>
            <w:r>
              <w:rPr>
                <w:sz w:val="20"/>
                <w:szCs w:val="20"/>
              </w:rPr>
              <w:t>Наружные сети теплоснабжения</w:t>
            </w:r>
          </w:p>
          <w:p w14:paraId="486E6CA9">
            <w:pPr>
              <w:spacing w:after="0" w:line="240" w:lineRule="auto"/>
              <w:ind w:firstLine="0"/>
              <w:jc w:val="center"/>
              <w:rPr>
                <w:sz w:val="20"/>
                <w:szCs w:val="20"/>
              </w:rPr>
            </w:pPr>
            <w:r>
              <w:rPr>
                <w:sz w:val="20"/>
                <w:szCs w:val="20"/>
              </w:rPr>
              <w:t>От точки Котельная № 2 до точки № 19</w:t>
            </w:r>
          </w:p>
          <w:p w14:paraId="3F636349">
            <w:pPr>
              <w:spacing w:after="0" w:line="240" w:lineRule="auto"/>
              <w:ind w:firstLine="0"/>
              <w:jc w:val="center"/>
              <w:rPr>
                <w:sz w:val="20"/>
                <w:szCs w:val="20"/>
              </w:rPr>
            </w:pPr>
            <w:r>
              <w:rPr>
                <w:rFonts w:eastAsia="TimesNewRomanPSMT"/>
                <w:sz w:val="20"/>
                <w:szCs w:val="20"/>
              </w:rPr>
              <w:t>86:06:0020401:1338</w:t>
            </w:r>
          </w:p>
        </w:tc>
        <w:tc>
          <w:tcPr>
            <w:tcW w:w="215" w:type="pct"/>
            <w:tcMar>
              <w:left w:w="28" w:type="dxa"/>
              <w:right w:w="28" w:type="dxa"/>
            </w:tcMar>
            <w:vAlign w:val="center"/>
          </w:tcPr>
          <w:p w14:paraId="1408279B">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3339F385">
            <w:pPr>
              <w:spacing w:after="0" w:line="240" w:lineRule="auto"/>
              <w:ind w:firstLine="0"/>
              <w:jc w:val="center"/>
              <w:rPr>
                <w:sz w:val="20"/>
                <w:szCs w:val="20"/>
              </w:rPr>
            </w:pPr>
            <w:r>
              <w:rPr>
                <w:sz w:val="20"/>
                <w:szCs w:val="20"/>
              </w:rPr>
              <w:t>ХМАО,</w:t>
            </w:r>
          </w:p>
          <w:p w14:paraId="7F85376F">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42E3DAA4">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364E2BDE">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- 42</w:t>
            </w:r>
          </w:p>
        </w:tc>
        <w:tc>
          <w:tcPr>
            <w:tcW w:w="466" w:type="pct"/>
            <w:gridSpan w:val="2"/>
            <w:tcMar>
              <w:left w:w="28" w:type="dxa"/>
              <w:right w:w="28" w:type="dxa"/>
            </w:tcMar>
            <w:vAlign w:val="center"/>
          </w:tcPr>
          <w:p w14:paraId="379C1F22">
            <w:pPr>
              <w:spacing w:after="0" w:line="240" w:lineRule="auto"/>
              <w:ind w:firstLine="0"/>
              <w:jc w:val="center"/>
              <w:rPr>
                <w:sz w:val="20"/>
                <w:szCs w:val="20"/>
              </w:rPr>
            </w:pPr>
            <w:r>
              <w:rPr>
                <w:sz w:val="20"/>
                <w:szCs w:val="20"/>
              </w:rPr>
              <w:t>77</w:t>
            </w:r>
          </w:p>
          <w:p w14:paraId="7ABBCFEC">
            <w:pPr>
              <w:spacing w:after="0" w:line="240" w:lineRule="auto"/>
              <w:ind w:firstLine="0"/>
              <w:jc w:val="center"/>
              <w:rPr>
                <w:sz w:val="20"/>
                <w:szCs w:val="20"/>
              </w:rPr>
            </w:pPr>
            <w:r>
              <w:rPr>
                <w:sz w:val="20"/>
                <w:szCs w:val="20"/>
              </w:rPr>
              <w:t>77</w:t>
            </w:r>
          </w:p>
        </w:tc>
        <w:tc>
          <w:tcPr>
            <w:tcW w:w="774" w:type="pct"/>
            <w:gridSpan w:val="2"/>
            <w:tcMar>
              <w:left w:w="28" w:type="dxa"/>
              <w:right w:w="28" w:type="dxa"/>
            </w:tcMar>
            <w:vAlign w:val="center"/>
          </w:tcPr>
          <w:p w14:paraId="7FF642BF">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4A05834F">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3AC372E7">
            <w:pPr>
              <w:spacing w:after="0" w:line="240" w:lineRule="auto"/>
              <w:ind w:firstLine="0"/>
              <w:jc w:val="center"/>
              <w:rPr>
                <w:sz w:val="20"/>
                <w:szCs w:val="20"/>
              </w:rPr>
            </w:pPr>
            <w:r>
              <w:rPr>
                <w:rFonts w:eastAsia="TimesNewRomanPSMT"/>
                <w:sz w:val="20"/>
                <w:szCs w:val="20"/>
              </w:rPr>
              <w:t>267014.75</w:t>
            </w:r>
          </w:p>
        </w:tc>
        <w:tc>
          <w:tcPr>
            <w:tcW w:w="456" w:type="pct"/>
            <w:gridSpan w:val="2"/>
            <w:tcMar>
              <w:left w:w="28" w:type="dxa"/>
              <w:right w:w="28" w:type="dxa"/>
            </w:tcMar>
            <w:vAlign w:val="center"/>
          </w:tcPr>
          <w:p w14:paraId="3B3EE1EA">
            <w:pPr>
              <w:spacing w:after="0" w:line="240" w:lineRule="auto"/>
              <w:ind w:firstLine="0"/>
              <w:jc w:val="center"/>
              <w:rPr>
                <w:sz w:val="20"/>
                <w:szCs w:val="20"/>
              </w:rPr>
            </w:pPr>
            <w:r>
              <w:rPr>
                <w:sz w:val="20"/>
                <w:szCs w:val="20"/>
              </w:rPr>
              <w:t>действующие сети</w:t>
            </w:r>
          </w:p>
        </w:tc>
      </w:tr>
      <w:tr w14:paraId="7365B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215" w:type="pct"/>
            <w:tcMar>
              <w:left w:w="28" w:type="dxa"/>
              <w:right w:w="28" w:type="dxa"/>
            </w:tcMar>
            <w:vAlign w:val="center"/>
          </w:tcPr>
          <w:p w14:paraId="27AA6745">
            <w:pPr>
              <w:spacing w:after="0" w:line="240" w:lineRule="auto"/>
              <w:ind w:firstLine="0"/>
              <w:jc w:val="center"/>
              <w:rPr>
                <w:sz w:val="20"/>
                <w:szCs w:val="20"/>
              </w:rPr>
            </w:pPr>
            <w:r>
              <w:rPr>
                <w:sz w:val="20"/>
                <w:szCs w:val="20"/>
              </w:rPr>
              <w:t>41</w:t>
            </w:r>
          </w:p>
        </w:tc>
        <w:tc>
          <w:tcPr>
            <w:tcW w:w="924" w:type="pct"/>
            <w:tcMar>
              <w:left w:w="28" w:type="dxa"/>
              <w:right w:w="28" w:type="dxa"/>
            </w:tcMar>
            <w:vAlign w:val="center"/>
          </w:tcPr>
          <w:p w14:paraId="07D0532C">
            <w:pPr>
              <w:spacing w:after="0" w:line="240" w:lineRule="auto"/>
              <w:ind w:firstLine="0"/>
              <w:jc w:val="center"/>
              <w:rPr>
                <w:sz w:val="20"/>
                <w:szCs w:val="20"/>
              </w:rPr>
            </w:pPr>
            <w:r>
              <w:rPr>
                <w:sz w:val="20"/>
                <w:szCs w:val="20"/>
              </w:rPr>
              <w:t>Наружные сети теплоснабжения</w:t>
            </w:r>
          </w:p>
          <w:p w14:paraId="79FE3794">
            <w:pPr>
              <w:spacing w:after="0" w:line="240" w:lineRule="auto"/>
              <w:ind w:firstLine="0"/>
              <w:jc w:val="center"/>
              <w:rPr>
                <w:sz w:val="20"/>
                <w:szCs w:val="20"/>
              </w:rPr>
            </w:pPr>
            <w:r>
              <w:rPr>
                <w:sz w:val="20"/>
                <w:szCs w:val="20"/>
              </w:rPr>
              <w:t>От точки № 19 до точки КНС № 4</w:t>
            </w:r>
          </w:p>
          <w:p w14:paraId="55EFC8D3">
            <w:pPr>
              <w:spacing w:after="0" w:line="240" w:lineRule="auto"/>
              <w:ind w:firstLine="0"/>
              <w:jc w:val="center"/>
              <w:rPr>
                <w:sz w:val="20"/>
                <w:szCs w:val="20"/>
              </w:rPr>
            </w:pPr>
            <w:r>
              <w:rPr>
                <w:rFonts w:eastAsia="TimesNewRomanPSMT"/>
                <w:sz w:val="20"/>
                <w:szCs w:val="20"/>
              </w:rPr>
              <w:t>86:06:0020401:1305</w:t>
            </w:r>
          </w:p>
        </w:tc>
        <w:tc>
          <w:tcPr>
            <w:tcW w:w="215" w:type="pct"/>
            <w:tcMar>
              <w:left w:w="28" w:type="dxa"/>
              <w:right w:w="28" w:type="dxa"/>
            </w:tcMar>
            <w:vAlign w:val="center"/>
          </w:tcPr>
          <w:p w14:paraId="3A00C276">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3B4203E7">
            <w:pPr>
              <w:spacing w:after="0" w:line="240" w:lineRule="auto"/>
              <w:ind w:firstLine="0"/>
              <w:jc w:val="center"/>
              <w:rPr>
                <w:sz w:val="20"/>
                <w:szCs w:val="20"/>
              </w:rPr>
            </w:pPr>
            <w:r>
              <w:rPr>
                <w:sz w:val="20"/>
                <w:szCs w:val="20"/>
              </w:rPr>
              <w:t>ХМАО,</w:t>
            </w:r>
          </w:p>
          <w:p w14:paraId="27464858">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0A768A3D">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- 25</w:t>
            </w:r>
          </w:p>
          <w:p w14:paraId="4C2CB71E">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- 25</w:t>
            </w:r>
          </w:p>
        </w:tc>
        <w:tc>
          <w:tcPr>
            <w:tcW w:w="466" w:type="pct"/>
            <w:gridSpan w:val="2"/>
            <w:tcMar>
              <w:left w:w="28" w:type="dxa"/>
              <w:right w:w="28" w:type="dxa"/>
            </w:tcMar>
            <w:vAlign w:val="center"/>
          </w:tcPr>
          <w:p w14:paraId="74437E72">
            <w:pPr>
              <w:spacing w:after="0" w:line="240" w:lineRule="auto"/>
              <w:ind w:firstLine="0"/>
              <w:jc w:val="center"/>
              <w:rPr>
                <w:sz w:val="20"/>
                <w:szCs w:val="20"/>
              </w:rPr>
            </w:pPr>
            <w:r>
              <w:rPr>
                <w:sz w:val="20"/>
                <w:szCs w:val="20"/>
              </w:rPr>
              <w:t>16</w:t>
            </w:r>
          </w:p>
          <w:p w14:paraId="2EB34248">
            <w:pPr>
              <w:spacing w:after="0" w:line="240" w:lineRule="auto"/>
              <w:ind w:firstLine="0"/>
              <w:jc w:val="center"/>
              <w:rPr>
                <w:sz w:val="20"/>
                <w:szCs w:val="20"/>
              </w:rPr>
            </w:pPr>
            <w:r>
              <w:rPr>
                <w:sz w:val="20"/>
                <w:szCs w:val="20"/>
              </w:rPr>
              <w:t>16</w:t>
            </w:r>
          </w:p>
        </w:tc>
        <w:tc>
          <w:tcPr>
            <w:tcW w:w="774" w:type="pct"/>
            <w:gridSpan w:val="2"/>
            <w:tcMar>
              <w:left w:w="28" w:type="dxa"/>
              <w:right w:w="28" w:type="dxa"/>
            </w:tcMar>
            <w:vAlign w:val="center"/>
          </w:tcPr>
          <w:p w14:paraId="72AD560F">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73ECF091">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4D2BDB5">
            <w:pPr>
              <w:spacing w:after="0" w:line="240" w:lineRule="auto"/>
              <w:ind w:firstLine="0"/>
              <w:jc w:val="center"/>
              <w:rPr>
                <w:sz w:val="20"/>
                <w:szCs w:val="20"/>
              </w:rPr>
            </w:pPr>
            <w:r>
              <w:rPr>
                <w:rFonts w:eastAsia="TimesNewRomanPSMT"/>
                <w:sz w:val="20"/>
                <w:szCs w:val="20"/>
              </w:rPr>
              <w:t>44386.87</w:t>
            </w:r>
          </w:p>
        </w:tc>
        <w:tc>
          <w:tcPr>
            <w:tcW w:w="456" w:type="pct"/>
            <w:gridSpan w:val="2"/>
            <w:tcMar>
              <w:left w:w="28" w:type="dxa"/>
              <w:right w:w="28" w:type="dxa"/>
            </w:tcMar>
            <w:vAlign w:val="center"/>
          </w:tcPr>
          <w:p w14:paraId="003CDB39">
            <w:pPr>
              <w:spacing w:after="0" w:line="240" w:lineRule="auto"/>
              <w:ind w:firstLine="0"/>
              <w:jc w:val="center"/>
              <w:rPr>
                <w:sz w:val="20"/>
                <w:szCs w:val="20"/>
              </w:rPr>
            </w:pPr>
            <w:r>
              <w:rPr>
                <w:sz w:val="20"/>
                <w:szCs w:val="20"/>
              </w:rPr>
              <w:t>действующие сети</w:t>
            </w:r>
          </w:p>
        </w:tc>
      </w:tr>
      <w:tr w14:paraId="356E6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1E6C427F">
            <w:pPr>
              <w:spacing w:after="0" w:line="240" w:lineRule="auto"/>
              <w:ind w:firstLine="0"/>
              <w:jc w:val="center"/>
              <w:rPr>
                <w:sz w:val="20"/>
                <w:szCs w:val="20"/>
              </w:rPr>
            </w:pPr>
            <w:r>
              <w:rPr>
                <w:sz w:val="20"/>
                <w:szCs w:val="20"/>
              </w:rPr>
              <w:t>42</w:t>
            </w:r>
          </w:p>
        </w:tc>
        <w:tc>
          <w:tcPr>
            <w:tcW w:w="924" w:type="pct"/>
            <w:tcMar>
              <w:left w:w="28" w:type="dxa"/>
              <w:right w:w="28" w:type="dxa"/>
            </w:tcMar>
            <w:vAlign w:val="center"/>
          </w:tcPr>
          <w:p w14:paraId="05A4F916">
            <w:pPr>
              <w:spacing w:after="0" w:line="240" w:lineRule="auto"/>
              <w:ind w:firstLine="0"/>
              <w:jc w:val="center"/>
              <w:rPr>
                <w:sz w:val="20"/>
                <w:szCs w:val="20"/>
              </w:rPr>
            </w:pPr>
            <w:r>
              <w:rPr>
                <w:sz w:val="20"/>
                <w:szCs w:val="20"/>
              </w:rPr>
              <w:t>Наружные сети теплоснабжения</w:t>
            </w:r>
          </w:p>
          <w:p w14:paraId="671F10E6">
            <w:pPr>
              <w:spacing w:after="0" w:line="240" w:lineRule="auto"/>
              <w:ind w:firstLine="0"/>
              <w:jc w:val="center"/>
              <w:rPr>
                <w:sz w:val="20"/>
                <w:szCs w:val="20"/>
              </w:rPr>
            </w:pPr>
            <w:r>
              <w:rPr>
                <w:sz w:val="20"/>
                <w:szCs w:val="20"/>
              </w:rPr>
              <w:t>От точки № 19 до точки № 20</w:t>
            </w:r>
          </w:p>
          <w:p w14:paraId="3239DC6E">
            <w:pPr>
              <w:spacing w:after="0" w:line="240" w:lineRule="auto"/>
              <w:ind w:firstLine="0"/>
              <w:jc w:val="center"/>
              <w:rPr>
                <w:sz w:val="20"/>
                <w:szCs w:val="20"/>
              </w:rPr>
            </w:pPr>
            <w:r>
              <w:rPr>
                <w:rFonts w:eastAsia="TimesNewRomanPSMT"/>
                <w:sz w:val="20"/>
                <w:szCs w:val="20"/>
              </w:rPr>
              <w:t>86:06:0020401:1296</w:t>
            </w:r>
          </w:p>
        </w:tc>
        <w:tc>
          <w:tcPr>
            <w:tcW w:w="215" w:type="pct"/>
            <w:tcMar>
              <w:left w:w="28" w:type="dxa"/>
              <w:right w:w="28" w:type="dxa"/>
            </w:tcMar>
            <w:vAlign w:val="center"/>
          </w:tcPr>
          <w:p w14:paraId="1320F1A2">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52F35074">
            <w:pPr>
              <w:spacing w:after="0" w:line="240" w:lineRule="auto"/>
              <w:ind w:firstLine="0"/>
              <w:jc w:val="center"/>
              <w:rPr>
                <w:sz w:val="20"/>
                <w:szCs w:val="20"/>
              </w:rPr>
            </w:pPr>
            <w:r>
              <w:rPr>
                <w:sz w:val="20"/>
                <w:szCs w:val="20"/>
              </w:rPr>
              <w:t>ХМАО,</w:t>
            </w:r>
          </w:p>
          <w:p w14:paraId="5472D91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4434DBD6">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1FBDDFB0">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- 42</w:t>
            </w:r>
          </w:p>
        </w:tc>
        <w:tc>
          <w:tcPr>
            <w:tcW w:w="466" w:type="pct"/>
            <w:gridSpan w:val="2"/>
            <w:tcMar>
              <w:left w:w="28" w:type="dxa"/>
              <w:right w:w="28" w:type="dxa"/>
            </w:tcMar>
            <w:vAlign w:val="center"/>
          </w:tcPr>
          <w:p w14:paraId="15BEDF52">
            <w:pPr>
              <w:spacing w:after="0" w:line="240" w:lineRule="auto"/>
              <w:ind w:firstLine="0"/>
              <w:jc w:val="center"/>
              <w:rPr>
                <w:sz w:val="20"/>
                <w:szCs w:val="20"/>
              </w:rPr>
            </w:pPr>
            <w:r>
              <w:rPr>
                <w:sz w:val="20"/>
                <w:szCs w:val="20"/>
              </w:rPr>
              <w:t>59</w:t>
            </w:r>
          </w:p>
          <w:p w14:paraId="68991D70">
            <w:pPr>
              <w:spacing w:after="0" w:line="240" w:lineRule="auto"/>
              <w:ind w:firstLine="0"/>
              <w:jc w:val="center"/>
              <w:rPr>
                <w:sz w:val="20"/>
                <w:szCs w:val="20"/>
              </w:rPr>
            </w:pPr>
            <w:r>
              <w:rPr>
                <w:sz w:val="20"/>
                <w:szCs w:val="20"/>
              </w:rPr>
              <w:t>59</w:t>
            </w:r>
          </w:p>
        </w:tc>
        <w:tc>
          <w:tcPr>
            <w:tcW w:w="774" w:type="pct"/>
            <w:gridSpan w:val="2"/>
            <w:tcMar>
              <w:left w:w="28" w:type="dxa"/>
              <w:right w:w="28" w:type="dxa"/>
            </w:tcMar>
            <w:vAlign w:val="center"/>
          </w:tcPr>
          <w:p w14:paraId="051DE465">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4D41D7F0">
            <w:pPr>
              <w:spacing w:after="0" w:line="240" w:lineRule="auto"/>
              <w:ind w:firstLine="0"/>
              <w:jc w:val="center"/>
              <w:rPr>
                <w:sz w:val="20"/>
                <w:szCs w:val="20"/>
              </w:rPr>
            </w:pPr>
            <w:r>
              <w:rPr>
                <w:sz w:val="20"/>
                <w:szCs w:val="20"/>
              </w:rPr>
              <w:t>наземный</w:t>
            </w:r>
          </w:p>
        </w:tc>
        <w:tc>
          <w:tcPr>
            <w:tcW w:w="448" w:type="pct"/>
            <w:gridSpan w:val="2"/>
            <w:tcMar>
              <w:left w:w="28" w:type="dxa"/>
              <w:right w:w="28" w:type="dxa"/>
            </w:tcMar>
            <w:vAlign w:val="center"/>
          </w:tcPr>
          <w:p w14:paraId="1C4E5638">
            <w:pPr>
              <w:spacing w:after="0" w:line="240" w:lineRule="auto"/>
              <w:ind w:firstLine="0"/>
              <w:jc w:val="center"/>
              <w:rPr>
                <w:sz w:val="20"/>
                <w:szCs w:val="20"/>
              </w:rPr>
            </w:pPr>
            <w:r>
              <w:rPr>
                <w:rFonts w:eastAsia="TimesNewRomanPSMT"/>
                <w:sz w:val="20"/>
                <w:szCs w:val="20"/>
              </w:rPr>
              <w:t>163676.57</w:t>
            </w:r>
          </w:p>
        </w:tc>
        <w:tc>
          <w:tcPr>
            <w:tcW w:w="456" w:type="pct"/>
            <w:gridSpan w:val="2"/>
            <w:tcMar>
              <w:left w:w="28" w:type="dxa"/>
              <w:right w:w="28" w:type="dxa"/>
            </w:tcMar>
            <w:vAlign w:val="center"/>
          </w:tcPr>
          <w:p w14:paraId="16FD8658">
            <w:pPr>
              <w:spacing w:after="0" w:line="240" w:lineRule="auto"/>
              <w:ind w:firstLine="0"/>
              <w:jc w:val="center"/>
              <w:rPr>
                <w:sz w:val="20"/>
                <w:szCs w:val="20"/>
              </w:rPr>
            </w:pPr>
            <w:r>
              <w:rPr>
                <w:sz w:val="20"/>
                <w:szCs w:val="20"/>
              </w:rPr>
              <w:t>действующие сети</w:t>
            </w:r>
          </w:p>
        </w:tc>
      </w:tr>
      <w:tr w14:paraId="34CE6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22F1DD0F">
            <w:pPr>
              <w:spacing w:after="0" w:line="240" w:lineRule="auto"/>
              <w:ind w:firstLine="0"/>
              <w:jc w:val="center"/>
              <w:rPr>
                <w:sz w:val="20"/>
                <w:szCs w:val="20"/>
              </w:rPr>
            </w:pPr>
            <w:r>
              <w:rPr>
                <w:sz w:val="20"/>
                <w:szCs w:val="20"/>
              </w:rPr>
              <w:t>43</w:t>
            </w:r>
          </w:p>
        </w:tc>
        <w:tc>
          <w:tcPr>
            <w:tcW w:w="924" w:type="pct"/>
            <w:tcMar>
              <w:left w:w="28" w:type="dxa"/>
              <w:right w:w="28" w:type="dxa"/>
            </w:tcMar>
            <w:vAlign w:val="center"/>
          </w:tcPr>
          <w:p w14:paraId="082383F0">
            <w:pPr>
              <w:spacing w:after="0" w:line="240" w:lineRule="auto"/>
              <w:ind w:firstLine="0"/>
              <w:jc w:val="center"/>
              <w:rPr>
                <w:sz w:val="20"/>
                <w:szCs w:val="20"/>
              </w:rPr>
            </w:pPr>
            <w:r>
              <w:rPr>
                <w:sz w:val="20"/>
                <w:szCs w:val="20"/>
              </w:rPr>
              <w:t>Наружные сети теплоснабжения</w:t>
            </w:r>
          </w:p>
          <w:p w14:paraId="5B580BC1">
            <w:pPr>
              <w:spacing w:after="0" w:line="240" w:lineRule="auto"/>
              <w:ind w:firstLine="0"/>
              <w:jc w:val="center"/>
              <w:rPr>
                <w:sz w:val="20"/>
                <w:szCs w:val="20"/>
              </w:rPr>
            </w:pPr>
            <w:r>
              <w:rPr>
                <w:sz w:val="20"/>
                <w:szCs w:val="20"/>
              </w:rPr>
              <w:t>От точки № 20 до точки № 21</w:t>
            </w:r>
          </w:p>
          <w:p w14:paraId="65D22B03">
            <w:pPr>
              <w:spacing w:after="0" w:line="240" w:lineRule="auto"/>
              <w:ind w:firstLine="0"/>
              <w:jc w:val="center"/>
              <w:rPr>
                <w:sz w:val="20"/>
                <w:szCs w:val="20"/>
              </w:rPr>
            </w:pPr>
            <w:r>
              <w:rPr>
                <w:rFonts w:eastAsia="TimesNewRomanPSMT"/>
                <w:sz w:val="20"/>
                <w:szCs w:val="20"/>
              </w:rPr>
              <w:t>86:06:0020401:1295</w:t>
            </w:r>
          </w:p>
        </w:tc>
        <w:tc>
          <w:tcPr>
            <w:tcW w:w="215" w:type="pct"/>
            <w:tcMar>
              <w:left w:w="28" w:type="dxa"/>
              <w:right w:w="28" w:type="dxa"/>
            </w:tcMar>
            <w:vAlign w:val="center"/>
          </w:tcPr>
          <w:p w14:paraId="45F4F93D">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07980E41">
            <w:pPr>
              <w:spacing w:after="0" w:line="240" w:lineRule="auto"/>
              <w:ind w:firstLine="0"/>
              <w:jc w:val="center"/>
              <w:rPr>
                <w:sz w:val="20"/>
                <w:szCs w:val="20"/>
              </w:rPr>
            </w:pPr>
            <w:r>
              <w:rPr>
                <w:sz w:val="20"/>
                <w:szCs w:val="20"/>
              </w:rPr>
              <w:t>ХМАО,</w:t>
            </w:r>
          </w:p>
          <w:p w14:paraId="7A00B85D">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45CE3941">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- 133</w:t>
            </w:r>
          </w:p>
          <w:p w14:paraId="365E7773">
            <w:pPr>
              <w:spacing w:after="0" w:line="240" w:lineRule="auto"/>
              <w:ind w:firstLine="0"/>
              <w:jc w:val="center"/>
              <w:rPr>
                <w:sz w:val="20"/>
                <w:szCs w:val="20"/>
              </w:rPr>
            </w:pPr>
            <w:r>
              <w:rPr>
                <w:sz w:val="20"/>
                <w:szCs w:val="20"/>
              </w:rPr>
              <w:t>Т</w:t>
            </w:r>
            <w:r>
              <w:rPr>
                <w:sz w:val="20"/>
                <w:szCs w:val="20"/>
                <w:vertAlign w:val="subscript"/>
              </w:rPr>
              <w:t xml:space="preserve"> 2</w:t>
            </w:r>
            <w:r>
              <w:rPr>
                <w:sz w:val="20"/>
                <w:szCs w:val="20"/>
              </w:rPr>
              <w:t>- 133</w:t>
            </w:r>
          </w:p>
        </w:tc>
        <w:tc>
          <w:tcPr>
            <w:tcW w:w="466" w:type="pct"/>
            <w:gridSpan w:val="2"/>
            <w:tcMar>
              <w:left w:w="28" w:type="dxa"/>
              <w:right w:w="28" w:type="dxa"/>
            </w:tcMar>
            <w:vAlign w:val="center"/>
          </w:tcPr>
          <w:p w14:paraId="01E5776B">
            <w:pPr>
              <w:spacing w:after="0" w:line="240" w:lineRule="auto"/>
              <w:ind w:firstLine="0"/>
              <w:jc w:val="center"/>
              <w:rPr>
                <w:sz w:val="20"/>
                <w:szCs w:val="20"/>
              </w:rPr>
            </w:pPr>
            <w:r>
              <w:rPr>
                <w:sz w:val="20"/>
                <w:szCs w:val="20"/>
              </w:rPr>
              <w:t>52</w:t>
            </w:r>
          </w:p>
          <w:p w14:paraId="262687C0">
            <w:pPr>
              <w:spacing w:after="0" w:line="240" w:lineRule="auto"/>
              <w:ind w:firstLine="0"/>
              <w:jc w:val="center"/>
              <w:rPr>
                <w:sz w:val="20"/>
                <w:szCs w:val="20"/>
              </w:rPr>
            </w:pPr>
            <w:r>
              <w:rPr>
                <w:sz w:val="20"/>
                <w:szCs w:val="20"/>
              </w:rPr>
              <w:t>52</w:t>
            </w:r>
          </w:p>
        </w:tc>
        <w:tc>
          <w:tcPr>
            <w:tcW w:w="774" w:type="pct"/>
            <w:gridSpan w:val="2"/>
            <w:tcMar>
              <w:left w:w="28" w:type="dxa"/>
              <w:right w:w="28" w:type="dxa"/>
            </w:tcMar>
            <w:vAlign w:val="center"/>
          </w:tcPr>
          <w:p w14:paraId="51755D55">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06093D00">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38A225E3">
            <w:pPr>
              <w:spacing w:after="0" w:line="240" w:lineRule="auto"/>
              <w:ind w:firstLine="0"/>
              <w:jc w:val="center"/>
              <w:rPr>
                <w:sz w:val="20"/>
                <w:szCs w:val="20"/>
              </w:rPr>
            </w:pPr>
            <w:r>
              <w:rPr>
                <w:rFonts w:eastAsia="TimesNewRomanPSMT"/>
                <w:sz w:val="20"/>
                <w:szCs w:val="20"/>
              </w:rPr>
              <w:t>144257.32</w:t>
            </w:r>
          </w:p>
        </w:tc>
        <w:tc>
          <w:tcPr>
            <w:tcW w:w="456" w:type="pct"/>
            <w:gridSpan w:val="2"/>
            <w:tcMar>
              <w:left w:w="28" w:type="dxa"/>
              <w:right w:w="28" w:type="dxa"/>
            </w:tcMar>
            <w:vAlign w:val="center"/>
          </w:tcPr>
          <w:p w14:paraId="15542A67">
            <w:pPr>
              <w:spacing w:after="0" w:line="240" w:lineRule="auto"/>
              <w:ind w:firstLine="0"/>
              <w:jc w:val="center"/>
              <w:rPr>
                <w:sz w:val="20"/>
                <w:szCs w:val="20"/>
              </w:rPr>
            </w:pPr>
            <w:r>
              <w:rPr>
                <w:sz w:val="20"/>
                <w:szCs w:val="20"/>
              </w:rPr>
              <w:t>действующие сети</w:t>
            </w:r>
          </w:p>
        </w:tc>
      </w:tr>
      <w:tr w14:paraId="47E10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A2F6C09">
            <w:pPr>
              <w:spacing w:after="0" w:line="240" w:lineRule="auto"/>
              <w:ind w:firstLine="0"/>
              <w:jc w:val="center"/>
              <w:rPr>
                <w:sz w:val="20"/>
                <w:szCs w:val="20"/>
              </w:rPr>
            </w:pPr>
            <w:r>
              <w:rPr>
                <w:sz w:val="20"/>
                <w:szCs w:val="20"/>
              </w:rPr>
              <w:t>44</w:t>
            </w:r>
          </w:p>
        </w:tc>
        <w:tc>
          <w:tcPr>
            <w:tcW w:w="924" w:type="pct"/>
            <w:tcMar>
              <w:left w:w="28" w:type="dxa"/>
              <w:right w:w="28" w:type="dxa"/>
            </w:tcMar>
            <w:vAlign w:val="center"/>
          </w:tcPr>
          <w:p w14:paraId="6F713D85">
            <w:pPr>
              <w:spacing w:after="0" w:line="240" w:lineRule="auto"/>
              <w:ind w:firstLine="0"/>
              <w:jc w:val="center"/>
              <w:rPr>
                <w:sz w:val="20"/>
                <w:szCs w:val="20"/>
              </w:rPr>
            </w:pPr>
            <w:r>
              <w:rPr>
                <w:sz w:val="20"/>
                <w:szCs w:val="20"/>
              </w:rPr>
              <w:t>Наружные сети теплоснабжения</w:t>
            </w:r>
          </w:p>
          <w:p w14:paraId="77128A8A">
            <w:pPr>
              <w:spacing w:after="0" w:line="240" w:lineRule="auto"/>
              <w:ind w:firstLine="0"/>
              <w:jc w:val="center"/>
              <w:rPr>
                <w:sz w:val="20"/>
                <w:szCs w:val="20"/>
              </w:rPr>
            </w:pPr>
            <w:r>
              <w:rPr>
                <w:sz w:val="20"/>
                <w:szCs w:val="20"/>
              </w:rPr>
              <w:t>От точки № 21 до точки № 22</w:t>
            </w:r>
          </w:p>
          <w:p w14:paraId="0AA5936F">
            <w:pPr>
              <w:spacing w:after="0" w:line="240" w:lineRule="auto"/>
              <w:ind w:firstLine="0"/>
              <w:jc w:val="center"/>
              <w:rPr>
                <w:sz w:val="20"/>
                <w:szCs w:val="20"/>
              </w:rPr>
            </w:pPr>
            <w:r>
              <w:rPr>
                <w:rFonts w:eastAsia="TimesNewRomanPSMT"/>
                <w:sz w:val="20"/>
                <w:szCs w:val="20"/>
              </w:rPr>
              <w:t>86:06:0020401:1302</w:t>
            </w:r>
          </w:p>
        </w:tc>
        <w:tc>
          <w:tcPr>
            <w:tcW w:w="215" w:type="pct"/>
            <w:tcMar>
              <w:left w:w="28" w:type="dxa"/>
              <w:right w:w="28" w:type="dxa"/>
            </w:tcMar>
            <w:vAlign w:val="center"/>
          </w:tcPr>
          <w:p w14:paraId="49BCF231">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28711869">
            <w:pPr>
              <w:spacing w:after="0" w:line="240" w:lineRule="auto"/>
              <w:ind w:firstLine="0"/>
              <w:jc w:val="center"/>
              <w:rPr>
                <w:sz w:val="20"/>
                <w:szCs w:val="20"/>
              </w:rPr>
            </w:pPr>
            <w:r>
              <w:rPr>
                <w:sz w:val="20"/>
                <w:szCs w:val="20"/>
              </w:rPr>
              <w:t>ХМАО,</w:t>
            </w:r>
          </w:p>
          <w:p w14:paraId="1255BBB9">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10FF848">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- 133</w:t>
            </w:r>
          </w:p>
          <w:p w14:paraId="444C7A2E">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- 133</w:t>
            </w:r>
          </w:p>
        </w:tc>
        <w:tc>
          <w:tcPr>
            <w:tcW w:w="466" w:type="pct"/>
            <w:gridSpan w:val="2"/>
            <w:tcMar>
              <w:left w:w="28" w:type="dxa"/>
              <w:right w:w="28" w:type="dxa"/>
            </w:tcMar>
            <w:vAlign w:val="center"/>
          </w:tcPr>
          <w:p w14:paraId="4FC4D2F4">
            <w:pPr>
              <w:spacing w:after="0" w:line="240" w:lineRule="auto"/>
              <w:ind w:firstLine="0"/>
              <w:jc w:val="center"/>
              <w:rPr>
                <w:sz w:val="20"/>
                <w:szCs w:val="20"/>
              </w:rPr>
            </w:pPr>
            <w:r>
              <w:rPr>
                <w:sz w:val="20"/>
                <w:szCs w:val="20"/>
              </w:rPr>
              <w:t>33</w:t>
            </w:r>
          </w:p>
          <w:p w14:paraId="48487645">
            <w:pPr>
              <w:spacing w:after="0" w:line="240" w:lineRule="auto"/>
              <w:ind w:firstLine="0"/>
              <w:jc w:val="center"/>
              <w:rPr>
                <w:sz w:val="20"/>
                <w:szCs w:val="20"/>
              </w:rPr>
            </w:pPr>
            <w:r>
              <w:rPr>
                <w:sz w:val="20"/>
                <w:szCs w:val="20"/>
              </w:rPr>
              <w:t>33</w:t>
            </w:r>
          </w:p>
        </w:tc>
        <w:tc>
          <w:tcPr>
            <w:tcW w:w="774" w:type="pct"/>
            <w:gridSpan w:val="2"/>
            <w:tcMar>
              <w:left w:w="28" w:type="dxa"/>
              <w:right w:w="28" w:type="dxa"/>
            </w:tcMar>
            <w:vAlign w:val="center"/>
          </w:tcPr>
          <w:p w14:paraId="49C76B4D">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6A5E9804">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16E8017C">
            <w:pPr>
              <w:spacing w:after="0" w:line="240" w:lineRule="auto"/>
              <w:ind w:firstLine="0"/>
              <w:jc w:val="center"/>
              <w:rPr>
                <w:sz w:val="20"/>
                <w:szCs w:val="20"/>
              </w:rPr>
            </w:pPr>
            <w:r>
              <w:rPr>
                <w:rFonts w:eastAsia="TimesNewRomanPSMT"/>
                <w:sz w:val="20"/>
                <w:szCs w:val="20"/>
              </w:rPr>
              <w:t>91547.91</w:t>
            </w:r>
          </w:p>
        </w:tc>
        <w:tc>
          <w:tcPr>
            <w:tcW w:w="456" w:type="pct"/>
            <w:gridSpan w:val="2"/>
            <w:tcMar>
              <w:left w:w="28" w:type="dxa"/>
              <w:right w:w="28" w:type="dxa"/>
            </w:tcMar>
            <w:vAlign w:val="center"/>
          </w:tcPr>
          <w:p w14:paraId="404B4659">
            <w:pPr>
              <w:spacing w:after="0" w:line="240" w:lineRule="auto"/>
              <w:ind w:firstLine="0"/>
              <w:jc w:val="center"/>
              <w:rPr>
                <w:sz w:val="20"/>
                <w:szCs w:val="20"/>
              </w:rPr>
            </w:pPr>
            <w:r>
              <w:rPr>
                <w:sz w:val="20"/>
                <w:szCs w:val="20"/>
              </w:rPr>
              <w:t>действующие сети</w:t>
            </w:r>
          </w:p>
        </w:tc>
      </w:tr>
      <w:tr w14:paraId="3A3AF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60A93B4C">
            <w:pPr>
              <w:spacing w:after="0" w:line="240" w:lineRule="auto"/>
              <w:ind w:firstLine="0"/>
              <w:jc w:val="center"/>
              <w:rPr>
                <w:sz w:val="20"/>
                <w:szCs w:val="20"/>
              </w:rPr>
            </w:pPr>
            <w:r>
              <w:rPr>
                <w:sz w:val="20"/>
                <w:szCs w:val="20"/>
              </w:rPr>
              <w:t>45</w:t>
            </w:r>
          </w:p>
        </w:tc>
        <w:tc>
          <w:tcPr>
            <w:tcW w:w="924" w:type="pct"/>
            <w:tcMar>
              <w:left w:w="28" w:type="dxa"/>
              <w:right w:w="28" w:type="dxa"/>
            </w:tcMar>
            <w:vAlign w:val="center"/>
          </w:tcPr>
          <w:p w14:paraId="590015C2">
            <w:pPr>
              <w:spacing w:after="0" w:line="240" w:lineRule="auto"/>
              <w:ind w:firstLine="0"/>
              <w:jc w:val="center"/>
              <w:rPr>
                <w:sz w:val="20"/>
                <w:szCs w:val="20"/>
              </w:rPr>
            </w:pPr>
            <w:r>
              <w:rPr>
                <w:sz w:val="20"/>
                <w:szCs w:val="20"/>
              </w:rPr>
              <w:t>Наружные сети теплоснабжения</w:t>
            </w:r>
          </w:p>
          <w:p w14:paraId="2B09B9FB">
            <w:pPr>
              <w:spacing w:after="0" w:line="240" w:lineRule="auto"/>
              <w:ind w:firstLine="0"/>
              <w:jc w:val="center"/>
              <w:rPr>
                <w:sz w:val="20"/>
                <w:szCs w:val="20"/>
              </w:rPr>
            </w:pPr>
            <w:r>
              <w:rPr>
                <w:sz w:val="20"/>
                <w:szCs w:val="20"/>
              </w:rPr>
              <w:t>От точки № 21 до точки Ввод ж.д № 24</w:t>
            </w:r>
          </w:p>
          <w:p w14:paraId="3DE158F9">
            <w:pPr>
              <w:spacing w:after="0" w:line="240" w:lineRule="auto"/>
              <w:ind w:firstLine="0"/>
              <w:jc w:val="center"/>
              <w:rPr>
                <w:sz w:val="20"/>
                <w:szCs w:val="20"/>
              </w:rPr>
            </w:pPr>
            <w:r>
              <w:rPr>
                <w:rFonts w:eastAsia="TimesNewRomanPSMT"/>
                <w:sz w:val="20"/>
                <w:szCs w:val="20"/>
              </w:rPr>
              <w:t>86:06:0020401:1294</w:t>
            </w:r>
          </w:p>
        </w:tc>
        <w:tc>
          <w:tcPr>
            <w:tcW w:w="215" w:type="pct"/>
            <w:tcMar>
              <w:left w:w="28" w:type="dxa"/>
              <w:right w:w="28" w:type="dxa"/>
            </w:tcMar>
            <w:vAlign w:val="center"/>
          </w:tcPr>
          <w:p w14:paraId="397F3FAF">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AAF106D">
            <w:pPr>
              <w:spacing w:after="0" w:line="240" w:lineRule="auto"/>
              <w:ind w:firstLine="0"/>
              <w:jc w:val="center"/>
              <w:rPr>
                <w:sz w:val="20"/>
                <w:szCs w:val="20"/>
              </w:rPr>
            </w:pPr>
            <w:r>
              <w:rPr>
                <w:sz w:val="20"/>
                <w:szCs w:val="20"/>
              </w:rPr>
              <w:t>ХМАО,</w:t>
            </w:r>
          </w:p>
          <w:p w14:paraId="075D6B5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77A394A">
            <w:pPr>
              <w:spacing w:after="0" w:line="240" w:lineRule="auto"/>
              <w:ind w:firstLine="0"/>
              <w:jc w:val="center"/>
              <w:rPr>
                <w:sz w:val="20"/>
                <w:szCs w:val="20"/>
              </w:rPr>
            </w:pPr>
            <w:r>
              <w:rPr>
                <w:sz w:val="20"/>
                <w:szCs w:val="20"/>
              </w:rPr>
              <w:t>Т</w:t>
            </w:r>
            <w:r>
              <w:rPr>
                <w:sz w:val="20"/>
                <w:szCs w:val="20"/>
                <w:vertAlign w:val="subscript"/>
              </w:rPr>
              <w:t xml:space="preserve"> 1</w:t>
            </w:r>
            <w:r>
              <w:rPr>
                <w:sz w:val="20"/>
                <w:szCs w:val="20"/>
              </w:rPr>
              <w:t>- 57</w:t>
            </w:r>
          </w:p>
          <w:p w14:paraId="00AAE23A">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1A211225">
            <w:pPr>
              <w:spacing w:after="0" w:line="240" w:lineRule="auto"/>
              <w:ind w:firstLine="0"/>
              <w:jc w:val="center"/>
              <w:rPr>
                <w:sz w:val="20"/>
                <w:szCs w:val="20"/>
              </w:rPr>
            </w:pPr>
            <w:r>
              <w:rPr>
                <w:sz w:val="20"/>
                <w:szCs w:val="20"/>
              </w:rPr>
              <w:t>11</w:t>
            </w:r>
          </w:p>
          <w:p w14:paraId="12019B19">
            <w:pPr>
              <w:spacing w:after="0" w:line="240" w:lineRule="auto"/>
              <w:ind w:firstLine="0"/>
              <w:jc w:val="center"/>
              <w:rPr>
                <w:sz w:val="20"/>
                <w:szCs w:val="20"/>
              </w:rPr>
            </w:pPr>
            <w:r>
              <w:rPr>
                <w:sz w:val="20"/>
                <w:szCs w:val="20"/>
              </w:rPr>
              <w:t>11</w:t>
            </w:r>
          </w:p>
        </w:tc>
        <w:tc>
          <w:tcPr>
            <w:tcW w:w="774" w:type="pct"/>
            <w:gridSpan w:val="2"/>
            <w:tcMar>
              <w:left w:w="28" w:type="dxa"/>
              <w:right w:w="28" w:type="dxa"/>
            </w:tcMar>
            <w:vAlign w:val="center"/>
          </w:tcPr>
          <w:p w14:paraId="0FE6F4A3">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138057AC">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133843C3">
            <w:pPr>
              <w:spacing w:after="0" w:line="240" w:lineRule="auto"/>
              <w:ind w:firstLine="0"/>
              <w:jc w:val="center"/>
              <w:rPr>
                <w:sz w:val="20"/>
                <w:szCs w:val="20"/>
              </w:rPr>
            </w:pPr>
            <w:r>
              <w:rPr>
                <w:rFonts w:eastAsia="TimesNewRomanPSMT"/>
                <w:sz w:val="20"/>
                <w:szCs w:val="20"/>
              </w:rPr>
              <w:t>30515.97</w:t>
            </w:r>
          </w:p>
        </w:tc>
        <w:tc>
          <w:tcPr>
            <w:tcW w:w="456" w:type="pct"/>
            <w:gridSpan w:val="2"/>
            <w:tcMar>
              <w:left w:w="28" w:type="dxa"/>
              <w:right w:w="28" w:type="dxa"/>
            </w:tcMar>
            <w:vAlign w:val="center"/>
          </w:tcPr>
          <w:p w14:paraId="62819993">
            <w:pPr>
              <w:spacing w:after="0" w:line="240" w:lineRule="auto"/>
              <w:ind w:firstLine="0"/>
              <w:jc w:val="center"/>
              <w:rPr>
                <w:sz w:val="20"/>
                <w:szCs w:val="20"/>
              </w:rPr>
            </w:pPr>
            <w:r>
              <w:rPr>
                <w:sz w:val="20"/>
                <w:szCs w:val="20"/>
              </w:rPr>
              <w:t>действующие сети</w:t>
            </w:r>
          </w:p>
        </w:tc>
      </w:tr>
      <w:tr w14:paraId="78955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4115B893">
            <w:pPr>
              <w:spacing w:after="0" w:line="240" w:lineRule="auto"/>
              <w:ind w:firstLine="0"/>
              <w:jc w:val="center"/>
              <w:rPr>
                <w:sz w:val="20"/>
                <w:szCs w:val="20"/>
              </w:rPr>
            </w:pPr>
            <w:r>
              <w:rPr>
                <w:sz w:val="20"/>
                <w:szCs w:val="20"/>
              </w:rPr>
              <w:t>46</w:t>
            </w:r>
          </w:p>
        </w:tc>
        <w:tc>
          <w:tcPr>
            <w:tcW w:w="924" w:type="pct"/>
            <w:tcMar>
              <w:left w:w="28" w:type="dxa"/>
              <w:right w:w="28" w:type="dxa"/>
            </w:tcMar>
            <w:vAlign w:val="center"/>
          </w:tcPr>
          <w:p w14:paraId="69E73987">
            <w:pPr>
              <w:spacing w:after="0" w:line="240" w:lineRule="auto"/>
              <w:ind w:firstLine="0"/>
              <w:jc w:val="center"/>
              <w:rPr>
                <w:sz w:val="20"/>
                <w:szCs w:val="20"/>
              </w:rPr>
            </w:pPr>
            <w:r>
              <w:rPr>
                <w:sz w:val="20"/>
                <w:szCs w:val="20"/>
              </w:rPr>
              <w:t>Наружные сети теплоснабжения</w:t>
            </w:r>
          </w:p>
          <w:p w14:paraId="135751A3">
            <w:pPr>
              <w:spacing w:after="0" w:line="240" w:lineRule="auto"/>
              <w:ind w:firstLine="0"/>
              <w:jc w:val="center"/>
              <w:rPr>
                <w:sz w:val="20"/>
                <w:szCs w:val="20"/>
              </w:rPr>
            </w:pPr>
            <w:r>
              <w:rPr>
                <w:sz w:val="20"/>
                <w:szCs w:val="20"/>
              </w:rPr>
              <w:t>От точки № 21 до точки Ввод ж.д. № 22</w:t>
            </w:r>
          </w:p>
          <w:p w14:paraId="1BE511D1">
            <w:pPr>
              <w:spacing w:after="0" w:line="240" w:lineRule="auto"/>
              <w:ind w:firstLine="0"/>
              <w:jc w:val="center"/>
              <w:rPr>
                <w:sz w:val="20"/>
                <w:szCs w:val="20"/>
              </w:rPr>
            </w:pPr>
            <w:r>
              <w:rPr>
                <w:rFonts w:eastAsia="TimesNewRomanPSMT"/>
                <w:sz w:val="20"/>
                <w:szCs w:val="20"/>
              </w:rPr>
              <w:t>86:06:0020401:1303</w:t>
            </w:r>
          </w:p>
        </w:tc>
        <w:tc>
          <w:tcPr>
            <w:tcW w:w="215" w:type="pct"/>
            <w:tcMar>
              <w:left w:w="28" w:type="dxa"/>
              <w:right w:w="28" w:type="dxa"/>
            </w:tcMar>
            <w:vAlign w:val="center"/>
          </w:tcPr>
          <w:p w14:paraId="7BD67FD5">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1257223A">
            <w:pPr>
              <w:spacing w:after="0" w:line="240" w:lineRule="auto"/>
              <w:ind w:firstLine="0"/>
              <w:jc w:val="center"/>
              <w:rPr>
                <w:sz w:val="20"/>
                <w:szCs w:val="20"/>
              </w:rPr>
            </w:pPr>
            <w:r>
              <w:rPr>
                <w:sz w:val="20"/>
                <w:szCs w:val="20"/>
              </w:rPr>
              <w:t>ХМАО,</w:t>
            </w:r>
          </w:p>
          <w:p w14:paraId="3EEC1E1A">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3FD40183">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0DD9CC28">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6A05EE55">
            <w:pPr>
              <w:spacing w:after="0" w:line="240" w:lineRule="auto"/>
              <w:ind w:firstLine="0"/>
              <w:jc w:val="center"/>
              <w:rPr>
                <w:sz w:val="20"/>
                <w:szCs w:val="20"/>
              </w:rPr>
            </w:pPr>
            <w:r>
              <w:rPr>
                <w:sz w:val="20"/>
                <w:szCs w:val="20"/>
              </w:rPr>
              <w:t>13</w:t>
            </w:r>
          </w:p>
          <w:p w14:paraId="343E4ABA">
            <w:pPr>
              <w:spacing w:after="0" w:line="240" w:lineRule="auto"/>
              <w:ind w:firstLine="0"/>
              <w:jc w:val="center"/>
              <w:rPr>
                <w:sz w:val="20"/>
                <w:szCs w:val="20"/>
              </w:rPr>
            </w:pPr>
            <w:r>
              <w:rPr>
                <w:sz w:val="20"/>
                <w:szCs w:val="20"/>
              </w:rPr>
              <w:t>13</w:t>
            </w:r>
          </w:p>
        </w:tc>
        <w:tc>
          <w:tcPr>
            <w:tcW w:w="774" w:type="pct"/>
            <w:gridSpan w:val="2"/>
            <w:tcMar>
              <w:left w:w="28" w:type="dxa"/>
              <w:right w:w="28" w:type="dxa"/>
            </w:tcMar>
            <w:vAlign w:val="center"/>
          </w:tcPr>
          <w:p w14:paraId="3611A7B0">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50C29FA2">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488D233D">
            <w:pPr>
              <w:spacing w:after="0" w:line="240" w:lineRule="auto"/>
              <w:ind w:firstLine="0"/>
              <w:jc w:val="center"/>
              <w:rPr>
                <w:sz w:val="20"/>
                <w:szCs w:val="20"/>
              </w:rPr>
            </w:pPr>
            <w:r>
              <w:rPr>
                <w:rFonts w:eastAsia="TimesNewRomanPSMT"/>
                <w:sz w:val="20"/>
                <w:szCs w:val="20"/>
              </w:rPr>
              <w:t>36064.33</w:t>
            </w:r>
          </w:p>
        </w:tc>
        <w:tc>
          <w:tcPr>
            <w:tcW w:w="456" w:type="pct"/>
            <w:gridSpan w:val="2"/>
            <w:tcMar>
              <w:left w:w="28" w:type="dxa"/>
              <w:right w:w="28" w:type="dxa"/>
            </w:tcMar>
            <w:vAlign w:val="center"/>
          </w:tcPr>
          <w:p w14:paraId="243EA924">
            <w:pPr>
              <w:spacing w:after="0" w:line="240" w:lineRule="auto"/>
              <w:ind w:firstLine="0"/>
              <w:jc w:val="center"/>
              <w:rPr>
                <w:sz w:val="20"/>
                <w:szCs w:val="20"/>
              </w:rPr>
            </w:pPr>
            <w:r>
              <w:rPr>
                <w:sz w:val="20"/>
                <w:szCs w:val="20"/>
              </w:rPr>
              <w:t>действующие сети</w:t>
            </w:r>
          </w:p>
        </w:tc>
      </w:tr>
      <w:tr w14:paraId="2D1E6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4241C02C">
            <w:pPr>
              <w:spacing w:after="0" w:line="240" w:lineRule="auto"/>
              <w:ind w:firstLine="0"/>
              <w:jc w:val="center"/>
              <w:rPr>
                <w:sz w:val="20"/>
                <w:szCs w:val="20"/>
              </w:rPr>
            </w:pPr>
            <w:r>
              <w:rPr>
                <w:sz w:val="20"/>
                <w:szCs w:val="20"/>
              </w:rPr>
              <w:t>47</w:t>
            </w:r>
          </w:p>
        </w:tc>
        <w:tc>
          <w:tcPr>
            <w:tcW w:w="924" w:type="pct"/>
            <w:tcMar>
              <w:left w:w="28" w:type="dxa"/>
              <w:right w:w="28" w:type="dxa"/>
            </w:tcMar>
            <w:vAlign w:val="center"/>
          </w:tcPr>
          <w:p w14:paraId="353848C9">
            <w:pPr>
              <w:spacing w:after="0" w:line="240" w:lineRule="auto"/>
              <w:ind w:firstLine="0"/>
              <w:jc w:val="center"/>
              <w:rPr>
                <w:sz w:val="20"/>
                <w:szCs w:val="20"/>
              </w:rPr>
            </w:pPr>
            <w:r>
              <w:rPr>
                <w:sz w:val="20"/>
                <w:szCs w:val="20"/>
              </w:rPr>
              <w:t>Наружные сети теплоснабжения</w:t>
            </w:r>
          </w:p>
          <w:p w14:paraId="42CFF15F">
            <w:pPr>
              <w:spacing w:after="0" w:line="240" w:lineRule="auto"/>
              <w:ind w:firstLine="0"/>
              <w:jc w:val="center"/>
              <w:rPr>
                <w:sz w:val="20"/>
                <w:szCs w:val="20"/>
              </w:rPr>
            </w:pPr>
            <w:r>
              <w:rPr>
                <w:sz w:val="20"/>
                <w:szCs w:val="20"/>
              </w:rPr>
              <w:t>От точки № 22 до точки Ввод ж.д № 23</w:t>
            </w:r>
          </w:p>
          <w:p w14:paraId="432F94C4">
            <w:pPr>
              <w:spacing w:after="0" w:line="240" w:lineRule="auto"/>
              <w:ind w:firstLine="0"/>
              <w:jc w:val="center"/>
              <w:rPr>
                <w:sz w:val="20"/>
                <w:szCs w:val="20"/>
              </w:rPr>
            </w:pPr>
            <w:r>
              <w:rPr>
                <w:rFonts w:eastAsia="TimesNewRomanPSMT"/>
                <w:sz w:val="20"/>
                <w:szCs w:val="20"/>
              </w:rPr>
              <w:t>86:06:0020401:1336</w:t>
            </w:r>
          </w:p>
        </w:tc>
        <w:tc>
          <w:tcPr>
            <w:tcW w:w="215" w:type="pct"/>
            <w:tcMar>
              <w:left w:w="28" w:type="dxa"/>
              <w:right w:w="28" w:type="dxa"/>
            </w:tcMar>
            <w:vAlign w:val="center"/>
          </w:tcPr>
          <w:p w14:paraId="1305C0DD">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6916B945">
            <w:pPr>
              <w:spacing w:after="0" w:line="240" w:lineRule="auto"/>
              <w:ind w:firstLine="0"/>
              <w:jc w:val="center"/>
              <w:rPr>
                <w:sz w:val="20"/>
                <w:szCs w:val="20"/>
              </w:rPr>
            </w:pPr>
            <w:r>
              <w:rPr>
                <w:sz w:val="20"/>
                <w:szCs w:val="20"/>
              </w:rPr>
              <w:t>ХМАО,</w:t>
            </w:r>
          </w:p>
          <w:p w14:paraId="4AE6A34C">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1A28B7ED">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45EC1EF3">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58DA44CC">
            <w:pPr>
              <w:spacing w:after="0" w:line="240" w:lineRule="auto"/>
              <w:ind w:firstLine="0"/>
              <w:jc w:val="center"/>
              <w:rPr>
                <w:sz w:val="20"/>
                <w:szCs w:val="20"/>
              </w:rPr>
            </w:pPr>
            <w:r>
              <w:rPr>
                <w:sz w:val="20"/>
                <w:szCs w:val="20"/>
              </w:rPr>
              <w:t>19</w:t>
            </w:r>
          </w:p>
          <w:p w14:paraId="6E5066AF">
            <w:pPr>
              <w:spacing w:after="0" w:line="240" w:lineRule="auto"/>
              <w:ind w:firstLine="0"/>
              <w:jc w:val="center"/>
              <w:rPr>
                <w:sz w:val="20"/>
                <w:szCs w:val="20"/>
              </w:rPr>
            </w:pPr>
            <w:r>
              <w:rPr>
                <w:sz w:val="20"/>
                <w:szCs w:val="20"/>
              </w:rPr>
              <w:t>19</w:t>
            </w:r>
          </w:p>
        </w:tc>
        <w:tc>
          <w:tcPr>
            <w:tcW w:w="774" w:type="pct"/>
            <w:gridSpan w:val="2"/>
            <w:tcMar>
              <w:left w:w="28" w:type="dxa"/>
              <w:right w:w="28" w:type="dxa"/>
            </w:tcMar>
            <w:vAlign w:val="center"/>
          </w:tcPr>
          <w:p w14:paraId="1DA3B265">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78105E13">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7DD97F6C">
            <w:pPr>
              <w:spacing w:after="0" w:line="240" w:lineRule="auto"/>
              <w:ind w:firstLine="0"/>
              <w:jc w:val="center"/>
              <w:rPr>
                <w:sz w:val="20"/>
                <w:szCs w:val="20"/>
              </w:rPr>
            </w:pPr>
            <w:r>
              <w:rPr>
                <w:rFonts w:eastAsia="TimesNewRomanPSMT"/>
                <w:sz w:val="20"/>
                <w:szCs w:val="20"/>
              </w:rPr>
              <w:t>52709.4</w:t>
            </w:r>
          </w:p>
        </w:tc>
        <w:tc>
          <w:tcPr>
            <w:tcW w:w="456" w:type="pct"/>
            <w:gridSpan w:val="2"/>
            <w:tcMar>
              <w:left w:w="28" w:type="dxa"/>
              <w:right w:w="28" w:type="dxa"/>
            </w:tcMar>
            <w:vAlign w:val="center"/>
          </w:tcPr>
          <w:p w14:paraId="72C9BFE5">
            <w:pPr>
              <w:spacing w:after="0" w:line="240" w:lineRule="auto"/>
              <w:ind w:firstLine="0"/>
              <w:jc w:val="center"/>
              <w:rPr>
                <w:sz w:val="20"/>
                <w:szCs w:val="20"/>
              </w:rPr>
            </w:pPr>
            <w:r>
              <w:rPr>
                <w:sz w:val="20"/>
                <w:szCs w:val="20"/>
              </w:rPr>
              <w:t>действующие сети</w:t>
            </w:r>
          </w:p>
        </w:tc>
      </w:tr>
      <w:tr w14:paraId="47742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5" w:type="pct"/>
            <w:tcMar>
              <w:left w:w="28" w:type="dxa"/>
              <w:right w:w="28" w:type="dxa"/>
            </w:tcMar>
            <w:vAlign w:val="center"/>
          </w:tcPr>
          <w:p w14:paraId="2C0FE400">
            <w:pPr>
              <w:spacing w:after="0" w:line="240" w:lineRule="auto"/>
              <w:ind w:firstLine="0"/>
              <w:jc w:val="center"/>
              <w:rPr>
                <w:sz w:val="20"/>
                <w:szCs w:val="20"/>
              </w:rPr>
            </w:pPr>
            <w:r>
              <w:rPr>
                <w:sz w:val="20"/>
                <w:szCs w:val="20"/>
              </w:rPr>
              <w:t>48</w:t>
            </w:r>
          </w:p>
        </w:tc>
        <w:tc>
          <w:tcPr>
            <w:tcW w:w="924" w:type="pct"/>
            <w:tcMar>
              <w:left w:w="28" w:type="dxa"/>
              <w:right w:w="28" w:type="dxa"/>
            </w:tcMar>
            <w:vAlign w:val="center"/>
          </w:tcPr>
          <w:p w14:paraId="6D2418E9">
            <w:pPr>
              <w:spacing w:after="0" w:line="240" w:lineRule="auto"/>
              <w:ind w:firstLine="0"/>
              <w:jc w:val="center"/>
              <w:rPr>
                <w:sz w:val="20"/>
                <w:szCs w:val="20"/>
              </w:rPr>
            </w:pPr>
            <w:r>
              <w:rPr>
                <w:sz w:val="20"/>
                <w:szCs w:val="20"/>
              </w:rPr>
              <w:t>Наружные сети теплоснабжения</w:t>
            </w:r>
          </w:p>
          <w:p w14:paraId="6BE623AA">
            <w:pPr>
              <w:spacing w:after="0" w:line="240" w:lineRule="auto"/>
              <w:ind w:firstLine="0"/>
              <w:jc w:val="center"/>
              <w:rPr>
                <w:sz w:val="20"/>
                <w:szCs w:val="20"/>
              </w:rPr>
            </w:pPr>
            <w:r>
              <w:rPr>
                <w:sz w:val="20"/>
                <w:szCs w:val="20"/>
              </w:rPr>
              <w:t>От точки № 22 до точки Ввод ж.д № 25</w:t>
            </w:r>
          </w:p>
          <w:p w14:paraId="09DE4F7B">
            <w:pPr>
              <w:spacing w:after="0" w:line="240" w:lineRule="auto"/>
              <w:ind w:firstLine="0"/>
              <w:jc w:val="center"/>
              <w:rPr>
                <w:sz w:val="20"/>
                <w:szCs w:val="20"/>
              </w:rPr>
            </w:pPr>
            <w:r>
              <w:rPr>
                <w:rFonts w:eastAsia="TimesNewRomanPSMT"/>
                <w:sz w:val="20"/>
                <w:szCs w:val="20"/>
              </w:rPr>
              <w:t>86:06:0020401:1297</w:t>
            </w:r>
          </w:p>
        </w:tc>
        <w:tc>
          <w:tcPr>
            <w:tcW w:w="215" w:type="pct"/>
            <w:tcMar>
              <w:left w:w="28" w:type="dxa"/>
              <w:right w:w="28" w:type="dxa"/>
            </w:tcMar>
            <w:vAlign w:val="center"/>
          </w:tcPr>
          <w:p w14:paraId="19064968">
            <w:pPr>
              <w:spacing w:after="0" w:line="240" w:lineRule="auto"/>
              <w:ind w:firstLine="0"/>
              <w:jc w:val="center"/>
              <w:rPr>
                <w:sz w:val="20"/>
                <w:szCs w:val="20"/>
              </w:rPr>
            </w:pPr>
            <w:r>
              <w:rPr>
                <w:sz w:val="20"/>
                <w:szCs w:val="20"/>
              </w:rPr>
              <w:t>1980 г.</w:t>
            </w:r>
          </w:p>
        </w:tc>
        <w:tc>
          <w:tcPr>
            <w:tcW w:w="682" w:type="pct"/>
            <w:tcMar>
              <w:left w:w="28" w:type="dxa"/>
              <w:right w:w="28" w:type="dxa"/>
            </w:tcMar>
            <w:vAlign w:val="center"/>
          </w:tcPr>
          <w:p w14:paraId="3182E518">
            <w:pPr>
              <w:spacing w:after="0" w:line="240" w:lineRule="auto"/>
              <w:ind w:firstLine="0"/>
              <w:jc w:val="center"/>
              <w:rPr>
                <w:sz w:val="20"/>
                <w:szCs w:val="20"/>
              </w:rPr>
            </w:pPr>
            <w:r>
              <w:rPr>
                <w:sz w:val="20"/>
                <w:szCs w:val="20"/>
              </w:rPr>
              <w:t>ХМАО,</w:t>
            </w:r>
          </w:p>
          <w:p w14:paraId="6E60F56A">
            <w:pPr>
              <w:spacing w:after="0" w:line="240" w:lineRule="auto"/>
              <w:ind w:firstLine="0"/>
              <w:jc w:val="center"/>
              <w:rPr>
                <w:sz w:val="20"/>
                <w:szCs w:val="20"/>
              </w:rPr>
            </w:pPr>
            <w:r>
              <w:rPr>
                <w:sz w:val="20"/>
                <w:szCs w:val="20"/>
              </w:rPr>
              <w:t>Белоярский район, п. Верхнеказымский</w:t>
            </w:r>
          </w:p>
        </w:tc>
        <w:tc>
          <w:tcPr>
            <w:tcW w:w="415" w:type="pct"/>
            <w:tcMar>
              <w:left w:w="28" w:type="dxa"/>
              <w:right w:w="28" w:type="dxa"/>
            </w:tcMar>
            <w:vAlign w:val="center"/>
          </w:tcPr>
          <w:p w14:paraId="71D8399B">
            <w:pPr>
              <w:spacing w:after="0" w:line="240" w:lineRule="auto"/>
              <w:ind w:firstLine="0"/>
              <w:jc w:val="center"/>
              <w:rPr>
                <w:sz w:val="20"/>
                <w:szCs w:val="20"/>
              </w:rPr>
            </w:pPr>
            <w:r>
              <w:rPr>
                <w:sz w:val="20"/>
                <w:szCs w:val="20"/>
              </w:rPr>
              <w:t xml:space="preserve">Т </w:t>
            </w:r>
            <w:r>
              <w:rPr>
                <w:sz w:val="20"/>
                <w:szCs w:val="20"/>
                <w:vertAlign w:val="subscript"/>
              </w:rPr>
              <w:t>1</w:t>
            </w:r>
            <w:r>
              <w:rPr>
                <w:sz w:val="20"/>
                <w:szCs w:val="20"/>
              </w:rPr>
              <w:t>- 57</w:t>
            </w:r>
          </w:p>
          <w:p w14:paraId="5EEF0418">
            <w:pPr>
              <w:spacing w:after="0" w:line="240" w:lineRule="auto"/>
              <w:ind w:firstLine="0"/>
              <w:jc w:val="center"/>
              <w:rPr>
                <w:sz w:val="20"/>
                <w:szCs w:val="20"/>
              </w:rPr>
            </w:pPr>
            <w:r>
              <w:rPr>
                <w:sz w:val="20"/>
                <w:szCs w:val="20"/>
              </w:rPr>
              <w:t xml:space="preserve">Т </w:t>
            </w:r>
            <w:r>
              <w:rPr>
                <w:sz w:val="20"/>
                <w:szCs w:val="20"/>
                <w:vertAlign w:val="subscript"/>
              </w:rPr>
              <w:t>2</w:t>
            </w:r>
            <w:r>
              <w:rPr>
                <w:sz w:val="20"/>
                <w:szCs w:val="20"/>
              </w:rPr>
              <w:t>- 57</w:t>
            </w:r>
          </w:p>
        </w:tc>
        <w:tc>
          <w:tcPr>
            <w:tcW w:w="466" w:type="pct"/>
            <w:gridSpan w:val="2"/>
            <w:tcMar>
              <w:left w:w="28" w:type="dxa"/>
              <w:right w:w="28" w:type="dxa"/>
            </w:tcMar>
            <w:vAlign w:val="center"/>
          </w:tcPr>
          <w:p w14:paraId="4CBDE89F">
            <w:pPr>
              <w:spacing w:after="0" w:line="240" w:lineRule="auto"/>
              <w:ind w:firstLine="0"/>
              <w:jc w:val="center"/>
              <w:rPr>
                <w:sz w:val="20"/>
                <w:szCs w:val="20"/>
              </w:rPr>
            </w:pPr>
            <w:r>
              <w:rPr>
                <w:sz w:val="20"/>
                <w:szCs w:val="20"/>
              </w:rPr>
              <w:t>15</w:t>
            </w:r>
          </w:p>
          <w:p w14:paraId="4744F3C9">
            <w:pPr>
              <w:spacing w:after="0" w:line="240" w:lineRule="auto"/>
              <w:ind w:firstLine="0"/>
              <w:jc w:val="center"/>
              <w:rPr>
                <w:sz w:val="20"/>
                <w:szCs w:val="20"/>
              </w:rPr>
            </w:pPr>
            <w:r>
              <w:rPr>
                <w:sz w:val="20"/>
                <w:szCs w:val="20"/>
              </w:rPr>
              <w:t>15</w:t>
            </w:r>
          </w:p>
        </w:tc>
        <w:tc>
          <w:tcPr>
            <w:tcW w:w="774" w:type="pct"/>
            <w:gridSpan w:val="2"/>
            <w:tcMar>
              <w:left w:w="28" w:type="dxa"/>
              <w:right w:w="28" w:type="dxa"/>
            </w:tcMar>
            <w:vAlign w:val="center"/>
          </w:tcPr>
          <w:p w14:paraId="3297213E">
            <w:pPr>
              <w:spacing w:after="0" w:line="240" w:lineRule="auto"/>
              <w:ind w:firstLine="0"/>
              <w:jc w:val="center"/>
              <w:rPr>
                <w:sz w:val="20"/>
                <w:szCs w:val="20"/>
              </w:rPr>
            </w:pPr>
            <w:r>
              <w:rPr>
                <w:sz w:val="20"/>
                <w:szCs w:val="20"/>
              </w:rPr>
              <w:t>Маты минераловатные, ПВХ</w:t>
            </w:r>
          </w:p>
        </w:tc>
        <w:tc>
          <w:tcPr>
            <w:tcW w:w="402" w:type="pct"/>
            <w:gridSpan w:val="2"/>
            <w:tcMar>
              <w:left w:w="28" w:type="dxa"/>
              <w:right w:w="28" w:type="dxa"/>
            </w:tcMar>
            <w:vAlign w:val="center"/>
          </w:tcPr>
          <w:p w14:paraId="0E4366BC">
            <w:pPr>
              <w:spacing w:after="0" w:line="240" w:lineRule="auto"/>
              <w:ind w:firstLine="0"/>
              <w:jc w:val="center"/>
              <w:rPr>
                <w:sz w:val="20"/>
                <w:szCs w:val="20"/>
              </w:rPr>
            </w:pPr>
            <w:r>
              <w:rPr>
                <w:sz w:val="20"/>
                <w:szCs w:val="20"/>
              </w:rPr>
              <w:t>подземный</w:t>
            </w:r>
          </w:p>
        </w:tc>
        <w:tc>
          <w:tcPr>
            <w:tcW w:w="448" w:type="pct"/>
            <w:gridSpan w:val="2"/>
            <w:tcMar>
              <w:left w:w="28" w:type="dxa"/>
              <w:right w:w="28" w:type="dxa"/>
            </w:tcMar>
            <w:vAlign w:val="center"/>
          </w:tcPr>
          <w:p w14:paraId="5A68412D">
            <w:pPr>
              <w:spacing w:after="0" w:line="240" w:lineRule="auto"/>
              <w:ind w:firstLine="0"/>
              <w:jc w:val="center"/>
              <w:rPr>
                <w:sz w:val="20"/>
                <w:szCs w:val="20"/>
              </w:rPr>
            </w:pPr>
            <w:r>
              <w:rPr>
                <w:rFonts w:eastAsia="TimesNewRomanPSMT"/>
                <w:sz w:val="20"/>
                <w:szCs w:val="20"/>
              </w:rPr>
              <w:t>41612.69</w:t>
            </w:r>
          </w:p>
        </w:tc>
        <w:tc>
          <w:tcPr>
            <w:tcW w:w="456" w:type="pct"/>
            <w:gridSpan w:val="2"/>
            <w:tcMar>
              <w:left w:w="28" w:type="dxa"/>
              <w:right w:w="28" w:type="dxa"/>
            </w:tcMar>
            <w:vAlign w:val="center"/>
          </w:tcPr>
          <w:p w14:paraId="05E1300C">
            <w:pPr>
              <w:spacing w:after="0" w:line="240" w:lineRule="auto"/>
              <w:ind w:firstLine="0"/>
              <w:jc w:val="center"/>
              <w:rPr>
                <w:sz w:val="20"/>
                <w:szCs w:val="20"/>
              </w:rPr>
            </w:pPr>
            <w:r>
              <w:rPr>
                <w:sz w:val="20"/>
                <w:szCs w:val="20"/>
              </w:rPr>
              <w:t>действующие сети</w:t>
            </w:r>
          </w:p>
        </w:tc>
      </w:tr>
      <w:tr w14:paraId="5A285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5" w:type="pct"/>
            <w:gridSpan w:val="6"/>
            <w:tcMar>
              <w:left w:w="28" w:type="dxa"/>
              <w:right w:w="28" w:type="dxa"/>
            </w:tcMar>
            <w:vAlign w:val="center"/>
          </w:tcPr>
          <w:p w14:paraId="67257573">
            <w:pPr>
              <w:spacing w:after="0" w:line="240" w:lineRule="auto"/>
              <w:ind w:firstLine="0"/>
              <w:jc w:val="center"/>
              <w:rPr>
                <w:sz w:val="20"/>
                <w:szCs w:val="20"/>
                <w:vertAlign w:val="subscript"/>
              </w:rPr>
            </w:pPr>
            <w:r>
              <w:rPr>
                <w:sz w:val="20"/>
                <w:szCs w:val="20"/>
              </w:rPr>
              <w:t>ИТОГО: Т</w:t>
            </w:r>
            <w:r>
              <w:rPr>
                <w:sz w:val="20"/>
                <w:szCs w:val="20"/>
                <w:vertAlign w:val="subscript"/>
              </w:rPr>
              <w:t>1</w:t>
            </w:r>
          </w:p>
          <w:p w14:paraId="282E79E2">
            <w:pPr>
              <w:spacing w:after="0" w:line="240" w:lineRule="auto"/>
              <w:ind w:firstLine="0"/>
              <w:jc w:val="center"/>
              <w:rPr>
                <w:sz w:val="20"/>
                <w:szCs w:val="20"/>
              </w:rPr>
            </w:pPr>
            <w:r>
              <w:rPr>
                <w:sz w:val="20"/>
                <w:szCs w:val="20"/>
              </w:rPr>
              <w:t>Т</w:t>
            </w:r>
            <w:r>
              <w:rPr>
                <w:sz w:val="20"/>
                <w:szCs w:val="20"/>
                <w:vertAlign w:val="subscript"/>
              </w:rPr>
              <w:t>2</w:t>
            </w:r>
          </w:p>
        </w:tc>
        <w:tc>
          <w:tcPr>
            <w:tcW w:w="466" w:type="pct"/>
            <w:gridSpan w:val="2"/>
            <w:tcMar>
              <w:left w:w="28" w:type="dxa"/>
              <w:right w:w="28" w:type="dxa"/>
            </w:tcMar>
            <w:vAlign w:val="center"/>
          </w:tcPr>
          <w:p w14:paraId="61FC8F3B">
            <w:pPr>
              <w:spacing w:after="0" w:line="240" w:lineRule="auto"/>
              <w:ind w:firstLine="0"/>
              <w:jc w:val="center"/>
              <w:rPr>
                <w:sz w:val="20"/>
                <w:szCs w:val="20"/>
              </w:rPr>
            </w:pPr>
            <w:r>
              <w:rPr>
                <w:sz w:val="20"/>
                <w:szCs w:val="20"/>
              </w:rPr>
              <w:t>1359</w:t>
            </w:r>
          </w:p>
          <w:p w14:paraId="2DD971AF">
            <w:pPr>
              <w:spacing w:after="0" w:line="240" w:lineRule="auto"/>
              <w:ind w:firstLine="0"/>
              <w:jc w:val="center"/>
              <w:rPr>
                <w:sz w:val="20"/>
                <w:szCs w:val="20"/>
              </w:rPr>
            </w:pPr>
            <w:r>
              <w:rPr>
                <w:sz w:val="20"/>
                <w:szCs w:val="20"/>
              </w:rPr>
              <w:t>1359</w:t>
            </w:r>
          </w:p>
        </w:tc>
        <w:tc>
          <w:tcPr>
            <w:tcW w:w="774" w:type="pct"/>
            <w:gridSpan w:val="2"/>
            <w:tcMar>
              <w:left w:w="28" w:type="dxa"/>
              <w:right w:w="28" w:type="dxa"/>
            </w:tcMar>
            <w:vAlign w:val="center"/>
          </w:tcPr>
          <w:p w14:paraId="112B2FBF">
            <w:pPr>
              <w:spacing w:after="0" w:line="240" w:lineRule="auto"/>
              <w:ind w:firstLine="0"/>
              <w:jc w:val="center"/>
              <w:rPr>
                <w:sz w:val="20"/>
                <w:szCs w:val="20"/>
              </w:rPr>
            </w:pPr>
          </w:p>
        </w:tc>
        <w:tc>
          <w:tcPr>
            <w:tcW w:w="402" w:type="pct"/>
            <w:gridSpan w:val="2"/>
            <w:tcMar>
              <w:left w:w="28" w:type="dxa"/>
              <w:right w:w="28" w:type="dxa"/>
            </w:tcMar>
            <w:vAlign w:val="center"/>
          </w:tcPr>
          <w:p w14:paraId="51213EEE">
            <w:pPr>
              <w:spacing w:after="0" w:line="240" w:lineRule="auto"/>
              <w:ind w:firstLine="0"/>
              <w:jc w:val="center"/>
              <w:rPr>
                <w:sz w:val="20"/>
                <w:szCs w:val="20"/>
              </w:rPr>
            </w:pPr>
          </w:p>
        </w:tc>
        <w:tc>
          <w:tcPr>
            <w:tcW w:w="448" w:type="pct"/>
            <w:gridSpan w:val="2"/>
            <w:tcMar>
              <w:left w:w="28" w:type="dxa"/>
              <w:right w:w="28" w:type="dxa"/>
            </w:tcMar>
            <w:vAlign w:val="center"/>
          </w:tcPr>
          <w:p w14:paraId="2D7B6DBC">
            <w:pPr>
              <w:spacing w:after="0" w:line="240" w:lineRule="auto"/>
              <w:ind w:firstLine="0"/>
              <w:jc w:val="center"/>
              <w:rPr>
                <w:sz w:val="20"/>
                <w:szCs w:val="20"/>
              </w:rPr>
            </w:pPr>
          </w:p>
        </w:tc>
        <w:tc>
          <w:tcPr>
            <w:tcW w:w="456" w:type="pct"/>
            <w:tcMar>
              <w:left w:w="28" w:type="dxa"/>
              <w:right w:w="28" w:type="dxa"/>
            </w:tcMar>
            <w:vAlign w:val="center"/>
          </w:tcPr>
          <w:p w14:paraId="730C660E">
            <w:pPr>
              <w:spacing w:after="0" w:line="240" w:lineRule="auto"/>
              <w:ind w:firstLine="0"/>
              <w:jc w:val="center"/>
              <w:rPr>
                <w:sz w:val="20"/>
                <w:szCs w:val="20"/>
              </w:rPr>
            </w:pPr>
          </w:p>
        </w:tc>
      </w:tr>
    </w:tbl>
    <w:p w14:paraId="61BCC890">
      <w:pPr>
        <w:spacing w:after="0" w:line="240" w:lineRule="auto"/>
        <w:contextualSpacing/>
        <w:jc w:val="both"/>
        <w:rPr>
          <w:sz w:val="24"/>
          <w:szCs w:val="24"/>
        </w:rPr>
      </w:pPr>
    </w:p>
    <w:p w14:paraId="73A63D33">
      <w:pPr>
        <w:spacing w:after="0" w:line="240" w:lineRule="auto"/>
        <w:ind w:firstLine="0"/>
        <w:contextualSpacing/>
        <w:jc w:val="both"/>
        <w:rPr>
          <w:bCs/>
          <w:sz w:val="24"/>
          <w:szCs w:val="24"/>
        </w:rPr>
        <w:sectPr>
          <w:pgSz w:w="16838" w:h="11906" w:orient="landscape"/>
          <w:pgMar w:top="1701" w:right="1134" w:bottom="567" w:left="1134" w:header="283" w:footer="567" w:gutter="0"/>
          <w:cols w:space="708" w:num="1"/>
          <w:docGrid w:linePitch="381" w:charSpace="0"/>
        </w:sectPr>
      </w:pPr>
    </w:p>
    <w:p w14:paraId="2ECEF098">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16</w:t>
      </w:r>
      <w:r>
        <w:rPr>
          <w:bCs/>
          <w:sz w:val="24"/>
          <w:szCs w:val="24"/>
        </w:rPr>
        <w:fldChar w:fldCharType="end"/>
      </w:r>
      <w:r>
        <w:rPr>
          <w:bCs/>
          <w:sz w:val="24"/>
          <w:szCs w:val="24"/>
        </w:rPr>
        <w:t xml:space="preserve"> – </w:t>
      </w:r>
      <w:r>
        <w:rPr>
          <w:sz w:val="24"/>
          <w:szCs w:val="24"/>
        </w:rPr>
        <w:t>Протяжённость сетей теплоснабжения МУП «БКС»</w:t>
      </w:r>
    </w:p>
    <w:tbl>
      <w:tblPr>
        <w:tblStyle w:val="12"/>
        <w:tblW w:w="5000" w:type="pct"/>
        <w:tblInd w:w="0" w:type="dxa"/>
        <w:tblLayout w:type="autofit"/>
        <w:tblCellMar>
          <w:top w:w="54" w:type="dxa"/>
          <w:left w:w="106" w:type="dxa"/>
          <w:bottom w:w="0" w:type="dxa"/>
          <w:right w:w="50" w:type="dxa"/>
        </w:tblCellMar>
      </w:tblPr>
      <w:tblGrid>
        <w:gridCol w:w="860"/>
        <w:gridCol w:w="4757"/>
        <w:gridCol w:w="1550"/>
        <w:gridCol w:w="1563"/>
        <w:gridCol w:w="1064"/>
      </w:tblGrid>
      <w:tr w14:paraId="3294B13D">
        <w:tblPrEx>
          <w:tblCellMar>
            <w:top w:w="54" w:type="dxa"/>
            <w:left w:w="106" w:type="dxa"/>
            <w:bottom w:w="0" w:type="dxa"/>
            <w:right w:w="50" w:type="dxa"/>
          </w:tblCellMar>
        </w:tblPrEx>
        <w:trPr>
          <w:trHeight w:val="20" w:hRule="atLeast"/>
        </w:trPr>
        <w:tc>
          <w:tcPr>
            <w:tcW w:w="439" w:type="pct"/>
            <w:vMerge w:val="restart"/>
            <w:tcBorders>
              <w:top w:val="single" w:color="000000" w:sz="4" w:space="0"/>
              <w:left w:val="single" w:color="000000" w:sz="4" w:space="0"/>
              <w:bottom w:val="single" w:color="000000" w:sz="4" w:space="0"/>
              <w:right w:val="single" w:color="000000" w:sz="4" w:space="0"/>
            </w:tcBorders>
            <w:vAlign w:val="center"/>
          </w:tcPr>
          <w:p w14:paraId="4B735B4D">
            <w:pPr>
              <w:spacing w:after="0" w:line="259" w:lineRule="auto"/>
              <w:ind w:left="53" w:firstLine="0"/>
              <w:jc w:val="center"/>
              <w:rPr>
                <w:sz w:val="20"/>
                <w:szCs w:val="20"/>
              </w:rPr>
            </w:pPr>
            <w:r>
              <w:rPr>
                <w:sz w:val="20"/>
                <w:szCs w:val="20"/>
              </w:rPr>
              <w:t>№ п/п</w:t>
            </w:r>
          </w:p>
        </w:tc>
        <w:tc>
          <w:tcPr>
            <w:tcW w:w="2428" w:type="pct"/>
            <w:vMerge w:val="restart"/>
            <w:tcBorders>
              <w:top w:val="single" w:color="000000" w:sz="4" w:space="0"/>
              <w:left w:val="single" w:color="000000" w:sz="4" w:space="0"/>
              <w:bottom w:val="single" w:color="000000" w:sz="4" w:space="0"/>
              <w:right w:val="single" w:color="000000" w:sz="4" w:space="0"/>
            </w:tcBorders>
            <w:vAlign w:val="center"/>
          </w:tcPr>
          <w:p w14:paraId="22BEA221">
            <w:pPr>
              <w:spacing w:after="0" w:line="259" w:lineRule="auto"/>
              <w:ind w:right="59" w:firstLine="0"/>
              <w:jc w:val="center"/>
              <w:rPr>
                <w:sz w:val="20"/>
                <w:szCs w:val="20"/>
              </w:rPr>
            </w:pPr>
            <w:r>
              <w:rPr>
                <w:sz w:val="20"/>
                <w:szCs w:val="20"/>
              </w:rPr>
              <w:t>Наименование котельной</w:t>
            </w:r>
          </w:p>
        </w:tc>
        <w:tc>
          <w:tcPr>
            <w:tcW w:w="2132" w:type="pct"/>
            <w:gridSpan w:val="3"/>
            <w:tcBorders>
              <w:top w:val="single" w:color="000000" w:sz="4" w:space="0"/>
              <w:left w:val="single" w:color="000000" w:sz="4" w:space="0"/>
              <w:bottom w:val="single" w:color="000000" w:sz="4" w:space="0"/>
              <w:right w:val="single" w:color="000000" w:sz="4" w:space="0"/>
            </w:tcBorders>
            <w:vAlign w:val="center"/>
          </w:tcPr>
          <w:p w14:paraId="25ABDB58">
            <w:pPr>
              <w:spacing w:after="0" w:line="259" w:lineRule="auto"/>
              <w:ind w:right="51" w:firstLine="0"/>
              <w:jc w:val="center"/>
              <w:rPr>
                <w:sz w:val="20"/>
                <w:szCs w:val="20"/>
              </w:rPr>
            </w:pPr>
            <w:r>
              <w:rPr>
                <w:sz w:val="20"/>
                <w:szCs w:val="20"/>
              </w:rPr>
              <w:t>Протяженность сетей, км</w:t>
            </w:r>
          </w:p>
        </w:tc>
      </w:tr>
      <w:tr w14:paraId="5DED53B4">
        <w:tblPrEx>
          <w:tblCellMar>
            <w:top w:w="54" w:type="dxa"/>
            <w:left w:w="106" w:type="dxa"/>
            <w:bottom w:w="0" w:type="dxa"/>
            <w:right w:w="50" w:type="dxa"/>
          </w:tblCellMar>
        </w:tblPrEx>
        <w:trPr>
          <w:trHeight w:val="20" w:hRule="atLeast"/>
        </w:trPr>
        <w:tc>
          <w:tcPr>
            <w:tcW w:w="439" w:type="pct"/>
            <w:vMerge w:val="continue"/>
            <w:tcBorders>
              <w:top w:val="nil"/>
              <w:left w:val="single" w:color="000000" w:sz="4" w:space="0"/>
              <w:bottom w:val="single" w:color="000000" w:sz="4" w:space="0"/>
              <w:right w:val="single" w:color="000000" w:sz="4" w:space="0"/>
            </w:tcBorders>
            <w:vAlign w:val="center"/>
          </w:tcPr>
          <w:p w14:paraId="62A0A9C2">
            <w:pPr>
              <w:spacing w:after="160" w:line="259" w:lineRule="auto"/>
              <w:ind w:firstLine="0"/>
              <w:jc w:val="center"/>
              <w:rPr>
                <w:sz w:val="20"/>
                <w:szCs w:val="20"/>
              </w:rPr>
            </w:pPr>
          </w:p>
        </w:tc>
        <w:tc>
          <w:tcPr>
            <w:tcW w:w="2428" w:type="pct"/>
            <w:vMerge w:val="continue"/>
            <w:tcBorders>
              <w:top w:val="nil"/>
              <w:left w:val="single" w:color="000000" w:sz="4" w:space="0"/>
              <w:bottom w:val="single" w:color="000000" w:sz="4" w:space="0"/>
              <w:right w:val="single" w:color="000000" w:sz="4" w:space="0"/>
            </w:tcBorders>
            <w:vAlign w:val="center"/>
          </w:tcPr>
          <w:p w14:paraId="6F55C0B5">
            <w:pPr>
              <w:spacing w:after="160" w:line="259" w:lineRule="auto"/>
              <w:ind w:firstLine="0"/>
              <w:jc w:val="center"/>
              <w:rPr>
                <w:sz w:val="20"/>
                <w:szCs w:val="20"/>
              </w:rPr>
            </w:pPr>
          </w:p>
        </w:tc>
        <w:tc>
          <w:tcPr>
            <w:tcW w:w="791" w:type="pct"/>
            <w:tcBorders>
              <w:top w:val="single" w:color="000000" w:sz="4" w:space="0"/>
              <w:left w:val="single" w:color="000000" w:sz="4" w:space="0"/>
              <w:bottom w:val="single" w:color="000000" w:sz="4" w:space="0"/>
              <w:right w:val="single" w:color="000000" w:sz="4" w:space="0"/>
            </w:tcBorders>
            <w:vAlign w:val="center"/>
          </w:tcPr>
          <w:p w14:paraId="390D1A7B">
            <w:pPr>
              <w:spacing w:after="0" w:line="259" w:lineRule="auto"/>
              <w:ind w:right="51" w:firstLine="0"/>
              <w:jc w:val="center"/>
              <w:rPr>
                <w:sz w:val="20"/>
                <w:szCs w:val="20"/>
              </w:rPr>
            </w:pPr>
            <w:r>
              <w:rPr>
                <w:sz w:val="20"/>
                <w:szCs w:val="20"/>
              </w:rPr>
              <w:t>Всего</w:t>
            </w:r>
          </w:p>
        </w:tc>
        <w:tc>
          <w:tcPr>
            <w:tcW w:w="798" w:type="pct"/>
            <w:tcBorders>
              <w:top w:val="single" w:color="000000" w:sz="4" w:space="0"/>
              <w:left w:val="single" w:color="000000" w:sz="4" w:space="0"/>
              <w:bottom w:val="single" w:color="000000" w:sz="4" w:space="0"/>
              <w:right w:val="single" w:color="000000" w:sz="4" w:space="0"/>
            </w:tcBorders>
            <w:vAlign w:val="center"/>
          </w:tcPr>
          <w:p w14:paraId="64F1666E">
            <w:pPr>
              <w:spacing w:after="0" w:line="259" w:lineRule="auto"/>
              <w:ind w:left="115" w:firstLine="0"/>
              <w:jc w:val="center"/>
              <w:rPr>
                <w:sz w:val="20"/>
                <w:szCs w:val="20"/>
              </w:rPr>
            </w:pPr>
            <w:r>
              <w:rPr>
                <w:sz w:val="20"/>
                <w:szCs w:val="20"/>
              </w:rPr>
              <w:t>Отопление</w:t>
            </w:r>
          </w:p>
        </w:tc>
        <w:tc>
          <w:tcPr>
            <w:tcW w:w="543" w:type="pct"/>
            <w:tcBorders>
              <w:top w:val="single" w:color="000000" w:sz="4" w:space="0"/>
              <w:left w:val="single" w:color="000000" w:sz="4" w:space="0"/>
              <w:bottom w:val="single" w:color="000000" w:sz="4" w:space="0"/>
              <w:right w:val="single" w:color="000000" w:sz="4" w:space="0"/>
            </w:tcBorders>
            <w:vAlign w:val="center"/>
          </w:tcPr>
          <w:p w14:paraId="4BBF1E71">
            <w:pPr>
              <w:spacing w:after="0" w:line="259" w:lineRule="auto"/>
              <w:ind w:right="54" w:firstLine="0"/>
              <w:jc w:val="center"/>
              <w:rPr>
                <w:sz w:val="20"/>
                <w:szCs w:val="20"/>
              </w:rPr>
            </w:pPr>
            <w:r>
              <w:rPr>
                <w:sz w:val="20"/>
                <w:szCs w:val="20"/>
              </w:rPr>
              <w:t>ГВС</w:t>
            </w:r>
          </w:p>
        </w:tc>
      </w:tr>
      <w:tr w14:paraId="7F7E27E5">
        <w:tblPrEx>
          <w:tblCellMar>
            <w:top w:w="54" w:type="dxa"/>
            <w:left w:w="106" w:type="dxa"/>
            <w:bottom w:w="0" w:type="dxa"/>
            <w:right w:w="50" w:type="dxa"/>
          </w:tblCellMar>
        </w:tblPrEx>
        <w:trPr>
          <w:trHeight w:val="20" w:hRule="atLeast"/>
        </w:trPr>
        <w:tc>
          <w:tcPr>
            <w:tcW w:w="439" w:type="pct"/>
            <w:tcBorders>
              <w:top w:val="single" w:color="000000" w:sz="4" w:space="0"/>
              <w:left w:val="single" w:color="000000" w:sz="4" w:space="0"/>
              <w:bottom w:val="single" w:color="000000" w:sz="4" w:space="0"/>
              <w:right w:val="single" w:color="000000" w:sz="4" w:space="0"/>
            </w:tcBorders>
          </w:tcPr>
          <w:p w14:paraId="07DEAAF7">
            <w:pPr>
              <w:spacing w:after="0" w:line="259" w:lineRule="auto"/>
              <w:ind w:right="55" w:firstLine="0"/>
              <w:jc w:val="center"/>
              <w:rPr>
                <w:sz w:val="20"/>
                <w:szCs w:val="20"/>
              </w:rPr>
            </w:pPr>
            <w:r>
              <w:rPr>
                <w:sz w:val="20"/>
                <w:szCs w:val="20"/>
              </w:rPr>
              <w:t xml:space="preserve">1 </w:t>
            </w:r>
          </w:p>
        </w:tc>
        <w:tc>
          <w:tcPr>
            <w:tcW w:w="2428" w:type="pct"/>
            <w:tcBorders>
              <w:top w:val="single" w:color="000000" w:sz="4" w:space="0"/>
              <w:left w:val="single" w:color="000000" w:sz="4" w:space="0"/>
              <w:bottom w:val="single" w:color="000000" w:sz="4" w:space="0"/>
              <w:right w:val="single" w:color="000000" w:sz="4" w:space="0"/>
            </w:tcBorders>
          </w:tcPr>
          <w:p w14:paraId="7059DAAC">
            <w:pPr>
              <w:spacing w:after="0" w:line="259" w:lineRule="auto"/>
              <w:ind w:firstLine="0"/>
              <w:rPr>
                <w:sz w:val="20"/>
                <w:szCs w:val="20"/>
              </w:rPr>
            </w:pPr>
            <w:r>
              <w:rPr>
                <w:sz w:val="20"/>
                <w:szCs w:val="20"/>
              </w:rPr>
              <w:t xml:space="preserve">Котельная № 2 с. Верхнеказымский </w:t>
            </w:r>
          </w:p>
        </w:tc>
        <w:tc>
          <w:tcPr>
            <w:tcW w:w="791" w:type="pct"/>
            <w:tcBorders>
              <w:top w:val="single" w:color="000000" w:sz="4" w:space="0"/>
              <w:left w:val="single" w:color="000000" w:sz="4" w:space="0"/>
              <w:bottom w:val="single" w:color="000000" w:sz="4" w:space="0"/>
              <w:right w:val="single" w:color="000000" w:sz="4" w:space="0"/>
            </w:tcBorders>
          </w:tcPr>
          <w:p w14:paraId="7B6D741D">
            <w:pPr>
              <w:spacing w:after="0" w:line="259" w:lineRule="auto"/>
              <w:ind w:right="51" w:firstLine="0"/>
              <w:jc w:val="center"/>
              <w:rPr>
                <w:sz w:val="20"/>
                <w:szCs w:val="20"/>
              </w:rPr>
            </w:pPr>
            <w:r>
              <w:rPr>
                <w:sz w:val="20"/>
                <w:szCs w:val="20"/>
              </w:rPr>
              <w:t>2,98</w:t>
            </w:r>
          </w:p>
        </w:tc>
        <w:tc>
          <w:tcPr>
            <w:tcW w:w="798" w:type="pct"/>
            <w:tcBorders>
              <w:top w:val="single" w:color="000000" w:sz="4" w:space="0"/>
              <w:left w:val="single" w:color="000000" w:sz="4" w:space="0"/>
              <w:bottom w:val="single" w:color="000000" w:sz="4" w:space="0"/>
              <w:right w:val="single" w:color="000000" w:sz="4" w:space="0"/>
            </w:tcBorders>
          </w:tcPr>
          <w:p w14:paraId="3030A46C">
            <w:pPr>
              <w:spacing w:after="0" w:line="259" w:lineRule="auto"/>
              <w:ind w:right="52" w:firstLine="0"/>
              <w:jc w:val="center"/>
              <w:rPr>
                <w:sz w:val="20"/>
                <w:szCs w:val="20"/>
              </w:rPr>
            </w:pPr>
            <w:r>
              <w:rPr>
                <w:sz w:val="20"/>
                <w:szCs w:val="20"/>
              </w:rPr>
              <w:t>1,84</w:t>
            </w:r>
          </w:p>
        </w:tc>
        <w:tc>
          <w:tcPr>
            <w:tcW w:w="543" w:type="pct"/>
            <w:tcBorders>
              <w:top w:val="single" w:color="000000" w:sz="4" w:space="0"/>
              <w:left w:val="single" w:color="000000" w:sz="4" w:space="0"/>
              <w:bottom w:val="single" w:color="000000" w:sz="4" w:space="0"/>
              <w:right w:val="single" w:color="000000" w:sz="4" w:space="0"/>
            </w:tcBorders>
          </w:tcPr>
          <w:p w14:paraId="1CF68F80">
            <w:pPr>
              <w:spacing w:after="0" w:line="259" w:lineRule="auto"/>
              <w:ind w:right="51" w:firstLine="0"/>
              <w:jc w:val="center"/>
              <w:rPr>
                <w:sz w:val="20"/>
                <w:szCs w:val="20"/>
              </w:rPr>
            </w:pPr>
            <w:r>
              <w:rPr>
                <w:sz w:val="20"/>
                <w:szCs w:val="20"/>
              </w:rPr>
              <w:t xml:space="preserve">1,14 </w:t>
            </w:r>
          </w:p>
        </w:tc>
      </w:tr>
    </w:tbl>
    <w:p w14:paraId="3B00C672">
      <w:pPr>
        <w:spacing w:after="0" w:line="240" w:lineRule="auto"/>
        <w:contextualSpacing/>
        <w:jc w:val="both"/>
        <w:rPr>
          <w:sz w:val="24"/>
          <w:szCs w:val="24"/>
        </w:rPr>
      </w:pPr>
    </w:p>
    <w:p w14:paraId="70043626">
      <w:pPr>
        <w:keepNext/>
        <w:keepLines/>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17</w:t>
      </w:r>
      <w:r>
        <w:rPr>
          <w:bCs/>
          <w:sz w:val="24"/>
          <w:szCs w:val="24"/>
        </w:rPr>
        <w:fldChar w:fldCharType="end"/>
      </w:r>
      <w:r>
        <w:rPr>
          <w:bCs/>
          <w:sz w:val="24"/>
          <w:szCs w:val="24"/>
        </w:rPr>
        <w:t xml:space="preserve"> – </w:t>
      </w:r>
      <w:r>
        <w:rPr>
          <w:sz w:val="24"/>
          <w:szCs w:val="24"/>
        </w:rPr>
        <w:t>Протяженность тепловых сетей в двухтрубном исполнении МУП «БКС» в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109"/>
        <w:gridCol w:w="1547"/>
        <w:gridCol w:w="1547"/>
        <w:gridCol w:w="1356"/>
        <w:gridCol w:w="51"/>
        <w:gridCol w:w="982"/>
      </w:tblGrid>
      <w:tr w14:paraId="58AA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vMerge w:val="restart"/>
            <w:shd w:val="clear" w:color="auto" w:fill="auto"/>
            <w:vAlign w:val="center"/>
          </w:tcPr>
          <w:p w14:paraId="7C3834CC">
            <w:pPr>
              <w:keepNext/>
              <w:keepLines/>
              <w:spacing w:after="0" w:line="240" w:lineRule="auto"/>
              <w:ind w:firstLine="0"/>
              <w:contextualSpacing/>
              <w:jc w:val="center"/>
              <w:rPr>
                <w:color w:val="000000"/>
                <w:sz w:val="20"/>
                <w:szCs w:val="20"/>
              </w:rPr>
            </w:pPr>
            <w:r>
              <w:rPr>
                <w:color w:val="000000"/>
                <w:sz w:val="20"/>
                <w:szCs w:val="20"/>
              </w:rPr>
              <w:t>Диаметр трубопровода, мм</w:t>
            </w:r>
          </w:p>
        </w:tc>
        <w:tc>
          <w:tcPr>
            <w:tcW w:w="1855" w:type="pct"/>
            <w:gridSpan w:val="2"/>
            <w:shd w:val="clear" w:color="auto" w:fill="auto"/>
            <w:vAlign w:val="center"/>
          </w:tcPr>
          <w:p w14:paraId="059D62E0">
            <w:pPr>
              <w:keepNext/>
              <w:keepLines/>
              <w:spacing w:after="0" w:line="240" w:lineRule="auto"/>
              <w:ind w:firstLine="0"/>
              <w:contextualSpacing/>
              <w:jc w:val="center"/>
              <w:rPr>
                <w:color w:val="000000"/>
                <w:sz w:val="20"/>
                <w:szCs w:val="20"/>
              </w:rPr>
            </w:pPr>
            <w:r>
              <w:rPr>
                <w:color w:val="000000"/>
                <w:sz w:val="20"/>
                <w:szCs w:val="20"/>
              </w:rPr>
              <w:t>Длина трубопровода, м</w:t>
            </w:r>
          </w:p>
        </w:tc>
        <w:tc>
          <w:tcPr>
            <w:tcW w:w="785" w:type="pct"/>
            <w:vMerge w:val="restart"/>
            <w:shd w:val="clear" w:color="auto" w:fill="auto"/>
            <w:vAlign w:val="center"/>
          </w:tcPr>
          <w:p w14:paraId="0CB8FE4C">
            <w:pPr>
              <w:keepNext/>
              <w:keepLines/>
              <w:spacing w:after="0" w:line="240" w:lineRule="auto"/>
              <w:ind w:firstLine="0"/>
              <w:contextualSpacing/>
              <w:jc w:val="center"/>
              <w:rPr>
                <w:color w:val="000000"/>
                <w:sz w:val="20"/>
                <w:szCs w:val="20"/>
              </w:rPr>
            </w:pPr>
            <w:r>
              <w:rPr>
                <w:color w:val="000000"/>
                <w:sz w:val="20"/>
                <w:szCs w:val="20"/>
              </w:rPr>
              <w:t>Материал труб</w:t>
            </w:r>
          </w:p>
        </w:tc>
        <w:tc>
          <w:tcPr>
            <w:tcW w:w="688" w:type="pct"/>
            <w:vMerge w:val="restart"/>
            <w:shd w:val="clear" w:color="auto" w:fill="auto"/>
            <w:vAlign w:val="center"/>
          </w:tcPr>
          <w:p w14:paraId="5D53F7F5">
            <w:pPr>
              <w:keepNext/>
              <w:keepLines/>
              <w:spacing w:after="0" w:line="240" w:lineRule="auto"/>
              <w:ind w:firstLine="0"/>
              <w:contextualSpacing/>
              <w:jc w:val="center"/>
              <w:rPr>
                <w:color w:val="000000"/>
                <w:sz w:val="20"/>
                <w:szCs w:val="20"/>
              </w:rPr>
            </w:pPr>
            <w:r>
              <w:rPr>
                <w:color w:val="000000"/>
                <w:sz w:val="20"/>
                <w:szCs w:val="20"/>
              </w:rPr>
              <w:t>Год прокладки</w:t>
            </w:r>
          </w:p>
        </w:tc>
        <w:tc>
          <w:tcPr>
            <w:tcW w:w="524" w:type="pct"/>
            <w:gridSpan w:val="2"/>
            <w:vMerge w:val="restart"/>
            <w:shd w:val="clear" w:color="auto" w:fill="auto"/>
            <w:vAlign w:val="center"/>
          </w:tcPr>
          <w:p w14:paraId="4B062FDB">
            <w:pPr>
              <w:keepNext/>
              <w:keepLines/>
              <w:spacing w:after="0" w:line="240" w:lineRule="auto"/>
              <w:ind w:firstLine="0"/>
              <w:contextualSpacing/>
              <w:jc w:val="center"/>
              <w:rPr>
                <w:color w:val="000000"/>
                <w:sz w:val="20"/>
                <w:szCs w:val="20"/>
              </w:rPr>
            </w:pPr>
            <w:r>
              <w:rPr>
                <w:color w:val="000000"/>
                <w:sz w:val="20"/>
                <w:szCs w:val="20"/>
              </w:rPr>
              <w:t>% износа</w:t>
            </w:r>
          </w:p>
        </w:tc>
      </w:tr>
      <w:tr w14:paraId="4269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vMerge w:val="continue"/>
            <w:vAlign w:val="center"/>
          </w:tcPr>
          <w:p w14:paraId="6BFE6D90">
            <w:pPr>
              <w:keepNext/>
              <w:keepLines/>
              <w:spacing w:after="0" w:line="240" w:lineRule="auto"/>
              <w:ind w:firstLine="0"/>
              <w:contextualSpacing/>
              <w:jc w:val="center"/>
              <w:rPr>
                <w:color w:val="000000"/>
                <w:sz w:val="20"/>
                <w:szCs w:val="20"/>
              </w:rPr>
            </w:pPr>
          </w:p>
        </w:tc>
        <w:tc>
          <w:tcPr>
            <w:tcW w:w="1070" w:type="pct"/>
            <w:shd w:val="clear" w:color="auto" w:fill="auto"/>
            <w:vAlign w:val="center"/>
          </w:tcPr>
          <w:p w14:paraId="283DA182">
            <w:pPr>
              <w:keepNext/>
              <w:keepLines/>
              <w:spacing w:after="0" w:line="240" w:lineRule="auto"/>
              <w:ind w:firstLine="0"/>
              <w:contextualSpacing/>
              <w:jc w:val="center"/>
              <w:rPr>
                <w:color w:val="000000"/>
                <w:sz w:val="20"/>
                <w:szCs w:val="20"/>
              </w:rPr>
            </w:pPr>
            <w:r>
              <w:rPr>
                <w:color w:val="000000"/>
                <w:sz w:val="20"/>
                <w:szCs w:val="20"/>
              </w:rPr>
              <w:t>Бесканальная в траншее</w:t>
            </w:r>
          </w:p>
        </w:tc>
        <w:tc>
          <w:tcPr>
            <w:tcW w:w="785" w:type="pct"/>
            <w:shd w:val="clear" w:color="auto" w:fill="auto"/>
            <w:vAlign w:val="center"/>
          </w:tcPr>
          <w:p w14:paraId="6CB8811B">
            <w:pPr>
              <w:keepNext/>
              <w:keepLines/>
              <w:spacing w:after="0" w:line="240" w:lineRule="auto"/>
              <w:ind w:firstLine="0"/>
              <w:contextualSpacing/>
              <w:jc w:val="center"/>
              <w:rPr>
                <w:color w:val="000000"/>
                <w:sz w:val="20"/>
                <w:szCs w:val="20"/>
              </w:rPr>
            </w:pPr>
            <w:r>
              <w:rPr>
                <w:color w:val="000000"/>
                <w:sz w:val="20"/>
                <w:szCs w:val="20"/>
              </w:rPr>
              <w:t>По эстакаде</w:t>
            </w:r>
          </w:p>
        </w:tc>
        <w:tc>
          <w:tcPr>
            <w:tcW w:w="785" w:type="pct"/>
            <w:vMerge w:val="continue"/>
            <w:vAlign w:val="center"/>
          </w:tcPr>
          <w:p w14:paraId="68E42B80">
            <w:pPr>
              <w:keepNext/>
              <w:keepLines/>
              <w:spacing w:after="0" w:line="240" w:lineRule="auto"/>
              <w:ind w:firstLine="0"/>
              <w:contextualSpacing/>
              <w:jc w:val="center"/>
              <w:rPr>
                <w:color w:val="000000"/>
                <w:sz w:val="20"/>
                <w:szCs w:val="20"/>
              </w:rPr>
            </w:pPr>
          </w:p>
        </w:tc>
        <w:tc>
          <w:tcPr>
            <w:tcW w:w="688" w:type="pct"/>
            <w:vMerge w:val="continue"/>
            <w:vAlign w:val="center"/>
          </w:tcPr>
          <w:p w14:paraId="4B525F39">
            <w:pPr>
              <w:keepNext/>
              <w:keepLines/>
              <w:spacing w:after="0" w:line="240" w:lineRule="auto"/>
              <w:ind w:firstLine="0"/>
              <w:contextualSpacing/>
              <w:jc w:val="center"/>
              <w:rPr>
                <w:color w:val="000000"/>
                <w:sz w:val="20"/>
                <w:szCs w:val="20"/>
              </w:rPr>
            </w:pPr>
          </w:p>
        </w:tc>
        <w:tc>
          <w:tcPr>
            <w:tcW w:w="524" w:type="pct"/>
            <w:gridSpan w:val="2"/>
            <w:vMerge w:val="continue"/>
            <w:vAlign w:val="center"/>
          </w:tcPr>
          <w:p w14:paraId="3F53479F">
            <w:pPr>
              <w:keepNext/>
              <w:keepLines/>
              <w:spacing w:after="0" w:line="240" w:lineRule="auto"/>
              <w:ind w:firstLine="0"/>
              <w:contextualSpacing/>
              <w:jc w:val="center"/>
              <w:rPr>
                <w:color w:val="000000"/>
                <w:sz w:val="20"/>
                <w:szCs w:val="20"/>
              </w:rPr>
            </w:pPr>
          </w:p>
        </w:tc>
      </w:tr>
      <w:tr w14:paraId="77E0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7"/>
            <w:shd w:val="clear" w:color="auto" w:fill="auto"/>
            <w:vAlign w:val="center"/>
          </w:tcPr>
          <w:p w14:paraId="076CFFB2">
            <w:pPr>
              <w:keepNext/>
              <w:keepLines/>
              <w:spacing w:after="0" w:line="240" w:lineRule="auto"/>
              <w:ind w:firstLine="0"/>
              <w:contextualSpacing/>
              <w:jc w:val="center"/>
              <w:rPr>
                <w:color w:val="000000"/>
                <w:sz w:val="20"/>
                <w:szCs w:val="20"/>
              </w:rPr>
            </w:pPr>
            <w:r>
              <w:rPr>
                <w:color w:val="000000"/>
                <w:sz w:val="20"/>
                <w:szCs w:val="20"/>
              </w:rPr>
              <w:t>Сети отопления</w:t>
            </w:r>
          </w:p>
        </w:tc>
      </w:tr>
      <w:tr w14:paraId="5845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2FDEA67E">
            <w:pPr>
              <w:keepNext/>
              <w:keepLines/>
              <w:spacing w:after="0" w:line="240" w:lineRule="auto"/>
              <w:ind w:firstLine="0"/>
              <w:contextualSpacing/>
              <w:jc w:val="center"/>
              <w:rPr>
                <w:color w:val="000000"/>
                <w:sz w:val="20"/>
                <w:szCs w:val="20"/>
              </w:rPr>
            </w:pPr>
            <w:r>
              <w:rPr>
                <w:color w:val="000000"/>
                <w:sz w:val="20"/>
                <w:szCs w:val="20"/>
              </w:rPr>
              <w:t>26</w:t>
            </w:r>
          </w:p>
        </w:tc>
        <w:tc>
          <w:tcPr>
            <w:tcW w:w="1070" w:type="pct"/>
            <w:shd w:val="clear" w:color="auto" w:fill="auto"/>
            <w:vAlign w:val="center"/>
          </w:tcPr>
          <w:p w14:paraId="6FE209A4">
            <w:pPr>
              <w:keepNext/>
              <w:keepLines/>
              <w:spacing w:after="0" w:line="240" w:lineRule="auto"/>
              <w:ind w:firstLine="0"/>
              <w:contextualSpacing/>
              <w:jc w:val="center"/>
              <w:rPr>
                <w:color w:val="000000"/>
                <w:sz w:val="20"/>
                <w:szCs w:val="20"/>
              </w:rPr>
            </w:pPr>
            <w:r>
              <w:rPr>
                <w:color w:val="000000"/>
                <w:sz w:val="20"/>
                <w:szCs w:val="20"/>
              </w:rPr>
              <w:t>75</w:t>
            </w:r>
          </w:p>
        </w:tc>
        <w:tc>
          <w:tcPr>
            <w:tcW w:w="785" w:type="pct"/>
            <w:shd w:val="clear" w:color="auto" w:fill="auto"/>
            <w:vAlign w:val="center"/>
          </w:tcPr>
          <w:p w14:paraId="4A1FF6EF">
            <w:pPr>
              <w:keepNext/>
              <w:keepLines/>
              <w:spacing w:after="0" w:line="240" w:lineRule="auto"/>
              <w:ind w:firstLine="0"/>
              <w:contextualSpacing/>
              <w:jc w:val="center"/>
              <w:rPr>
                <w:color w:val="000000"/>
                <w:sz w:val="20"/>
                <w:szCs w:val="20"/>
              </w:rPr>
            </w:pPr>
            <w:r>
              <w:rPr>
                <w:color w:val="000000"/>
                <w:sz w:val="20"/>
                <w:szCs w:val="20"/>
              </w:rPr>
              <w:t>0</w:t>
            </w:r>
          </w:p>
        </w:tc>
        <w:tc>
          <w:tcPr>
            <w:tcW w:w="785" w:type="pct"/>
            <w:shd w:val="clear" w:color="auto" w:fill="auto"/>
            <w:vAlign w:val="center"/>
          </w:tcPr>
          <w:p w14:paraId="159B3481">
            <w:pPr>
              <w:keepNext/>
              <w:keepLines/>
              <w:spacing w:after="0" w:line="240" w:lineRule="auto"/>
              <w:ind w:firstLine="0"/>
              <w:contextualSpacing/>
              <w:jc w:val="center"/>
              <w:rPr>
                <w:color w:val="000000"/>
                <w:sz w:val="20"/>
                <w:szCs w:val="20"/>
              </w:rPr>
            </w:pPr>
            <w:r>
              <w:rPr>
                <w:color w:val="000000"/>
                <w:sz w:val="20"/>
                <w:szCs w:val="20"/>
              </w:rPr>
              <w:t>сталь</w:t>
            </w:r>
          </w:p>
        </w:tc>
        <w:tc>
          <w:tcPr>
            <w:tcW w:w="688" w:type="pct"/>
            <w:shd w:val="clear" w:color="auto" w:fill="auto"/>
            <w:vAlign w:val="center"/>
          </w:tcPr>
          <w:p w14:paraId="4A65E40A">
            <w:pPr>
              <w:keepNext/>
              <w:keepLines/>
              <w:spacing w:after="0" w:line="240" w:lineRule="auto"/>
              <w:ind w:firstLine="0"/>
              <w:contextualSpacing/>
              <w:jc w:val="center"/>
              <w:rPr>
                <w:color w:val="000000"/>
                <w:sz w:val="20"/>
                <w:szCs w:val="20"/>
              </w:rPr>
            </w:pPr>
            <w:r>
              <w:rPr>
                <w:color w:val="000000"/>
                <w:sz w:val="20"/>
                <w:szCs w:val="20"/>
              </w:rPr>
              <w:t>1980</w:t>
            </w:r>
          </w:p>
        </w:tc>
        <w:tc>
          <w:tcPr>
            <w:tcW w:w="524" w:type="pct"/>
            <w:gridSpan w:val="2"/>
            <w:shd w:val="clear" w:color="auto" w:fill="auto"/>
            <w:vAlign w:val="center"/>
          </w:tcPr>
          <w:p w14:paraId="15D12B92">
            <w:pPr>
              <w:keepNext/>
              <w:keepLines/>
              <w:spacing w:after="0" w:line="240" w:lineRule="auto"/>
              <w:ind w:firstLine="0"/>
              <w:contextualSpacing/>
              <w:jc w:val="center"/>
              <w:rPr>
                <w:color w:val="000000"/>
                <w:sz w:val="20"/>
                <w:szCs w:val="20"/>
              </w:rPr>
            </w:pPr>
            <w:r>
              <w:rPr>
                <w:color w:val="000000"/>
                <w:sz w:val="20"/>
                <w:szCs w:val="20"/>
              </w:rPr>
              <w:t>100</w:t>
            </w:r>
          </w:p>
        </w:tc>
      </w:tr>
      <w:tr w14:paraId="5FB8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7CADF5F4">
            <w:pPr>
              <w:keepNext/>
              <w:keepLines/>
              <w:spacing w:after="0" w:line="240" w:lineRule="auto"/>
              <w:ind w:firstLine="0"/>
              <w:contextualSpacing/>
              <w:jc w:val="center"/>
              <w:rPr>
                <w:color w:val="000000"/>
                <w:sz w:val="20"/>
                <w:szCs w:val="20"/>
              </w:rPr>
            </w:pPr>
            <w:r>
              <w:rPr>
                <w:color w:val="000000"/>
                <w:sz w:val="20"/>
                <w:szCs w:val="20"/>
              </w:rPr>
              <w:t>32</w:t>
            </w:r>
          </w:p>
        </w:tc>
        <w:tc>
          <w:tcPr>
            <w:tcW w:w="1070" w:type="pct"/>
            <w:shd w:val="clear" w:color="auto" w:fill="auto"/>
            <w:vAlign w:val="center"/>
          </w:tcPr>
          <w:p w14:paraId="2B3DBD85">
            <w:pPr>
              <w:keepNext/>
              <w:keepLines/>
              <w:spacing w:after="0" w:line="240" w:lineRule="auto"/>
              <w:ind w:firstLine="0"/>
              <w:contextualSpacing/>
              <w:jc w:val="center"/>
              <w:rPr>
                <w:color w:val="000000"/>
                <w:sz w:val="20"/>
                <w:szCs w:val="20"/>
              </w:rPr>
            </w:pPr>
            <w:r>
              <w:rPr>
                <w:color w:val="000000"/>
                <w:sz w:val="20"/>
                <w:szCs w:val="20"/>
              </w:rPr>
              <w:t>0</w:t>
            </w:r>
          </w:p>
        </w:tc>
        <w:tc>
          <w:tcPr>
            <w:tcW w:w="785" w:type="pct"/>
            <w:shd w:val="clear" w:color="auto" w:fill="auto"/>
            <w:vAlign w:val="center"/>
          </w:tcPr>
          <w:p w14:paraId="4628E250">
            <w:pPr>
              <w:keepNext/>
              <w:keepLines/>
              <w:spacing w:after="0" w:line="240" w:lineRule="auto"/>
              <w:ind w:firstLine="0"/>
              <w:contextualSpacing/>
              <w:jc w:val="center"/>
              <w:rPr>
                <w:color w:val="000000"/>
                <w:sz w:val="20"/>
                <w:szCs w:val="20"/>
              </w:rPr>
            </w:pPr>
            <w:r>
              <w:rPr>
                <w:color w:val="000000"/>
                <w:sz w:val="20"/>
                <w:szCs w:val="20"/>
              </w:rPr>
              <w:t>30</w:t>
            </w:r>
          </w:p>
        </w:tc>
        <w:tc>
          <w:tcPr>
            <w:tcW w:w="785" w:type="pct"/>
            <w:shd w:val="clear" w:color="auto" w:fill="auto"/>
            <w:vAlign w:val="center"/>
          </w:tcPr>
          <w:p w14:paraId="6E148CBF">
            <w:pPr>
              <w:keepNext/>
              <w:keepLines/>
              <w:spacing w:after="0" w:line="240" w:lineRule="auto"/>
              <w:ind w:firstLine="0"/>
              <w:contextualSpacing/>
              <w:jc w:val="center"/>
              <w:rPr>
                <w:color w:val="000000"/>
                <w:sz w:val="20"/>
                <w:szCs w:val="20"/>
              </w:rPr>
            </w:pPr>
            <w:r>
              <w:rPr>
                <w:color w:val="000000"/>
                <w:sz w:val="20"/>
                <w:szCs w:val="20"/>
              </w:rPr>
              <w:t>сталь</w:t>
            </w:r>
          </w:p>
        </w:tc>
        <w:tc>
          <w:tcPr>
            <w:tcW w:w="688" w:type="pct"/>
            <w:shd w:val="clear" w:color="auto" w:fill="auto"/>
            <w:vAlign w:val="center"/>
          </w:tcPr>
          <w:p w14:paraId="26A55FF5">
            <w:pPr>
              <w:keepNext/>
              <w:keepLines/>
              <w:spacing w:after="0" w:line="240" w:lineRule="auto"/>
              <w:ind w:firstLine="0"/>
              <w:contextualSpacing/>
              <w:jc w:val="center"/>
              <w:rPr>
                <w:color w:val="000000"/>
                <w:sz w:val="20"/>
                <w:szCs w:val="20"/>
              </w:rPr>
            </w:pPr>
            <w:r>
              <w:rPr>
                <w:color w:val="000000"/>
                <w:sz w:val="20"/>
                <w:szCs w:val="20"/>
              </w:rPr>
              <w:t>1980</w:t>
            </w:r>
          </w:p>
        </w:tc>
        <w:tc>
          <w:tcPr>
            <w:tcW w:w="524" w:type="pct"/>
            <w:gridSpan w:val="2"/>
            <w:shd w:val="clear" w:color="auto" w:fill="auto"/>
            <w:vAlign w:val="center"/>
          </w:tcPr>
          <w:p w14:paraId="787AB199">
            <w:pPr>
              <w:keepNext/>
              <w:keepLines/>
              <w:spacing w:after="0" w:line="240" w:lineRule="auto"/>
              <w:ind w:firstLine="0"/>
              <w:contextualSpacing/>
              <w:jc w:val="center"/>
              <w:rPr>
                <w:color w:val="000000"/>
                <w:sz w:val="20"/>
                <w:szCs w:val="20"/>
              </w:rPr>
            </w:pPr>
            <w:r>
              <w:rPr>
                <w:color w:val="000000"/>
                <w:sz w:val="20"/>
                <w:szCs w:val="20"/>
              </w:rPr>
              <w:t>100</w:t>
            </w:r>
          </w:p>
        </w:tc>
      </w:tr>
      <w:tr w14:paraId="18C2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5932E86D">
            <w:pPr>
              <w:keepNext/>
              <w:keepLines/>
              <w:spacing w:after="0" w:line="240" w:lineRule="auto"/>
              <w:ind w:firstLine="0"/>
              <w:contextualSpacing/>
              <w:jc w:val="center"/>
              <w:rPr>
                <w:color w:val="000000"/>
                <w:sz w:val="20"/>
                <w:szCs w:val="20"/>
              </w:rPr>
            </w:pPr>
            <w:r>
              <w:rPr>
                <w:color w:val="000000"/>
                <w:sz w:val="20"/>
                <w:szCs w:val="20"/>
              </w:rPr>
              <w:t>57</w:t>
            </w:r>
          </w:p>
        </w:tc>
        <w:tc>
          <w:tcPr>
            <w:tcW w:w="1070" w:type="pct"/>
            <w:shd w:val="clear" w:color="auto" w:fill="auto"/>
            <w:vAlign w:val="center"/>
          </w:tcPr>
          <w:p w14:paraId="386B2923">
            <w:pPr>
              <w:keepNext/>
              <w:keepLines/>
              <w:spacing w:after="0" w:line="240" w:lineRule="auto"/>
              <w:ind w:firstLine="0"/>
              <w:contextualSpacing/>
              <w:jc w:val="center"/>
              <w:rPr>
                <w:color w:val="000000"/>
                <w:sz w:val="20"/>
                <w:szCs w:val="20"/>
              </w:rPr>
            </w:pPr>
            <w:r>
              <w:rPr>
                <w:color w:val="000000"/>
                <w:sz w:val="20"/>
                <w:szCs w:val="20"/>
              </w:rPr>
              <w:t>60</w:t>
            </w:r>
          </w:p>
        </w:tc>
        <w:tc>
          <w:tcPr>
            <w:tcW w:w="785" w:type="pct"/>
            <w:shd w:val="clear" w:color="auto" w:fill="auto"/>
            <w:vAlign w:val="center"/>
          </w:tcPr>
          <w:p w14:paraId="4DEC98AC">
            <w:pPr>
              <w:keepNext/>
              <w:keepLines/>
              <w:spacing w:after="0" w:line="240" w:lineRule="auto"/>
              <w:ind w:firstLine="0"/>
              <w:contextualSpacing/>
              <w:jc w:val="center"/>
              <w:rPr>
                <w:color w:val="000000"/>
                <w:sz w:val="20"/>
                <w:szCs w:val="20"/>
              </w:rPr>
            </w:pPr>
            <w:r>
              <w:rPr>
                <w:color w:val="000000"/>
                <w:sz w:val="20"/>
                <w:szCs w:val="20"/>
              </w:rPr>
              <w:t>166</w:t>
            </w:r>
          </w:p>
        </w:tc>
        <w:tc>
          <w:tcPr>
            <w:tcW w:w="785" w:type="pct"/>
            <w:shd w:val="clear" w:color="auto" w:fill="auto"/>
            <w:vAlign w:val="center"/>
          </w:tcPr>
          <w:p w14:paraId="52F8B8FF">
            <w:pPr>
              <w:keepNext/>
              <w:keepLines/>
              <w:spacing w:after="0" w:line="240" w:lineRule="auto"/>
              <w:ind w:firstLine="0"/>
              <w:contextualSpacing/>
              <w:jc w:val="center"/>
              <w:rPr>
                <w:color w:val="000000"/>
                <w:sz w:val="20"/>
                <w:szCs w:val="20"/>
              </w:rPr>
            </w:pPr>
            <w:r>
              <w:rPr>
                <w:color w:val="000000"/>
                <w:sz w:val="20"/>
                <w:szCs w:val="20"/>
              </w:rPr>
              <w:t>сталь</w:t>
            </w:r>
          </w:p>
        </w:tc>
        <w:tc>
          <w:tcPr>
            <w:tcW w:w="688" w:type="pct"/>
            <w:shd w:val="clear" w:color="auto" w:fill="auto"/>
            <w:vAlign w:val="center"/>
          </w:tcPr>
          <w:p w14:paraId="7472DEFF">
            <w:pPr>
              <w:keepNext/>
              <w:keepLines/>
              <w:spacing w:after="0" w:line="240" w:lineRule="auto"/>
              <w:ind w:firstLine="0"/>
              <w:contextualSpacing/>
              <w:jc w:val="center"/>
              <w:rPr>
                <w:color w:val="000000"/>
                <w:sz w:val="20"/>
                <w:szCs w:val="20"/>
              </w:rPr>
            </w:pPr>
            <w:r>
              <w:rPr>
                <w:color w:val="000000"/>
                <w:sz w:val="20"/>
                <w:szCs w:val="20"/>
              </w:rPr>
              <w:t>1980</w:t>
            </w:r>
          </w:p>
        </w:tc>
        <w:tc>
          <w:tcPr>
            <w:tcW w:w="524" w:type="pct"/>
            <w:gridSpan w:val="2"/>
            <w:shd w:val="clear" w:color="auto" w:fill="auto"/>
            <w:vAlign w:val="center"/>
          </w:tcPr>
          <w:p w14:paraId="1F28CCBC">
            <w:pPr>
              <w:keepNext/>
              <w:keepLines/>
              <w:spacing w:after="0" w:line="240" w:lineRule="auto"/>
              <w:ind w:firstLine="0"/>
              <w:contextualSpacing/>
              <w:jc w:val="center"/>
              <w:rPr>
                <w:color w:val="000000"/>
                <w:sz w:val="20"/>
                <w:szCs w:val="20"/>
              </w:rPr>
            </w:pPr>
            <w:r>
              <w:rPr>
                <w:color w:val="000000"/>
                <w:sz w:val="20"/>
                <w:szCs w:val="20"/>
              </w:rPr>
              <w:t>100</w:t>
            </w:r>
          </w:p>
        </w:tc>
      </w:tr>
      <w:tr w14:paraId="5FB9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7A22DDC8">
            <w:pPr>
              <w:keepNext/>
              <w:keepLines/>
              <w:spacing w:after="0" w:line="240" w:lineRule="auto"/>
              <w:ind w:firstLine="0"/>
              <w:contextualSpacing/>
              <w:jc w:val="center"/>
              <w:rPr>
                <w:color w:val="000000"/>
                <w:sz w:val="20"/>
                <w:szCs w:val="20"/>
              </w:rPr>
            </w:pPr>
            <w:r>
              <w:rPr>
                <w:color w:val="000000"/>
                <w:sz w:val="20"/>
                <w:szCs w:val="20"/>
              </w:rPr>
              <w:t>89</w:t>
            </w:r>
          </w:p>
        </w:tc>
        <w:tc>
          <w:tcPr>
            <w:tcW w:w="1070" w:type="pct"/>
            <w:shd w:val="clear" w:color="auto" w:fill="auto"/>
            <w:vAlign w:val="center"/>
          </w:tcPr>
          <w:p w14:paraId="570112F3">
            <w:pPr>
              <w:keepNext/>
              <w:keepLines/>
              <w:spacing w:after="0" w:line="240" w:lineRule="auto"/>
              <w:ind w:firstLine="0"/>
              <w:contextualSpacing/>
              <w:jc w:val="center"/>
              <w:rPr>
                <w:color w:val="000000"/>
                <w:sz w:val="20"/>
                <w:szCs w:val="20"/>
              </w:rPr>
            </w:pPr>
            <w:r>
              <w:rPr>
                <w:color w:val="000000"/>
                <w:sz w:val="20"/>
                <w:szCs w:val="20"/>
              </w:rPr>
              <w:t>18</w:t>
            </w:r>
          </w:p>
        </w:tc>
        <w:tc>
          <w:tcPr>
            <w:tcW w:w="785" w:type="pct"/>
            <w:shd w:val="clear" w:color="auto" w:fill="auto"/>
            <w:vAlign w:val="center"/>
          </w:tcPr>
          <w:p w14:paraId="0230E315">
            <w:pPr>
              <w:keepNext/>
              <w:keepLines/>
              <w:spacing w:after="0" w:line="240" w:lineRule="auto"/>
              <w:ind w:firstLine="0"/>
              <w:contextualSpacing/>
              <w:jc w:val="center"/>
              <w:rPr>
                <w:color w:val="000000"/>
                <w:sz w:val="20"/>
                <w:szCs w:val="20"/>
              </w:rPr>
            </w:pPr>
          </w:p>
        </w:tc>
        <w:tc>
          <w:tcPr>
            <w:tcW w:w="785" w:type="pct"/>
            <w:shd w:val="clear" w:color="auto" w:fill="auto"/>
            <w:vAlign w:val="center"/>
          </w:tcPr>
          <w:p w14:paraId="5B1F45E0">
            <w:pPr>
              <w:keepNext/>
              <w:keepLines/>
              <w:spacing w:after="0" w:line="240" w:lineRule="auto"/>
              <w:ind w:firstLine="0"/>
              <w:contextualSpacing/>
              <w:jc w:val="center"/>
              <w:rPr>
                <w:color w:val="000000"/>
                <w:sz w:val="20"/>
                <w:szCs w:val="20"/>
              </w:rPr>
            </w:pPr>
            <w:r>
              <w:rPr>
                <w:color w:val="000000"/>
                <w:sz w:val="20"/>
                <w:szCs w:val="20"/>
              </w:rPr>
              <w:t>сталь</w:t>
            </w:r>
          </w:p>
        </w:tc>
        <w:tc>
          <w:tcPr>
            <w:tcW w:w="688" w:type="pct"/>
            <w:shd w:val="clear" w:color="auto" w:fill="auto"/>
            <w:vAlign w:val="center"/>
          </w:tcPr>
          <w:p w14:paraId="5F1AD5A2">
            <w:pPr>
              <w:keepNext/>
              <w:keepLines/>
              <w:spacing w:after="0" w:line="240" w:lineRule="auto"/>
              <w:ind w:firstLine="0"/>
              <w:contextualSpacing/>
              <w:jc w:val="center"/>
              <w:rPr>
                <w:color w:val="000000"/>
                <w:sz w:val="20"/>
                <w:szCs w:val="20"/>
              </w:rPr>
            </w:pPr>
            <w:r>
              <w:rPr>
                <w:color w:val="000000"/>
                <w:sz w:val="20"/>
                <w:szCs w:val="20"/>
              </w:rPr>
              <w:t>1980</w:t>
            </w:r>
          </w:p>
        </w:tc>
        <w:tc>
          <w:tcPr>
            <w:tcW w:w="524" w:type="pct"/>
            <w:gridSpan w:val="2"/>
            <w:shd w:val="clear" w:color="auto" w:fill="auto"/>
            <w:vAlign w:val="center"/>
          </w:tcPr>
          <w:p w14:paraId="538D7B5A">
            <w:pPr>
              <w:keepNext/>
              <w:keepLines/>
              <w:spacing w:after="0" w:line="240" w:lineRule="auto"/>
              <w:ind w:firstLine="0"/>
              <w:contextualSpacing/>
              <w:jc w:val="center"/>
              <w:rPr>
                <w:color w:val="000000"/>
                <w:sz w:val="20"/>
                <w:szCs w:val="20"/>
              </w:rPr>
            </w:pPr>
            <w:r>
              <w:rPr>
                <w:color w:val="000000"/>
                <w:sz w:val="20"/>
                <w:szCs w:val="20"/>
              </w:rPr>
              <w:t>100</w:t>
            </w:r>
          </w:p>
        </w:tc>
      </w:tr>
      <w:tr w14:paraId="73ED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5DB2797E">
            <w:pPr>
              <w:keepNext/>
              <w:keepLines/>
              <w:spacing w:after="0" w:line="240" w:lineRule="auto"/>
              <w:ind w:firstLine="0"/>
              <w:contextualSpacing/>
              <w:jc w:val="center"/>
              <w:rPr>
                <w:color w:val="000000"/>
                <w:sz w:val="20"/>
                <w:szCs w:val="20"/>
              </w:rPr>
            </w:pPr>
            <w:r>
              <w:rPr>
                <w:color w:val="000000"/>
                <w:sz w:val="20"/>
                <w:szCs w:val="20"/>
              </w:rPr>
              <w:t>108</w:t>
            </w:r>
          </w:p>
        </w:tc>
        <w:tc>
          <w:tcPr>
            <w:tcW w:w="1070" w:type="pct"/>
            <w:shd w:val="clear" w:color="auto" w:fill="auto"/>
            <w:vAlign w:val="center"/>
          </w:tcPr>
          <w:p w14:paraId="6492B6D1">
            <w:pPr>
              <w:keepNext/>
              <w:keepLines/>
              <w:spacing w:after="0" w:line="240" w:lineRule="auto"/>
              <w:ind w:firstLine="0"/>
              <w:contextualSpacing/>
              <w:jc w:val="center"/>
              <w:rPr>
                <w:color w:val="000000"/>
                <w:sz w:val="20"/>
                <w:szCs w:val="20"/>
              </w:rPr>
            </w:pPr>
            <w:r>
              <w:rPr>
                <w:color w:val="000000"/>
                <w:sz w:val="20"/>
                <w:szCs w:val="20"/>
              </w:rPr>
              <w:t>545</w:t>
            </w:r>
          </w:p>
        </w:tc>
        <w:tc>
          <w:tcPr>
            <w:tcW w:w="785" w:type="pct"/>
            <w:shd w:val="clear" w:color="auto" w:fill="auto"/>
            <w:vAlign w:val="center"/>
          </w:tcPr>
          <w:p w14:paraId="68348A19">
            <w:pPr>
              <w:keepNext/>
              <w:keepLines/>
              <w:spacing w:after="0" w:line="240" w:lineRule="auto"/>
              <w:ind w:firstLine="0"/>
              <w:contextualSpacing/>
              <w:jc w:val="center"/>
              <w:rPr>
                <w:color w:val="000000"/>
                <w:sz w:val="20"/>
                <w:szCs w:val="20"/>
              </w:rPr>
            </w:pPr>
            <w:r>
              <w:rPr>
                <w:color w:val="000000"/>
                <w:sz w:val="20"/>
                <w:szCs w:val="20"/>
              </w:rPr>
              <w:t>861</w:t>
            </w:r>
          </w:p>
        </w:tc>
        <w:tc>
          <w:tcPr>
            <w:tcW w:w="785" w:type="pct"/>
            <w:shd w:val="clear" w:color="auto" w:fill="auto"/>
            <w:vAlign w:val="center"/>
          </w:tcPr>
          <w:p w14:paraId="0523909F">
            <w:pPr>
              <w:keepNext/>
              <w:keepLines/>
              <w:spacing w:after="0" w:line="240" w:lineRule="auto"/>
              <w:ind w:firstLine="0"/>
              <w:contextualSpacing/>
              <w:jc w:val="center"/>
              <w:rPr>
                <w:color w:val="000000"/>
                <w:sz w:val="20"/>
                <w:szCs w:val="20"/>
              </w:rPr>
            </w:pPr>
            <w:r>
              <w:rPr>
                <w:color w:val="000000"/>
                <w:sz w:val="20"/>
                <w:szCs w:val="20"/>
              </w:rPr>
              <w:t>сталь</w:t>
            </w:r>
          </w:p>
        </w:tc>
        <w:tc>
          <w:tcPr>
            <w:tcW w:w="688" w:type="pct"/>
            <w:shd w:val="clear" w:color="auto" w:fill="auto"/>
            <w:vAlign w:val="center"/>
          </w:tcPr>
          <w:p w14:paraId="76E24DF1">
            <w:pPr>
              <w:keepNext/>
              <w:keepLines/>
              <w:spacing w:after="0" w:line="240" w:lineRule="auto"/>
              <w:ind w:firstLine="0"/>
              <w:contextualSpacing/>
              <w:jc w:val="center"/>
              <w:rPr>
                <w:color w:val="000000"/>
                <w:sz w:val="20"/>
                <w:szCs w:val="20"/>
              </w:rPr>
            </w:pPr>
            <w:r>
              <w:rPr>
                <w:color w:val="000000"/>
                <w:sz w:val="20"/>
                <w:szCs w:val="20"/>
              </w:rPr>
              <w:t>1980</w:t>
            </w:r>
          </w:p>
        </w:tc>
        <w:tc>
          <w:tcPr>
            <w:tcW w:w="524" w:type="pct"/>
            <w:gridSpan w:val="2"/>
            <w:shd w:val="clear" w:color="auto" w:fill="auto"/>
            <w:vAlign w:val="center"/>
          </w:tcPr>
          <w:p w14:paraId="635BF172">
            <w:pPr>
              <w:keepNext/>
              <w:keepLines/>
              <w:spacing w:after="0" w:line="240" w:lineRule="auto"/>
              <w:ind w:firstLine="0"/>
              <w:contextualSpacing/>
              <w:jc w:val="center"/>
              <w:rPr>
                <w:color w:val="000000"/>
                <w:sz w:val="20"/>
                <w:szCs w:val="20"/>
              </w:rPr>
            </w:pPr>
            <w:r>
              <w:rPr>
                <w:color w:val="000000"/>
                <w:sz w:val="20"/>
                <w:szCs w:val="20"/>
              </w:rPr>
              <w:t>100</w:t>
            </w:r>
          </w:p>
        </w:tc>
      </w:tr>
      <w:tr w14:paraId="297D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30E7E168">
            <w:pPr>
              <w:keepNext/>
              <w:keepLines/>
              <w:spacing w:after="0" w:line="240" w:lineRule="auto"/>
              <w:ind w:firstLine="0"/>
              <w:contextualSpacing/>
              <w:jc w:val="center"/>
              <w:rPr>
                <w:color w:val="000000"/>
                <w:sz w:val="20"/>
                <w:szCs w:val="20"/>
              </w:rPr>
            </w:pPr>
            <w:r>
              <w:rPr>
                <w:color w:val="000000"/>
                <w:sz w:val="20"/>
                <w:szCs w:val="20"/>
              </w:rPr>
              <w:t>133</w:t>
            </w:r>
          </w:p>
        </w:tc>
        <w:tc>
          <w:tcPr>
            <w:tcW w:w="1070" w:type="pct"/>
            <w:shd w:val="clear" w:color="auto" w:fill="auto"/>
            <w:vAlign w:val="center"/>
          </w:tcPr>
          <w:p w14:paraId="7B789725">
            <w:pPr>
              <w:keepNext/>
              <w:keepLines/>
              <w:spacing w:after="0" w:line="240" w:lineRule="auto"/>
              <w:ind w:firstLine="0"/>
              <w:contextualSpacing/>
              <w:jc w:val="center"/>
              <w:rPr>
                <w:color w:val="000000"/>
                <w:sz w:val="20"/>
                <w:szCs w:val="20"/>
              </w:rPr>
            </w:pPr>
            <w:r>
              <w:rPr>
                <w:color w:val="000000"/>
                <w:sz w:val="20"/>
                <w:szCs w:val="20"/>
              </w:rPr>
              <w:t>85</w:t>
            </w:r>
          </w:p>
        </w:tc>
        <w:tc>
          <w:tcPr>
            <w:tcW w:w="785" w:type="pct"/>
            <w:shd w:val="clear" w:color="auto" w:fill="auto"/>
            <w:vAlign w:val="center"/>
          </w:tcPr>
          <w:p w14:paraId="39D6F987">
            <w:pPr>
              <w:keepNext/>
              <w:keepLines/>
              <w:spacing w:after="0" w:line="240" w:lineRule="auto"/>
              <w:ind w:firstLine="0"/>
              <w:contextualSpacing/>
              <w:jc w:val="center"/>
              <w:rPr>
                <w:color w:val="000000"/>
                <w:sz w:val="20"/>
                <w:szCs w:val="20"/>
              </w:rPr>
            </w:pPr>
            <w:r>
              <w:rPr>
                <w:color w:val="000000"/>
                <w:sz w:val="20"/>
                <w:szCs w:val="20"/>
              </w:rPr>
              <w:t>0</w:t>
            </w:r>
          </w:p>
        </w:tc>
        <w:tc>
          <w:tcPr>
            <w:tcW w:w="785" w:type="pct"/>
            <w:shd w:val="clear" w:color="auto" w:fill="auto"/>
            <w:vAlign w:val="center"/>
          </w:tcPr>
          <w:p w14:paraId="36958B4D">
            <w:pPr>
              <w:keepNext/>
              <w:keepLines/>
              <w:spacing w:after="0" w:line="240" w:lineRule="auto"/>
              <w:ind w:firstLine="0"/>
              <w:contextualSpacing/>
              <w:jc w:val="center"/>
              <w:rPr>
                <w:color w:val="000000"/>
                <w:sz w:val="20"/>
                <w:szCs w:val="20"/>
              </w:rPr>
            </w:pPr>
            <w:r>
              <w:rPr>
                <w:color w:val="000000"/>
                <w:sz w:val="20"/>
                <w:szCs w:val="20"/>
              </w:rPr>
              <w:t>сталь</w:t>
            </w:r>
          </w:p>
        </w:tc>
        <w:tc>
          <w:tcPr>
            <w:tcW w:w="688" w:type="pct"/>
            <w:shd w:val="clear" w:color="auto" w:fill="auto"/>
            <w:vAlign w:val="center"/>
          </w:tcPr>
          <w:p w14:paraId="192CBBF5">
            <w:pPr>
              <w:keepNext/>
              <w:keepLines/>
              <w:spacing w:after="0" w:line="240" w:lineRule="auto"/>
              <w:ind w:firstLine="0"/>
              <w:contextualSpacing/>
              <w:jc w:val="center"/>
              <w:rPr>
                <w:color w:val="000000"/>
                <w:sz w:val="20"/>
                <w:szCs w:val="20"/>
              </w:rPr>
            </w:pPr>
            <w:r>
              <w:rPr>
                <w:color w:val="000000"/>
                <w:sz w:val="20"/>
                <w:szCs w:val="20"/>
              </w:rPr>
              <w:t>1980</w:t>
            </w:r>
          </w:p>
        </w:tc>
        <w:tc>
          <w:tcPr>
            <w:tcW w:w="524" w:type="pct"/>
            <w:gridSpan w:val="2"/>
            <w:shd w:val="clear" w:color="auto" w:fill="auto"/>
            <w:vAlign w:val="center"/>
          </w:tcPr>
          <w:p w14:paraId="73E58FE0">
            <w:pPr>
              <w:keepNext/>
              <w:keepLines/>
              <w:spacing w:after="0" w:line="240" w:lineRule="auto"/>
              <w:ind w:firstLine="0"/>
              <w:contextualSpacing/>
              <w:jc w:val="center"/>
              <w:rPr>
                <w:color w:val="000000"/>
                <w:sz w:val="20"/>
                <w:szCs w:val="20"/>
              </w:rPr>
            </w:pPr>
            <w:r>
              <w:rPr>
                <w:color w:val="000000"/>
                <w:sz w:val="20"/>
                <w:szCs w:val="20"/>
              </w:rPr>
              <w:t>100</w:t>
            </w:r>
          </w:p>
        </w:tc>
      </w:tr>
      <w:tr w14:paraId="74B0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2385C728">
            <w:pPr>
              <w:keepNext/>
              <w:keepLines/>
              <w:spacing w:after="0" w:line="240" w:lineRule="auto"/>
              <w:ind w:firstLine="0"/>
              <w:contextualSpacing/>
              <w:jc w:val="center"/>
              <w:rPr>
                <w:b/>
                <w:bCs/>
                <w:color w:val="000000"/>
                <w:sz w:val="20"/>
                <w:szCs w:val="20"/>
              </w:rPr>
            </w:pPr>
            <w:r>
              <w:rPr>
                <w:b/>
                <w:bCs/>
                <w:color w:val="000000"/>
                <w:sz w:val="20"/>
                <w:szCs w:val="20"/>
              </w:rPr>
              <w:t>итого</w:t>
            </w:r>
          </w:p>
        </w:tc>
        <w:tc>
          <w:tcPr>
            <w:tcW w:w="1070" w:type="pct"/>
            <w:shd w:val="clear" w:color="auto" w:fill="auto"/>
            <w:vAlign w:val="center"/>
          </w:tcPr>
          <w:p w14:paraId="010203F8">
            <w:pPr>
              <w:keepNext/>
              <w:keepLines/>
              <w:spacing w:after="0" w:line="240" w:lineRule="auto"/>
              <w:ind w:firstLine="0"/>
              <w:contextualSpacing/>
              <w:jc w:val="center"/>
              <w:rPr>
                <w:b/>
                <w:bCs/>
                <w:color w:val="000000"/>
                <w:sz w:val="20"/>
                <w:szCs w:val="20"/>
              </w:rPr>
            </w:pPr>
            <w:r>
              <w:rPr>
                <w:b/>
                <w:bCs/>
                <w:color w:val="000000"/>
                <w:sz w:val="20"/>
                <w:szCs w:val="20"/>
              </w:rPr>
              <w:t>783</w:t>
            </w:r>
          </w:p>
        </w:tc>
        <w:tc>
          <w:tcPr>
            <w:tcW w:w="785" w:type="pct"/>
            <w:shd w:val="clear" w:color="auto" w:fill="auto"/>
            <w:vAlign w:val="center"/>
          </w:tcPr>
          <w:p w14:paraId="1F032349">
            <w:pPr>
              <w:keepNext/>
              <w:keepLines/>
              <w:spacing w:after="0" w:line="240" w:lineRule="auto"/>
              <w:ind w:firstLine="0"/>
              <w:contextualSpacing/>
              <w:jc w:val="center"/>
              <w:rPr>
                <w:b/>
                <w:bCs/>
                <w:color w:val="000000"/>
                <w:sz w:val="20"/>
                <w:szCs w:val="20"/>
              </w:rPr>
            </w:pPr>
            <w:r>
              <w:rPr>
                <w:b/>
                <w:bCs/>
                <w:color w:val="000000"/>
                <w:sz w:val="20"/>
                <w:szCs w:val="20"/>
              </w:rPr>
              <w:t>1057</w:t>
            </w:r>
          </w:p>
        </w:tc>
        <w:tc>
          <w:tcPr>
            <w:tcW w:w="785" w:type="pct"/>
            <w:shd w:val="clear" w:color="auto" w:fill="auto"/>
            <w:vAlign w:val="center"/>
          </w:tcPr>
          <w:p w14:paraId="018EB29E">
            <w:pPr>
              <w:keepNext/>
              <w:keepLines/>
              <w:spacing w:after="0" w:line="240" w:lineRule="auto"/>
              <w:ind w:firstLine="0"/>
              <w:contextualSpacing/>
              <w:jc w:val="center"/>
              <w:rPr>
                <w:b/>
                <w:bCs/>
                <w:color w:val="000000"/>
                <w:sz w:val="20"/>
                <w:szCs w:val="20"/>
              </w:rPr>
            </w:pPr>
          </w:p>
        </w:tc>
        <w:tc>
          <w:tcPr>
            <w:tcW w:w="688" w:type="pct"/>
            <w:shd w:val="clear" w:color="auto" w:fill="auto"/>
            <w:vAlign w:val="center"/>
          </w:tcPr>
          <w:p w14:paraId="68345F68">
            <w:pPr>
              <w:keepNext/>
              <w:keepLines/>
              <w:spacing w:after="0" w:line="240" w:lineRule="auto"/>
              <w:ind w:firstLine="0"/>
              <w:contextualSpacing/>
              <w:jc w:val="center"/>
              <w:rPr>
                <w:b/>
                <w:bCs/>
                <w:color w:val="000000"/>
                <w:sz w:val="20"/>
                <w:szCs w:val="20"/>
              </w:rPr>
            </w:pPr>
          </w:p>
        </w:tc>
        <w:tc>
          <w:tcPr>
            <w:tcW w:w="524" w:type="pct"/>
            <w:gridSpan w:val="2"/>
            <w:shd w:val="clear" w:color="auto" w:fill="auto"/>
            <w:vAlign w:val="center"/>
          </w:tcPr>
          <w:p w14:paraId="60470DB0">
            <w:pPr>
              <w:keepNext/>
              <w:keepLines/>
              <w:spacing w:after="0" w:line="240" w:lineRule="auto"/>
              <w:ind w:firstLine="0"/>
              <w:contextualSpacing/>
              <w:jc w:val="center"/>
              <w:rPr>
                <w:bCs/>
                <w:color w:val="000000"/>
                <w:sz w:val="20"/>
                <w:szCs w:val="20"/>
              </w:rPr>
            </w:pPr>
            <w:r>
              <w:rPr>
                <w:bCs/>
                <w:color w:val="000000"/>
                <w:sz w:val="20"/>
                <w:szCs w:val="20"/>
              </w:rPr>
              <w:t>100</w:t>
            </w:r>
          </w:p>
        </w:tc>
      </w:tr>
      <w:tr w14:paraId="4CE0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56074562">
            <w:pPr>
              <w:keepNext/>
              <w:keepLines/>
              <w:spacing w:after="0" w:line="240" w:lineRule="auto"/>
              <w:ind w:firstLine="0"/>
              <w:contextualSpacing/>
              <w:jc w:val="center"/>
              <w:rPr>
                <w:b/>
                <w:bCs/>
                <w:color w:val="000000"/>
                <w:sz w:val="20"/>
                <w:szCs w:val="20"/>
              </w:rPr>
            </w:pPr>
            <w:r>
              <w:rPr>
                <w:b/>
                <w:bCs/>
                <w:color w:val="000000"/>
                <w:sz w:val="20"/>
                <w:szCs w:val="20"/>
              </w:rPr>
              <w:t>Итого протяженность сетей отопления:</w:t>
            </w:r>
          </w:p>
        </w:tc>
        <w:tc>
          <w:tcPr>
            <w:tcW w:w="1855" w:type="pct"/>
            <w:gridSpan w:val="2"/>
            <w:shd w:val="clear" w:color="auto" w:fill="auto"/>
            <w:vAlign w:val="center"/>
          </w:tcPr>
          <w:p w14:paraId="040BD1C8">
            <w:pPr>
              <w:keepNext/>
              <w:keepLines/>
              <w:spacing w:after="0" w:line="240" w:lineRule="auto"/>
              <w:ind w:firstLine="0"/>
              <w:contextualSpacing/>
              <w:jc w:val="center"/>
              <w:rPr>
                <w:b/>
                <w:bCs/>
                <w:color w:val="000000"/>
                <w:sz w:val="20"/>
                <w:szCs w:val="20"/>
              </w:rPr>
            </w:pPr>
            <w:r>
              <w:rPr>
                <w:b/>
                <w:bCs/>
                <w:color w:val="000000"/>
                <w:sz w:val="20"/>
                <w:szCs w:val="20"/>
              </w:rPr>
              <w:t>1840</w:t>
            </w:r>
          </w:p>
        </w:tc>
        <w:tc>
          <w:tcPr>
            <w:tcW w:w="1997" w:type="pct"/>
            <w:gridSpan w:val="4"/>
            <w:shd w:val="clear" w:color="auto" w:fill="auto"/>
            <w:vAlign w:val="center"/>
          </w:tcPr>
          <w:p w14:paraId="4BABB254">
            <w:pPr>
              <w:keepNext/>
              <w:keepLines/>
              <w:spacing w:after="0" w:line="240" w:lineRule="auto"/>
              <w:ind w:firstLine="0"/>
              <w:contextualSpacing/>
              <w:jc w:val="center"/>
              <w:rPr>
                <w:color w:val="000000"/>
                <w:sz w:val="20"/>
                <w:szCs w:val="20"/>
              </w:rPr>
            </w:pPr>
          </w:p>
        </w:tc>
      </w:tr>
      <w:tr w14:paraId="6A0F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7"/>
            <w:shd w:val="clear" w:color="auto" w:fill="auto"/>
            <w:vAlign w:val="center"/>
          </w:tcPr>
          <w:p w14:paraId="59C7EF26">
            <w:pPr>
              <w:spacing w:after="0" w:line="240" w:lineRule="auto"/>
              <w:ind w:firstLine="0"/>
              <w:contextualSpacing/>
              <w:jc w:val="center"/>
              <w:rPr>
                <w:color w:val="000000"/>
                <w:sz w:val="20"/>
                <w:szCs w:val="20"/>
              </w:rPr>
            </w:pPr>
            <w:r>
              <w:rPr>
                <w:color w:val="000000"/>
                <w:sz w:val="20"/>
                <w:szCs w:val="20"/>
              </w:rPr>
              <w:t>Сети ГВС</w:t>
            </w:r>
          </w:p>
        </w:tc>
      </w:tr>
      <w:tr w14:paraId="0D99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3F793418">
            <w:pPr>
              <w:spacing w:after="0" w:line="240" w:lineRule="auto"/>
              <w:ind w:firstLine="0"/>
              <w:contextualSpacing/>
              <w:jc w:val="center"/>
              <w:rPr>
                <w:color w:val="000000"/>
                <w:sz w:val="20"/>
                <w:szCs w:val="20"/>
              </w:rPr>
            </w:pPr>
            <w:r>
              <w:rPr>
                <w:color w:val="000000"/>
                <w:sz w:val="20"/>
                <w:szCs w:val="20"/>
              </w:rPr>
              <w:t>25</w:t>
            </w:r>
          </w:p>
        </w:tc>
        <w:tc>
          <w:tcPr>
            <w:tcW w:w="1070" w:type="pct"/>
            <w:shd w:val="clear" w:color="auto" w:fill="auto"/>
            <w:vAlign w:val="center"/>
          </w:tcPr>
          <w:p w14:paraId="3442C4EB">
            <w:pPr>
              <w:spacing w:after="0" w:line="240" w:lineRule="auto"/>
              <w:ind w:firstLine="0"/>
              <w:contextualSpacing/>
              <w:jc w:val="center"/>
              <w:rPr>
                <w:color w:val="000000"/>
                <w:sz w:val="20"/>
                <w:szCs w:val="20"/>
              </w:rPr>
            </w:pPr>
            <w:r>
              <w:rPr>
                <w:color w:val="000000"/>
                <w:sz w:val="20"/>
                <w:szCs w:val="20"/>
              </w:rPr>
              <w:t>0</w:t>
            </w:r>
          </w:p>
        </w:tc>
        <w:tc>
          <w:tcPr>
            <w:tcW w:w="785" w:type="pct"/>
            <w:shd w:val="clear" w:color="auto" w:fill="auto"/>
            <w:vAlign w:val="center"/>
          </w:tcPr>
          <w:p w14:paraId="126526CF">
            <w:pPr>
              <w:spacing w:after="0" w:line="240" w:lineRule="auto"/>
              <w:ind w:firstLine="0"/>
              <w:contextualSpacing/>
              <w:jc w:val="center"/>
              <w:rPr>
                <w:color w:val="000000"/>
                <w:sz w:val="20"/>
                <w:szCs w:val="20"/>
              </w:rPr>
            </w:pPr>
            <w:r>
              <w:rPr>
                <w:color w:val="000000"/>
                <w:sz w:val="20"/>
                <w:szCs w:val="20"/>
              </w:rPr>
              <w:t>15</w:t>
            </w:r>
          </w:p>
        </w:tc>
        <w:tc>
          <w:tcPr>
            <w:tcW w:w="785" w:type="pct"/>
            <w:shd w:val="clear" w:color="auto" w:fill="auto"/>
            <w:vAlign w:val="center"/>
          </w:tcPr>
          <w:p w14:paraId="10E557F6">
            <w:pPr>
              <w:spacing w:after="0" w:line="240" w:lineRule="auto"/>
              <w:ind w:firstLine="0"/>
              <w:contextualSpacing/>
              <w:jc w:val="center"/>
              <w:rPr>
                <w:color w:val="000000"/>
                <w:sz w:val="20"/>
                <w:szCs w:val="20"/>
              </w:rPr>
            </w:pPr>
            <w:r>
              <w:rPr>
                <w:color w:val="000000"/>
                <w:sz w:val="20"/>
                <w:szCs w:val="20"/>
              </w:rPr>
              <w:t>сталь</w:t>
            </w:r>
          </w:p>
        </w:tc>
        <w:tc>
          <w:tcPr>
            <w:tcW w:w="714" w:type="pct"/>
            <w:gridSpan w:val="2"/>
            <w:shd w:val="clear" w:color="auto" w:fill="auto"/>
            <w:vAlign w:val="center"/>
          </w:tcPr>
          <w:p w14:paraId="6F19F5D6">
            <w:pPr>
              <w:spacing w:after="0" w:line="240" w:lineRule="auto"/>
              <w:ind w:firstLine="0"/>
              <w:contextualSpacing/>
              <w:jc w:val="center"/>
              <w:rPr>
                <w:color w:val="000000"/>
                <w:sz w:val="20"/>
                <w:szCs w:val="20"/>
              </w:rPr>
            </w:pPr>
            <w:r>
              <w:rPr>
                <w:color w:val="000000"/>
                <w:sz w:val="20"/>
                <w:szCs w:val="20"/>
              </w:rPr>
              <w:t>1980</w:t>
            </w:r>
          </w:p>
        </w:tc>
        <w:tc>
          <w:tcPr>
            <w:tcW w:w="498" w:type="pct"/>
            <w:shd w:val="clear" w:color="auto" w:fill="auto"/>
            <w:vAlign w:val="center"/>
          </w:tcPr>
          <w:p w14:paraId="7AE37091">
            <w:pPr>
              <w:spacing w:after="0" w:line="240" w:lineRule="auto"/>
              <w:ind w:firstLine="0"/>
              <w:contextualSpacing/>
              <w:jc w:val="center"/>
              <w:rPr>
                <w:color w:val="000000"/>
                <w:sz w:val="20"/>
                <w:szCs w:val="20"/>
              </w:rPr>
            </w:pPr>
            <w:r>
              <w:rPr>
                <w:color w:val="000000"/>
                <w:sz w:val="20"/>
                <w:szCs w:val="20"/>
              </w:rPr>
              <w:t>100</w:t>
            </w:r>
          </w:p>
        </w:tc>
      </w:tr>
      <w:tr w14:paraId="40E0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0A8A4B4C">
            <w:pPr>
              <w:spacing w:after="0" w:line="240" w:lineRule="auto"/>
              <w:ind w:firstLine="0"/>
              <w:contextualSpacing/>
              <w:jc w:val="center"/>
              <w:rPr>
                <w:color w:val="000000"/>
                <w:sz w:val="20"/>
                <w:szCs w:val="20"/>
              </w:rPr>
            </w:pPr>
            <w:r>
              <w:rPr>
                <w:color w:val="000000"/>
                <w:sz w:val="20"/>
                <w:szCs w:val="20"/>
              </w:rPr>
              <w:t>42</w:t>
            </w:r>
          </w:p>
        </w:tc>
        <w:tc>
          <w:tcPr>
            <w:tcW w:w="1070" w:type="pct"/>
            <w:shd w:val="clear" w:color="auto" w:fill="auto"/>
            <w:vAlign w:val="center"/>
          </w:tcPr>
          <w:p w14:paraId="7371DF21">
            <w:pPr>
              <w:spacing w:after="0" w:line="240" w:lineRule="auto"/>
              <w:ind w:firstLine="0"/>
              <w:contextualSpacing/>
              <w:jc w:val="center"/>
              <w:rPr>
                <w:color w:val="000000"/>
                <w:sz w:val="20"/>
                <w:szCs w:val="20"/>
              </w:rPr>
            </w:pPr>
            <w:r>
              <w:rPr>
                <w:color w:val="000000"/>
                <w:sz w:val="20"/>
                <w:szCs w:val="20"/>
              </w:rPr>
              <w:t>143</w:t>
            </w:r>
          </w:p>
        </w:tc>
        <w:tc>
          <w:tcPr>
            <w:tcW w:w="785" w:type="pct"/>
            <w:shd w:val="clear" w:color="auto" w:fill="auto"/>
            <w:vAlign w:val="center"/>
          </w:tcPr>
          <w:p w14:paraId="7E386621">
            <w:pPr>
              <w:spacing w:after="0" w:line="240" w:lineRule="auto"/>
              <w:ind w:firstLine="0"/>
              <w:contextualSpacing/>
              <w:jc w:val="center"/>
              <w:rPr>
                <w:color w:val="000000"/>
                <w:sz w:val="20"/>
                <w:szCs w:val="20"/>
              </w:rPr>
            </w:pPr>
            <w:r>
              <w:rPr>
                <w:color w:val="000000"/>
                <w:sz w:val="20"/>
                <w:szCs w:val="20"/>
              </w:rPr>
              <w:t>0</w:t>
            </w:r>
          </w:p>
        </w:tc>
        <w:tc>
          <w:tcPr>
            <w:tcW w:w="785" w:type="pct"/>
            <w:shd w:val="clear" w:color="auto" w:fill="auto"/>
            <w:vAlign w:val="center"/>
          </w:tcPr>
          <w:p w14:paraId="5BB63402">
            <w:pPr>
              <w:spacing w:after="0" w:line="240" w:lineRule="auto"/>
              <w:ind w:firstLine="0"/>
              <w:contextualSpacing/>
              <w:jc w:val="center"/>
              <w:rPr>
                <w:color w:val="000000"/>
                <w:sz w:val="20"/>
                <w:szCs w:val="20"/>
              </w:rPr>
            </w:pPr>
            <w:r>
              <w:rPr>
                <w:color w:val="000000"/>
                <w:sz w:val="20"/>
                <w:szCs w:val="20"/>
              </w:rPr>
              <w:t>сталь</w:t>
            </w:r>
          </w:p>
        </w:tc>
        <w:tc>
          <w:tcPr>
            <w:tcW w:w="714" w:type="pct"/>
            <w:gridSpan w:val="2"/>
            <w:shd w:val="clear" w:color="auto" w:fill="auto"/>
            <w:vAlign w:val="center"/>
          </w:tcPr>
          <w:p w14:paraId="70A68FC5">
            <w:pPr>
              <w:spacing w:after="0" w:line="240" w:lineRule="auto"/>
              <w:ind w:firstLine="0"/>
              <w:contextualSpacing/>
              <w:jc w:val="center"/>
              <w:rPr>
                <w:color w:val="000000"/>
                <w:sz w:val="20"/>
                <w:szCs w:val="20"/>
              </w:rPr>
            </w:pPr>
            <w:r>
              <w:rPr>
                <w:color w:val="000000"/>
                <w:sz w:val="20"/>
                <w:szCs w:val="20"/>
              </w:rPr>
              <w:t>1980</w:t>
            </w:r>
          </w:p>
        </w:tc>
        <w:tc>
          <w:tcPr>
            <w:tcW w:w="498" w:type="pct"/>
            <w:shd w:val="clear" w:color="auto" w:fill="auto"/>
            <w:vAlign w:val="center"/>
          </w:tcPr>
          <w:p w14:paraId="41BEEC8D">
            <w:pPr>
              <w:spacing w:after="0" w:line="240" w:lineRule="auto"/>
              <w:ind w:firstLine="0"/>
              <w:contextualSpacing/>
              <w:jc w:val="center"/>
              <w:rPr>
                <w:color w:val="000000"/>
                <w:sz w:val="20"/>
                <w:szCs w:val="20"/>
              </w:rPr>
            </w:pPr>
            <w:r>
              <w:rPr>
                <w:color w:val="000000"/>
                <w:sz w:val="20"/>
                <w:szCs w:val="20"/>
              </w:rPr>
              <w:t>100</w:t>
            </w:r>
          </w:p>
        </w:tc>
      </w:tr>
      <w:tr w14:paraId="2AF9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27B803B3">
            <w:pPr>
              <w:spacing w:after="0" w:line="240" w:lineRule="auto"/>
              <w:ind w:firstLine="0"/>
              <w:contextualSpacing/>
              <w:jc w:val="center"/>
              <w:rPr>
                <w:color w:val="000000"/>
                <w:sz w:val="20"/>
                <w:szCs w:val="20"/>
              </w:rPr>
            </w:pPr>
            <w:r>
              <w:rPr>
                <w:color w:val="000000"/>
                <w:sz w:val="20"/>
                <w:szCs w:val="20"/>
              </w:rPr>
              <w:t>57</w:t>
            </w:r>
          </w:p>
        </w:tc>
        <w:tc>
          <w:tcPr>
            <w:tcW w:w="1070" w:type="pct"/>
            <w:shd w:val="clear" w:color="auto" w:fill="auto"/>
            <w:vAlign w:val="center"/>
          </w:tcPr>
          <w:p w14:paraId="4F6AFF6A">
            <w:pPr>
              <w:spacing w:after="0" w:line="240" w:lineRule="auto"/>
              <w:ind w:firstLine="0"/>
              <w:contextualSpacing/>
              <w:jc w:val="center"/>
              <w:rPr>
                <w:color w:val="000000"/>
                <w:sz w:val="20"/>
                <w:szCs w:val="20"/>
              </w:rPr>
            </w:pPr>
            <w:r>
              <w:rPr>
                <w:color w:val="000000"/>
                <w:sz w:val="20"/>
                <w:szCs w:val="20"/>
              </w:rPr>
              <w:t>36</w:t>
            </w:r>
          </w:p>
        </w:tc>
        <w:tc>
          <w:tcPr>
            <w:tcW w:w="785" w:type="pct"/>
            <w:shd w:val="clear" w:color="auto" w:fill="auto"/>
            <w:vAlign w:val="center"/>
          </w:tcPr>
          <w:p w14:paraId="2601AEB2">
            <w:pPr>
              <w:spacing w:after="0" w:line="240" w:lineRule="auto"/>
              <w:ind w:firstLine="0"/>
              <w:contextualSpacing/>
              <w:jc w:val="center"/>
              <w:rPr>
                <w:color w:val="000000"/>
                <w:sz w:val="20"/>
                <w:szCs w:val="20"/>
              </w:rPr>
            </w:pPr>
            <w:r>
              <w:rPr>
                <w:color w:val="000000"/>
                <w:sz w:val="20"/>
                <w:szCs w:val="20"/>
              </w:rPr>
              <w:t>492</w:t>
            </w:r>
          </w:p>
        </w:tc>
        <w:tc>
          <w:tcPr>
            <w:tcW w:w="785" w:type="pct"/>
            <w:shd w:val="clear" w:color="auto" w:fill="auto"/>
            <w:vAlign w:val="center"/>
          </w:tcPr>
          <w:p w14:paraId="702817A7">
            <w:pPr>
              <w:spacing w:after="0" w:line="240" w:lineRule="auto"/>
              <w:ind w:firstLine="0"/>
              <w:contextualSpacing/>
              <w:jc w:val="center"/>
              <w:rPr>
                <w:color w:val="000000"/>
                <w:sz w:val="20"/>
                <w:szCs w:val="20"/>
              </w:rPr>
            </w:pPr>
            <w:r>
              <w:rPr>
                <w:color w:val="000000"/>
                <w:sz w:val="20"/>
                <w:szCs w:val="20"/>
              </w:rPr>
              <w:t>сталь</w:t>
            </w:r>
          </w:p>
        </w:tc>
        <w:tc>
          <w:tcPr>
            <w:tcW w:w="714" w:type="pct"/>
            <w:gridSpan w:val="2"/>
            <w:shd w:val="clear" w:color="auto" w:fill="auto"/>
            <w:vAlign w:val="center"/>
          </w:tcPr>
          <w:p w14:paraId="568C87DD">
            <w:pPr>
              <w:spacing w:after="0" w:line="240" w:lineRule="auto"/>
              <w:ind w:firstLine="0"/>
              <w:contextualSpacing/>
              <w:jc w:val="center"/>
              <w:rPr>
                <w:color w:val="000000"/>
                <w:sz w:val="20"/>
                <w:szCs w:val="20"/>
              </w:rPr>
            </w:pPr>
            <w:r>
              <w:rPr>
                <w:color w:val="000000"/>
                <w:sz w:val="20"/>
                <w:szCs w:val="20"/>
              </w:rPr>
              <w:t>1980</w:t>
            </w:r>
          </w:p>
        </w:tc>
        <w:tc>
          <w:tcPr>
            <w:tcW w:w="498" w:type="pct"/>
            <w:shd w:val="clear" w:color="auto" w:fill="auto"/>
            <w:vAlign w:val="center"/>
          </w:tcPr>
          <w:p w14:paraId="2F8893EF">
            <w:pPr>
              <w:spacing w:after="0" w:line="240" w:lineRule="auto"/>
              <w:ind w:firstLine="0"/>
              <w:contextualSpacing/>
              <w:jc w:val="center"/>
              <w:rPr>
                <w:color w:val="000000"/>
                <w:sz w:val="20"/>
                <w:szCs w:val="20"/>
              </w:rPr>
            </w:pPr>
            <w:r>
              <w:rPr>
                <w:color w:val="000000"/>
                <w:sz w:val="20"/>
                <w:szCs w:val="20"/>
              </w:rPr>
              <w:t>100</w:t>
            </w:r>
          </w:p>
        </w:tc>
      </w:tr>
      <w:tr w14:paraId="11E6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56C4EA94">
            <w:pPr>
              <w:spacing w:after="0" w:line="240" w:lineRule="auto"/>
              <w:ind w:firstLine="0"/>
              <w:contextualSpacing/>
              <w:jc w:val="center"/>
              <w:rPr>
                <w:color w:val="000000"/>
                <w:sz w:val="20"/>
                <w:szCs w:val="20"/>
              </w:rPr>
            </w:pPr>
            <w:r>
              <w:rPr>
                <w:color w:val="000000"/>
                <w:sz w:val="20"/>
                <w:szCs w:val="20"/>
              </w:rPr>
              <w:t>89</w:t>
            </w:r>
          </w:p>
        </w:tc>
        <w:tc>
          <w:tcPr>
            <w:tcW w:w="1070" w:type="pct"/>
            <w:shd w:val="clear" w:color="auto" w:fill="auto"/>
            <w:vAlign w:val="center"/>
          </w:tcPr>
          <w:p w14:paraId="452355CD">
            <w:pPr>
              <w:spacing w:after="0" w:line="240" w:lineRule="auto"/>
              <w:ind w:firstLine="0"/>
              <w:contextualSpacing/>
              <w:jc w:val="center"/>
              <w:rPr>
                <w:color w:val="000000"/>
                <w:sz w:val="20"/>
                <w:szCs w:val="20"/>
              </w:rPr>
            </w:pPr>
            <w:r>
              <w:rPr>
                <w:color w:val="000000"/>
                <w:sz w:val="20"/>
                <w:szCs w:val="20"/>
              </w:rPr>
              <w:t>89</w:t>
            </w:r>
          </w:p>
        </w:tc>
        <w:tc>
          <w:tcPr>
            <w:tcW w:w="785" w:type="pct"/>
            <w:shd w:val="clear" w:color="auto" w:fill="auto"/>
            <w:vAlign w:val="center"/>
          </w:tcPr>
          <w:p w14:paraId="40F3F271">
            <w:pPr>
              <w:spacing w:after="0" w:line="240" w:lineRule="auto"/>
              <w:ind w:firstLine="0"/>
              <w:contextualSpacing/>
              <w:jc w:val="center"/>
              <w:rPr>
                <w:color w:val="000000"/>
                <w:sz w:val="20"/>
                <w:szCs w:val="20"/>
              </w:rPr>
            </w:pPr>
            <w:r>
              <w:rPr>
                <w:color w:val="000000"/>
                <w:sz w:val="20"/>
                <w:szCs w:val="20"/>
              </w:rPr>
              <w:t>280</w:t>
            </w:r>
          </w:p>
        </w:tc>
        <w:tc>
          <w:tcPr>
            <w:tcW w:w="785" w:type="pct"/>
            <w:shd w:val="clear" w:color="auto" w:fill="auto"/>
            <w:vAlign w:val="center"/>
          </w:tcPr>
          <w:p w14:paraId="540E36AE">
            <w:pPr>
              <w:spacing w:after="0" w:line="240" w:lineRule="auto"/>
              <w:ind w:firstLine="0"/>
              <w:contextualSpacing/>
              <w:jc w:val="center"/>
              <w:rPr>
                <w:color w:val="000000"/>
                <w:sz w:val="20"/>
                <w:szCs w:val="20"/>
              </w:rPr>
            </w:pPr>
            <w:r>
              <w:rPr>
                <w:color w:val="000000"/>
                <w:sz w:val="20"/>
                <w:szCs w:val="20"/>
              </w:rPr>
              <w:t>сталь</w:t>
            </w:r>
          </w:p>
        </w:tc>
        <w:tc>
          <w:tcPr>
            <w:tcW w:w="714" w:type="pct"/>
            <w:gridSpan w:val="2"/>
            <w:shd w:val="clear" w:color="auto" w:fill="auto"/>
            <w:vAlign w:val="center"/>
          </w:tcPr>
          <w:p w14:paraId="6DDF79FC">
            <w:pPr>
              <w:spacing w:after="0" w:line="240" w:lineRule="auto"/>
              <w:ind w:firstLine="0"/>
              <w:contextualSpacing/>
              <w:jc w:val="center"/>
              <w:rPr>
                <w:color w:val="000000"/>
                <w:sz w:val="20"/>
                <w:szCs w:val="20"/>
              </w:rPr>
            </w:pPr>
            <w:r>
              <w:rPr>
                <w:color w:val="000000"/>
                <w:sz w:val="20"/>
                <w:szCs w:val="20"/>
              </w:rPr>
              <w:t>1980</w:t>
            </w:r>
          </w:p>
        </w:tc>
        <w:tc>
          <w:tcPr>
            <w:tcW w:w="498" w:type="pct"/>
            <w:shd w:val="clear" w:color="auto" w:fill="auto"/>
            <w:vAlign w:val="center"/>
          </w:tcPr>
          <w:p w14:paraId="346391AD">
            <w:pPr>
              <w:spacing w:after="0" w:line="240" w:lineRule="auto"/>
              <w:ind w:firstLine="0"/>
              <w:contextualSpacing/>
              <w:jc w:val="center"/>
              <w:rPr>
                <w:color w:val="000000"/>
                <w:sz w:val="20"/>
                <w:szCs w:val="20"/>
              </w:rPr>
            </w:pPr>
            <w:r>
              <w:rPr>
                <w:color w:val="000000"/>
                <w:sz w:val="20"/>
                <w:szCs w:val="20"/>
              </w:rPr>
              <w:t>100</w:t>
            </w:r>
          </w:p>
        </w:tc>
      </w:tr>
      <w:tr w14:paraId="0B9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04D86D28">
            <w:pPr>
              <w:spacing w:after="0" w:line="240" w:lineRule="auto"/>
              <w:ind w:firstLine="0"/>
              <w:contextualSpacing/>
              <w:jc w:val="center"/>
              <w:rPr>
                <w:color w:val="000000"/>
                <w:sz w:val="20"/>
                <w:szCs w:val="20"/>
              </w:rPr>
            </w:pPr>
            <w:r>
              <w:rPr>
                <w:color w:val="000000"/>
                <w:sz w:val="20"/>
                <w:szCs w:val="20"/>
              </w:rPr>
              <w:t>133</w:t>
            </w:r>
          </w:p>
        </w:tc>
        <w:tc>
          <w:tcPr>
            <w:tcW w:w="1070" w:type="pct"/>
            <w:shd w:val="clear" w:color="auto" w:fill="auto"/>
            <w:vAlign w:val="center"/>
          </w:tcPr>
          <w:p w14:paraId="78D863CC">
            <w:pPr>
              <w:spacing w:after="0" w:line="240" w:lineRule="auto"/>
              <w:ind w:firstLine="0"/>
              <w:contextualSpacing/>
              <w:jc w:val="center"/>
              <w:rPr>
                <w:color w:val="000000"/>
                <w:sz w:val="20"/>
                <w:szCs w:val="20"/>
              </w:rPr>
            </w:pPr>
            <w:r>
              <w:rPr>
                <w:color w:val="000000"/>
                <w:sz w:val="20"/>
                <w:szCs w:val="20"/>
              </w:rPr>
              <w:t>0</w:t>
            </w:r>
          </w:p>
        </w:tc>
        <w:tc>
          <w:tcPr>
            <w:tcW w:w="785" w:type="pct"/>
            <w:shd w:val="clear" w:color="auto" w:fill="auto"/>
            <w:vAlign w:val="center"/>
          </w:tcPr>
          <w:p w14:paraId="28E72044">
            <w:pPr>
              <w:spacing w:after="0" w:line="240" w:lineRule="auto"/>
              <w:ind w:firstLine="0"/>
              <w:contextualSpacing/>
              <w:jc w:val="center"/>
              <w:rPr>
                <w:color w:val="000000"/>
                <w:sz w:val="20"/>
                <w:szCs w:val="20"/>
              </w:rPr>
            </w:pPr>
            <w:r>
              <w:rPr>
                <w:color w:val="000000"/>
                <w:sz w:val="20"/>
                <w:szCs w:val="20"/>
              </w:rPr>
              <w:t>85</w:t>
            </w:r>
          </w:p>
        </w:tc>
        <w:tc>
          <w:tcPr>
            <w:tcW w:w="785" w:type="pct"/>
            <w:shd w:val="clear" w:color="auto" w:fill="auto"/>
            <w:vAlign w:val="center"/>
          </w:tcPr>
          <w:p w14:paraId="718AF144">
            <w:pPr>
              <w:spacing w:after="0" w:line="240" w:lineRule="auto"/>
              <w:ind w:firstLine="0"/>
              <w:contextualSpacing/>
              <w:jc w:val="center"/>
              <w:rPr>
                <w:color w:val="000000"/>
                <w:sz w:val="20"/>
                <w:szCs w:val="20"/>
              </w:rPr>
            </w:pPr>
            <w:r>
              <w:rPr>
                <w:color w:val="000000"/>
                <w:sz w:val="20"/>
                <w:szCs w:val="20"/>
              </w:rPr>
              <w:t>сталь</w:t>
            </w:r>
          </w:p>
        </w:tc>
        <w:tc>
          <w:tcPr>
            <w:tcW w:w="714" w:type="pct"/>
            <w:gridSpan w:val="2"/>
            <w:shd w:val="clear" w:color="auto" w:fill="auto"/>
            <w:vAlign w:val="center"/>
          </w:tcPr>
          <w:p w14:paraId="0315C5B3">
            <w:pPr>
              <w:spacing w:after="0" w:line="240" w:lineRule="auto"/>
              <w:ind w:firstLine="0"/>
              <w:contextualSpacing/>
              <w:jc w:val="center"/>
              <w:rPr>
                <w:color w:val="000000"/>
                <w:sz w:val="20"/>
                <w:szCs w:val="20"/>
              </w:rPr>
            </w:pPr>
            <w:r>
              <w:rPr>
                <w:color w:val="000000"/>
                <w:sz w:val="20"/>
                <w:szCs w:val="20"/>
              </w:rPr>
              <w:t>1980</w:t>
            </w:r>
          </w:p>
        </w:tc>
        <w:tc>
          <w:tcPr>
            <w:tcW w:w="498" w:type="pct"/>
            <w:shd w:val="clear" w:color="auto" w:fill="auto"/>
            <w:vAlign w:val="center"/>
          </w:tcPr>
          <w:p w14:paraId="33D19801">
            <w:pPr>
              <w:spacing w:after="0" w:line="240" w:lineRule="auto"/>
              <w:ind w:firstLine="0"/>
              <w:contextualSpacing/>
              <w:jc w:val="center"/>
              <w:rPr>
                <w:color w:val="000000"/>
                <w:sz w:val="20"/>
                <w:szCs w:val="20"/>
              </w:rPr>
            </w:pPr>
            <w:r>
              <w:rPr>
                <w:color w:val="000000"/>
                <w:sz w:val="20"/>
                <w:szCs w:val="20"/>
              </w:rPr>
              <w:t>100</w:t>
            </w:r>
          </w:p>
        </w:tc>
      </w:tr>
      <w:tr w14:paraId="29B9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1D6BB4F4">
            <w:pPr>
              <w:spacing w:after="0" w:line="240" w:lineRule="auto"/>
              <w:ind w:firstLine="0"/>
              <w:contextualSpacing/>
              <w:jc w:val="center"/>
              <w:rPr>
                <w:b/>
                <w:bCs/>
                <w:color w:val="000000"/>
                <w:sz w:val="20"/>
                <w:szCs w:val="20"/>
              </w:rPr>
            </w:pPr>
            <w:r>
              <w:rPr>
                <w:b/>
                <w:bCs/>
                <w:color w:val="000000"/>
                <w:sz w:val="20"/>
                <w:szCs w:val="20"/>
              </w:rPr>
              <w:t>итого</w:t>
            </w:r>
          </w:p>
        </w:tc>
        <w:tc>
          <w:tcPr>
            <w:tcW w:w="1070" w:type="pct"/>
            <w:shd w:val="clear" w:color="auto" w:fill="auto"/>
            <w:vAlign w:val="center"/>
          </w:tcPr>
          <w:p w14:paraId="4E8E6734">
            <w:pPr>
              <w:spacing w:after="0" w:line="240" w:lineRule="auto"/>
              <w:ind w:firstLine="0"/>
              <w:contextualSpacing/>
              <w:jc w:val="center"/>
              <w:rPr>
                <w:b/>
                <w:bCs/>
                <w:color w:val="000000"/>
                <w:sz w:val="20"/>
                <w:szCs w:val="20"/>
              </w:rPr>
            </w:pPr>
            <w:r>
              <w:rPr>
                <w:b/>
                <w:bCs/>
                <w:color w:val="000000"/>
                <w:sz w:val="20"/>
                <w:szCs w:val="20"/>
              </w:rPr>
              <w:t>268</w:t>
            </w:r>
          </w:p>
        </w:tc>
        <w:tc>
          <w:tcPr>
            <w:tcW w:w="785" w:type="pct"/>
            <w:shd w:val="clear" w:color="auto" w:fill="auto"/>
            <w:vAlign w:val="center"/>
          </w:tcPr>
          <w:p w14:paraId="65E4859A">
            <w:pPr>
              <w:spacing w:after="0" w:line="240" w:lineRule="auto"/>
              <w:ind w:firstLine="0"/>
              <w:contextualSpacing/>
              <w:jc w:val="center"/>
              <w:rPr>
                <w:b/>
                <w:bCs/>
                <w:color w:val="000000"/>
                <w:sz w:val="20"/>
                <w:szCs w:val="20"/>
              </w:rPr>
            </w:pPr>
            <w:r>
              <w:rPr>
                <w:b/>
                <w:bCs/>
                <w:color w:val="000000"/>
                <w:sz w:val="20"/>
                <w:szCs w:val="20"/>
              </w:rPr>
              <w:t>872</w:t>
            </w:r>
          </w:p>
        </w:tc>
        <w:tc>
          <w:tcPr>
            <w:tcW w:w="785" w:type="pct"/>
            <w:shd w:val="clear" w:color="auto" w:fill="auto"/>
            <w:vAlign w:val="center"/>
          </w:tcPr>
          <w:p w14:paraId="1EBA80DA">
            <w:pPr>
              <w:spacing w:after="0" w:line="240" w:lineRule="auto"/>
              <w:ind w:firstLine="0"/>
              <w:contextualSpacing/>
              <w:jc w:val="center"/>
              <w:rPr>
                <w:color w:val="000000"/>
                <w:sz w:val="20"/>
                <w:szCs w:val="20"/>
              </w:rPr>
            </w:pPr>
          </w:p>
        </w:tc>
        <w:tc>
          <w:tcPr>
            <w:tcW w:w="714" w:type="pct"/>
            <w:gridSpan w:val="2"/>
            <w:shd w:val="clear" w:color="auto" w:fill="auto"/>
            <w:vAlign w:val="center"/>
          </w:tcPr>
          <w:p w14:paraId="00EE29C8">
            <w:pPr>
              <w:spacing w:after="0" w:line="240" w:lineRule="auto"/>
              <w:ind w:firstLine="0"/>
              <w:contextualSpacing/>
              <w:jc w:val="center"/>
              <w:rPr>
                <w:color w:val="000000"/>
                <w:sz w:val="20"/>
                <w:szCs w:val="20"/>
              </w:rPr>
            </w:pPr>
          </w:p>
        </w:tc>
        <w:tc>
          <w:tcPr>
            <w:tcW w:w="498" w:type="pct"/>
            <w:shd w:val="clear" w:color="auto" w:fill="auto"/>
            <w:vAlign w:val="center"/>
          </w:tcPr>
          <w:p w14:paraId="44B4ABB1">
            <w:pPr>
              <w:spacing w:after="0" w:line="240" w:lineRule="auto"/>
              <w:ind w:firstLine="0"/>
              <w:contextualSpacing/>
              <w:jc w:val="center"/>
              <w:rPr>
                <w:color w:val="000000"/>
                <w:sz w:val="20"/>
                <w:szCs w:val="20"/>
              </w:rPr>
            </w:pPr>
            <w:r>
              <w:rPr>
                <w:color w:val="000000"/>
                <w:sz w:val="20"/>
                <w:szCs w:val="20"/>
              </w:rPr>
              <w:t>100</w:t>
            </w:r>
          </w:p>
        </w:tc>
      </w:tr>
      <w:tr w14:paraId="7806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48" w:type="pct"/>
            <w:shd w:val="clear" w:color="auto" w:fill="auto"/>
            <w:vAlign w:val="center"/>
          </w:tcPr>
          <w:p w14:paraId="350C6D4E">
            <w:pPr>
              <w:spacing w:after="0" w:line="240" w:lineRule="auto"/>
              <w:ind w:firstLine="0"/>
              <w:contextualSpacing/>
              <w:jc w:val="center"/>
              <w:rPr>
                <w:b/>
                <w:bCs/>
                <w:color w:val="000000"/>
                <w:sz w:val="20"/>
                <w:szCs w:val="20"/>
              </w:rPr>
            </w:pPr>
            <w:r>
              <w:rPr>
                <w:b/>
                <w:bCs/>
                <w:color w:val="000000"/>
                <w:sz w:val="20"/>
                <w:szCs w:val="20"/>
              </w:rPr>
              <w:t>Итого протяженность сетей ТВС:</w:t>
            </w:r>
          </w:p>
        </w:tc>
        <w:tc>
          <w:tcPr>
            <w:tcW w:w="1855" w:type="pct"/>
            <w:gridSpan w:val="2"/>
            <w:shd w:val="clear" w:color="auto" w:fill="auto"/>
            <w:vAlign w:val="center"/>
          </w:tcPr>
          <w:p w14:paraId="06656A6A">
            <w:pPr>
              <w:spacing w:after="0" w:line="240" w:lineRule="auto"/>
              <w:ind w:firstLine="0"/>
              <w:contextualSpacing/>
              <w:jc w:val="center"/>
              <w:rPr>
                <w:b/>
                <w:bCs/>
                <w:color w:val="000000"/>
                <w:sz w:val="20"/>
                <w:szCs w:val="20"/>
              </w:rPr>
            </w:pPr>
            <w:r>
              <w:rPr>
                <w:b/>
                <w:bCs/>
                <w:color w:val="000000"/>
                <w:sz w:val="20"/>
                <w:szCs w:val="20"/>
              </w:rPr>
              <w:t>1140</w:t>
            </w:r>
          </w:p>
        </w:tc>
        <w:tc>
          <w:tcPr>
            <w:tcW w:w="1997" w:type="pct"/>
            <w:gridSpan w:val="4"/>
            <w:shd w:val="clear" w:color="auto" w:fill="auto"/>
            <w:vAlign w:val="center"/>
          </w:tcPr>
          <w:p w14:paraId="7D246FF6">
            <w:pPr>
              <w:spacing w:after="0" w:line="240" w:lineRule="auto"/>
              <w:ind w:firstLine="0"/>
              <w:contextualSpacing/>
              <w:jc w:val="center"/>
              <w:rPr>
                <w:color w:val="000000"/>
                <w:sz w:val="20"/>
                <w:szCs w:val="20"/>
              </w:rPr>
            </w:pPr>
          </w:p>
        </w:tc>
      </w:tr>
    </w:tbl>
    <w:p w14:paraId="35012379">
      <w:pPr>
        <w:spacing w:after="0" w:line="240" w:lineRule="auto"/>
        <w:contextualSpacing/>
        <w:jc w:val="both"/>
        <w:rPr>
          <w:sz w:val="24"/>
          <w:szCs w:val="24"/>
        </w:rPr>
      </w:pPr>
    </w:p>
    <w:p w14:paraId="51FAF020">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18</w:t>
      </w:r>
      <w:r>
        <w:rPr>
          <w:bCs/>
          <w:sz w:val="24"/>
          <w:szCs w:val="24"/>
        </w:rPr>
        <w:fldChar w:fldCharType="end"/>
      </w:r>
      <w:r>
        <w:rPr>
          <w:bCs/>
          <w:sz w:val="24"/>
          <w:szCs w:val="24"/>
        </w:rPr>
        <w:t xml:space="preserve"> – </w:t>
      </w:r>
      <w:r>
        <w:rPr>
          <w:sz w:val="24"/>
          <w:szCs w:val="24"/>
        </w:rPr>
        <w:t>Материальная характеристика тепловых сетей МУП «БКС»</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2834"/>
        <w:gridCol w:w="1807"/>
        <w:gridCol w:w="2921"/>
      </w:tblGrid>
      <w:tr w14:paraId="1112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blHeader/>
        </w:trPr>
        <w:tc>
          <w:tcPr>
            <w:tcW w:w="1163" w:type="pct"/>
            <w:vMerge w:val="restart"/>
            <w:shd w:val="clear" w:color="auto" w:fill="auto"/>
            <w:vAlign w:val="center"/>
          </w:tcPr>
          <w:p w14:paraId="23B18CCE">
            <w:pPr>
              <w:spacing w:after="0" w:line="240" w:lineRule="auto"/>
              <w:ind w:firstLine="0"/>
              <w:contextualSpacing/>
              <w:jc w:val="center"/>
              <w:rPr>
                <w:color w:val="000000"/>
                <w:sz w:val="20"/>
                <w:szCs w:val="20"/>
              </w:rPr>
            </w:pPr>
            <w:r>
              <w:rPr>
                <w:color w:val="000000"/>
                <w:sz w:val="20"/>
                <w:szCs w:val="20"/>
              </w:rPr>
              <w:t>Диаметр трубопровода, мм</w:t>
            </w:r>
          </w:p>
        </w:tc>
        <w:tc>
          <w:tcPr>
            <w:tcW w:w="2355" w:type="pct"/>
            <w:gridSpan w:val="2"/>
            <w:shd w:val="clear" w:color="auto" w:fill="auto"/>
            <w:vAlign w:val="center"/>
          </w:tcPr>
          <w:p w14:paraId="2054DAE8">
            <w:pPr>
              <w:spacing w:after="0" w:line="240" w:lineRule="auto"/>
              <w:ind w:firstLine="0"/>
              <w:contextualSpacing/>
              <w:jc w:val="center"/>
              <w:rPr>
                <w:color w:val="000000"/>
                <w:sz w:val="20"/>
                <w:szCs w:val="20"/>
              </w:rPr>
            </w:pPr>
            <w:r>
              <w:rPr>
                <w:color w:val="000000"/>
                <w:sz w:val="20"/>
                <w:szCs w:val="20"/>
              </w:rPr>
              <w:t>Длина трубопровода, м</w:t>
            </w:r>
          </w:p>
        </w:tc>
        <w:tc>
          <w:tcPr>
            <w:tcW w:w="1482" w:type="pct"/>
            <w:vMerge w:val="restart"/>
            <w:vAlign w:val="center"/>
          </w:tcPr>
          <w:p w14:paraId="61BE9AF9">
            <w:pPr>
              <w:spacing w:after="0" w:line="240" w:lineRule="auto"/>
              <w:ind w:firstLine="0"/>
              <w:contextualSpacing/>
              <w:jc w:val="center"/>
              <w:rPr>
                <w:color w:val="000000"/>
                <w:sz w:val="20"/>
                <w:szCs w:val="20"/>
              </w:rPr>
            </w:pPr>
            <w:r>
              <w:rPr>
                <w:color w:val="000000"/>
                <w:sz w:val="20"/>
              </w:rPr>
              <w:t>Материальная характеристика сети, м</w:t>
            </w:r>
            <w:r>
              <w:rPr>
                <w:color w:val="000000"/>
                <w:sz w:val="20"/>
                <w:vertAlign w:val="superscript"/>
              </w:rPr>
              <w:t>2</w:t>
            </w:r>
          </w:p>
        </w:tc>
      </w:tr>
      <w:tr w14:paraId="2890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blHeader/>
        </w:trPr>
        <w:tc>
          <w:tcPr>
            <w:tcW w:w="1163" w:type="pct"/>
            <w:vMerge w:val="continue"/>
            <w:vAlign w:val="center"/>
          </w:tcPr>
          <w:p w14:paraId="2B77B808">
            <w:pPr>
              <w:spacing w:after="0" w:line="240" w:lineRule="auto"/>
              <w:ind w:firstLine="0"/>
              <w:contextualSpacing/>
              <w:jc w:val="center"/>
              <w:rPr>
                <w:color w:val="000000"/>
                <w:sz w:val="20"/>
                <w:szCs w:val="20"/>
              </w:rPr>
            </w:pPr>
          </w:p>
        </w:tc>
        <w:tc>
          <w:tcPr>
            <w:tcW w:w="1438" w:type="pct"/>
            <w:shd w:val="clear" w:color="auto" w:fill="auto"/>
            <w:vAlign w:val="center"/>
          </w:tcPr>
          <w:p w14:paraId="52498C1F">
            <w:pPr>
              <w:spacing w:after="0" w:line="240" w:lineRule="auto"/>
              <w:ind w:firstLine="0"/>
              <w:contextualSpacing/>
              <w:jc w:val="center"/>
              <w:rPr>
                <w:color w:val="000000"/>
                <w:sz w:val="20"/>
                <w:szCs w:val="20"/>
              </w:rPr>
            </w:pPr>
            <w:r>
              <w:rPr>
                <w:color w:val="000000"/>
                <w:sz w:val="20"/>
                <w:szCs w:val="20"/>
              </w:rPr>
              <w:t>Бесканальная в траншее</w:t>
            </w:r>
          </w:p>
        </w:tc>
        <w:tc>
          <w:tcPr>
            <w:tcW w:w="917" w:type="pct"/>
            <w:shd w:val="clear" w:color="auto" w:fill="auto"/>
            <w:vAlign w:val="center"/>
          </w:tcPr>
          <w:p w14:paraId="634D0779">
            <w:pPr>
              <w:spacing w:after="0" w:line="240" w:lineRule="auto"/>
              <w:ind w:firstLine="0"/>
              <w:contextualSpacing/>
              <w:jc w:val="center"/>
              <w:rPr>
                <w:color w:val="000000"/>
                <w:sz w:val="20"/>
                <w:szCs w:val="20"/>
              </w:rPr>
            </w:pPr>
            <w:r>
              <w:rPr>
                <w:color w:val="000000"/>
                <w:sz w:val="20"/>
                <w:szCs w:val="20"/>
              </w:rPr>
              <w:t>По эстакаде</w:t>
            </w:r>
          </w:p>
        </w:tc>
        <w:tc>
          <w:tcPr>
            <w:tcW w:w="1482" w:type="pct"/>
            <w:vMerge w:val="continue"/>
          </w:tcPr>
          <w:p w14:paraId="40AA66F8">
            <w:pPr>
              <w:spacing w:after="0" w:line="240" w:lineRule="auto"/>
              <w:ind w:firstLine="0"/>
              <w:contextualSpacing/>
              <w:jc w:val="center"/>
              <w:rPr>
                <w:color w:val="000000"/>
                <w:sz w:val="18"/>
                <w:szCs w:val="20"/>
              </w:rPr>
            </w:pPr>
          </w:p>
        </w:tc>
      </w:tr>
      <w:tr w14:paraId="724F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0C71B52E">
            <w:pPr>
              <w:spacing w:after="0" w:line="240" w:lineRule="auto"/>
              <w:ind w:firstLine="0"/>
              <w:contextualSpacing/>
              <w:jc w:val="center"/>
              <w:rPr>
                <w:color w:val="000000"/>
                <w:sz w:val="20"/>
                <w:szCs w:val="20"/>
              </w:rPr>
            </w:pPr>
            <w:r>
              <w:rPr>
                <w:color w:val="000000"/>
                <w:sz w:val="20"/>
                <w:szCs w:val="20"/>
              </w:rPr>
              <w:t>25</w:t>
            </w:r>
          </w:p>
        </w:tc>
        <w:tc>
          <w:tcPr>
            <w:tcW w:w="1438" w:type="pct"/>
            <w:shd w:val="clear" w:color="auto" w:fill="auto"/>
            <w:vAlign w:val="center"/>
          </w:tcPr>
          <w:p w14:paraId="1666262F">
            <w:pPr>
              <w:spacing w:after="0" w:line="240" w:lineRule="auto"/>
              <w:ind w:firstLine="0"/>
              <w:contextualSpacing/>
              <w:jc w:val="center"/>
              <w:rPr>
                <w:color w:val="000000"/>
                <w:sz w:val="20"/>
                <w:szCs w:val="20"/>
              </w:rPr>
            </w:pPr>
            <w:r>
              <w:rPr>
                <w:color w:val="000000"/>
                <w:sz w:val="20"/>
                <w:szCs w:val="20"/>
              </w:rPr>
              <w:t>0</w:t>
            </w:r>
          </w:p>
        </w:tc>
        <w:tc>
          <w:tcPr>
            <w:tcW w:w="917" w:type="pct"/>
            <w:shd w:val="clear" w:color="auto" w:fill="auto"/>
            <w:vAlign w:val="center"/>
          </w:tcPr>
          <w:p w14:paraId="09CE25C1">
            <w:pPr>
              <w:spacing w:after="0" w:line="240" w:lineRule="auto"/>
              <w:ind w:firstLine="0"/>
              <w:contextualSpacing/>
              <w:jc w:val="center"/>
              <w:rPr>
                <w:color w:val="000000"/>
                <w:sz w:val="20"/>
                <w:szCs w:val="20"/>
              </w:rPr>
            </w:pPr>
            <w:r>
              <w:rPr>
                <w:color w:val="000000"/>
                <w:sz w:val="20"/>
                <w:szCs w:val="20"/>
              </w:rPr>
              <w:t>15</w:t>
            </w:r>
          </w:p>
        </w:tc>
        <w:tc>
          <w:tcPr>
            <w:tcW w:w="1482" w:type="pct"/>
            <w:vAlign w:val="bottom"/>
          </w:tcPr>
          <w:p w14:paraId="68F798ED">
            <w:pPr>
              <w:spacing w:after="0" w:line="240" w:lineRule="auto"/>
              <w:ind w:firstLine="0"/>
              <w:contextualSpacing/>
              <w:jc w:val="center"/>
              <w:rPr>
                <w:color w:val="000000"/>
                <w:sz w:val="20"/>
                <w:szCs w:val="20"/>
              </w:rPr>
            </w:pPr>
            <w:r>
              <w:rPr>
                <w:color w:val="000000"/>
                <w:sz w:val="20"/>
              </w:rPr>
              <w:t>0,375</w:t>
            </w:r>
          </w:p>
        </w:tc>
      </w:tr>
      <w:tr w14:paraId="7198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774C0859">
            <w:pPr>
              <w:spacing w:after="0" w:line="240" w:lineRule="auto"/>
              <w:ind w:firstLine="0"/>
              <w:contextualSpacing/>
              <w:jc w:val="center"/>
              <w:rPr>
                <w:color w:val="000000"/>
                <w:sz w:val="20"/>
                <w:szCs w:val="20"/>
              </w:rPr>
            </w:pPr>
            <w:r>
              <w:rPr>
                <w:color w:val="000000"/>
                <w:sz w:val="20"/>
                <w:szCs w:val="20"/>
              </w:rPr>
              <w:t>26</w:t>
            </w:r>
          </w:p>
        </w:tc>
        <w:tc>
          <w:tcPr>
            <w:tcW w:w="1438" w:type="pct"/>
            <w:shd w:val="clear" w:color="auto" w:fill="auto"/>
            <w:vAlign w:val="center"/>
          </w:tcPr>
          <w:p w14:paraId="14DC7E58">
            <w:pPr>
              <w:spacing w:after="0" w:line="240" w:lineRule="auto"/>
              <w:ind w:firstLine="0"/>
              <w:contextualSpacing/>
              <w:jc w:val="center"/>
              <w:rPr>
                <w:color w:val="000000"/>
                <w:sz w:val="20"/>
                <w:szCs w:val="20"/>
              </w:rPr>
            </w:pPr>
            <w:r>
              <w:rPr>
                <w:color w:val="000000"/>
                <w:sz w:val="20"/>
                <w:szCs w:val="20"/>
              </w:rPr>
              <w:t>75</w:t>
            </w:r>
          </w:p>
        </w:tc>
        <w:tc>
          <w:tcPr>
            <w:tcW w:w="917" w:type="pct"/>
            <w:shd w:val="clear" w:color="auto" w:fill="auto"/>
            <w:vAlign w:val="center"/>
          </w:tcPr>
          <w:p w14:paraId="2CBE2375">
            <w:pPr>
              <w:spacing w:after="0" w:line="240" w:lineRule="auto"/>
              <w:ind w:firstLine="0"/>
              <w:contextualSpacing/>
              <w:jc w:val="center"/>
              <w:rPr>
                <w:color w:val="000000"/>
                <w:sz w:val="20"/>
                <w:szCs w:val="20"/>
              </w:rPr>
            </w:pPr>
            <w:r>
              <w:rPr>
                <w:color w:val="000000"/>
                <w:sz w:val="20"/>
                <w:szCs w:val="20"/>
              </w:rPr>
              <w:t>0</w:t>
            </w:r>
          </w:p>
        </w:tc>
        <w:tc>
          <w:tcPr>
            <w:tcW w:w="1482" w:type="pct"/>
            <w:vAlign w:val="bottom"/>
          </w:tcPr>
          <w:p w14:paraId="3293F8BB">
            <w:pPr>
              <w:spacing w:after="0" w:line="240" w:lineRule="auto"/>
              <w:ind w:firstLine="0"/>
              <w:contextualSpacing/>
              <w:jc w:val="center"/>
              <w:rPr>
                <w:color w:val="000000"/>
                <w:sz w:val="20"/>
                <w:szCs w:val="20"/>
              </w:rPr>
            </w:pPr>
            <w:r>
              <w:rPr>
                <w:color w:val="000000"/>
                <w:sz w:val="20"/>
              </w:rPr>
              <w:t>1,950</w:t>
            </w:r>
          </w:p>
        </w:tc>
      </w:tr>
      <w:tr w14:paraId="020E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7EC3D3E6">
            <w:pPr>
              <w:spacing w:after="0" w:line="240" w:lineRule="auto"/>
              <w:ind w:firstLine="0"/>
              <w:contextualSpacing/>
              <w:jc w:val="center"/>
              <w:rPr>
                <w:color w:val="000000"/>
                <w:sz w:val="20"/>
                <w:szCs w:val="20"/>
              </w:rPr>
            </w:pPr>
            <w:r>
              <w:rPr>
                <w:color w:val="000000"/>
                <w:sz w:val="20"/>
                <w:szCs w:val="20"/>
              </w:rPr>
              <w:t>32</w:t>
            </w:r>
          </w:p>
        </w:tc>
        <w:tc>
          <w:tcPr>
            <w:tcW w:w="1438" w:type="pct"/>
            <w:shd w:val="clear" w:color="auto" w:fill="auto"/>
            <w:vAlign w:val="center"/>
          </w:tcPr>
          <w:p w14:paraId="58384582">
            <w:pPr>
              <w:spacing w:after="0" w:line="240" w:lineRule="auto"/>
              <w:ind w:firstLine="0"/>
              <w:contextualSpacing/>
              <w:jc w:val="center"/>
              <w:rPr>
                <w:color w:val="000000"/>
                <w:sz w:val="20"/>
                <w:szCs w:val="20"/>
              </w:rPr>
            </w:pPr>
            <w:r>
              <w:rPr>
                <w:color w:val="000000"/>
                <w:sz w:val="20"/>
                <w:szCs w:val="20"/>
              </w:rPr>
              <w:t>0</w:t>
            </w:r>
          </w:p>
        </w:tc>
        <w:tc>
          <w:tcPr>
            <w:tcW w:w="917" w:type="pct"/>
            <w:shd w:val="clear" w:color="auto" w:fill="auto"/>
            <w:vAlign w:val="center"/>
          </w:tcPr>
          <w:p w14:paraId="09F6E89C">
            <w:pPr>
              <w:spacing w:after="0" w:line="240" w:lineRule="auto"/>
              <w:ind w:firstLine="0"/>
              <w:contextualSpacing/>
              <w:jc w:val="center"/>
              <w:rPr>
                <w:color w:val="000000"/>
                <w:sz w:val="20"/>
                <w:szCs w:val="20"/>
              </w:rPr>
            </w:pPr>
            <w:r>
              <w:rPr>
                <w:color w:val="000000"/>
                <w:sz w:val="20"/>
                <w:szCs w:val="20"/>
              </w:rPr>
              <w:t>30</w:t>
            </w:r>
          </w:p>
        </w:tc>
        <w:tc>
          <w:tcPr>
            <w:tcW w:w="1482" w:type="pct"/>
            <w:vAlign w:val="bottom"/>
          </w:tcPr>
          <w:p w14:paraId="0EFF89CC">
            <w:pPr>
              <w:spacing w:after="0" w:line="240" w:lineRule="auto"/>
              <w:ind w:firstLine="0"/>
              <w:contextualSpacing/>
              <w:jc w:val="center"/>
              <w:rPr>
                <w:color w:val="000000"/>
                <w:sz w:val="20"/>
                <w:szCs w:val="20"/>
              </w:rPr>
            </w:pPr>
            <w:r>
              <w:rPr>
                <w:color w:val="000000"/>
                <w:sz w:val="20"/>
              </w:rPr>
              <w:t>0,960</w:t>
            </w:r>
          </w:p>
        </w:tc>
      </w:tr>
      <w:tr w14:paraId="1EAE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243E92CD">
            <w:pPr>
              <w:spacing w:after="0" w:line="240" w:lineRule="auto"/>
              <w:ind w:firstLine="0"/>
              <w:contextualSpacing/>
              <w:jc w:val="center"/>
              <w:rPr>
                <w:color w:val="000000"/>
                <w:sz w:val="20"/>
                <w:szCs w:val="20"/>
              </w:rPr>
            </w:pPr>
            <w:r>
              <w:rPr>
                <w:color w:val="000000"/>
                <w:sz w:val="20"/>
                <w:szCs w:val="20"/>
              </w:rPr>
              <w:t>42</w:t>
            </w:r>
          </w:p>
        </w:tc>
        <w:tc>
          <w:tcPr>
            <w:tcW w:w="1438" w:type="pct"/>
            <w:shd w:val="clear" w:color="auto" w:fill="auto"/>
            <w:vAlign w:val="center"/>
          </w:tcPr>
          <w:p w14:paraId="4F3DC8F2">
            <w:pPr>
              <w:spacing w:after="0" w:line="240" w:lineRule="auto"/>
              <w:ind w:firstLine="0"/>
              <w:contextualSpacing/>
              <w:jc w:val="center"/>
              <w:rPr>
                <w:color w:val="000000"/>
                <w:sz w:val="20"/>
                <w:szCs w:val="20"/>
              </w:rPr>
            </w:pPr>
            <w:r>
              <w:rPr>
                <w:color w:val="000000"/>
                <w:sz w:val="20"/>
                <w:szCs w:val="20"/>
              </w:rPr>
              <w:t>143</w:t>
            </w:r>
          </w:p>
        </w:tc>
        <w:tc>
          <w:tcPr>
            <w:tcW w:w="917" w:type="pct"/>
            <w:shd w:val="clear" w:color="auto" w:fill="auto"/>
            <w:vAlign w:val="center"/>
          </w:tcPr>
          <w:p w14:paraId="743702C3">
            <w:pPr>
              <w:spacing w:after="0" w:line="240" w:lineRule="auto"/>
              <w:ind w:firstLine="0"/>
              <w:contextualSpacing/>
              <w:jc w:val="center"/>
              <w:rPr>
                <w:color w:val="000000"/>
                <w:sz w:val="20"/>
                <w:szCs w:val="20"/>
              </w:rPr>
            </w:pPr>
            <w:r>
              <w:rPr>
                <w:color w:val="000000"/>
                <w:sz w:val="20"/>
                <w:szCs w:val="20"/>
              </w:rPr>
              <w:t>0</w:t>
            </w:r>
          </w:p>
        </w:tc>
        <w:tc>
          <w:tcPr>
            <w:tcW w:w="1482" w:type="pct"/>
            <w:vAlign w:val="bottom"/>
          </w:tcPr>
          <w:p w14:paraId="06128342">
            <w:pPr>
              <w:spacing w:after="0" w:line="240" w:lineRule="auto"/>
              <w:ind w:firstLine="0"/>
              <w:contextualSpacing/>
              <w:jc w:val="center"/>
              <w:rPr>
                <w:color w:val="000000"/>
                <w:sz w:val="20"/>
                <w:szCs w:val="20"/>
              </w:rPr>
            </w:pPr>
            <w:r>
              <w:rPr>
                <w:color w:val="000000"/>
                <w:sz w:val="20"/>
              </w:rPr>
              <w:t>6,006</w:t>
            </w:r>
          </w:p>
        </w:tc>
      </w:tr>
      <w:tr w14:paraId="2C5A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27AB81BD">
            <w:pPr>
              <w:spacing w:after="0" w:line="240" w:lineRule="auto"/>
              <w:ind w:firstLine="0"/>
              <w:contextualSpacing/>
              <w:jc w:val="center"/>
              <w:rPr>
                <w:color w:val="000000"/>
                <w:sz w:val="20"/>
                <w:szCs w:val="20"/>
              </w:rPr>
            </w:pPr>
            <w:r>
              <w:rPr>
                <w:color w:val="000000"/>
                <w:sz w:val="20"/>
                <w:szCs w:val="20"/>
              </w:rPr>
              <w:t>57</w:t>
            </w:r>
          </w:p>
        </w:tc>
        <w:tc>
          <w:tcPr>
            <w:tcW w:w="1438" w:type="pct"/>
            <w:shd w:val="clear" w:color="auto" w:fill="auto"/>
            <w:vAlign w:val="center"/>
          </w:tcPr>
          <w:p w14:paraId="35A9987A">
            <w:pPr>
              <w:spacing w:after="0" w:line="240" w:lineRule="auto"/>
              <w:ind w:firstLine="0"/>
              <w:contextualSpacing/>
              <w:jc w:val="center"/>
              <w:rPr>
                <w:color w:val="000000"/>
                <w:sz w:val="20"/>
                <w:szCs w:val="20"/>
              </w:rPr>
            </w:pPr>
            <w:r>
              <w:rPr>
                <w:color w:val="000000"/>
                <w:sz w:val="20"/>
                <w:szCs w:val="20"/>
              </w:rPr>
              <w:t>36</w:t>
            </w:r>
          </w:p>
        </w:tc>
        <w:tc>
          <w:tcPr>
            <w:tcW w:w="917" w:type="pct"/>
            <w:shd w:val="clear" w:color="auto" w:fill="auto"/>
            <w:vAlign w:val="center"/>
          </w:tcPr>
          <w:p w14:paraId="57EE7F01">
            <w:pPr>
              <w:spacing w:after="0" w:line="240" w:lineRule="auto"/>
              <w:ind w:firstLine="0"/>
              <w:contextualSpacing/>
              <w:jc w:val="center"/>
              <w:rPr>
                <w:color w:val="000000"/>
                <w:sz w:val="20"/>
                <w:szCs w:val="20"/>
              </w:rPr>
            </w:pPr>
            <w:r>
              <w:rPr>
                <w:color w:val="000000"/>
                <w:sz w:val="20"/>
                <w:szCs w:val="20"/>
              </w:rPr>
              <w:t>492</w:t>
            </w:r>
          </w:p>
        </w:tc>
        <w:tc>
          <w:tcPr>
            <w:tcW w:w="1482" w:type="pct"/>
            <w:vAlign w:val="bottom"/>
          </w:tcPr>
          <w:p w14:paraId="34727CF0">
            <w:pPr>
              <w:spacing w:after="0" w:line="240" w:lineRule="auto"/>
              <w:ind w:firstLine="0"/>
              <w:contextualSpacing/>
              <w:jc w:val="center"/>
              <w:rPr>
                <w:color w:val="000000"/>
                <w:sz w:val="20"/>
                <w:szCs w:val="20"/>
              </w:rPr>
            </w:pPr>
            <w:r>
              <w:rPr>
                <w:color w:val="000000"/>
                <w:sz w:val="20"/>
              </w:rPr>
              <w:t>30,096</w:t>
            </w:r>
          </w:p>
        </w:tc>
      </w:tr>
      <w:tr w14:paraId="5D4E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1FD61DE4">
            <w:pPr>
              <w:spacing w:after="0" w:line="240" w:lineRule="auto"/>
              <w:ind w:firstLine="0"/>
              <w:contextualSpacing/>
              <w:jc w:val="center"/>
              <w:rPr>
                <w:color w:val="000000"/>
                <w:sz w:val="20"/>
                <w:szCs w:val="20"/>
              </w:rPr>
            </w:pPr>
            <w:r>
              <w:rPr>
                <w:color w:val="000000"/>
                <w:sz w:val="20"/>
                <w:szCs w:val="20"/>
              </w:rPr>
              <w:t>57</w:t>
            </w:r>
          </w:p>
        </w:tc>
        <w:tc>
          <w:tcPr>
            <w:tcW w:w="1438" w:type="pct"/>
            <w:shd w:val="clear" w:color="auto" w:fill="auto"/>
            <w:vAlign w:val="center"/>
          </w:tcPr>
          <w:p w14:paraId="79C42741">
            <w:pPr>
              <w:spacing w:after="0" w:line="240" w:lineRule="auto"/>
              <w:ind w:firstLine="0"/>
              <w:contextualSpacing/>
              <w:jc w:val="center"/>
              <w:rPr>
                <w:color w:val="000000"/>
                <w:sz w:val="20"/>
                <w:szCs w:val="20"/>
              </w:rPr>
            </w:pPr>
            <w:r>
              <w:rPr>
                <w:color w:val="000000"/>
                <w:sz w:val="20"/>
                <w:szCs w:val="20"/>
              </w:rPr>
              <w:t>60</w:t>
            </w:r>
          </w:p>
        </w:tc>
        <w:tc>
          <w:tcPr>
            <w:tcW w:w="917" w:type="pct"/>
            <w:shd w:val="clear" w:color="auto" w:fill="auto"/>
            <w:vAlign w:val="center"/>
          </w:tcPr>
          <w:p w14:paraId="463AC207">
            <w:pPr>
              <w:spacing w:after="0" w:line="240" w:lineRule="auto"/>
              <w:ind w:firstLine="0"/>
              <w:contextualSpacing/>
              <w:jc w:val="center"/>
              <w:rPr>
                <w:color w:val="000000"/>
                <w:sz w:val="20"/>
                <w:szCs w:val="20"/>
              </w:rPr>
            </w:pPr>
            <w:r>
              <w:rPr>
                <w:color w:val="000000"/>
                <w:sz w:val="20"/>
                <w:szCs w:val="20"/>
              </w:rPr>
              <w:t>166</w:t>
            </w:r>
          </w:p>
        </w:tc>
        <w:tc>
          <w:tcPr>
            <w:tcW w:w="1482" w:type="pct"/>
            <w:vAlign w:val="bottom"/>
          </w:tcPr>
          <w:p w14:paraId="0C4102E9">
            <w:pPr>
              <w:spacing w:after="0" w:line="240" w:lineRule="auto"/>
              <w:ind w:firstLine="0"/>
              <w:contextualSpacing/>
              <w:jc w:val="center"/>
              <w:rPr>
                <w:color w:val="000000"/>
                <w:sz w:val="20"/>
                <w:szCs w:val="20"/>
              </w:rPr>
            </w:pPr>
            <w:r>
              <w:rPr>
                <w:color w:val="000000"/>
                <w:sz w:val="20"/>
              </w:rPr>
              <w:t>12,882</w:t>
            </w:r>
          </w:p>
        </w:tc>
      </w:tr>
      <w:tr w14:paraId="266D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57F9E7B2">
            <w:pPr>
              <w:spacing w:after="0" w:line="240" w:lineRule="auto"/>
              <w:ind w:firstLine="0"/>
              <w:contextualSpacing/>
              <w:jc w:val="center"/>
              <w:rPr>
                <w:color w:val="000000"/>
                <w:sz w:val="20"/>
                <w:szCs w:val="20"/>
              </w:rPr>
            </w:pPr>
            <w:r>
              <w:rPr>
                <w:color w:val="000000"/>
                <w:sz w:val="20"/>
                <w:szCs w:val="20"/>
              </w:rPr>
              <w:t>89</w:t>
            </w:r>
          </w:p>
        </w:tc>
        <w:tc>
          <w:tcPr>
            <w:tcW w:w="1438" w:type="pct"/>
            <w:shd w:val="clear" w:color="auto" w:fill="auto"/>
            <w:vAlign w:val="center"/>
          </w:tcPr>
          <w:p w14:paraId="4A26C6F1">
            <w:pPr>
              <w:spacing w:after="0" w:line="240" w:lineRule="auto"/>
              <w:ind w:firstLine="0"/>
              <w:contextualSpacing/>
              <w:jc w:val="center"/>
              <w:rPr>
                <w:color w:val="000000"/>
                <w:sz w:val="20"/>
                <w:szCs w:val="20"/>
              </w:rPr>
            </w:pPr>
            <w:r>
              <w:rPr>
                <w:color w:val="000000"/>
                <w:sz w:val="20"/>
                <w:szCs w:val="20"/>
              </w:rPr>
              <w:t>18</w:t>
            </w:r>
          </w:p>
        </w:tc>
        <w:tc>
          <w:tcPr>
            <w:tcW w:w="917" w:type="pct"/>
            <w:shd w:val="clear" w:color="auto" w:fill="auto"/>
            <w:vAlign w:val="center"/>
          </w:tcPr>
          <w:p w14:paraId="1C2266EA">
            <w:pPr>
              <w:spacing w:after="0" w:line="240" w:lineRule="auto"/>
              <w:ind w:firstLine="0"/>
              <w:contextualSpacing/>
              <w:jc w:val="center"/>
              <w:rPr>
                <w:color w:val="000000"/>
                <w:sz w:val="20"/>
                <w:szCs w:val="20"/>
              </w:rPr>
            </w:pPr>
            <w:r>
              <w:rPr>
                <w:color w:val="000000"/>
                <w:sz w:val="20"/>
                <w:szCs w:val="20"/>
              </w:rPr>
              <w:t>0</w:t>
            </w:r>
          </w:p>
        </w:tc>
        <w:tc>
          <w:tcPr>
            <w:tcW w:w="1482" w:type="pct"/>
            <w:vAlign w:val="bottom"/>
          </w:tcPr>
          <w:p w14:paraId="08BB9AF0">
            <w:pPr>
              <w:spacing w:after="0" w:line="240" w:lineRule="auto"/>
              <w:ind w:firstLine="0"/>
              <w:contextualSpacing/>
              <w:jc w:val="center"/>
              <w:rPr>
                <w:color w:val="000000"/>
                <w:sz w:val="20"/>
                <w:szCs w:val="20"/>
              </w:rPr>
            </w:pPr>
            <w:r>
              <w:rPr>
                <w:color w:val="000000"/>
                <w:sz w:val="20"/>
              </w:rPr>
              <w:t>1,602</w:t>
            </w:r>
          </w:p>
        </w:tc>
      </w:tr>
      <w:tr w14:paraId="10F4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00018053">
            <w:pPr>
              <w:spacing w:after="0" w:line="240" w:lineRule="auto"/>
              <w:ind w:firstLine="0"/>
              <w:contextualSpacing/>
              <w:jc w:val="center"/>
              <w:rPr>
                <w:color w:val="000000"/>
                <w:sz w:val="20"/>
                <w:szCs w:val="20"/>
              </w:rPr>
            </w:pPr>
            <w:r>
              <w:rPr>
                <w:color w:val="000000"/>
                <w:sz w:val="20"/>
                <w:szCs w:val="20"/>
              </w:rPr>
              <w:t>89</w:t>
            </w:r>
          </w:p>
        </w:tc>
        <w:tc>
          <w:tcPr>
            <w:tcW w:w="1438" w:type="pct"/>
            <w:shd w:val="clear" w:color="auto" w:fill="auto"/>
            <w:vAlign w:val="center"/>
          </w:tcPr>
          <w:p w14:paraId="20FAAA26">
            <w:pPr>
              <w:spacing w:after="0" w:line="240" w:lineRule="auto"/>
              <w:ind w:firstLine="0"/>
              <w:contextualSpacing/>
              <w:jc w:val="center"/>
              <w:rPr>
                <w:color w:val="000000"/>
                <w:sz w:val="20"/>
                <w:szCs w:val="20"/>
              </w:rPr>
            </w:pPr>
            <w:r>
              <w:rPr>
                <w:color w:val="000000"/>
                <w:sz w:val="20"/>
                <w:szCs w:val="20"/>
              </w:rPr>
              <w:t>89</w:t>
            </w:r>
          </w:p>
        </w:tc>
        <w:tc>
          <w:tcPr>
            <w:tcW w:w="917" w:type="pct"/>
            <w:shd w:val="clear" w:color="auto" w:fill="auto"/>
            <w:vAlign w:val="center"/>
          </w:tcPr>
          <w:p w14:paraId="4E89F449">
            <w:pPr>
              <w:spacing w:after="0" w:line="240" w:lineRule="auto"/>
              <w:ind w:firstLine="0"/>
              <w:contextualSpacing/>
              <w:jc w:val="center"/>
              <w:rPr>
                <w:color w:val="000000"/>
                <w:sz w:val="20"/>
                <w:szCs w:val="20"/>
              </w:rPr>
            </w:pPr>
            <w:r>
              <w:rPr>
                <w:color w:val="000000"/>
                <w:sz w:val="20"/>
                <w:szCs w:val="20"/>
              </w:rPr>
              <w:t>280</w:t>
            </w:r>
          </w:p>
        </w:tc>
        <w:tc>
          <w:tcPr>
            <w:tcW w:w="1482" w:type="pct"/>
            <w:vAlign w:val="bottom"/>
          </w:tcPr>
          <w:p w14:paraId="207D5177">
            <w:pPr>
              <w:spacing w:after="0" w:line="240" w:lineRule="auto"/>
              <w:ind w:firstLine="0"/>
              <w:contextualSpacing/>
              <w:jc w:val="center"/>
              <w:rPr>
                <w:color w:val="000000"/>
                <w:sz w:val="20"/>
                <w:szCs w:val="20"/>
              </w:rPr>
            </w:pPr>
            <w:r>
              <w:rPr>
                <w:color w:val="000000"/>
                <w:sz w:val="20"/>
              </w:rPr>
              <w:t>32,841</w:t>
            </w:r>
          </w:p>
        </w:tc>
      </w:tr>
      <w:tr w14:paraId="2169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6E8C0FDF">
            <w:pPr>
              <w:spacing w:after="0" w:line="240" w:lineRule="auto"/>
              <w:ind w:firstLine="0"/>
              <w:contextualSpacing/>
              <w:jc w:val="center"/>
              <w:rPr>
                <w:color w:val="000000"/>
                <w:sz w:val="20"/>
                <w:szCs w:val="20"/>
              </w:rPr>
            </w:pPr>
            <w:r>
              <w:rPr>
                <w:color w:val="000000"/>
                <w:sz w:val="20"/>
                <w:szCs w:val="20"/>
              </w:rPr>
              <w:t>108</w:t>
            </w:r>
          </w:p>
        </w:tc>
        <w:tc>
          <w:tcPr>
            <w:tcW w:w="1438" w:type="pct"/>
            <w:shd w:val="clear" w:color="auto" w:fill="auto"/>
            <w:vAlign w:val="center"/>
          </w:tcPr>
          <w:p w14:paraId="241EF331">
            <w:pPr>
              <w:spacing w:after="0" w:line="240" w:lineRule="auto"/>
              <w:ind w:firstLine="0"/>
              <w:contextualSpacing/>
              <w:jc w:val="center"/>
              <w:rPr>
                <w:color w:val="000000"/>
                <w:sz w:val="20"/>
                <w:szCs w:val="20"/>
              </w:rPr>
            </w:pPr>
            <w:r>
              <w:rPr>
                <w:color w:val="000000"/>
                <w:sz w:val="20"/>
                <w:szCs w:val="20"/>
              </w:rPr>
              <w:t>545</w:t>
            </w:r>
          </w:p>
        </w:tc>
        <w:tc>
          <w:tcPr>
            <w:tcW w:w="917" w:type="pct"/>
            <w:shd w:val="clear" w:color="auto" w:fill="auto"/>
            <w:vAlign w:val="center"/>
          </w:tcPr>
          <w:p w14:paraId="491A5B27">
            <w:pPr>
              <w:spacing w:after="0" w:line="240" w:lineRule="auto"/>
              <w:ind w:firstLine="0"/>
              <w:contextualSpacing/>
              <w:jc w:val="center"/>
              <w:rPr>
                <w:color w:val="000000"/>
                <w:sz w:val="20"/>
                <w:szCs w:val="20"/>
              </w:rPr>
            </w:pPr>
            <w:r>
              <w:rPr>
                <w:color w:val="000000"/>
                <w:sz w:val="20"/>
                <w:szCs w:val="20"/>
              </w:rPr>
              <w:t>861</w:t>
            </w:r>
          </w:p>
        </w:tc>
        <w:tc>
          <w:tcPr>
            <w:tcW w:w="1482" w:type="pct"/>
            <w:vAlign w:val="bottom"/>
          </w:tcPr>
          <w:p w14:paraId="0ED7CB60">
            <w:pPr>
              <w:spacing w:after="0" w:line="240" w:lineRule="auto"/>
              <w:ind w:firstLine="0"/>
              <w:contextualSpacing/>
              <w:jc w:val="center"/>
              <w:rPr>
                <w:color w:val="000000"/>
                <w:sz w:val="20"/>
                <w:szCs w:val="20"/>
              </w:rPr>
            </w:pPr>
            <w:r>
              <w:rPr>
                <w:color w:val="000000"/>
                <w:sz w:val="20"/>
              </w:rPr>
              <w:t>151,848</w:t>
            </w:r>
          </w:p>
        </w:tc>
      </w:tr>
      <w:tr w14:paraId="65A8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4B6CD66A">
            <w:pPr>
              <w:spacing w:after="0" w:line="240" w:lineRule="auto"/>
              <w:ind w:firstLine="0"/>
              <w:contextualSpacing/>
              <w:jc w:val="center"/>
              <w:rPr>
                <w:color w:val="000000"/>
                <w:sz w:val="20"/>
                <w:szCs w:val="20"/>
              </w:rPr>
            </w:pPr>
            <w:r>
              <w:rPr>
                <w:color w:val="000000"/>
                <w:sz w:val="20"/>
                <w:szCs w:val="20"/>
              </w:rPr>
              <w:t>133</w:t>
            </w:r>
          </w:p>
        </w:tc>
        <w:tc>
          <w:tcPr>
            <w:tcW w:w="1438" w:type="pct"/>
            <w:shd w:val="clear" w:color="auto" w:fill="auto"/>
            <w:vAlign w:val="center"/>
          </w:tcPr>
          <w:p w14:paraId="64CACF00">
            <w:pPr>
              <w:spacing w:after="0" w:line="240" w:lineRule="auto"/>
              <w:ind w:firstLine="0"/>
              <w:contextualSpacing/>
              <w:jc w:val="center"/>
              <w:rPr>
                <w:color w:val="000000"/>
                <w:sz w:val="20"/>
                <w:szCs w:val="20"/>
              </w:rPr>
            </w:pPr>
            <w:r>
              <w:rPr>
                <w:color w:val="000000"/>
                <w:sz w:val="20"/>
                <w:szCs w:val="20"/>
              </w:rPr>
              <w:t>0</w:t>
            </w:r>
          </w:p>
        </w:tc>
        <w:tc>
          <w:tcPr>
            <w:tcW w:w="917" w:type="pct"/>
            <w:shd w:val="clear" w:color="auto" w:fill="auto"/>
            <w:vAlign w:val="center"/>
          </w:tcPr>
          <w:p w14:paraId="55BFF04B">
            <w:pPr>
              <w:spacing w:after="0" w:line="240" w:lineRule="auto"/>
              <w:ind w:firstLine="0"/>
              <w:contextualSpacing/>
              <w:jc w:val="center"/>
              <w:rPr>
                <w:color w:val="000000"/>
                <w:sz w:val="20"/>
                <w:szCs w:val="20"/>
              </w:rPr>
            </w:pPr>
            <w:r>
              <w:rPr>
                <w:color w:val="000000"/>
                <w:sz w:val="20"/>
                <w:szCs w:val="20"/>
              </w:rPr>
              <w:t>85</w:t>
            </w:r>
          </w:p>
        </w:tc>
        <w:tc>
          <w:tcPr>
            <w:tcW w:w="1482" w:type="pct"/>
            <w:vAlign w:val="bottom"/>
          </w:tcPr>
          <w:p w14:paraId="6692B4D2">
            <w:pPr>
              <w:spacing w:after="0" w:line="240" w:lineRule="auto"/>
              <w:ind w:firstLine="0"/>
              <w:contextualSpacing/>
              <w:jc w:val="center"/>
              <w:rPr>
                <w:color w:val="000000"/>
                <w:sz w:val="20"/>
                <w:szCs w:val="20"/>
              </w:rPr>
            </w:pPr>
            <w:r>
              <w:rPr>
                <w:color w:val="000000"/>
                <w:sz w:val="20"/>
              </w:rPr>
              <w:t>11,305</w:t>
            </w:r>
          </w:p>
        </w:tc>
      </w:tr>
      <w:tr w14:paraId="5699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163" w:type="pct"/>
            <w:shd w:val="clear" w:color="auto" w:fill="auto"/>
            <w:vAlign w:val="center"/>
          </w:tcPr>
          <w:p w14:paraId="7D3BD79B">
            <w:pPr>
              <w:spacing w:after="0" w:line="240" w:lineRule="auto"/>
              <w:ind w:firstLine="0"/>
              <w:contextualSpacing/>
              <w:jc w:val="center"/>
              <w:rPr>
                <w:color w:val="000000"/>
                <w:sz w:val="20"/>
                <w:szCs w:val="20"/>
              </w:rPr>
            </w:pPr>
            <w:r>
              <w:rPr>
                <w:color w:val="000000"/>
                <w:sz w:val="20"/>
                <w:szCs w:val="20"/>
              </w:rPr>
              <w:t>133</w:t>
            </w:r>
          </w:p>
        </w:tc>
        <w:tc>
          <w:tcPr>
            <w:tcW w:w="1438" w:type="pct"/>
            <w:shd w:val="clear" w:color="auto" w:fill="auto"/>
            <w:vAlign w:val="center"/>
          </w:tcPr>
          <w:p w14:paraId="343AAD4F">
            <w:pPr>
              <w:spacing w:after="0" w:line="240" w:lineRule="auto"/>
              <w:ind w:firstLine="0"/>
              <w:contextualSpacing/>
              <w:jc w:val="center"/>
              <w:rPr>
                <w:color w:val="000000"/>
                <w:sz w:val="20"/>
                <w:szCs w:val="20"/>
              </w:rPr>
            </w:pPr>
            <w:r>
              <w:rPr>
                <w:color w:val="000000"/>
                <w:sz w:val="20"/>
                <w:szCs w:val="20"/>
              </w:rPr>
              <w:t>85</w:t>
            </w:r>
          </w:p>
        </w:tc>
        <w:tc>
          <w:tcPr>
            <w:tcW w:w="917" w:type="pct"/>
            <w:shd w:val="clear" w:color="auto" w:fill="auto"/>
            <w:vAlign w:val="center"/>
          </w:tcPr>
          <w:p w14:paraId="325AE877">
            <w:pPr>
              <w:spacing w:after="0" w:line="240" w:lineRule="auto"/>
              <w:ind w:firstLine="0"/>
              <w:contextualSpacing/>
              <w:jc w:val="center"/>
              <w:rPr>
                <w:color w:val="000000"/>
                <w:sz w:val="20"/>
                <w:szCs w:val="20"/>
              </w:rPr>
            </w:pPr>
            <w:r>
              <w:rPr>
                <w:color w:val="000000"/>
                <w:sz w:val="20"/>
                <w:szCs w:val="20"/>
              </w:rPr>
              <w:t>0</w:t>
            </w:r>
          </w:p>
        </w:tc>
        <w:tc>
          <w:tcPr>
            <w:tcW w:w="1482" w:type="pct"/>
            <w:vAlign w:val="bottom"/>
          </w:tcPr>
          <w:p w14:paraId="02B5ED67">
            <w:pPr>
              <w:spacing w:after="0" w:line="240" w:lineRule="auto"/>
              <w:ind w:firstLine="0"/>
              <w:contextualSpacing/>
              <w:jc w:val="center"/>
              <w:rPr>
                <w:color w:val="000000"/>
                <w:sz w:val="20"/>
                <w:szCs w:val="20"/>
              </w:rPr>
            </w:pPr>
            <w:r>
              <w:rPr>
                <w:color w:val="000000"/>
                <w:sz w:val="20"/>
              </w:rPr>
              <w:t>11,305</w:t>
            </w:r>
          </w:p>
        </w:tc>
      </w:tr>
      <w:tr w14:paraId="7390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63" w:type="pct"/>
            <w:shd w:val="clear" w:color="auto" w:fill="auto"/>
            <w:vAlign w:val="center"/>
          </w:tcPr>
          <w:p w14:paraId="6E4C2794">
            <w:pPr>
              <w:spacing w:after="0" w:line="240" w:lineRule="auto"/>
              <w:ind w:firstLine="0"/>
              <w:contextualSpacing/>
              <w:jc w:val="center"/>
              <w:rPr>
                <w:b/>
                <w:bCs/>
                <w:color w:val="000000"/>
                <w:sz w:val="20"/>
                <w:szCs w:val="20"/>
              </w:rPr>
            </w:pPr>
            <w:r>
              <w:rPr>
                <w:b/>
                <w:bCs/>
                <w:color w:val="000000"/>
                <w:sz w:val="20"/>
                <w:szCs w:val="20"/>
              </w:rPr>
              <w:t>Итого</w:t>
            </w:r>
          </w:p>
        </w:tc>
        <w:tc>
          <w:tcPr>
            <w:tcW w:w="1438" w:type="pct"/>
            <w:shd w:val="clear" w:color="auto" w:fill="auto"/>
            <w:vAlign w:val="center"/>
          </w:tcPr>
          <w:p w14:paraId="520EE638">
            <w:pPr>
              <w:spacing w:after="0" w:line="240" w:lineRule="auto"/>
              <w:ind w:firstLine="0"/>
              <w:contextualSpacing/>
              <w:jc w:val="center"/>
              <w:rPr>
                <w:b/>
                <w:bCs/>
                <w:color w:val="000000"/>
                <w:sz w:val="20"/>
                <w:szCs w:val="20"/>
              </w:rPr>
            </w:pPr>
            <w:r>
              <w:rPr>
                <w:b/>
                <w:color w:val="000000"/>
                <w:sz w:val="20"/>
                <w:szCs w:val="20"/>
              </w:rPr>
              <w:t>1051</w:t>
            </w:r>
          </w:p>
        </w:tc>
        <w:tc>
          <w:tcPr>
            <w:tcW w:w="917" w:type="pct"/>
            <w:shd w:val="clear" w:color="auto" w:fill="auto"/>
            <w:vAlign w:val="center"/>
          </w:tcPr>
          <w:p w14:paraId="3EE35E40">
            <w:pPr>
              <w:spacing w:after="0" w:line="240" w:lineRule="auto"/>
              <w:ind w:firstLine="0"/>
              <w:contextualSpacing/>
              <w:jc w:val="center"/>
              <w:rPr>
                <w:b/>
                <w:bCs/>
                <w:color w:val="000000"/>
                <w:sz w:val="20"/>
                <w:szCs w:val="20"/>
              </w:rPr>
            </w:pPr>
            <w:r>
              <w:rPr>
                <w:b/>
                <w:color w:val="000000"/>
                <w:sz w:val="20"/>
                <w:szCs w:val="20"/>
              </w:rPr>
              <w:t>1929</w:t>
            </w:r>
          </w:p>
        </w:tc>
        <w:tc>
          <w:tcPr>
            <w:tcW w:w="1482" w:type="pct"/>
          </w:tcPr>
          <w:p w14:paraId="25E9A612">
            <w:pPr>
              <w:spacing w:after="0" w:line="240" w:lineRule="auto"/>
              <w:ind w:firstLine="0"/>
              <w:contextualSpacing/>
              <w:jc w:val="center"/>
              <w:rPr>
                <w:b/>
                <w:bCs/>
                <w:color w:val="000000"/>
                <w:sz w:val="20"/>
                <w:szCs w:val="20"/>
              </w:rPr>
            </w:pPr>
          </w:p>
        </w:tc>
      </w:tr>
      <w:tr w14:paraId="2F24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163" w:type="pct"/>
            <w:shd w:val="clear" w:color="auto" w:fill="auto"/>
            <w:vAlign w:val="center"/>
          </w:tcPr>
          <w:p w14:paraId="4DB35A71">
            <w:pPr>
              <w:spacing w:after="0" w:line="240" w:lineRule="auto"/>
              <w:ind w:firstLine="0"/>
              <w:contextualSpacing/>
              <w:jc w:val="center"/>
              <w:rPr>
                <w:b/>
                <w:bCs/>
                <w:color w:val="000000"/>
                <w:sz w:val="20"/>
                <w:szCs w:val="20"/>
              </w:rPr>
            </w:pPr>
            <w:r>
              <w:rPr>
                <w:b/>
                <w:bCs/>
                <w:color w:val="000000"/>
                <w:sz w:val="20"/>
                <w:szCs w:val="20"/>
              </w:rPr>
              <w:t>Итого протяжённость сетей ТВС:</w:t>
            </w:r>
          </w:p>
        </w:tc>
        <w:tc>
          <w:tcPr>
            <w:tcW w:w="2355" w:type="pct"/>
            <w:gridSpan w:val="2"/>
            <w:shd w:val="clear" w:color="auto" w:fill="auto"/>
            <w:vAlign w:val="center"/>
          </w:tcPr>
          <w:p w14:paraId="11CD7E24">
            <w:pPr>
              <w:spacing w:after="0" w:line="240" w:lineRule="auto"/>
              <w:ind w:firstLine="0"/>
              <w:contextualSpacing/>
              <w:jc w:val="center"/>
              <w:rPr>
                <w:b/>
                <w:bCs/>
                <w:color w:val="000000"/>
                <w:sz w:val="20"/>
                <w:szCs w:val="20"/>
              </w:rPr>
            </w:pPr>
            <w:r>
              <w:rPr>
                <w:b/>
                <w:bCs/>
                <w:color w:val="000000"/>
                <w:sz w:val="20"/>
                <w:szCs w:val="20"/>
              </w:rPr>
              <w:t>2980</w:t>
            </w:r>
          </w:p>
        </w:tc>
        <w:tc>
          <w:tcPr>
            <w:tcW w:w="1482" w:type="pct"/>
            <w:vAlign w:val="center"/>
          </w:tcPr>
          <w:p w14:paraId="7A8DE56B">
            <w:pPr>
              <w:spacing w:after="0" w:line="240" w:lineRule="auto"/>
              <w:ind w:firstLine="0"/>
              <w:contextualSpacing/>
              <w:jc w:val="center"/>
              <w:rPr>
                <w:b/>
                <w:color w:val="000000"/>
                <w:sz w:val="20"/>
                <w:szCs w:val="20"/>
              </w:rPr>
            </w:pPr>
            <w:r>
              <w:rPr>
                <w:b/>
                <w:color w:val="000000"/>
                <w:sz w:val="20"/>
                <w:szCs w:val="20"/>
              </w:rPr>
              <w:t>261,170</w:t>
            </w:r>
          </w:p>
        </w:tc>
      </w:tr>
    </w:tbl>
    <w:p w14:paraId="35974E83">
      <w:pPr>
        <w:spacing w:after="0" w:line="240" w:lineRule="auto"/>
        <w:ind w:firstLine="0"/>
        <w:contextualSpacing/>
        <w:jc w:val="both"/>
        <w:rPr>
          <w:sz w:val="24"/>
          <w:szCs w:val="24"/>
        </w:rPr>
      </w:pPr>
    </w:p>
    <w:p w14:paraId="0FDC81BA">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19</w:t>
      </w:r>
      <w:r>
        <w:rPr>
          <w:bCs/>
          <w:sz w:val="24"/>
          <w:szCs w:val="24"/>
        </w:rPr>
        <w:fldChar w:fldCharType="end"/>
      </w:r>
      <w:r>
        <w:rPr>
          <w:bCs/>
          <w:sz w:val="24"/>
          <w:szCs w:val="24"/>
        </w:rPr>
        <w:t xml:space="preserve"> – </w:t>
      </w:r>
      <w:r>
        <w:rPr>
          <w:sz w:val="24"/>
          <w:szCs w:val="24"/>
        </w:rPr>
        <w:t>Протяженность тепловых сетей по способам прокладки МУП «БКС»</w:t>
      </w:r>
    </w:p>
    <w:tbl>
      <w:tblPr>
        <w:tblStyle w:val="12"/>
        <w:tblW w:w="5000" w:type="pct"/>
        <w:tblInd w:w="0" w:type="dxa"/>
        <w:tblLayout w:type="autofit"/>
        <w:tblCellMar>
          <w:top w:w="0" w:type="dxa"/>
          <w:left w:w="111" w:type="dxa"/>
          <w:bottom w:w="0" w:type="dxa"/>
          <w:right w:w="104" w:type="dxa"/>
        </w:tblCellMar>
      </w:tblPr>
      <w:tblGrid>
        <w:gridCol w:w="500"/>
        <w:gridCol w:w="3165"/>
        <w:gridCol w:w="1208"/>
        <w:gridCol w:w="1391"/>
        <w:gridCol w:w="1123"/>
        <w:gridCol w:w="1366"/>
        <w:gridCol w:w="1100"/>
      </w:tblGrid>
      <w:tr w14:paraId="73A0F07A">
        <w:tblPrEx>
          <w:tblCellMar>
            <w:top w:w="0" w:type="dxa"/>
            <w:left w:w="111" w:type="dxa"/>
            <w:bottom w:w="0" w:type="dxa"/>
            <w:right w:w="104" w:type="dxa"/>
          </w:tblCellMar>
        </w:tblPrEx>
        <w:trPr>
          <w:trHeight w:val="240" w:hRule="atLeast"/>
        </w:trPr>
        <w:tc>
          <w:tcPr>
            <w:tcW w:w="254" w:type="pct"/>
            <w:vMerge w:val="restart"/>
            <w:tcBorders>
              <w:top w:val="single" w:color="000000" w:sz="4" w:space="0"/>
              <w:left w:val="single" w:color="000000" w:sz="4" w:space="0"/>
              <w:bottom w:val="single" w:color="000000" w:sz="4" w:space="0"/>
              <w:right w:val="single" w:color="000000" w:sz="4" w:space="0"/>
            </w:tcBorders>
            <w:vAlign w:val="center"/>
          </w:tcPr>
          <w:p w14:paraId="0918BB2B">
            <w:pPr>
              <w:spacing w:after="0" w:line="240" w:lineRule="auto"/>
              <w:ind w:firstLine="0"/>
              <w:contextualSpacing/>
              <w:jc w:val="center"/>
            </w:pPr>
            <w:r>
              <w:rPr>
                <w:sz w:val="20"/>
              </w:rPr>
              <w:t>№</w:t>
            </w:r>
          </w:p>
          <w:p w14:paraId="7DDBFD48">
            <w:pPr>
              <w:spacing w:after="0" w:line="240" w:lineRule="auto"/>
              <w:ind w:firstLine="0"/>
              <w:contextualSpacing/>
              <w:jc w:val="center"/>
            </w:pPr>
            <w:r>
              <w:rPr>
                <w:sz w:val="20"/>
              </w:rPr>
              <w:t>п/п</w:t>
            </w:r>
          </w:p>
        </w:tc>
        <w:tc>
          <w:tcPr>
            <w:tcW w:w="1606" w:type="pct"/>
            <w:vMerge w:val="restart"/>
            <w:tcBorders>
              <w:top w:val="single" w:color="000000" w:sz="4" w:space="0"/>
              <w:left w:val="single" w:color="000000" w:sz="4" w:space="0"/>
              <w:bottom w:val="single" w:color="000000" w:sz="4" w:space="0"/>
              <w:right w:val="single" w:color="000000" w:sz="4" w:space="0"/>
            </w:tcBorders>
            <w:vAlign w:val="center"/>
          </w:tcPr>
          <w:p w14:paraId="256378FA">
            <w:pPr>
              <w:spacing w:after="0" w:line="240" w:lineRule="auto"/>
              <w:ind w:firstLine="0"/>
              <w:contextualSpacing/>
              <w:jc w:val="center"/>
            </w:pPr>
            <w:r>
              <w:rPr>
                <w:sz w:val="20"/>
              </w:rPr>
              <w:t>Наименование котельной</w:t>
            </w:r>
          </w:p>
        </w:tc>
        <w:tc>
          <w:tcPr>
            <w:tcW w:w="2582" w:type="pct"/>
            <w:gridSpan w:val="4"/>
            <w:tcBorders>
              <w:top w:val="single" w:color="000000" w:sz="4" w:space="0"/>
              <w:left w:val="single" w:color="000000" w:sz="4" w:space="0"/>
              <w:bottom w:val="single" w:color="000000" w:sz="4" w:space="0"/>
              <w:right w:val="single" w:color="000000" w:sz="4" w:space="0"/>
            </w:tcBorders>
            <w:vAlign w:val="center"/>
          </w:tcPr>
          <w:p w14:paraId="110F9FD6">
            <w:pPr>
              <w:spacing w:after="0" w:line="240" w:lineRule="auto"/>
              <w:ind w:firstLine="0"/>
              <w:contextualSpacing/>
              <w:jc w:val="center"/>
            </w:pPr>
            <w:r>
              <w:rPr>
                <w:sz w:val="20"/>
              </w:rPr>
              <w:t>Способ прокладки, м</w:t>
            </w:r>
          </w:p>
        </w:tc>
        <w:tc>
          <w:tcPr>
            <w:tcW w:w="558" w:type="pct"/>
            <w:vMerge w:val="restart"/>
            <w:tcBorders>
              <w:top w:val="single" w:color="000000" w:sz="4" w:space="0"/>
              <w:left w:val="single" w:color="000000" w:sz="4" w:space="0"/>
              <w:right w:val="single" w:color="000000" w:sz="4" w:space="0"/>
            </w:tcBorders>
            <w:vAlign w:val="center"/>
          </w:tcPr>
          <w:p w14:paraId="0F7E7330">
            <w:pPr>
              <w:spacing w:after="0" w:line="240" w:lineRule="auto"/>
              <w:ind w:firstLine="0"/>
              <w:contextualSpacing/>
              <w:jc w:val="center"/>
              <w:rPr>
                <w:sz w:val="20"/>
              </w:rPr>
            </w:pPr>
            <w:r>
              <w:rPr>
                <w:sz w:val="20"/>
              </w:rPr>
              <w:t>Тип изоляции</w:t>
            </w:r>
          </w:p>
        </w:tc>
      </w:tr>
      <w:tr w14:paraId="267B869C">
        <w:tblPrEx>
          <w:tblCellMar>
            <w:top w:w="0" w:type="dxa"/>
            <w:left w:w="111" w:type="dxa"/>
            <w:bottom w:w="0" w:type="dxa"/>
            <w:right w:w="104" w:type="dxa"/>
          </w:tblCellMar>
        </w:tblPrEx>
        <w:trPr>
          <w:trHeight w:val="471" w:hRule="atLeast"/>
        </w:trPr>
        <w:tc>
          <w:tcPr>
            <w:tcW w:w="254" w:type="pct"/>
            <w:vMerge w:val="continue"/>
            <w:tcBorders>
              <w:top w:val="nil"/>
              <w:left w:val="single" w:color="000000" w:sz="4" w:space="0"/>
              <w:bottom w:val="single" w:color="000000" w:sz="4" w:space="0"/>
              <w:right w:val="single" w:color="000000" w:sz="4" w:space="0"/>
            </w:tcBorders>
            <w:vAlign w:val="center"/>
          </w:tcPr>
          <w:p w14:paraId="46BAD1B0">
            <w:pPr>
              <w:spacing w:after="0" w:line="240" w:lineRule="auto"/>
              <w:ind w:firstLine="0"/>
              <w:contextualSpacing/>
              <w:jc w:val="center"/>
            </w:pPr>
          </w:p>
        </w:tc>
        <w:tc>
          <w:tcPr>
            <w:tcW w:w="1606" w:type="pct"/>
            <w:vMerge w:val="continue"/>
            <w:tcBorders>
              <w:top w:val="nil"/>
              <w:left w:val="single" w:color="000000" w:sz="4" w:space="0"/>
              <w:bottom w:val="single" w:color="000000" w:sz="4" w:space="0"/>
              <w:right w:val="single" w:color="000000" w:sz="4" w:space="0"/>
            </w:tcBorders>
            <w:vAlign w:val="center"/>
          </w:tcPr>
          <w:p w14:paraId="583A29A4">
            <w:pPr>
              <w:spacing w:after="0" w:line="240" w:lineRule="auto"/>
              <w:ind w:firstLine="0"/>
              <w:contextualSpacing/>
              <w:jc w:val="center"/>
            </w:pPr>
          </w:p>
        </w:tc>
        <w:tc>
          <w:tcPr>
            <w:tcW w:w="613" w:type="pct"/>
            <w:tcBorders>
              <w:top w:val="single" w:color="000000" w:sz="4" w:space="0"/>
              <w:left w:val="single" w:color="000000" w:sz="4" w:space="0"/>
              <w:bottom w:val="single" w:color="000000" w:sz="4" w:space="0"/>
              <w:right w:val="single" w:color="000000" w:sz="4" w:space="0"/>
            </w:tcBorders>
            <w:vAlign w:val="center"/>
          </w:tcPr>
          <w:p w14:paraId="6D0A4BA2">
            <w:pPr>
              <w:spacing w:after="0" w:line="240" w:lineRule="auto"/>
              <w:ind w:firstLine="0"/>
              <w:contextualSpacing/>
              <w:jc w:val="center"/>
            </w:pPr>
            <w:r>
              <w:rPr>
                <w:sz w:val="20"/>
              </w:rPr>
              <w:t>Надземная</w:t>
            </w:r>
          </w:p>
        </w:tc>
        <w:tc>
          <w:tcPr>
            <w:tcW w:w="706" w:type="pct"/>
            <w:tcBorders>
              <w:top w:val="single" w:color="000000" w:sz="4" w:space="0"/>
              <w:left w:val="single" w:color="000000" w:sz="4" w:space="0"/>
              <w:bottom w:val="single" w:color="000000" w:sz="4" w:space="0"/>
              <w:right w:val="single" w:color="000000" w:sz="4" w:space="0"/>
            </w:tcBorders>
            <w:vAlign w:val="center"/>
          </w:tcPr>
          <w:p w14:paraId="4D92FB43">
            <w:pPr>
              <w:spacing w:after="0" w:line="240" w:lineRule="auto"/>
              <w:ind w:firstLine="0"/>
              <w:contextualSpacing/>
              <w:jc w:val="center"/>
            </w:pPr>
            <w:r>
              <w:rPr>
                <w:sz w:val="20"/>
              </w:rPr>
              <w:t>бесканальная</w:t>
            </w:r>
          </w:p>
          <w:p w14:paraId="0C664726">
            <w:pPr>
              <w:spacing w:after="0" w:line="240" w:lineRule="auto"/>
              <w:ind w:firstLine="0"/>
              <w:contextualSpacing/>
              <w:jc w:val="center"/>
            </w:pPr>
            <w:r>
              <w:rPr>
                <w:sz w:val="20"/>
              </w:rPr>
              <w:t>прокладка</w:t>
            </w:r>
          </w:p>
        </w:tc>
        <w:tc>
          <w:tcPr>
            <w:tcW w:w="570" w:type="pct"/>
            <w:tcBorders>
              <w:top w:val="single" w:color="000000" w:sz="4" w:space="0"/>
              <w:left w:val="single" w:color="000000" w:sz="4" w:space="0"/>
              <w:bottom w:val="single" w:color="000000" w:sz="4" w:space="0"/>
              <w:right w:val="single" w:color="000000" w:sz="4" w:space="0"/>
            </w:tcBorders>
            <w:vAlign w:val="center"/>
          </w:tcPr>
          <w:p w14:paraId="2F4211DD">
            <w:pPr>
              <w:spacing w:after="0" w:line="240" w:lineRule="auto"/>
              <w:ind w:firstLine="0"/>
              <w:contextualSpacing/>
              <w:jc w:val="center"/>
            </w:pPr>
            <w:r>
              <w:rPr>
                <w:sz w:val="20"/>
              </w:rPr>
              <w:t>Наземная</w:t>
            </w:r>
          </w:p>
        </w:tc>
        <w:tc>
          <w:tcPr>
            <w:tcW w:w="693" w:type="pct"/>
            <w:tcBorders>
              <w:top w:val="single" w:color="000000" w:sz="4" w:space="0"/>
              <w:left w:val="single" w:color="000000" w:sz="4" w:space="0"/>
              <w:bottom w:val="single" w:color="000000" w:sz="4" w:space="0"/>
              <w:right w:val="single" w:color="000000" w:sz="4" w:space="0"/>
            </w:tcBorders>
            <w:vAlign w:val="center"/>
          </w:tcPr>
          <w:p w14:paraId="79A19799">
            <w:pPr>
              <w:spacing w:after="0" w:line="240" w:lineRule="auto"/>
              <w:ind w:firstLine="0"/>
              <w:contextualSpacing/>
              <w:jc w:val="center"/>
            </w:pPr>
            <w:r>
              <w:rPr>
                <w:sz w:val="20"/>
              </w:rPr>
              <w:t>непроходной канал</w:t>
            </w:r>
          </w:p>
        </w:tc>
        <w:tc>
          <w:tcPr>
            <w:tcW w:w="558" w:type="pct"/>
            <w:vMerge w:val="continue"/>
            <w:tcBorders>
              <w:left w:val="single" w:color="000000" w:sz="4" w:space="0"/>
              <w:bottom w:val="single" w:color="000000" w:sz="4" w:space="0"/>
              <w:right w:val="single" w:color="000000" w:sz="4" w:space="0"/>
            </w:tcBorders>
            <w:vAlign w:val="center"/>
          </w:tcPr>
          <w:p w14:paraId="66BBC8F3">
            <w:pPr>
              <w:spacing w:after="0" w:line="240" w:lineRule="auto"/>
              <w:ind w:firstLine="0"/>
              <w:contextualSpacing/>
              <w:jc w:val="center"/>
              <w:rPr>
                <w:sz w:val="20"/>
              </w:rPr>
            </w:pPr>
          </w:p>
        </w:tc>
      </w:tr>
      <w:tr w14:paraId="249E7752">
        <w:tblPrEx>
          <w:tblCellMar>
            <w:top w:w="0" w:type="dxa"/>
            <w:left w:w="111" w:type="dxa"/>
            <w:bottom w:w="0" w:type="dxa"/>
            <w:right w:w="104" w:type="dxa"/>
          </w:tblCellMar>
        </w:tblPrEx>
        <w:trPr>
          <w:trHeight w:val="240" w:hRule="atLeast"/>
        </w:trPr>
        <w:tc>
          <w:tcPr>
            <w:tcW w:w="254" w:type="pct"/>
            <w:tcBorders>
              <w:top w:val="single" w:color="000000" w:sz="4" w:space="0"/>
              <w:left w:val="single" w:color="000000" w:sz="4" w:space="0"/>
              <w:bottom w:val="single" w:color="000000" w:sz="4" w:space="0"/>
              <w:right w:val="single" w:color="000000" w:sz="4" w:space="0"/>
            </w:tcBorders>
            <w:vAlign w:val="center"/>
          </w:tcPr>
          <w:p w14:paraId="0FB406F2">
            <w:pPr>
              <w:spacing w:after="0" w:line="240" w:lineRule="auto"/>
              <w:ind w:firstLine="0"/>
              <w:contextualSpacing/>
              <w:jc w:val="center"/>
            </w:pPr>
            <w:r>
              <w:rPr>
                <w:sz w:val="20"/>
              </w:rPr>
              <w:t>1</w:t>
            </w:r>
          </w:p>
        </w:tc>
        <w:tc>
          <w:tcPr>
            <w:tcW w:w="1606" w:type="pct"/>
            <w:tcBorders>
              <w:top w:val="single" w:color="000000" w:sz="4" w:space="0"/>
              <w:left w:val="single" w:color="000000" w:sz="4" w:space="0"/>
              <w:bottom w:val="single" w:color="000000" w:sz="4" w:space="0"/>
              <w:right w:val="single" w:color="000000" w:sz="4" w:space="0"/>
            </w:tcBorders>
            <w:vAlign w:val="center"/>
          </w:tcPr>
          <w:p w14:paraId="184C3E11">
            <w:pPr>
              <w:spacing w:after="0" w:line="240" w:lineRule="auto"/>
              <w:ind w:firstLine="0"/>
              <w:contextualSpacing/>
              <w:jc w:val="center"/>
            </w:pPr>
            <w:r>
              <w:rPr>
                <w:sz w:val="20"/>
              </w:rPr>
              <w:t>Котельная № 2 с. Верхнеказымский</w:t>
            </w:r>
          </w:p>
        </w:tc>
        <w:tc>
          <w:tcPr>
            <w:tcW w:w="613" w:type="pct"/>
            <w:tcBorders>
              <w:top w:val="single" w:color="000000" w:sz="4" w:space="0"/>
              <w:left w:val="single" w:color="000000" w:sz="4" w:space="0"/>
              <w:bottom w:val="single" w:color="000000" w:sz="4" w:space="0"/>
              <w:right w:val="single" w:color="000000" w:sz="4" w:space="0"/>
            </w:tcBorders>
            <w:vAlign w:val="center"/>
          </w:tcPr>
          <w:p w14:paraId="6E4543A5">
            <w:pPr>
              <w:spacing w:after="0" w:line="240" w:lineRule="auto"/>
              <w:ind w:firstLine="0"/>
              <w:contextualSpacing/>
              <w:jc w:val="center"/>
            </w:pPr>
            <w:r>
              <w:rPr>
                <w:sz w:val="20"/>
              </w:rPr>
              <w:t>1034</w:t>
            </w:r>
          </w:p>
        </w:tc>
        <w:tc>
          <w:tcPr>
            <w:tcW w:w="706" w:type="pct"/>
            <w:tcBorders>
              <w:top w:val="single" w:color="000000" w:sz="4" w:space="0"/>
              <w:left w:val="single" w:color="000000" w:sz="4" w:space="0"/>
              <w:bottom w:val="single" w:color="000000" w:sz="4" w:space="0"/>
              <w:right w:val="single" w:color="000000" w:sz="4" w:space="0"/>
            </w:tcBorders>
            <w:vAlign w:val="center"/>
          </w:tcPr>
          <w:p w14:paraId="5F1F373E">
            <w:pPr>
              <w:spacing w:after="0" w:line="240" w:lineRule="auto"/>
              <w:ind w:firstLine="0"/>
              <w:contextualSpacing/>
              <w:jc w:val="center"/>
            </w:pPr>
            <w:r>
              <w:rPr>
                <w:sz w:val="20"/>
              </w:rPr>
              <w:t>806</w:t>
            </w:r>
          </w:p>
        </w:tc>
        <w:tc>
          <w:tcPr>
            <w:tcW w:w="570" w:type="pct"/>
            <w:tcBorders>
              <w:top w:val="single" w:color="000000" w:sz="4" w:space="0"/>
              <w:left w:val="single" w:color="000000" w:sz="4" w:space="0"/>
              <w:bottom w:val="single" w:color="000000" w:sz="4" w:space="0"/>
              <w:right w:val="single" w:color="000000" w:sz="4" w:space="0"/>
            </w:tcBorders>
            <w:vAlign w:val="center"/>
          </w:tcPr>
          <w:p w14:paraId="7DE9CD24">
            <w:pPr>
              <w:spacing w:after="0" w:line="240" w:lineRule="auto"/>
              <w:ind w:firstLine="0"/>
              <w:contextualSpacing/>
              <w:jc w:val="center"/>
            </w:pPr>
            <w:r>
              <w:rPr>
                <w:sz w:val="20"/>
              </w:rPr>
              <w:t>0</w:t>
            </w:r>
          </w:p>
        </w:tc>
        <w:tc>
          <w:tcPr>
            <w:tcW w:w="693" w:type="pct"/>
            <w:tcBorders>
              <w:top w:val="single" w:color="000000" w:sz="4" w:space="0"/>
              <w:left w:val="single" w:color="000000" w:sz="4" w:space="0"/>
              <w:bottom w:val="single" w:color="000000" w:sz="4" w:space="0"/>
              <w:right w:val="single" w:color="000000" w:sz="4" w:space="0"/>
            </w:tcBorders>
            <w:vAlign w:val="center"/>
          </w:tcPr>
          <w:p w14:paraId="65D6C8AC">
            <w:pPr>
              <w:spacing w:after="0" w:line="240" w:lineRule="auto"/>
              <w:ind w:firstLine="0"/>
              <w:contextualSpacing/>
              <w:jc w:val="center"/>
            </w:pPr>
            <w:r>
              <w:rPr>
                <w:sz w:val="20"/>
              </w:rPr>
              <w:t>0</w:t>
            </w:r>
          </w:p>
        </w:tc>
        <w:tc>
          <w:tcPr>
            <w:tcW w:w="558" w:type="pct"/>
            <w:tcBorders>
              <w:top w:val="single" w:color="000000" w:sz="4" w:space="0"/>
              <w:left w:val="single" w:color="000000" w:sz="4" w:space="0"/>
              <w:bottom w:val="single" w:color="000000" w:sz="4" w:space="0"/>
              <w:right w:val="single" w:color="000000" w:sz="4" w:space="0"/>
            </w:tcBorders>
            <w:vAlign w:val="center"/>
          </w:tcPr>
          <w:p w14:paraId="61EE4C6F">
            <w:pPr>
              <w:spacing w:after="0" w:line="240" w:lineRule="auto"/>
              <w:ind w:firstLine="0"/>
              <w:contextualSpacing/>
              <w:jc w:val="center"/>
              <w:rPr>
                <w:sz w:val="20"/>
              </w:rPr>
            </w:pPr>
            <w:r>
              <w:rPr>
                <w:sz w:val="20"/>
              </w:rPr>
              <w:t>Мин. вата</w:t>
            </w:r>
          </w:p>
        </w:tc>
      </w:tr>
    </w:tbl>
    <w:p w14:paraId="2EA4F489">
      <w:pPr>
        <w:spacing w:after="0" w:line="240" w:lineRule="auto"/>
        <w:ind w:firstLine="0"/>
        <w:contextualSpacing/>
        <w:jc w:val="both"/>
        <w:rPr>
          <w:sz w:val="24"/>
          <w:szCs w:val="24"/>
        </w:rPr>
      </w:pPr>
    </w:p>
    <w:p w14:paraId="1C6DECED">
      <w:pPr>
        <w:pStyle w:val="4"/>
        <w:keepNext/>
        <w:spacing w:before="0" w:line="240" w:lineRule="auto"/>
        <w:ind w:left="0" w:firstLine="709"/>
        <w:contextualSpacing/>
        <w:rPr>
          <w:rFonts w:cs="Times New Roman"/>
          <w:b w:val="0"/>
          <w:sz w:val="24"/>
        </w:rPr>
      </w:pPr>
      <w:bookmarkStart w:id="92" w:name="_Toc182813879"/>
      <w:r>
        <w:rPr>
          <w:rFonts w:cs="Times New Roman"/>
          <w:b w:val="0"/>
          <w:sz w:val="24"/>
        </w:rPr>
        <w:t>Карты (схемы) тепловых сетей в зонах действия источников тепловой энергии в электронной форме и (или) на бумажном носителе</w:t>
      </w:r>
      <w:bookmarkEnd w:id="92"/>
    </w:p>
    <w:p w14:paraId="1D7DDC90">
      <w:pPr>
        <w:spacing w:after="0" w:line="240" w:lineRule="auto"/>
        <w:contextualSpacing/>
        <w:jc w:val="both"/>
        <w:rPr>
          <w:sz w:val="24"/>
          <w:szCs w:val="24"/>
        </w:rPr>
      </w:pPr>
      <w:r>
        <w:rPr>
          <w:sz w:val="24"/>
          <w:szCs w:val="24"/>
        </w:rPr>
        <w:t>Часть информации по поводу тепловых сетей в с.п. Верхнеказымский приведена в п. 1.3.1. 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также представлены в Приложении (Графические материалы).</w:t>
      </w:r>
    </w:p>
    <w:p w14:paraId="7FF8AE45">
      <w:pPr>
        <w:spacing w:after="0" w:line="240" w:lineRule="auto"/>
        <w:contextualSpacing/>
        <w:jc w:val="both"/>
        <w:rPr>
          <w:sz w:val="24"/>
          <w:szCs w:val="24"/>
        </w:rPr>
      </w:pPr>
    </w:p>
    <w:p w14:paraId="17290F2F">
      <w:pPr>
        <w:pStyle w:val="4"/>
        <w:spacing w:before="0" w:line="240" w:lineRule="auto"/>
        <w:ind w:left="0" w:firstLine="709"/>
        <w:contextualSpacing/>
        <w:rPr>
          <w:rFonts w:cs="Times New Roman"/>
          <w:b w:val="0"/>
          <w:sz w:val="24"/>
        </w:rPr>
      </w:pPr>
      <w:bookmarkStart w:id="93" w:name="_Toc524614758"/>
      <w:bookmarkStart w:id="94" w:name="_Toc524614974"/>
      <w:bookmarkStart w:id="95" w:name="_Toc182813880"/>
      <w:bookmarkStart w:id="96" w:name="_Toc15640782"/>
      <w:bookmarkStart w:id="97" w:name="_Hlk15651036"/>
      <w:r>
        <w:rPr>
          <w:rFonts w:cs="Times New Roman"/>
          <w:b w:val="0"/>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3"/>
      <w:bookmarkEnd w:id="94"/>
      <w:r>
        <w:rPr>
          <w:rFonts w:cs="Times New Roman"/>
          <w:b w:val="0"/>
          <w:sz w:val="24"/>
        </w:rPr>
        <w:t xml:space="preserve"> потребителей, подключенных к таким участкам</w:t>
      </w:r>
      <w:bookmarkEnd w:id="95"/>
      <w:bookmarkEnd w:id="96"/>
    </w:p>
    <w:bookmarkEnd w:id="97"/>
    <w:p w14:paraId="25F30952">
      <w:pPr>
        <w:spacing w:after="0" w:line="240" w:lineRule="auto"/>
        <w:contextualSpacing/>
        <w:jc w:val="both"/>
        <w:rPr>
          <w:sz w:val="24"/>
          <w:szCs w:val="24"/>
        </w:rPr>
      </w:pPr>
      <w:r>
        <w:rPr>
          <w:sz w:val="24"/>
          <w:szCs w:val="24"/>
        </w:rPr>
        <w:t>Распределение протяженности тепловых сетей в с.п. Верхнеказымский по диаметрам и типам прокладки трубопроводов представлены таблицах п. 1.3.1.</w:t>
      </w:r>
    </w:p>
    <w:p w14:paraId="5EEA2EE4">
      <w:pPr>
        <w:spacing w:after="0" w:line="240" w:lineRule="auto"/>
        <w:contextualSpacing/>
        <w:jc w:val="both"/>
        <w:rPr>
          <w:sz w:val="24"/>
          <w:szCs w:val="24"/>
        </w:rPr>
      </w:pPr>
      <w:r>
        <w:rPr>
          <w:sz w:val="24"/>
          <w:szCs w:val="24"/>
        </w:rPr>
        <w:t>Сети централизованного отопления с.п. Верхнеказымский работают в соответствии с температурным графиком: Т</w:t>
      </w:r>
      <w:r>
        <w:rPr>
          <w:sz w:val="24"/>
          <w:szCs w:val="24"/>
          <w:vertAlign w:val="subscript"/>
        </w:rPr>
        <w:t>под</w:t>
      </w:r>
      <w:r>
        <w:rPr>
          <w:sz w:val="24"/>
          <w:szCs w:val="24"/>
        </w:rPr>
        <w:t>. = 95 °С, Т</w:t>
      </w:r>
      <w:r>
        <w:rPr>
          <w:sz w:val="24"/>
          <w:szCs w:val="24"/>
          <w:vertAlign w:val="subscript"/>
        </w:rPr>
        <w:t>обр</w:t>
      </w:r>
      <w:r>
        <w:rPr>
          <w:sz w:val="24"/>
          <w:szCs w:val="24"/>
        </w:rPr>
        <w:t>. = 70 °С и Т</w:t>
      </w:r>
      <w:r>
        <w:rPr>
          <w:sz w:val="24"/>
          <w:szCs w:val="24"/>
          <w:vertAlign w:val="subscript"/>
        </w:rPr>
        <w:t>под</w:t>
      </w:r>
      <w:r>
        <w:rPr>
          <w:sz w:val="24"/>
          <w:szCs w:val="24"/>
        </w:rPr>
        <w:t>. = 65 °С, Т</w:t>
      </w:r>
      <w:r>
        <w:rPr>
          <w:sz w:val="24"/>
          <w:szCs w:val="24"/>
          <w:vertAlign w:val="subscript"/>
        </w:rPr>
        <w:t>обр</w:t>
      </w:r>
      <w:r>
        <w:rPr>
          <w:sz w:val="24"/>
          <w:szCs w:val="24"/>
        </w:rPr>
        <w:t>. = 55 °С. Система теплоснабжения поселения 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p>
    <w:p w14:paraId="713F6952">
      <w:pPr>
        <w:spacing w:after="0" w:line="240" w:lineRule="auto"/>
        <w:contextualSpacing/>
        <w:jc w:val="both"/>
        <w:rPr>
          <w:sz w:val="24"/>
          <w:szCs w:val="24"/>
        </w:rPr>
      </w:pPr>
      <w:r>
        <w:rPr>
          <w:sz w:val="24"/>
          <w:szCs w:val="24"/>
        </w:rPr>
        <w:t>Технические характеристики тепловых сетей приведены в таблице 20.</w:t>
      </w:r>
    </w:p>
    <w:p w14:paraId="0451F68E">
      <w:pPr>
        <w:spacing w:after="0" w:line="240" w:lineRule="auto"/>
        <w:contextualSpacing/>
        <w:jc w:val="both"/>
        <w:rPr>
          <w:sz w:val="24"/>
          <w:szCs w:val="24"/>
        </w:rPr>
      </w:pPr>
    </w:p>
    <w:p w14:paraId="54498DA0">
      <w:pPr>
        <w:spacing w:after="0" w:line="240" w:lineRule="auto"/>
        <w:contextualSpacing/>
        <w:jc w:val="both"/>
        <w:rPr>
          <w:sz w:val="24"/>
          <w:szCs w:val="24"/>
        </w:rPr>
        <w:sectPr>
          <w:pgSz w:w="11906" w:h="16838"/>
          <w:pgMar w:top="1134" w:right="567" w:bottom="1134" w:left="1701" w:header="283" w:footer="567" w:gutter="0"/>
          <w:cols w:space="708" w:num="1"/>
          <w:docGrid w:linePitch="360" w:charSpace="0"/>
        </w:sectPr>
      </w:pPr>
      <w:r>
        <w:rPr>
          <w:sz w:val="24"/>
          <w:szCs w:val="24"/>
        </w:rPr>
        <w:t>.</w:t>
      </w:r>
    </w:p>
    <w:p w14:paraId="1E0B5088">
      <w:pPr>
        <w:widowControl w:val="0"/>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20</w:t>
      </w:r>
      <w:r>
        <w:rPr>
          <w:bCs/>
          <w:sz w:val="24"/>
          <w:szCs w:val="24"/>
        </w:rPr>
        <w:fldChar w:fldCharType="end"/>
      </w:r>
      <w:r>
        <w:rPr>
          <w:bCs/>
          <w:sz w:val="24"/>
          <w:szCs w:val="24"/>
        </w:rPr>
        <w:t xml:space="preserve"> – Технические характеристики сетей теплоснабжения с.п. Верхнеказымский</w:t>
      </w:r>
    </w:p>
    <w:tbl>
      <w:tblPr>
        <w:tblStyle w:val="12"/>
        <w:tblW w:w="5000" w:type="pct"/>
        <w:tblInd w:w="0" w:type="dxa"/>
        <w:tblLayout w:type="autofit"/>
        <w:tblCellMar>
          <w:top w:w="0" w:type="dxa"/>
          <w:left w:w="28" w:type="dxa"/>
          <w:bottom w:w="0" w:type="dxa"/>
          <w:right w:w="28" w:type="dxa"/>
        </w:tblCellMar>
      </w:tblPr>
      <w:tblGrid>
        <w:gridCol w:w="2026"/>
        <w:gridCol w:w="2446"/>
        <w:gridCol w:w="2027"/>
        <w:gridCol w:w="1556"/>
        <w:gridCol w:w="975"/>
        <w:gridCol w:w="1082"/>
        <w:gridCol w:w="1984"/>
        <w:gridCol w:w="1176"/>
        <w:gridCol w:w="1920"/>
      </w:tblGrid>
      <w:tr w14:paraId="7B05E134">
        <w:tblPrEx>
          <w:tblCellMar>
            <w:top w:w="0" w:type="dxa"/>
            <w:left w:w="28" w:type="dxa"/>
            <w:bottom w:w="0" w:type="dxa"/>
            <w:right w:w="28" w:type="dxa"/>
          </w:tblCellMar>
        </w:tblPrEx>
        <w:trPr>
          <w:trHeight w:val="507" w:hRule="atLeast"/>
        </w:trPr>
        <w:tc>
          <w:tcPr>
            <w:tcW w:w="667" w:type="pct"/>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49AAB299">
            <w:pPr>
              <w:spacing w:after="0" w:line="240" w:lineRule="auto"/>
              <w:ind w:firstLine="0"/>
              <w:contextualSpacing/>
              <w:jc w:val="center"/>
              <w:rPr>
                <w:bCs/>
                <w:sz w:val="20"/>
                <w:szCs w:val="20"/>
              </w:rPr>
            </w:pPr>
            <w:r>
              <w:rPr>
                <w:bCs/>
                <w:sz w:val="20"/>
                <w:szCs w:val="20"/>
              </w:rPr>
              <w:t>Организации, предоставляющие услуги теплоснабжения</w:t>
            </w:r>
          </w:p>
        </w:tc>
        <w:tc>
          <w:tcPr>
            <w:tcW w:w="8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FBBD51">
            <w:pPr>
              <w:spacing w:after="0" w:line="240" w:lineRule="auto"/>
              <w:ind w:firstLine="0"/>
              <w:contextualSpacing/>
              <w:jc w:val="center"/>
              <w:rPr>
                <w:bCs/>
                <w:sz w:val="20"/>
                <w:szCs w:val="20"/>
              </w:rPr>
            </w:pPr>
            <w:r>
              <w:rPr>
                <w:bCs/>
                <w:sz w:val="20"/>
                <w:szCs w:val="20"/>
              </w:rPr>
              <w:t>Наименование источника тепловой энергии</w:t>
            </w:r>
          </w:p>
        </w:tc>
        <w:tc>
          <w:tcPr>
            <w:tcW w:w="6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8DF1BB">
            <w:pPr>
              <w:spacing w:after="0" w:line="240" w:lineRule="auto"/>
              <w:ind w:firstLine="0"/>
              <w:contextualSpacing/>
              <w:jc w:val="center"/>
              <w:rPr>
                <w:bCs/>
                <w:sz w:val="20"/>
                <w:szCs w:val="20"/>
              </w:rPr>
            </w:pPr>
            <w:r>
              <w:rPr>
                <w:bCs/>
                <w:sz w:val="20"/>
                <w:szCs w:val="20"/>
              </w:rPr>
              <w:t>Характеристики тепловых сетей</w:t>
            </w:r>
          </w:p>
        </w:tc>
        <w:tc>
          <w:tcPr>
            <w:tcW w:w="5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247C6C">
            <w:pPr>
              <w:spacing w:after="0" w:line="240" w:lineRule="auto"/>
              <w:ind w:firstLine="0"/>
              <w:contextualSpacing/>
              <w:jc w:val="center"/>
              <w:rPr>
                <w:bCs/>
                <w:sz w:val="20"/>
                <w:szCs w:val="20"/>
              </w:rPr>
            </w:pPr>
            <w:r>
              <w:rPr>
                <w:bCs/>
                <w:sz w:val="20"/>
                <w:szCs w:val="20"/>
              </w:rPr>
              <w:t>Прокладка тепловых сетей</w:t>
            </w:r>
          </w:p>
        </w:tc>
        <w:tc>
          <w:tcPr>
            <w:tcW w:w="3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8B93CE">
            <w:pPr>
              <w:spacing w:after="0" w:line="240" w:lineRule="auto"/>
              <w:ind w:firstLine="0"/>
              <w:contextualSpacing/>
              <w:jc w:val="center"/>
              <w:rPr>
                <w:bCs/>
                <w:sz w:val="20"/>
                <w:szCs w:val="20"/>
              </w:rPr>
            </w:pPr>
            <w:r>
              <w:rPr>
                <w:bCs/>
                <w:sz w:val="20"/>
                <w:szCs w:val="20"/>
              </w:rPr>
              <w:t>Год ввода</w:t>
            </w:r>
          </w:p>
        </w:tc>
        <w:tc>
          <w:tcPr>
            <w:tcW w:w="3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34B495">
            <w:pPr>
              <w:spacing w:after="0" w:line="240" w:lineRule="auto"/>
              <w:ind w:firstLine="0"/>
              <w:contextualSpacing/>
              <w:jc w:val="center"/>
              <w:rPr>
                <w:bCs/>
                <w:sz w:val="20"/>
                <w:szCs w:val="20"/>
              </w:rPr>
            </w:pPr>
            <w:r>
              <w:rPr>
                <w:bCs/>
                <w:sz w:val="20"/>
                <w:szCs w:val="20"/>
              </w:rPr>
              <w:t>Наличие ЦТП</w:t>
            </w:r>
          </w:p>
        </w:tc>
        <w:tc>
          <w:tcPr>
            <w:tcW w:w="65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0B8643">
            <w:pPr>
              <w:spacing w:after="0" w:line="240" w:lineRule="auto"/>
              <w:ind w:firstLine="0"/>
              <w:contextualSpacing/>
              <w:jc w:val="center"/>
              <w:rPr>
                <w:bCs/>
                <w:sz w:val="20"/>
                <w:szCs w:val="20"/>
              </w:rPr>
            </w:pPr>
            <w:r>
              <w:rPr>
                <w:bCs/>
                <w:sz w:val="20"/>
                <w:szCs w:val="20"/>
              </w:rPr>
              <w:t>Компенсирующие устройства</w:t>
            </w:r>
          </w:p>
        </w:tc>
        <w:tc>
          <w:tcPr>
            <w:tcW w:w="3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5A9278">
            <w:pPr>
              <w:spacing w:after="0" w:line="240" w:lineRule="auto"/>
              <w:ind w:firstLine="0"/>
              <w:contextualSpacing/>
              <w:jc w:val="center"/>
              <w:rPr>
                <w:bCs/>
                <w:sz w:val="20"/>
                <w:szCs w:val="20"/>
              </w:rPr>
            </w:pPr>
            <w:r>
              <w:rPr>
                <w:bCs/>
                <w:sz w:val="20"/>
                <w:szCs w:val="20"/>
              </w:rPr>
              <w:t>Состояние учета тепловой энергии, %</w:t>
            </w:r>
          </w:p>
        </w:tc>
        <w:tc>
          <w:tcPr>
            <w:tcW w:w="6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8736A4">
            <w:pPr>
              <w:spacing w:after="0" w:line="240" w:lineRule="auto"/>
              <w:ind w:firstLine="0"/>
              <w:contextualSpacing/>
              <w:jc w:val="center"/>
              <w:rPr>
                <w:bCs/>
                <w:sz w:val="20"/>
                <w:szCs w:val="20"/>
              </w:rPr>
            </w:pPr>
            <w:r>
              <w:rPr>
                <w:bCs/>
                <w:sz w:val="20"/>
                <w:szCs w:val="20"/>
              </w:rPr>
              <w:t>Качество диспетчеризации и эксплуатации</w:t>
            </w:r>
          </w:p>
        </w:tc>
      </w:tr>
      <w:tr w14:paraId="1444A93F">
        <w:trPr>
          <w:trHeight w:val="507" w:hRule="atLeast"/>
        </w:trPr>
        <w:tc>
          <w:tcPr>
            <w:tcW w:w="667" w:type="pct"/>
            <w:vMerge w:val="continue"/>
            <w:tcBorders>
              <w:top w:val="single" w:color="auto" w:sz="4" w:space="0"/>
              <w:left w:val="single" w:color="auto" w:sz="4" w:space="0"/>
              <w:bottom w:val="single" w:color="000000" w:sz="4" w:space="0"/>
              <w:right w:val="single" w:color="000000" w:sz="4" w:space="0"/>
            </w:tcBorders>
            <w:vAlign w:val="center"/>
          </w:tcPr>
          <w:p w14:paraId="239D3886">
            <w:pPr>
              <w:spacing w:after="0" w:line="240" w:lineRule="auto"/>
              <w:ind w:firstLine="0"/>
              <w:contextualSpacing/>
              <w:jc w:val="center"/>
              <w:rPr>
                <w:bCs/>
                <w:sz w:val="20"/>
                <w:szCs w:val="20"/>
              </w:rPr>
            </w:pPr>
          </w:p>
        </w:tc>
        <w:tc>
          <w:tcPr>
            <w:tcW w:w="805" w:type="pct"/>
            <w:vMerge w:val="continue"/>
            <w:tcBorders>
              <w:top w:val="single" w:color="auto" w:sz="4" w:space="0"/>
              <w:left w:val="single" w:color="auto" w:sz="4" w:space="0"/>
              <w:bottom w:val="single" w:color="auto" w:sz="4" w:space="0"/>
              <w:right w:val="single" w:color="auto" w:sz="4" w:space="0"/>
            </w:tcBorders>
            <w:vAlign w:val="center"/>
          </w:tcPr>
          <w:p w14:paraId="36F9018E">
            <w:pPr>
              <w:spacing w:after="0" w:line="240" w:lineRule="auto"/>
              <w:ind w:firstLine="0"/>
              <w:contextualSpacing/>
              <w:jc w:val="center"/>
              <w:rPr>
                <w:bCs/>
                <w:sz w:val="20"/>
                <w:szCs w:val="20"/>
              </w:rPr>
            </w:pPr>
          </w:p>
        </w:tc>
        <w:tc>
          <w:tcPr>
            <w:tcW w:w="667" w:type="pct"/>
            <w:vMerge w:val="continue"/>
            <w:tcBorders>
              <w:top w:val="single" w:color="auto" w:sz="4" w:space="0"/>
              <w:left w:val="single" w:color="auto" w:sz="4" w:space="0"/>
              <w:bottom w:val="single" w:color="auto" w:sz="4" w:space="0"/>
              <w:right w:val="single" w:color="auto" w:sz="4" w:space="0"/>
            </w:tcBorders>
            <w:vAlign w:val="center"/>
          </w:tcPr>
          <w:p w14:paraId="4706C5C7">
            <w:pPr>
              <w:spacing w:after="0" w:line="240" w:lineRule="auto"/>
              <w:ind w:firstLine="0"/>
              <w:contextualSpacing/>
              <w:jc w:val="center"/>
              <w:rPr>
                <w:bCs/>
                <w:sz w:val="20"/>
                <w:szCs w:val="20"/>
              </w:rPr>
            </w:pPr>
          </w:p>
        </w:tc>
        <w:tc>
          <w:tcPr>
            <w:tcW w:w="512" w:type="pct"/>
            <w:vMerge w:val="continue"/>
            <w:tcBorders>
              <w:top w:val="single" w:color="auto" w:sz="4" w:space="0"/>
              <w:left w:val="single" w:color="auto" w:sz="4" w:space="0"/>
              <w:bottom w:val="single" w:color="auto" w:sz="4" w:space="0"/>
              <w:right w:val="single" w:color="auto" w:sz="4" w:space="0"/>
            </w:tcBorders>
            <w:vAlign w:val="center"/>
          </w:tcPr>
          <w:p w14:paraId="01BB8222">
            <w:pPr>
              <w:spacing w:after="0" w:line="240" w:lineRule="auto"/>
              <w:ind w:firstLine="0"/>
              <w:contextualSpacing/>
              <w:jc w:val="center"/>
              <w:rPr>
                <w:bCs/>
                <w:sz w:val="20"/>
                <w:szCs w:val="20"/>
              </w:rPr>
            </w:pPr>
          </w:p>
        </w:tc>
        <w:tc>
          <w:tcPr>
            <w:tcW w:w="321" w:type="pct"/>
            <w:vMerge w:val="continue"/>
            <w:tcBorders>
              <w:top w:val="single" w:color="auto" w:sz="4" w:space="0"/>
              <w:left w:val="single" w:color="auto" w:sz="4" w:space="0"/>
              <w:bottom w:val="single" w:color="auto" w:sz="4" w:space="0"/>
              <w:right w:val="single" w:color="auto" w:sz="4" w:space="0"/>
            </w:tcBorders>
            <w:vAlign w:val="center"/>
          </w:tcPr>
          <w:p w14:paraId="4AE2A2F4">
            <w:pPr>
              <w:spacing w:after="0" w:line="240" w:lineRule="auto"/>
              <w:ind w:firstLine="0"/>
              <w:contextualSpacing/>
              <w:jc w:val="center"/>
              <w:rPr>
                <w:bCs/>
                <w:sz w:val="20"/>
                <w:szCs w:val="20"/>
              </w:rPr>
            </w:pPr>
          </w:p>
        </w:tc>
        <w:tc>
          <w:tcPr>
            <w:tcW w:w="356" w:type="pct"/>
            <w:vMerge w:val="continue"/>
            <w:tcBorders>
              <w:top w:val="single" w:color="auto" w:sz="4" w:space="0"/>
              <w:left w:val="single" w:color="auto" w:sz="4" w:space="0"/>
              <w:bottom w:val="single" w:color="auto" w:sz="4" w:space="0"/>
              <w:right w:val="single" w:color="auto" w:sz="4" w:space="0"/>
            </w:tcBorders>
            <w:vAlign w:val="center"/>
          </w:tcPr>
          <w:p w14:paraId="62A69149">
            <w:pPr>
              <w:spacing w:after="0" w:line="240" w:lineRule="auto"/>
              <w:ind w:firstLine="0"/>
              <w:contextualSpacing/>
              <w:jc w:val="center"/>
              <w:rPr>
                <w:bCs/>
                <w:sz w:val="20"/>
                <w:szCs w:val="20"/>
              </w:rPr>
            </w:pPr>
          </w:p>
        </w:tc>
        <w:tc>
          <w:tcPr>
            <w:tcW w:w="653" w:type="pct"/>
            <w:vMerge w:val="continue"/>
            <w:tcBorders>
              <w:top w:val="single" w:color="auto" w:sz="4" w:space="0"/>
              <w:left w:val="single" w:color="auto" w:sz="4" w:space="0"/>
              <w:bottom w:val="single" w:color="auto" w:sz="4" w:space="0"/>
              <w:right w:val="single" w:color="auto" w:sz="4" w:space="0"/>
            </w:tcBorders>
            <w:vAlign w:val="center"/>
          </w:tcPr>
          <w:p w14:paraId="284A40F6">
            <w:pPr>
              <w:spacing w:after="0" w:line="240" w:lineRule="auto"/>
              <w:ind w:firstLine="0"/>
              <w:contextualSpacing/>
              <w:jc w:val="center"/>
              <w:rPr>
                <w:bCs/>
                <w:sz w:val="20"/>
                <w:szCs w:val="20"/>
              </w:rPr>
            </w:pPr>
          </w:p>
        </w:tc>
        <w:tc>
          <w:tcPr>
            <w:tcW w:w="387" w:type="pct"/>
            <w:vMerge w:val="continue"/>
            <w:tcBorders>
              <w:top w:val="single" w:color="auto" w:sz="4" w:space="0"/>
              <w:left w:val="single" w:color="auto" w:sz="4" w:space="0"/>
              <w:bottom w:val="single" w:color="auto" w:sz="4" w:space="0"/>
              <w:right w:val="single" w:color="auto" w:sz="4" w:space="0"/>
            </w:tcBorders>
            <w:vAlign w:val="center"/>
          </w:tcPr>
          <w:p w14:paraId="0D02DCB9">
            <w:pPr>
              <w:spacing w:after="0" w:line="240" w:lineRule="auto"/>
              <w:ind w:firstLine="0"/>
              <w:contextualSpacing/>
              <w:jc w:val="center"/>
              <w:rPr>
                <w:bCs/>
                <w:sz w:val="20"/>
                <w:szCs w:val="20"/>
              </w:rPr>
            </w:pPr>
          </w:p>
        </w:tc>
        <w:tc>
          <w:tcPr>
            <w:tcW w:w="632" w:type="pct"/>
            <w:vMerge w:val="continue"/>
            <w:tcBorders>
              <w:top w:val="single" w:color="auto" w:sz="4" w:space="0"/>
              <w:left w:val="single" w:color="auto" w:sz="4" w:space="0"/>
              <w:bottom w:val="single" w:color="auto" w:sz="4" w:space="0"/>
              <w:right w:val="single" w:color="auto" w:sz="4" w:space="0"/>
            </w:tcBorders>
            <w:vAlign w:val="center"/>
          </w:tcPr>
          <w:p w14:paraId="086438E2">
            <w:pPr>
              <w:spacing w:after="0" w:line="240" w:lineRule="auto"/>
              <w:ind w:firstLine="0"/>
              <w:contextualSpacing/>
              <w:jc w:val="center"/>
              <w:rPr>
                <w:bCs/>
                <w:sz w:val="20"/>
                <w:szCs w:val="20"/>
              </w:rPr>
            </w:pPr>
          </w:p>
        </w:tc>
      </w:tr>
      <w:tr w14:paraId="172DC042">
        <w:tblPrEx>
          <w:tblCellMar>
            <w:top w:w="0" w:type="dxa"/>
            <w:left w:w="28" w:type="dxa"/>
            <w:bottom w:w="0" w:type="dxa"/>
            <w:right w:w="28" w:type="dxa"/>
          </w:tblCellMar>
        </w:tblPrEx>
        <w:trPr>
          <w:trHeight w:val="102" w:hRule="atLeast"/>
        </w:trPr>
        <w:tc>
          <w:tcPr>
            <w:tcW w:w="667" w:type="pct"/>
            <w:tcBorders>
              <w:top w:val="single" w:color="auto" w:sz="4" w:space="0"/>
              <w:left w:val="single" w:color="auto" w:sz="4" w:space="0"/>
              <w:bottom w:val="nil"/>
              <w:right w:val="single" w:color="000000" w:sz="4" w:space="0"/>
            </w:tcBorders>
            <w:shd w:val="clear" w:color="auto" w:fill="auto"/>
            <w:vAlign w:val="center"/>
          </w:tcPr>
          <w:p w14:paraId="49B75BE8">
            <w:pPr>
              <w:spacing w:after="0" w:line="240" w:lineRule="auto"/>
              <w:ind w:firstLine="0"/>
              <w:contextualSpacing/>
              <w:jc w:val="center"/>
              <w:rPr>
                <w:sz w:val="20"/>
                <w:szCs w:val="20"/>
              </w:rPr>
            </w:pPr>
            <w:r>
              <w:rPr>
                <w:sz w:val="20"/>
                <w:szCs w:val="20"/>
              </w:rPr>
              <w:t>МУП «БКС»</w:t>
            </w:r>
          </w:p>
        </w:tc>
        <w:tc>
          <w:tcPr>
            <w:tcW w:w="805" w:type="pct"/>
            <w:tcBorders>
              <w:top w:val="nil"/>
              <w:left w:val="nil"/>
              <w:bottom w:val="single" w:color="auto" w:sz="4" w:space="0"/>
              <w:right w:val="single" w:color="auto" w:sz="4" w:space="0"/>
            </w:tcBorders>
            <w:shd w:val="clear" w:color="auto" w:fill="auto"/>
            <w:vAlign w:val="center"/>
          </w:tcPr>
          <w:p w14:paraId="02AFF3B8">
            <w:pPr>
              <w:spacing w:after="0" w:line="240" w:lineRule="auto"/>
              <w:ind w:firstLine="0"/>
              <w:contextualSpacing/>
              <w:jc w:val="center"/>
              <w:rPr>
                <w:sz w:val="20"/>
                <w:szCs w:val="20"/>
              </w:rPr>
            </w:pPr>
            <w:r>
              <w:rPr>
                <w:sz w:val="20"/>
                <w:szCs w:val="20"/>
              </w:rPr>
              <w:t>Котельная №2</w:t>
            </w:r>
          </w:p>
        </w:tc>
        <w:tc>
          <w:tcPr>
            <w:tcW w:w="667" w:type="pct"/>
            <w:tcBorders>
              <w:top w:val="nil"/>
              <w:left w:val="nil"/>
              <w:bottom w:val="single" w:color="auto" w:sz="4" w:space="0"/>
              <w:right w:val="single" w:color="auto" w:sz="4" w:space="0"/>
            </w:tcBorders>
            <w:shd w:val="clear" w:color="auto" w:fill="auto"/>
            <w:vAlign w:val="center"/>
          </w:tcPr>
          <w:p w14:paraId="0AF02E03">
            <w:pPr>
              <w:spacing w:after="0" w:line="240" w:lineRule="auto"/>
              <w:ind w:firstLine="0"/>
              <w:contextualSpacing/>
              <w:jc w:val="center"/>
              <w:rPr>
                <w:sz w:val="20"/>
                <w:szCs w:val="20"/>
              </w:rPr>
            </w:pPr>
            <w:r>
              <w:rPr>
                <w:sz w:val="20"/>
                <w:szCs w:val="20"/>
              </w:rPr>
              <w:t>Четырехтрубные кольцевые, нерезервированные</w:t>
            </w:r>
          </w:p>
        </w:tc>
        <w:tc>
          <w:tcPr>
            <w:tcW w:w="512" w:type="pct"/>
            <w:tcBorders>
              <w:top w:val="nil"/>
              <w:left w:val="nil"/>
              <w:bottom w:val="nil"/>
              <w:right w:val="single" w:color="auto" w:sz="4" w:space="0"/>
            </w:tcBorders>
            <w:shd w:val="clear" w:color="auto" w:fill="auto"/>
            <w:vAlign w:val="center"/>
          </w:tcPr>
          <w:p w14:paraId="5E6EB7C4">
            <w:pPr>
              <w:spacing w:after="0" w:line="240" w:lineRule="auto"/>
              <w:ind w:firstLine="0"/>
              <w:contextualSpacing/>
              <w:jc w:val="center"/>
              <w:rPr>
                <w:sz w:val="20"/>
                <w:szCs w:val="20"/>
              </w:rPr>
            </w:pPr>
            <w:r>
              <w:rPr>
                <w:sz w:val="20"/>
                <w:szCs w:val="20"/>
              </w:rPr>
              <w:t>Подземная бесканальная и надземная на низких опорах</w:t>
            </w:r>
          </w:p>
        </w:tc>
        <w:tc>
          <w:tcPr>
            <w:tcW w:w="321" w:type="pct"/>
            <w:tcBorders>
              <w:top w:val="nil"/>
              <w:left w:val="nil"/>
              <w:bottom w:val="nil"/>
              <w:right w:val="single" w:color="auto" w:sz="4" w:space="0"/>
            </w:tcBorders>
            <w:shd w:val="clear" w:color="auto" w:fill="auto"/>
            <w:vAlign w:val="center"/>
          </w:tcPr>
          <w:p w14:paraId="34666888">
            <w:pPr>
              <w:spacing w:after="0" w:line="240" w:lineRule="auto"/>
              <w:ind w:firstLine="0"/>
              <w:contextualSpacing/>
              <w:jc w:val="center"/>
              <w:rPr>
                <w:sz w:val="20"/>
                <w:szCs w:val="20"/>
              </w:rPr>
            </w:pPr>
            <w:r>
              <w:rPr>
                <w:sz w:val="20"/>
                <w:szCs w:val="20"/>
              </w:rPr>
              <w:t>1985 и раньше -100%</w:t>
            </w:r>
          </w:p>
        </w:tc>
        <w:tc>
          <w:tcPr>
            <w:tcW w:w="356" w:type="pct"/>
            <w:tcBorders>
              <w:top w:val="nil"/>
              <w:left w:val="nil"/>
              <w:bottom w:val="single" w:color="auto" w:sz="4" w:space="0"/>
              <w:right w:val="single" w:color="auto" w:sz="4" w:space="0"/>
            </w:tcBorders>
            <w:shd w:val="clear" w:color="auto" w:fill="auto"/>
            <w:vAlign w:val="center"/>
          </w:tcPr>
          <w:p w14:paraId="0E2FA4ED">
            <w:pPr>
              <w:spacing w:after="0" w:line="240" w:lineRule="auto"/>
              <w:ind w:firstLine="0"/>
              <w:contextualSpacing/>
              <w:jc w:val="center"/>
              <w:rPr>
                <w:sz w:val="20"/>
                <w:szCs w:val="20"/>
              </w:rPr>
            </w:pPr>
            <w:r>
              <w:rPr>
                <w:sz w:val="20"/>
                <w:szCs w:val="20"/>
              </w:rPr>
              <w:t>нет</w:t>
            </w:r>
          </w:p>
        </w:tc>
        <w:tc>
          <w:tcPr>
            <w:tcW w:w="653" w:type="pct"/>
            <w:vMerge w:val="restart"/>
            <w:tcBorders>
              <w:top w:val="nil"/>
              <w:left w:val="single" w:color="auto" w:sz="4" w:space="0"/>
              <w:bottom w:val="single" w:color="auto" w:sz="4" w:space="0"/>
              <w:right w:val="single" w:color="auto" w:sz="4" w:space="0"/>
            </w:tcBorders>
            <w:shd w:val="clear" w:color="auto" w:fill="auto"/>
            <w:vAlign w:val="center"/>
          </w:tcPr>
          <w:p w14:paraId="2BF0F329">
            <w:pPr>
              <w:spacing w:after="0" w:line="240" w:lineRule="auto"/>
              <w:ind w:firstLine="0"/>
              <w:contextualSpacing/>
              <w:jc w:val="center"/>
              <w:rPr>
                <w:sz w:val="20"/>
                <w:szCs w:val="20"/>
              </w:rPr>
            </w:pPr>
            <w:r>
              <w:rPr>
                <w:sz w:val="20"/>
                <w:szCs w:val="20"/>
              </w:rPr>
              <w:t>Углы поворота трасс и П-образные компенсаторы</w:t>
            </w:r>
          </w:p>
        </w:tc>
        <w:tc>
          <w:tcPr>
            <w:tcW w:w="387" w:type="pct"/>
            <w:vMerge w:val="restart"/>
            <w:tcBorders>
              <w:top w:val="nil"/>
              <w:left w:val="single" w:color="auto" w:sz="4" w:space="0"/>
              <w:bottom w:val="single" w:color="000000" w:sz="4" w:space="0"/>
              <w:right w:val="single" w:color="auto" w:sz="4" w:space="0"/>
            </w:tcBorders>
            <w:shd w:val="clear" w:color="auto" w:fill="auto"/>
            <w:vAlign w:val="center"/>
          </w:tcPr>
          <w:p w14:paraId="0E926561">
            <w:pPr>
              <w:spacing w:after="0" w:line="240" w:lineRule="auto"/>
              <w:ind w:firstLine="0"/>
              <w:contextualSpacing/>
              <w:jc w:val="center"/>
              <w:rPr>
                <w:sz w:val="20"/>
                <w:szCs w:val="20"/>
              </w:rPr>
            </w:pPr>
            <w:r>
              <w:rPr>
                <w:sz w:val="20"/>
                <w:szCs w:val="20"/>
              </w:rPr>
              <w:t>20,0</w:t>
            </w:r>
          </w:p>
        </w:tc>
        <w:tc>
          <w:tcPr>
            <w:tcW w:w="632" w:type="pct"/>
            <w:vMerge w:val="restart"/>
            <w:tcBorders>
              <w:top w:val="nil"/>
              <w:left w:val="single" w:color="auto" w:sz="4" w:space="0"/>
              <w:bottom w:val="single" w:color="000000" w:sz="4" w:space="0"/>
              <w:right w:val="single" w:color="auto" w:sz="4" w:space="0"/>
            </w:tcBorders>
            <w:shd w:val="clear" w:color="auto" w:fill="auto"/>
            <w:vAlign w:val="center"/>
          </w:tcPr>
          <w:p w14:paraId="780DE952">
            <w:pPr>
              <w:spacing w:after="0" w:line="240" w:lineRule="auto"/>
              <w:ind w:firstLine="0"/>
              <w:contextualSpacing/>
              <w:jc w:val="center"/>
              <w:rPr>
                <w:sz w:val="20"/>
                <w:szCs w:val="20"/>
              </w:rPr>
            </w:pPr>
            <w:r>
              <w:rPr>
                <w:sz w:val="20"/>
                <w:szCs w:val="20"/>
              </w:rPr>
              <w:t>Диспетчерская служба отсутствует. Контроль за работой оборудования и сетей осуществляется в рабочее время техническим персоналом.</w:t>
            </w:r>
          </w:p>
        </w:tc>
      </w:tr>
      <w:tr w14:paraId="1AFC904E">
        <w:trPr>
          <w:trHeight w:val="85" w:hRule="atLeast"/>
        </w:trPr>
        <w:tc>
          <w:tcPr>
            <w:tcW w:w="667" w:type="pct"/>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2B8F755C">
            <w:pPr>
              <w:spacing w:after="0" w:line="240" w:lineRule="auto"/>
              <w:ind w:firstLine="0"/>
              <w:contextualSpacing/>
              <w:jc w:val="center"/>
              <w:rPr>
                <w:sz w:val="20"/>
                <w:szCs w:val="20"/>
              </w:rPr>
            </w:pPr>
            <w:r>
              <w:rPr>
                <w:sz w:val="20"/>
                <w:szCs w:val="20"/>
              </w:rPr>
              <w:t>ООО «Газпром трансгаз Югорск» Верхнеказымское ЛПУ МГ</w:t>
            </w:r>
          </w:p>
        </w:tc>
        <w:tc>
          <w:tcPr>
            <w:tcW w:w="805" w:type="pct"/>
            <w:tcBorders>
              <w:top w:val="nil"/>
              <w:left w:val="nil"/>
              <w:bottom w:val="single" w:color="auto" w:sz="4" w:space="0"/>
              <w:right w:val="single" w:color="auto" w:sz="4" w:space="0"/>
            </w:tcBorders>
            <w:shd w:val="clear" w:color="auto" w:fill="auto"/>
            <w:vAlign w:val="center"/>
          </w:tcPr>
          <w:p w14:paraId="71BD8E98">
            <w:pPr>
              <w:spacing w:after="0" w:line="240" w:lineRule="auto"/>
              <w:ind w:firstLine="0"/>
              <w:contextualSpacing/>
              <w:jc w:val="center"/>
              <w:rPr>
                <w:sz w:val="20"/>
                <w:szCs w:val="20"/>
              </w:rPr>
            </w:pPr>
            <w:r>
              <w:rPr>
                <w:sz w:val="20"/>
                <w:szCs w:val="20"/>
              </w:rPr>
              <w:t>Котельная «2БВК»</w:t>
            </w:r>
          </w:p>
        </w:tc>
        <w:tc>
          <w:tcPr>
            <w:tcW w:w="667" w:type="pct"/>
            <w:vMerge w:val="restart"/>
            <w:tcBorders>
              <w:top w:val="nil"/>
              <w:left w:val="single" w:color="auto" w:sz="4" w:space="0"/>
              <w:bottom w:val="single" w:color="000000" w:sz="4" w:space="0"/>
              <w:right w:val="single" w:color="auto" w:sz="4" w:space="0"/>
            </w:tcBorders>
            <w:shd w:val="clear" w:color="auto" w:fill="auto"/>
            <w:vAlign w:val="center"/>
          </w:tcPr>
          <w:p w14:paraId="017922D9">
            <w:pPr>
              <w:spacing w:after="0" w:line="240" w:lineRule="auto"/>
              <w:ind w:firstLine="0"/>
              <w:contextualSpacing/>
              <w:jc w:val="center"/>
              <w:rPr>
                <w:sz w:val="20"/>
                <w:szCs w:val="20"/>
              </w:rPr>
            </w:pPr>
            <w:r>
              <w:rPr>
                <w:sz w:val="20"/>
                <w:szCs w:val="20"/>
              </w:rPr>
              <w:t>Двух-четырехтрубные кольцевые, нерезервированные</w:t>
            </w:r>
          </w:p>
        </w:tc>
        <w:tc>
          <w:tcPr>
            <w:tcW w:w="5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701A69">
            <w:pPr>
              <w:spacing w:after="0" w:line="240" w:lineRule="auto"/>
              <w:ind w:firstLine="0"/>
              <w:contextualSpacing/>
              <w:jc w:val="center"/>
              <w:rPr>
                <w:sz w:val="20"/>
                <w:szCs w:val="20"/>
              </w:rPr>
            </w:pPr>
            <w:r>
              <w:rPr>
                <w:sz w:val="20"/>
                <w:szCs w:val="20"/>
              </w:rPr>
              <w:t>Подземная бесканальная и надземная на низких опорах</w:t>
            </w:r>
          </w:p>
        </w:tc>
        <w:tc>
          <w:tcPr>
            <w:tcW w:w="321"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E1884C4">
            <w:pPr>
              <w:spacing w:after="0" w:line="240" w:lineRule="auto"/>
              <w:ind w:firstLine="0"/>
              <w:contextualSpacing/>
              <w:jc w:val="center"/>
              <w:rPr>
                <w:sz w:val="20"/>
                <w:szCs w:val="20"/>
              </w:rPr>
            </w:pPr>
            <w:r>
              <w:rPr>
                <w:sz w:val="20"/>
                <w:szCs w:val="20"/>
              </w:rPr>
              <w:t>2003 и позже - 5%</w:t>
            </w:r>
            <w:r>
              <w:rPr>
                <w:sz w:val="20"/>
                <w:szCs w:val="20"/>
              </w:rPr>
              <w:br w:type="textWrapping"/>
            </w:r>
            <w:r>
              <w:rPr>
                <w:sz w:val="20"/>
                <w:szCs w:val="20"/>
              </w:rPr>
              <w:t>2002 и раньше - 95%</w:t>
            </w:r>
          </w:p>
        </w:tc>
        <w:tc>
          <w:tcPr>
            <w:tcW w:w="356" w:type="pct"/>
            <w:vMerge w:val="restart"/>
            <w:tcBorders>
              <w:top w:val="nil"/>
              <w:left w:val="single" w:color="auto" w:sz="4" w:space="0"/>
              <w:bottom w:val="single" w:color="auto" w:sz="4" w:space="0"/>
              <w:right w:val="single" w:color="auto" w:sz="4" w:space="0"/>
            </w:tcBorders>
            <w:shd w:val="clear" w:color="auto" w:fill="auto"/>
            <w:vAlign w:val="center"/>
          </w:tcPr>
          <w:p w14:paraId="5AB745D8">
            <w:pPr>
              <w:spacing w:after="0" w:line="240" w:lineRule="auto"/>
              <w:ind w:firstLine="0"/>
              <w:contextualSpacing/>
              <w:jc w:val="center"/>
              <w:rPr>
                <w:sz w:val="20"/>
                <w:szCs w:val="20"/>
              </w:rPr>
            </w:pPr>
            <w:r>
              <w:rPr>
                <w:sz w:val="20"/>
                <w:szCs w:val="20"/>
              </w:rPr>
              <w:t>нет</w:t>
            </w:r>
          </w:p>
        </w:tc>
        <w:tc>
          <w:tcPr>
            <w:tcW w:w="653" w:type="pct"/>
            <w:vMerge w:val="continue"/>
            <w:tcBorders>
              <w:top w:val="nil"/>
              <w:left w:val="single" w:color="auto" w:sz="4" w:space="0"/>
              <w:bottom w:val="single" w:color="auto" w:sz="4" w:space="0"/>
              <w:right w:val="single" w:color="auto" w:sz="4" w:space="0"/>
            </w:tcBorders>
            <w:vAlign w:val="center"/>
          </w:tcPr>
          <w:p w14:paraId="4E461D4F">
            <w:pPr>
              <w:spacing w:after="0" w:line="240" w:lineRule="auto"/>
              <w:ind w:firstLine="0"/>
              <w:contextualSpacing/>
              <w:jc w:val="center"/>
              <w:rPr>
                <w:sz w:val="20"/>
                <w:szCs w:val="20"/>
              </w:rPr>
            </w:pPr>
          </w:p>
        </w:tc>
        <w:tc>
          <w:tcPr>
            <w:tcW w:w="387" w:type="pct"/>
            <w:vMerge w:val="continue"/>
            <w:tcBorders>
              <w:top w:val="nil"/>
              <w:left w:val="single" w:color="auto" w:sz="4" w:space="0"/>
              <w:bottom w:val="single" w:color="000000" w:sz="4" w:space="0"/>
              <w:right w:val="single" w:color="auto" w:sz="4" w:space="0"/>
            </w:tcBorders>
            <w:vAlign w:val="center"/>
          </w:tcPr>
          <w:p w14:paraId="541FB984">
            <w:pPr>
              <w:spacing w:after="0" w:line="240" w:lineRule="auto"/>
              <w:ind w:firstLine="0"/>
              <w:contextualSpacing/>
              <w:jc w:val="center"/>
              <w:rPr>
                <w:sz w:val="20"/>
                <w:szCs w:val="20"/>
              </w:rPr>
            </w:pPr>
          </w:p>
        </w:tc>
        <w:tc>
          <w:tcPr>
            <w:tcW w:w="632" w:type="pct"/>
            <w:vMerge w:val="continue"/>
            <w:tcBorders>
              <w:top w:val="nil"/>
              <w:left w:val="single" w:color="auto" w:sz="4" w:space="0"/>
              <w:bottom w:val="single" w:color="000000" w:sz="4" w:space="0"/>
              <w:right w:val="single" w:color="auto" w:sz="4" w:space="0"/>
            </w:tcBorders>
            <w:vAlign w:val="center"/>
          </w:tcPr>
          <w:p w14:paraId="42A01BCB">
            <w:pPr>
              <w:spacing w:after="0" w:line="240" w:lineRule="auto"/>
              <w:ind w:firstLine="0"/>
              <w:contextualSpacing/>
              <w:jc w:val="center"/>
              <w:rPr>
                <w:sz w:val="20"/>
                <w:szCs w:val="20"/>
              </w:rPr>
            </w:pPr>
          </w:p>
        </w:tc>
      </w:tr>
      <w:tr w14:paraId="61BCE815">
        <w:tblPrEx>
          <w:tblCellMar>
            <w:top w:w="0" w:type="dxa"/>
            <w:left w:w="28" w:type="dxa"/>
            <w:bottom w:w="0" w:type="dxa"/>
            <w:right w:w="28" w:type="dxa"/>
          </w:tblCellMar>
        </w:tblPrEx>
        <w:trPr>
          <w:trHeight w:val="85" w:hRule="atLeast"/>
        </w:trPr>
        <w:tc>
          <w:tcPr>
            <w:tcW w:w="667" w:type="pct"/>
            <w:vMerge w:val="continue"/>
            <w:tcBorders>
              <w:top w:val="single" w:color="auto" w:sz="4" w:space="0"/>
              <w:left w:val="single" w:color="auto" w:sz="4" w:space="0"/>
              <w:bottom w:val="single" w:color="000000" w:sz="4" w:space="0"/>
              <w:right w:val="single" w:color="000000" w:sz="4" w:space="0"/>
            </w:tcBorders>
            <w:vAlign w:val="center"/>
          </w:tcPr>
          <w:p w14:paraId="3D749870">
            <w:pPr>
              <w:spacing w:after="0" w:line="240" w:lineRule="auto"/>
              <w:ind w:firstLine="0"/>
              <w:contextualSpacing/>
              <w:jc w:val="center"/>
              <w:rPr>
                <w:sz w:val="20"/>
                <w:szCs w:val="20"/>
              </w:rPr>
            </w:pPr>
          </w:p>
        </w:tc>
        <w:tc>
          <w:tcPr>
            <w:tcW w:w="805" w:type="pct"/>
            <w:tcBorders>
              <w:top w:val="nil"/>
              <w:left w:val="nil"/>
              <w:bottom w:val="single" w:color="auto" w:sz="4" w:space="0"/>
              <w:right w:val="single" w:color="auto" w:sz="4" w:space="0"/>
            </w:tcBorders>
            <w:shd w:val="clear" w:color="auto" w:fill="auto"/>
            <w:vAlign w:val="center"/>
          </w:tcPr>
          <w:p w14:paraId="3116E6D0">
            <w:pPr>
              <w:spacing w:after="0" w:line="240" w:lineRule="auto"/>
              <w:ind w:firstLine="0"/>
              <w:contextualSpacing/>
              <w:jc w:val="center"/>
              <w:rPr>
                <w:sz w:val="20"/>
                <w:szCs w:val="20"/>
              </w:rPr>
            </w:pPr>
            <w:r>
              <w:rPr>
                <w:sz w:val="20"/>
                <w:szCs w:val="20"/>
              </w:rPr>
              <w:t>Котельная «Вирбекс»</w:t>
            </w:r>
          </w:p>
        </w:tc>
        <w:tc>
          <w:tcPr>
            <w:tcW w:w="667" w:type="pct"/>
            <w:vMerge w:val="continue"/>
            <w:tcBorders>
              <w:top w:val="nil"/>
              <w:left w:val="single" w:color="auto" w:sz="4" w:space="0"/>
              <w:bottom w:val="single" w:color="000000" w:sz="4" w:space="0"/>
              <w:right w:val="single" w:color="auto" w:sz="4" w:space="0"/>
            </w:tcBorders>
            <w:vAlign w:val="center"/>
          </w:tcPr>
          <w:p w14:paraId="07242E7E">
            <w:pPr>
              <w:spacing w:after="0" w:line="240" w:lineRule="auto"/>
              <w:ind w:firstLine="0"/>
              <w:contextualSpacing/>
              <w:jc w:val="center"/>
              <w:rPr>
                <w:sz w:val="20"/>
                <w:szCs w:val="20"/>
              </w:rPr>
            </w:pPr>
          </w:p>
        </w:tc>
        <w:tc>
          <w:tcPr>
            <w:tcW w:w="512" w:type="pct"/>
            <w:vMerge w:val="continue"/>
            <w:tcBorders>
              <w:top w:val="single" w:color="auto" w:sz="4" w:space="0"/>
              <w:left w:val="single" w:color="auto" w:sz="4" w:space="0"/>
              <w:bottom w:val="single" w:color="auto" w:sz="4" w:space="0"/>
              <w:right w:val="single" w:color="auto" w:sz="4" w:space="0"/>
            </w:tcBorders>
            <w:vAlign w:val="center"/>
          </w:tcPr>
          <w:p w14:paraId="17ADFB26">
            <w:pPr>
              <w:spacing w:after="0" w:line="240" w:lineRule="auto"/>
              <w:ind w:firstLine="0"/>
              <w:contextualSpacing/>
              <w:jc w:val="center"/>
              <w:rPr>
                <w:sz w:val="20"/>
                <w:szCs w:val="20"/>
              </w:rPr>
            </w:pPr>
          </w:p>
        </w:tc>
        <w:tc>
          <w:tcPr>
            <w:tcW w:w="321" w:type="pct"/>
            <w:vMerge w:val="continue"/>
            <w:tcBorders>
              <w:top w:val="single" w:color="auto" w:sz="4" w:space="0"/>
              <w:left w:val="single" w:color="auto" w:sz="4" w:space="0"/>
              <w:bottom w:val="single" w:color="000000" w:sz="4" w:space="0"/>
              <w:right w:val="single" w:color="auto" w:sz="4" w:space="0"/>
            </w:tcBorders>
            <w:vAlign w:val="center"/>
          </w:tcPr>
          <w:p w14:paraId="6328E185">
            <w:pPr>
              <w:spacing w:after="0" w:line="240" w:lineRule="auto"/>
              <w:ind w:firstLine="0"/>
              <w:contextualSpacing/>
              <w:jc w:val="center"/>
              <w:rPr>
                <w:sz w:val="20"/>
                <w:szCs w:val="20"/>
              </w:rPr>
            </w:pPr>
          </w:p>
        </w:tc>
        <w:tc>
          <w:tcPr>
            <w:tcW w:w="356" w:type="pct"/>
            <w:vMerge w:val="continue"/>
            <w:tcBorders>
              <w:top w:val="nil"/>
              <w:left w:val="single" w:color="auto" w:sz="4" w:space="0"/>
              <w:bottom w:val="single" w:color="auto" w:sz="4" w:space="0"/>
              <w:right w:val="single" w:color="auto" w:sz="4" w:space="0"/>
            </w:tcBorders>
            <w:vAlign w:val="center"/>
          </w:tcPr>
          <w:p w14:paraId="6B2A7A32">
            <w:pPr>
              <w:spacing w:after="0" w:line="240" w:lineRule="auto"/>
              <w:ind w:firstLine="0"/>
              <w:contextualSpacing/>
              <w:jc w:val="center"/>
              <w:rPr>
                <w:sz w:val="20"/>
                <w:szCs w:val="20"/>
              </w:rPr>
            </w:pPr>
          </w:p>
        </w:tc>
        <w:tc>
          <w:tcPr>
            <w:tcW w:w="653" w:type="pct"/>
            <w:vMerge w:val="continue"/>
            <w:tcBorders>
              <w:top w:val="nil"/>
              <w:left w:val="single" w:color="auto" w:sz="4" w:space="0"/>
              <w:bottom w:val="single" w:color="auto" w:sz="4" w:space="0"/>
              <w:right w:val="single" w:color="auto" w:sz="4" w:space="0"/>
            </w:tcBorders>
            <w:vAlign w:val="center"/>
          </w:tcPr>
          <w:p w14:paraId="32938A25">
            <w:pPr>
              <w:spacing w:after="0" w:line="240" w:lineRule="auto"/>
              <w:ind w:firstLine="0"/>
              <w:contextualSpacing/>
              <w:jc w:val="center"/>
              <w:rPr>
                <w:sz w:val="20"/>
                <w:szCs w:val="20"/>
              </w:rPr>
            </w:pPr>
          </w:p>
        </w:tc>
        <w:tc>
          <w:tcPr>
            <w:tcW w:w="387" w:type="pct"/>
            <w:vMerge w:val="continue"/>
            <w:tcBorders>
              <w:top w:val="nil"/>
              <w:left w:val="single" w:color="auto" w:sz="4" w:space="0"/>
              <w:bottom w:val="single" w:color="000000" w:sz="4" w:space="0"/>
              <w:right w:val="single" w:color="auto" w:sz="4" w:space="0"/>
            </w:tcBorders>
            <w:vAlign w:val="center"/>
          </w:tcPr>
          <w:p w14:paraId="55C689E7">
            <w:pPr>
              <w:spacing w:after="0" w:line="240" w:lineRule="auto"/>
              <w:ind w:firstLine="0"/>
              <w:contextualSpacing/>
              <w:jc w:val="center"/>
              <w:rPr>
                <w:sz w:val="20"/>
                <w:szCs w:val="20"/>
              </w:rPr>
            </w:pPr>
          </w:p>
        </w:tc>
        <w:tc>
          <w:tcPr>
            <w:tcW w:w="632" w:type="pct"/>
            <w:vMerge w:val="continue"/>
            <w:tcBorders>
              <w:top w:val="nil"/>
              <w:left w:val="single" w:color="auto" w:sz="4" w:space="0"/>
              <w:bottom w:val="single" w:color="000000" w:sz="4" w:space="0"/>
              <w:right w:val="single" w:color="auto" w:sz="4" w:space="0"/>
            </w:tcBorders>
            <w:vAlign w:val="center"/>
          </w:tcPr>
          <w:p w14:paraId="7BB7F797">
            <w:pPr>
              <w:spacing w:after="0" w:line="240" w:lineRule="auto"/>
              <w:ind w:firstLine="0"/>
              <w:contextualSpacing/>
              <w:jc w:val="center"/>
              <w:rPr>
                <w:sz w:val="20"/>
                <w:szCs w:val="20"/>
              </w:rPr>
            </w:pPr>
          </w:p>
        </w:tc>
      </w:tr>
      <w:tr w14:paraId="5E6D793E">
        <w:tblPrEx>
          <w:tblCellMar>
            <w:top w:w="0" w:type="dxa"/>
            <w:left w:w="28" w:type="dxa"/>
            <w:bottom w:w="0" w:type="dxa"/>
            <w:right w:w="28" w:type="dxa"/>
          </w:tblCellMar>
        </w:tblPrEx>
        <w:trPr>
          <w:trHeight w:val="570" w:hRule="atLeast"/>
        </w:trPr>
        <w:tc>
          <w:tcPr>
            <w:tcW w:w="667" w:type="pct"/>
            <w:vMerge w:val="continue"/>
            <w:tcBorders>
              <w:top w:val="single" w:color="auto" w:sz="4" w:space="0"/>
              <w:left w:val="single" w:color="auto" w:sz="4" w:space="0"/>
              <w:bottom w:val="single" w:color="000000" w:sz="4" w:space="0"/>
              <w:right w:val="single" w:color="000000" w:sz="4" w:space="0"/>
            </w:tcBorders>
            <w:vAlign w:val="center"/>
          </w:tcPr>
          <w:p w14:paraId="7960BAA9">
            <w:pPr>
              <w:spacing w:after="0" w:line="240" w:lineRule="auto"/>
              <w:ind w:firstLine="0"/>
              <w:contextualSpacing/>
              <w:jc w:val="center"/>
              <w:rPr>
                <w:sz w:val="20"/>
                <w:szCs w:val="20"/>
              </w:rPr>
            </w:pPr>
          </w:p>
        </w:tc>
        <w:tc>
          <w:tcPr>
            <w:tcW w:w="805" w:type="pct"/>
            <w:tcBorders>
              <w:top w:val="nil"/>
              <w:left w:val="nil"/>
              <w:bottom w:val="single" w:color="auto" w:sz="4" w:space="0"/>
              <w:right w:val="single" w:color="auto" w:sz="4" w:space="0"/>
            </w:tcBorders>
            <w:shd w:val="clear" w:color="auto" w:fill="auto"/>
            <w:vAlign w:val="center"/>
          </w:tcPr>
          <w:p w14:paraId="76F164C3">
            <w:pPr>
              <w:spacing w:after="0" w:line="240" w:lineRule="auto"/>
              <w:ind w:firstLine="0"/>
              <w:contextualSpacing/>
              <w:jc w:val="center"/>
              <w:rPr>
                <w:sz w:val="20"/>
                <w:szCs w:val="20"/>
              </w:rPr>
            </w:pPr>
            <w:r>
              <w:rPr>
                <w:sz w:val="20"/>
                <w:szCs w:val="20"/>
              </w:rPr>
              <w:t>Теплоутилизационные установки КС «Верхнеказымская»</w:t>
            </w:r>
          </w:p>
        </w:tc>
        <w:tc>
          <w:tcPr>
            <w:tcW w:w="667" w:type="pct"/>
            <w:vMerge w:val="continue"/>
            <w:tcBorders>
              <w:top w:val="nil"/>
              <w:left w:val="single" w:color="auto" w:sz="4" w:space="0"/>
              <w:bottom w:val="single" w:color="000000" w:sz="4" w:space="0"/>
              <w:right w:val="single" w:color="auto" w:sz="4" w:space="0"/>
            </w:tcBorders>
            <w:vAlign w:val="center"/>
          </w:tcPr>
          <w:p w14:paraId="3D352BD3">
            <w:pPr>
              <w:spacing w:after="0" w:line="240" w:lineRule="auto"/>
              <w:ind w:firstLine="0"/>
              <w:contextualSpacing/>
              <w:jc w:val="center"/>
              <w:rPr>
                <w:sz w:val="20"/>
                <w:szCs w:val="20"/>
              </w:rPr>
            </w:pPr>
          </w:p>
        </w:tc>
        <w:tc>
          <w:tcPr>
            <w:tcW w:w="512" w:type="pct"/>
            <w:vMerge w:val="continue"/>
            <w:tcBorders>
              <w:top w:val="single" w:color="auto" w:sz="4" w:space="0"/>
              <w:left w:val="single" w:color="auto" w:sz="4" w:space="0"/>
              <w:bottom w:val="single" w:color="auto" w:sz="4" w:space="0"/>
              <w:right w:val="single" w:color="auto" w:sz="4" w:space="0"/>
            </w:tcBorders>
            <w:vAlign w:val="center"/>
          </w:tcPr>
          <w:p w14:paraId="3D6B7E8E">
            <w:pPr>
              <w:spacing w:after="0" w:line="240" w:lineRule="auto"/>
              <w:ind w:firstLine="0"/>
              <w:contextualSpacing/>
              <w:jc w:val="center"/>
              <w:rPr>
                <w:sz w:val="20"/>
                <w:szCs w:val="20"/>
              </w:rPr>
            </w:pPr>
          </w:p>
        </w:tc>
        <w:tc>
          <w:tcPr>
            <w:tcW w:w="321" w:type="pct"/>
            <w:vMerge w:val="continue"/>
            <w:tcBorders>
              <w:top w:val="single" w:color="auto" w:sz="4" w:space="0"/>
              <w:left w:val="single" w:color="auto" w:sz="4" w:space="0"/>
              <w:bottom w:val="single" w:color="000000" w:sz="4" w:space="0"/>
              <w:right w:val="single" w:color="auto" w:sz="4" w:space="0"/>
            </w:tcBorders>
            <w:vAlign w:val="center"/>
          </w:tcPr>
          <w:p w14:paraId="5F45590F">
            <w:pPr>
              <w:spacing w:after="0" w:line="240" w:lineRule="auto"/>
              <w:ind w:firstLine="0"/>
              <w:contextualSpacing/>
              <w:jc w:val="center"/>
              <w:rPr>
                <w:sz w:val="20"/>
                <w:szCs w:val="20"/>
              </w:rPr>
            </w:pPr>
          </w:p>
        </w:tc>
        <w:tc>
          <w:tcPr>
            <w:tcW w:w="356" w:type="pct"/>
            <w:vMerge w:val="continue"/>
            <w:tcBorders>
              <w:top w:val="nil"/>
              <w:left w:val="single" w:color="auto" w:sz="4" w:space="0"/>
              <w:bottom w:val="single" w:color="auto" w:sz="4" w:space="0"/>
              <w:right w:val="single" w:color="auto" w:sz="4" w:space="0"/>
            </w:tcBorders>
            <w:vAlign w:val="center"/>
          </w:tcPr>
          <w:p w14:paraId="6FB70466">
            <w:pPr>
              <w:spacing w:after="0" w:line="240" w:lineRule="auto"/>
              <w:ind w:firstLine="0"/>
              <w:contextualSpacing/>
              <w:jc w:val="center"/>
              <w:rPr>
                <w:sz w:val="20"/>
                <w:szCs w:val="20"/>
              </w:rPr>
            </w:pPr>
          </w:p>
        </w:tc>
        <w:tc>
          <w:tcPr>
            <w:tcW w:w="653" w:type="pct"/>
            <w:vMerge w:val="continue"/>
            <w:tcBorders>
              <w:top w:val="nil"/>
              <w:left w:val="single" w:color="auto" w:sz="4" w:space="0"/>
              <w:bottom w:val="single" w:color="auto" w:sz="4" w:space="0"/>
              <w:right w:val="single" w:color="auto" w:sz="4" w:space="0"/>
            </w:tcBorders>
            <w:vAlign w:val="center"/>
          </w:tcPr>
          <w:p w14:paraId="6E396F0C">
            <w:pPr>
              <w:spacing w:after="0" w:line="240" w:lineRule="auto"/>
              <w:ind w:firstLine="0"/>
              <w:contextualSpacing/>
              <w:jc w:val="center"/>
              <w:rPr>
                <w:sz w:val="20"/>
                <w:szCs w:val="20"/>
              </w:rPr>
            </w:pPr>
          </w:p>
        </w:tc>
        <w:tc>
          <w:tcPr>
            <w:tcW w:w="387" w:type="pct"/>
            <w:vMerge w:val="continue"/>
            <w:tcBorders>
              <w:top w:val="nil"/>
              <w:left w:val="single" w:color="auto" w:sz="4" w:space="0"/>
              <w:bottom w:val="single" w:color="000000" w:sz="4" w:space="0"/>
              <w:right w:val="single" w:color="auto" w:sz="4" w:space="0"/>
            </w:tcBorders>
            <w:vAlign w:val="center"/>
          </w:tcPr>
          <w:p w14:paraId="09C52E32">
            <w:pPr>
              <w:spacing w:after="0" w:line="240" w:lineRule="auto"/>
              <w:ind w:firstLine="0"/>
              <w:contextualSpacing/>
              <w:jc w:val="center"/>
              <w:rPr>
                <w:sz w:val="20"/>
                <w:szCs w:val="20"/>
              </w:rPr>
            </w:pPr>
          </w:p>
        </w:tc>
        <w:tc>
          <w:tcPr>
            <w:tcW w:w="632" w:type="pct"/>
            <w:vMerge w:val="continue"/>
            <w:tcBorders>
              <w:top w:val="nil"/>
              <w:left w:val="single" w:color="auto" w:sz="4" w:space="0"/>
              <w:bottom w:val="single" w:color="000000" w:sz="4" w:space="0"/>
              <w:right w:val="single" w:color="auto" w:sz="4" w:space="0"/>
            </w:tcBorders>
            <w:vAlign w:val="center"/>
          </w:tcPr>
          <w:p w14:paraId="0B500756">
            <w:pPr>
              <w:spacing w:after="0" w:line="240" w:lineRule="auto"/>
              <w:ind w:firstLine="0"/>
              <w:contextualSpacing/>
              <w:jc w:val="center"/>
              <w:rPr>
                <w:sz w:val="20"/>
                <w:szCs w:val="20"/>
              </w:rPr>
            </w:pPr>
          </w:p>
        </w:tc>
      </w:tr>
    </w:tbl>
    <w:p w14:paraId="41338D2C">
      <w:pPr>
        <w:spacing w:after="0" w:line="240" w:lineRule="auto"/>
        <w:contextualSpacing/>
        <w:jc w:val="both"/>
        <w:rPr>
          <w:sz w:val="24"/>
          <w:szCs w:val="24"/>
        </w:rPr>
      </w:pPr>
    </w:p>
    <w:p w14:paraId="43EA3FB4">
      <w:pPr>
        <w:tabs>
          <w:tab w:val="left" w:pos="1418"/>
        </w:tabs>
        <w:spacing w:after="0" w:line="240" w:lineRule="auto"/>
        <w:contextualSpacing/>
        <w:jc w:val="both"/>
        <w:rPr>
          <w:bCs/>
          <w:sz w:val="24"/>
          <w:szCs w:val="24"/>
        </w:rPr>
      </w:pPr>
      <w:r>
        <w:rPr>
          <w:sz w:val="24"/>
          <w:szCs w:val="24"/>
        </w:rPr>
        <w:t xml:space="preserve">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w:t>
      </w:r>
      <w:r>
        <w:rPr>
          <w:bCs/>
          <w:sz w:val="24"/>
          <w:szCs w:val="24"/>
        </w:rPr>
        <w:t>удельная материальная характеристика тепловой сети.</w:t>
      </w:r>
    </w:p>
    <w:p w14:paraId="5D24816D">
      <w:pPr>
        <w:tabs>
          <w:tab w:val="left" w:pos="1418"/>
        </w:tabs>
        <w:spacing w:after="0" w:line="240" w:lineRule="auto"/>
        <w:contextualSpacing/>
        <w:jc w:val="both"/>
        <w:rPr>
          <w:bCs/>
          <w:sz w:val="24"/>
          <w:szCs w:val="24"/>
        </w:rPr>
      </w:pPr>
      <w:r>
        <w:rPr>
          <w:bCs/>
          <w:sz w:val="24"/>
          <w:szCs w:val="24"/>
        </w:rPr>
        <w:t>Материальная характеристика тепловой сети определяется, как сумма материальных характеристик подающей и обратной линий.</w:t>
      </w:r>
    </w:p>
    <w:p w14:paraId="528FE707">
      <w:pPr>
        <w:tabs>
          <w:tab w:val="left" w:pos="1418"/>
        </w:tabs>
        <w:spacing w:after="0" w:line="240" w:lineRule="auto"/>
        <w:contextualSpacing/>
        <w:jc w:val="both"/>
        <w:rPr>
          <w:bCs/>
          <w:sz w:val="24"/>
          <w:szCs w:val="24"/>
        </w:rPr>
      </w:pPr>
      <w:r>
        <w:rPr>
          <w:bCs/>
          <w:sz w:val="24"/>
          <w:szCs w:val="24"/>
        </w:rPr>
        <w:t>Удельная материальная характеристика тепловой сети является одним из индикаторов эффективности централизованного теплоснабжения. Она является индикатором возможного уровня потерь теплоты при ее передаче (транспорте) по тепловым сетям и позволяет оценить зону эффективного применения централизованного теплоснабжения.</w:t>
      </w:r>
    </w:p>
    <w:p w14:paraId="7F982D7A">
      <w:pPr>
        <w:tabs>
          <w:tab w:val="left" w:pos="1418"/>
        </w:tabs>
        <w:spacing w:after="0" w:line="240" w:lineRule="auto"/>
        <w:contextualSpacing/>
        <w:jc w:val="both"/>
        <w:rPr>
          <w:bCs/>
          <w:sz w:val="24"/>
          <w:szCs w:val="24"/>
        </w:rPr>
      </w:pPr>
      <w:r>
        <w:rPr>
          <w:bCs/>
          <w:sz w:val="24"/>
          <w:szCs w:val="24"/>
        </w:rPr>
        <w:t>Материальные и удельные материальные характеристики тепловых сетей с.п. Верхнеказымский представлены в таблице 21.</w:t>
      </w:r>
    </w:p>
    <w:p w14:paraId="65F37711">
      <w:pPr>
        <w:spacing w:after="0" w:line="240" w:lineRule="auto"/>
        <w:contextualSpacing/>
        <w:jc w:val="both"/>
        <w:rPr>
          <w:sz w:val="24"/>
          <w:szCs w:val="24"/>
        </w:rPr>
      </w:pPr>
    </w:p>
    <w:p w14:paraId="2EFC42AC">
      <w:pPr>
        <w:keepNext/>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21</w:t>
      </w:r>
      <w:r>
        <w:rPr>
          <w:bCs/>
          <w:sz w:val="24"/>
          <w:szCs w:val="24"/>
        </w:rPr>
        <w:fldChar w:fldCharType="end"/>
      </w:r>
      <w:r>
        <w:rPr>
          <w:bCs/>
          <w:sz w:val="24"/>
          <w:szCs w:val="24"/>
        </w:rPr>
        <w:t xml:space="preserve"> – Характеристика участков тепловой сети</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4"/>
        <w:gridCol w:w="4096"/>
        <w:gridCol w:w="2595"/>
        <w:gridCol w:w="2309"/>
        <w:gridCol w:w="73"/>
        <w:gridCol w:w="2005"/>
      </w:tblGrid>
      <w:tr w14:paraId="05D8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4" w:type="pct"/>
            <w:shd w:val="clear" w:color="auto" w:fill="auto"/>
            <w:tcMar>
              <w:left w:w="28" w:type="dxa"/>
              <w:right w:w="28" w:type="dxa"/>
            </w:tcMar>
            <w:vAlign w:val="center"/>
          </w:tcPr>
          <w:p w14:paraId="19C19985">
            <w:pPr>
              <w:spacing w:after="0" w:line="240" w:lineRule="auto"/>
              <w:ind w:firstLine="0"/>
              <w:contextualSpacing/>
              <w:jc w:val="center"/>
              <w:rPr>
                <w:color w:val="000000"/>
                <w:sz w:val="20"/>
                <w:szCs w:val="20"/>
              </w:rPr>
            </w:pPr>
            <w:r>
              <w:rPr>
                <w:color w:val="000000"/>
                <w:sz w:val="20"/>
                <w:szCs w:val="20"/>
              </w:rPr>
              <w:t>Диаметр трубопровода, мм</w:t>
            </w:r>
          </w:p>
        </w:tc>
        <w:tc>
          <w:tcPr>
            <w:tcW w:w="1348" w:type="pct"/>
            <w:shd w:val="clear" w:color="auto" w:fill="auto"/>
            <w:tcMar>
              <w:left w:w="28" w:type="dxa"/>
              <w:right w:w="28" w:type="dxa"/>
            </w:tcMar>
            <w:vAlign w:val="center"/>
          </w:tcPr>
          <w:p w14:paraId="63FBB53D">
            <w:pPr>
              <w:spacing w:after="0" w:line="240" w:lineRule="auto"/>
              <w:ind w:firstLine="0"/>
              <w:contextualSpacing/>
              <w:jc w:val="center"/>
              <w:rPr>
                <w:color w:val="000000"/>
                <w:sz w:val="20"/>
                <w:szCs w:val="20"/>
              </w:rPr>
            </w:pPr>
            <w:r>
              <w:rPr>
                <w:color w:val="000000"/>
                <w:sz w:val="20"/>
                <w:szCs w:val="20"/>
              </w:rPr>
              <w:t>Длина трубопровода, м</w:t>
            </w:r>
          </w:p>
        </w:tc>
        <w:tc>
          <w:tcPr>
            <w:tcW w:w="854" w:type="pct"/>
            <w:tcMar>
              <w:left w:w="28" w:type="dxa"/>
              <w:right w:w="28" w:type="dxa"/>
            </w:tcMar>
            <w:vAlign w:val="center"/>
          </w:tcPr>
          <w:p w14:paraId="532A887E">
            <w:pPr>
              <w:spacing w:after="0" w:line="240" w:lineRule="auto"/>
              <w:ind w:firstLine="0"/>
              <w:contextualSpacing/>
              <w:jc w:val="center"/>
              <w:rPr>
                <w:color w:val="000000"/>
                <w:sz w:val="20"/>
                <w:szCs w:val="20"/>
              </w:rPr>
            </w:pPr>
            <w:r>
              <w:rPr>
                <w:color w:val="000000"/>
                <w:sz w:val="20"/>
                <w:szCs w:val="20"/>
              </w:rPr>
              <w:t>Материальная характеристика сети, м</w:t>
            </w:r>
            <w:r>
              <w:rPr>
                <w:color w:val="000000"/>
                <w:sz w:val="20"/>
                <w:szCs w:val="20"/>
                <w:vertAlign w:val="superscript"/>
              </w:rPr>
              <w:t>2</w:t>
            </w:r>
          </w:p>
        </w:tc>
        <w:tc>
          <w:tcPr>
            <w:tcW w:w="784" w:type="pct"/>
            <w:gridSpan w:val="2"/>
            <w:shd w:val="clear" w:color="auto" w:fill="auto"/>
            <w:tcMar>
              <w:left w:w="28" w:type="dxa"/>
              <w:right w:w="28" w:type="dxa"/>
            </w:tcMar>
            <w:vAlign w:val="center"/>
          </w:tcPr>
          <w:p w14:paraId="52C3AF93">
            <w:pPr>
              <w:spacing w:after="0" w:line="240" w:lineRule="auto"/>
              <w:ind w:firstLine="0"/>
              <w:contextualSpacing/>
              <w:jc w:val="center"/>
              <w:rPr>
                <w:color w:val="000000"/>
                <w:sz w:val="20"/>
                <w:szCs w:val="20"/>
              </w:rPr>
            </w:pPr>
            <w:r>
              <w:rPr>
                <w:sz w:val="20"/>
                <w:szCs w:val="20"/>
              </w:rPr>
              <w:t>Присоединённая тепловая нагрузка, Гкал/ч</w:t>
            </w:r>
          </w:p>
        </w:tc>
        <w:tc>
          <w:tcPr>
            <w:tcW w:w="660" w:type="pct"/>
            <w:shd w:val="clear" w:color="auto" w:fill="auto"/>
            <w:tcMar>
              <w:left w:w="28" w:type="dxa"/>
              <w:right w:w="28" w:type="dxa"/>
            </w:tcMar>
            <w:vAlign w:val="center"/>
          </w:tcPr>
          <w:p w14:paraId="34986968">
            <w:pPr>
              <w:spacing w:after="0" w:line="240" w:lineRule="auto"/>
              <w:ind w:firstLine="0"/>
              <w:contextualSpacing/>
              <w:jc w:val="center"/>
              <w:rPr>
                <w:color w:val="000000"/>
                <w:sz w:val="20"/>
                <w:szCs w:val="20"/>
              </w:rPr>
            </w:pPr>
            <w:r>
              <w:rPr>
                <w:sz w:val="20"/>
                <w:szCs w:val="20"/>
              </w:rPr>
              <w:t>Удельная материальная характеристика, м</w:t>
            </w:r>
            <w:r>
              <w:rPr>
                <w:sz w:val="20"/>
                <w:szCs w:val="20"/>
                <w:vertAlign w:val="superscript"/>
              </w:rPr>
              <w:t>2</w:t>
            </w:r>
            <w:r>
              <w:rPr>
                <w:sz w:val="20"/>
                <w:szCs w:val="20"/>
              </w:rPr>
              <w:t>/Гкал/ч</w:t>
            </w:r>
          </w:p>
        </w:tc>
      </w:tr>
      <w:tr w14:paraId="40AC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Mar>
              <w:left w:w="28" w:type="dxa"/>
              <w:right w:w="28" w:type="dxa"/>
            </w:tcMar>
            <w:vAlign w:val="center"/>
          </w:tcPr>
          <w:p w14:paraId="5DCA38C8">
            <w:pPr>
              <w:spacing w:after="0" w:line="240" w:lineRule="auto"/>
              <w:ind w:firstLine="0"/>
              <w:contextualSpacing/>
              <w:jc w:val="center"/>
              <w:rPr>
                <w:color w:val="000000"/>
                <w:sz w:val="20"/>
                <w:szCs w:val="20"/>
              </w:rPr>
            </w:pPr>
            <w:r>
              <w:rPr>
                <w:sz w:val="20"/>
                <w:szCs w:val="20"/>
              </w:rPr>
              <w:t>МУП «БКС»</w:t>
            </w:r>
          </w:p>
        </w:tc>
      </w:tr>
      <w:tr w14:paraId="6D3E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4" w:type="pct"/>
            <w:shd w:val="clear" w:color="auto" w:fill="auto"/>
            <w:tcMar>
              <w:left w:w="28" w:type="dxa"/>
              <w:right w:w="28" w:type="dxa"/>
            </w:tcMar>
            <w:vAlign w:val="center"/>
          </w:tcPr>
          <w:p w14:paraId="1C802412">
            <w:pPr>
              <w:spacing w:after="0" w:line="240" w:lineRule="auto"/>
              <w:ind w:firstLine="0"/>
              <w:contextualSpacing/>
              <w:jc w:val="center"/>
              <w:rPr>
                <w:bCs/>
                <w:color w:val="000000"/>
                <w:sz w:val="20"/>
                <w:szCs w:val="20"/>
              </w:rPr>
            </w:pPr>
            <w:r>
              <w:rPr>
                <w:bCs/>
                <w:color w:val="000000"/>
                <w:sz w:val="20"/>
                <w:szCs w:val="20"/>
              </w:rPr>
              <w:t>Итого протяжённость сетей ТВС:</w:t>
            </w:r>
          </w:p>
        </w:tc>
        <w:tc>
          <w:tcPr>
            <w:tcW w:w="1348" w:type="pct"/>
            <w:shd w:val="clear" w:color="auto" w:fill="auto"/>
            <w:tcMar>
              <w:left w:w="28" w:type="dxa"/>
              <w:right w:w="28" w:type="dxa"/>
            </w:tcMar>
            <w:vAlign w:val="center"/>
          </w:tcPr>
          <w:p w14:paraId="23844F9A">
            <w:pPr>
              <w:spacing w:after="0" w:line="240" w:lineRule="auto"/>
              <w:ind w:firstLine="0"/>
              <w:contextualSpacing/>
              <w:jc w:val="center"/>
              <w:rPr>
                <w:bCs/>
                <w:color w:val="000000"/>
                <w:sz w:val="20"/>
                <w:szCs w:val="20"/>
              </w:rPr>
            </w:pPr>
            <w:r>
              <w:rPr>
                <w:bCs/>
                <w:color w:val="000000"/>
                <w:sz w:val="20"/>
                <w:szCs w:val="20"/>
              </w:rPr>
              <w:t>2980</w:t>
            </w:r>
          </w:p>
        </w:tc>
        <w:tc>
          <w:tcPr>
            <w:tcW w:w="854" w:type="pct"/>
            <w:tcMar>
              <w:left w:w="28" w:type="dxa"/>
              <w:right w:w="28" w:type="dxa"/>
            </w:tcMar>
            <w:vAlign w:val="center"/>
          </w:tcPr>
          <w:p w14:paraId="46DF807A">
            <w:pPr>
              <w:spacing w:after="0" w:line="240" w:lineRule="auto"/>
              <w:ind w:firstLine="0"/>
              <w:contextualSpacing/>
              <w:jc w:val="center"/>
              <w:rPr>
                <w:color w:val="000000"/>
                <w:sz w:val="20"/>
                <w:szCs w:val="20"/>
              </w:rPr>
            </w:pPr>
            <w:r>
              <w:rPr>
                <w:color w:val="000000"/>
                <w:sz w:val="20"/>
                <w:szCs w:val="20"/>
              </w:rPr>
              <w:t>261,170</w:t>
            </w:r>
          </w:p>
        </w:tc>
        <w:tc>
          <w:tcPr>
            <w:tcW w:w="760" w:type="pct"/>
            <w:shd w:val="clear" w:color="auto" w:fill="auto"/>
            <w:tcMar>
              <w:left w:w="28" w:type="dxa"/>
              <w:right w:w="28" w:type="dxa"/>
            </w:tcMar>
            <w:vAlign w:val="center"/>
          </w:tcPr>
          <w:p w14:paraId="038E4D1D">
            <w:pPr>
              <w:spacing w:after="0" w:line="240" w:lineRule="auto"/>
              <w:ind w:firstLine="0"/>
              <w:contextualSpacing/>
              <w:jc w:val="center"/>
              <w:rPr>
                <w:color w:val="000000"/>
                <w:sz w:val="20"/>
                <w:szCs w:val="20"/>
              </w:rPr>
            </w:pPr>
            <w:r>
              <w:rPr>
                <w:color w:val="000000"/>
                <w:sz w:val="20"/>
                <w:szCs w:val="20"/>
              </w:rPr>
              <w:t>1,72</w:t>
            </w:r>
          </w:p>
        </w:tc>
        <w:tc>
          <w:tcPr>
            <w:tcW w:w="684" w:type="pct"/>
            <w:gridSpan w:val="2"/>
            <w:shd w:val="clear" w:color="auto" w:fill="auto"/>
            <w:tcMar>
              <w:left w:w="28" w:type="dxa"/>
              <w:right w:w="28" w:type="dxa"/>
            </w:tcMar>
            <w:vAlign w:val="center"/>
          </w:tcPr>
          <w:p w14:paraId="3677A1CD">
            <w:pPr>
              <w:spacing w:after="0" w:line="240" w:lineRule="auto"/>
              <w:ind w:firstLine="0"/>
              <w:contextualSpacing/>
              <w:jc w:val="center"/>
              <w:rPr>
                <w:color w:val="000000"/>
                <w:sz w:val="20"/>
                <w:szCs w:val="20"/>
              </w:rPr>
            </w:pPr>
            <w:r>
              <w:rPr>
                <w:color w:val="000000"/>
                <w:sz w:val="20"/>
                <w:szCs w:val="20"/>
              </w:rPr>
              <w:t>164,672</w:t>
            </w:r>
          </w:p>
        </w:tc>
      </w:tr>
      <w:tr w14:paraId="4D5B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tcMar>
              <w:left w:w="28" w:type="dxa"/>
              <w:right w:w="28" w:type="dxa"/>
            </w:tcMar>
            <w:vAlign w:val="center"/>
          </w:tcPr>
          <w:p w14:paraId="64689710">
            <w:pPr>
              <w:spacing w:after="0" w:line="240" w:lineRule="auto"/>
              <w:ind w:firstLine="0"/>
              <w:contextualSpacing/>
              <w:jc w:val="center"/>
              <w:rPr>
                <w:color w:val="000000"/>
                <w:sz w:val="20"/>
                <w:szCs w:val="20"/>
              </w:rPr>
            </w:pPr>
            <w:r>
              <w:rPr>
                <w:rFonts w:eastAsia="Arial"/>
                <w:spacing w:val="-5"/>
                <w:sz w:val="20"/>
                <w:szCs w:val="20"/>
              </w:rPr>
              <w:t>ООО «Газпром трансгаз Югорск» Верхнеказымское ЛПУ МГ</w:t>
            </w:r>
          </w:p>
        </w:tc>
      </w:tr>
      <w:tr w14:paraId="429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4" w:type="pct"/>
            <w:shd w:val="clear" w:color="auto" w:fill="auto"/>
            <w:tcMar>
              <w:left w:w="28" w:type="dxa"/>
              <w:right w:w="28" w:type="dxa"/>
            </w:tcMar>
            <w:vAlign w:val="center"/>
          </w:tcPr>
          <w:p w14:paraId="089B5A22">
            <w:pPr>
              <w:spacing w:after="0" w:line="240" w:lineRule="auto"/>
              <w:ind w:firstLine="0"/>
              <w:contextualSpacing/>
              <w:jc w:val="center"/>
              <w:rPr>
                <w:bCs/>
                <w:color w:val="000000"/>
                <w:sz w:val="20"/>
                <w:szCs w:val="20"/>
              </w:rPr>
            </w:pPr>
            <w:r>
              <w:rPr>
                <w:bCs/>
                <w:color w:val="000000"/>
                <w:sz w:val="20"/>
                <w:szCs w:val="20"/>
              </w:rPr>
              <w:t>Итого протяжённость сетей ТВС:</w:t>
            </w:r>
          </w:p>
        </w:tc>
        <w:tc>
          <w:tcPr>
            <w:tcW w:w="1348" w:type="pct"/>
            <w:shd w:val="clear" w:color="auto" w:fill="auto"/>
            <w:tcMar>
              <w:left w:w="28" w:type="dxa"/>
              <w:right w:w="28" w:type="dxa"/>
            </w:tcMar>
            <w:vAlign w:val="center"/>
          </w:tcPr>
          <w:p w14:paraId="0154989E">
            <w:pPr>
              <w:spacing w:after="0" w:line="240" w:lineRule="auto"/>
              <w:ind w:firstLine="0"/>
              <w:contextualSpacing/>
              <w:jc w:val="center"/>
              <w:rPr>
                <w:bCs/>
                <w:color w:val="000000"/>
                <w:sz w:val="20"/>
                <w:szCs w:val="20"/>
              </w:rPr>
            </w:pPr>
            <w:r>
              <w:rPr>
                <w:bCs/>
                <w:color w:val="000000"/>
                <w:sz w:val="20"/>
                <w:szCs w:val="20"/>
              </w:rPr>
              <w:t>13690,9</w:t>
            </w:r>
          </w:p>
        </w:tc>
        <w:tc>
          <w:tcPr>
            <w:tcW w:w="854" w:type="pct"/>
            <w:tcMar>
              <w:left w:w="28" w:type="dxa"/>
              <w:right w:w="28" w:type="dxa"/>
            </w:tcMar>
            <w:vAlign w:val="center"/>
          </w:tcPr>
          <w:p w14:paraId="3FD7C1C4">
            <w:pPr>
              <w:spacing w:after="0" w:line="240" w:lineRule="auto"/>
              <w:ind w:firstLine="0"/>
              <w:contextualSpacing/>
              <w:jc w:val="center"/>
              <w:rPr>
                <w:color w:val="000000"/>
                <w:sz w:val="20"/>
                <w:szCs w:val="20"/>
              </w:rPr>
            </w:pPr>
            <w:r>
              <w:rPr>
                <w:color w:val="000000"/>
                <w:sz w:val="20"/>
                <w:szCs w:val="20"/>
              </w:rPr>
              <w:t>2131,909</w:t>
            </w:r>
          </w:p>
        </w:tc>
        <w:tc>
          <w:tcPr>
            <w:tcW w:w="760" w:type="pct"/>
            <w:shd w:val="clear" w:color="auto" w:fill="auto"/>
            <w:tcMar>
              <w:left w:w="28" w:type="dxa"/>
              <w:right w:w="28" w:type="dxa"/>
            </w:tcMar>
            <w:vAlign w:val="center"/>
          </w:tcPr>
          <w:p w14:paraId="762AA074">
            <w:pPr>
              <w:spacing w:after="0" w:line="240" w:lineRule="auto"/>
              <w:ind w:firstLine="0"/>
              <w:contextualSpacing/>
              <w:jc w:val="center"/>
              <w:rPr>
                <w:color w:val="000000"/>
                <w:sz w:val="20"/>
                <w:szCs w:val="20"/>
              </w:rPr>
            </w:pPr>
            <w:r>
              <w:rPr>
                <w:color w:val="000000"/>
                <w:sz w:val="20"/>
                <w:szCs w:val="20"/>
              </w:rPr>
              <w:t>1,68</w:t>
            </w:r>
          </w:p>
        </w:tc>
        <w:tc>
          <w:tcPr>
            <w:tcW w:w="684" w:type="pct"/>
            <w:gridSpan w:val="2"/>
            <w:shd w:val="clear" w:color="auto" w:fill="auto"/>
            <w:tcMar>
              <w:left w:w="28" w:type="dxa"/>
              <w:right w:w="28" w:type="dxa"/>
            </w:tcMar>
            <w:vAlign w:val="center"/>
          </w:tcPr>
          <w:p w14:paraId="160190F9">
            <w:pPr>
              <w:spacing w:after="0" w:line="240" w:lineRule="auto"/>
              <w:ind w:firstLine="0"/>
              <w:contextualSpacing/>
              <w:jc w:val="center"/>
              <w:rPr>
                <w:color w:val="000000"/>
                <w:sz w:val="20"/>
                <w:szCs w:val="20"/>
              </w:rPr>
            </w:pPr>
            <w:r>
              <w:rPr>
                <w:color w:val="000000"/>
                <w:sz w:val="20"/>
                <w:szCs w:val="20"/>
              </w:rPr>
              <w:t>156,989</w:t>
            </w:r>
          </w:p>
        </w:tc>
      </w:tr>
    </w:tbl>
    <w:p w14:paraId="378F4475">
      <w:pPr>
        <w:spacing w:after="0" w:line="240" w:lineRule="auto"/>
        <w:ind w:firstLine="425"/>
        <w:contextualSpacing/>
        <w:jc w:val="both"/>
        <w:rPr>
          <w:sz w:val="24"/>
          <w:szCs w:val="24"/>
        </w:rPr>
      </w:pPr>
    </w:p>
    <w:p w14:paraId="01E7D200">
      <w:pPr>
        <w:spacing w:after="0" w:line="240" w:lineRule="auto"/>
        <w:contextualSpacing/>
        <w:jc w:val="both"/>
        <w:rPr>
          <w:sz w:val="24"/>
          <w:szCs w:val="24"/>
        </w:rPr>
      </w:pPr>
    </w:p>
    <w:p w14:paraId="6E187DB4">
      <w:pPr>
        <w:spacing w:after="0" w:line="240" w:lineRule="auto"/>
        <w:contextualSpacing/>
        <w:jc w:val="both"/>
        <w:rPr>
          <w:sz w:val="24"/>
          <w:szCs w:val="24"/>
        </w:rPr>
        <w:sectPr>
          <w:pgSz w:w="16838" w:h="11906" w:orient="landscape"/>
          <w:pgMar w:top="1701" w:right="851" w:bottom="567" w:left="851" w:header="709" w:footer="567" w:gutter="0"/>
          <w:cols w:space="708" w:num="1"/>
          <w:docGrid w:linePitch="381" w:charSpace="0"/>
        </w:sectPr>
      </w:pPr>
    </w:p>
    <w:p w14:paraId="6E8949AD">
      <w:pPr>
        <w:pStyle w:val="4"/>
        <w:keepNext/>
        <w:spacing w:before="0" w:line="240" w:lineRule="auto"/>
        <w:ind w:left="0" w:firstLine="709"/>
        <w:contextualSpacing/>
        <w:rPr>
          <w:rFonts w:cs="Times New Roman"/>
          <w:b w:val="0"/>
          <w:sz w:val="24"/>
        </w:rPr>
      </w:pPr>
      <w:bookmarkStart w:id="98" w:name="_Toc429394129"/>
      <w:bookmarkStart w:id="99" w:name="_Toc527000615"/>
      <w:bookmarkStart w:id="100" w:name="_Toc182813881"/>
      <w:bookmarkStart w:id="101" w:name="_Toc384058611"/>
      <w:bookmarkStart w:id="102" w:name="_Toc386561001"/>
      <w:bookmarkStart w:id="103" w:name="_Hlk21355758"/>
      <w:r>
        <w:rPr>
          <w:rFonts w:cs="Times New Roman"/>
          <w:b w:val="0"/>
          <w:sz w:val="24"/>
        </w:rPr>
        <w:t>Описание типов и количества секционирующей и регулирующей арматуры на тепловых сетях</w:t>
      </w:r>
      <w:bookmarkEnd w:id="98"/>
      <w:bookmarkEnd w:id="99"/>
      <w:bookmarkEnd w:id="100"/>
      <w:bookmarkEnd w:id="101"/>
      <w:bookmarkEnd w:id="102"/>
    </w:p>
    <w:bookmarkEnd w:id="103"/>
    <w:p w14:paraId="468483D8">
      <w:pPr>
        <w:spacing w:after="0" w:line="240" w:lineRule="auto"/>
        <w:contextualSpacing/>
        <w:jc w:val="both"/>
        <w:rPr>
          <w:sz w:val="24"/>
          <w:szCs w:val="24"/>
        </w:rPr>
      </w:pPr>
      <w:r>
        <w:rPr>
          <w:sz w:val="24"/>
          <w:szCs w:val="24"/>
        </w:rPr>
        <w:t>Арматура на тепловых сетях поселка установлена в тепловых павильонах, а также открыто на трубопроводах с покрытием теплогидроизоляцией.</w:t>
      </w:r>
    </w:p>
    <w:p w14:paraId="4D49FD74">
      <w:pPr>
        <w:spacing w:after="0" w:line="240" w:lineRule="auto"/>
        <w:contextualSpacing/>
        <w:jc w:val="both"/>
        <w:rPr>
          <w:sz w:val="24"/>
          <w:szCs w:val="24"/>
        </w:rPr>
      </w:pPr>
      <w:r>
        <w:rPr>
          <w:sz w:val="24"/>
          <w:szCs w:val="24"/>
        </w:rPr>
        <w:t>Тепловые павильоны при надземной прокладке теплотрасс выполнены из легких металлических и деревянных конструкций.</w:t>
      </w:r>
    </w:p>
    <w:p w14:paraId="50E1F23F">
      <w:pPr>
        <w:spacing w:after="0" w:line="240" w:lineRule="auto"/>
        <w:contextualSpacing/>
        <w:jc w:val="both"/>
        <w:rPr>
          <w:sz w:val="24"/>
          <w:szCs w:val="24"/>
        </w:rPr>
      </w:pPr>
      <w:r>
        <w:rPr>
          <w:sz w:val="24"/>
          <w:szCs w:val="24"/>
        </w:rPr>
        <w:t>В качестве запорной и секционирующей арматуры на тепловых сетях поселка применяются стальные клиновые литые задвижки с выдвижным и не выдвижным шпинделем (типа 30с64нж, 30с941нж), шаровые краны, дисковые поворотные затворы.</w:t>
      </w:r>
    </w:p>
    <w:p w14:paraId="0C87AEFF">
      <w:pPr>
        <w:spacing w:after="0" w:line="240" w:lineRule="auto"/>
        <w:contextualSpacing/>
        <w:jc w:val="both"/>
        <w:rPr>
          <w:sz w:val="24"/>
          <w:szCs w:val="24"/>
        </w:rPr>
      </w:pPr>
      <w:r>
        <w:rPr>
          <w:sz w:val="24"/>
          <w:szCs w:val="24"/>
        </w:rPr>
        <w:t>Характеристика магистральных ТК (где есть арматура), ТП, ЦТП, павильонов ООО «Газпром трансгаз Югорск» Верхнеказымское ЛПУ МГ представлена в таблице 22.</w:t>
      </w:r>
    </w:p>
    <w:p w14:paraId="60469602">
      <w:pPr>
        <w:spacing w:after="0" w:line="240" w:lineRule="auto"/>
        <w:contextualSpacing/>
        <w:jc w:val="both"/>
        <w:rPr>
          <w:sz w:val="24"/>
          <w:szCs w:val="24"/>
        </w:rPr>
      </w:pPr>
    </w:p>
    <w:p w14:paraId="7B776BBA">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22</w:t>
      </w:r>
      <w:r>
        <w:rPr>
          <w:bCs/>
          <w:sz w:val="24"/>
          <w:szCs w:val="24"/>
        </w:rPr>
        <w:fldChar w:fldCharType="end"/>
      </w:r>
      <w:r>
        <w:rPr>
          <w:bCs/>
          <w:sz w:val="24"/>
          <w:szCs w:val="24"/>
        </w:rPr>
        <w:t xml:space="preserve"> – </w:t>
      </w:r>
      <w:r>
        <w:rPr>
          <w:sz w:val="24"/>
          <w:szCs w:val="24"/>
        </w:rPr>
        <w:t>Характеристика магистральных ТК (где есть арматура), ТП, ЦТП, павильонов в ООО «Газпром трансгаз Югорск» Верхнеказымское ЛПУ МГ</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2356"/>
        <w:gridCol w:w="1719"/>
        <w:gridCol w:w="2114"/>
        <w:gridCol w:w="2069"/>
      </w:tblGrid>
      <w:tr w14:paraId="6339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873" w:type="pct"/>
            <w:vMerge w:val="restart"/>
            <w:shd w:val="clear" w:color="auto" w:fill="auto"/>
            <w:vAlign w:val="center"/>
          </w:tcPr>
          <w:p w14:paraId="77C9E59D">
            <w:pPr>
              <w:autoSpaceDE w:val="0"/>
              <w:autoSpaceDN w:val="0"/>
              <w:adjustRightInd w:val="0"/>
              <w:spacing w:after="0" w:line="240" w:lineRule="auto"/>
              <w:ind w:firstLine="0"/>
              <w:contextualSpacing/>
              <w:jc w:val="center"/>
              <w:rPr>
                <w:sz w:val="20"/>
                <w:szCs w:val="20"/>
              </w:rPr>
            </w:pPr>
            <w:r>
              <w:rPr>
                <w:sz w:val="20"/>
                <w:szCs w:val="20"/>
              </w:rPr>
              <w:t>Название ТК, ТП, ЦТП, павильонов</w:t>
            </w:r>
          </w:p>
        </w:tc>
        <w:tc>
          <w:tcPr>
            <w:tcW w:w="1259" w:type="pct"/>
            <w:vMerge w:val="restart"/>
            <w:shd w:val="clear" w:color="auto" w:fill="auto"/>
            <w:vAlign w:val="center"/>
          </w:tcPr>
          <w:p w14:paraId="1575542B">
            <w:pPr>
              <w:autoSpaceDE w:val="0"/>
              <w:autoSpaceDN w:val="0"/>
              <w:adjustRightInd w:val="0"/>
              <w:spacing w:after="0" w:line="240" w:lineRule="auto"/>
              <w:ind w:firstLine="0"/>
              <w:contextualSpacing/>
              <w:jc w:val="center"/>
              <w:rPr>
                <w:sz w:val="20"/>
                <w:szCs w:val="20"/>
              </w:rPr>
            </w:pPr>
            <w:r>
              <w:rPr>
                <w:sz w:val="20"/>
                <w:szCs w:val="20"/>
              </w:rPr>
              <w:t>Тип камеры</w:t>
            </w:r>
          </w:p>
        </w:tc>
        <w:tc>
          <w:tcPr>
            <w:tcW w:w="1755" w:type="pct"/>
            <w:gridSpan w:val="2"/>
            <w:shd w:val="clear" w:color="auto" w:fill="auto"/>
            <w:vAlign w:val="center"/>
          </w:tcPr>
          <w:p w14:paraId="2F8566DF">
            <w:pPr>
              <w:autoSpaceDE w:val="0"/>
              <w:autoSpaceDN w:val="0"/>
              <w:adjustRightInd w:val="0"/>
              <w:spacing w:after="0" w:line="240" w:lineRule="auto"/>
              <w:ind w:firstLine="0"/>
              <w:contextualSpacing/>
              <w:jc w:val="center"/>
              <w:rPr>
                <w:sz w:val="20"/>
                <w:szCs w:val="20"/>
              </w:rPr>
            </w:pPr>
            <w:r>
              <w:rPr>
                <w:sz w:val="20"/>
                <w:szCs w:val="20"/>
              </w:rPr>
              <w:t>Тип и количество арматуры</w:t>
            </w:r>
          </w:p>
        </w:tc>
        <w:tc>
          <w:tcPr>
            <w:tcW w:w="1113" w:type="pct"/>
            <w:vMerge w:val="restart"/>
            <w:shd w:val="clear" w:color="auto" w:fill="auto"/>
            <w:vAlign w:val="center"/>
          </w:tcPr>
          <w:p w14:paraId="4AA7D67B">
            <w:pPr>
              <w:autoSpaceDE w:val="0"/>
              <w:autoSpaceDN w:val="0"/>
              <w:adjustRightInd w:val="0"/>
              <w:spacing w:after="0" w:line="240" w:lineRule="auto"/>
              <w:ind w:firstLine="0"/>
              <w:contextualSpacing/>
              <w:jc w:val="center"/>
              <w:rPr>
                <w:sz w:val="20"/>
                <w:szCs w:val="20"/>
              </w:rPr>
            </w:pPr>
            <w:r>
              <w:rPr>
                <w:sz w:val="20"/>
                <w:szCs w:val="20"/>
              </w:rPr>
              <w:t>Геодезическая отметка, м абс.</w:t>
            </w:r>
          </w:p>
        </w:tc>
      </w:tr>
      <w:tr w14:paraId="104F5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 w:hRule="atLeast"/>
        </w:trPr>
        <w:tc>
          <w:tcPr>
            <w:tcW w:w="873" w:type="pct"/>
            <w:vMerge w:val="continue"/>
            <w:shd w:val="clear" w:color="auto" w:fill="auto"/>
            <w:vAlign w:val="center"/>
          </w:tcPr>
          <w:p w14:paraId="57697DE7">
            <w:pPr>
              <w:autoSpaceDE w:val="0"/>
              <w:autoSpaceDN w:val="0"/>
              <w:adjustRightInd w:val="0"/>
              <w:spacing w:after="0" w:line="240" w:lineRule="auto"/>
              <w:ind w:firstLine="0"/>
              <w:contextualSpacing/>
              <w:jc w:val="center"/>
              <w:rPr>
                <w:sz w:val="20"/>
                <w:szCs w:val="20"/>
              </w:rPr>
            </w:pPr>
          </w:p>
        </w:tc>
        <w:tc>
          <w:tcPr>
            <w:tcW w:w="1259" w:type="pct"/>
            <w:vMerge w:val="continue"/>
            <w:shd w:val="clear" w:color="auto" w:fill="auto"/>
            <w:vAlign w:val="center"/>
          </w:tcPr>
          <w:p w14:paraId="7BAC57F5">
            <w:pPr>
              <w:autoSpaceDE w:val="0"/>
              <w:autoSpaceDN w:val="0"/>
              <w:adjustRightInd w:val="0"/>
              <w:spacing w:after="0" w:line="240" w:lineRule="auto"/>
              <w:ind w:firstLine="0"/>
              <w:contextualSpacing/>
              <w:jc w:val="center"/>
              <w:rPr>
                <w:sz w:val="20"/>
                <w:szCs w:val="20"/>
              </w:rPr>
            </w:pPr>
          </w:p>
        </w:tc>
        <w:tc>
          <w:tcPr>
            <w:tcW w:w="619" w:type="pct"/>
            <w:shd w:val="clear" w:color="auto" w:fill="auto"/>
            <w:vAlign w:val="center"/>
          </w:tcPr>
          <w:p w14:paraId="071597E9">
            <w:pPr>
              <w:autoSpaceDE w:val="0"/>
              <w:autoSpaceDN w:val="0"/>
              <w:adjustRightInd w:val="0"/>
              <w:spacing w:after="0" w:line="240" w:lineRule="auto"/>
              <w:ind w:firstLine="0"/>
              <w:contextualSpacing/>
              <w:jc w:val="center"/>
              <w:rPr>
                <w:sz w:val="20"/>
                <w:szCs w:val="20"/>
              </w:rPr>
            </w:pPr>
            <w:r>
              <w:rPr>
                <w:sz w:val="20"/>
                <w:szCs w:val="20"/>
              </w:rPr>
              <w:t>секционирующей</w:t>
            </w:r>
          </w:p>
        </w:tc>
        <w:tc>
          <w:tcPr>
            <w:tcW w:w="1136" w:type="pct"/>
            <w:shd w:val="clear" w:color="auto" w:fill="auto"/>
            <w:vAlign w:val="center"/>
          </w:tcPr>
          <w:p w14:paraId="0310AC88">
            <w:pPr>
              <w:autoSpaceDE w:val="0"/>
              <w:autoSpaceDN w:val="0"/>
              <w:adjustRightInd w:val="0"/>
              <w:spacing w:after="0" w:line="240" w:lineRule="auto"/>
              <w:ind w:firstLine="0"/>
              <w:contextualSpacing/>
              <w:jc w:val="center"/>
              <w:rPr>
                <w:sz w:val="20"/>
                <w:szCs w:val="20"/>
              </w:rPr>
            </w:pPr>
            <w:r>
              <w:rPr>
                <w:sz w:val="20"/>
                <w:szCs w:val="20"/>
              </w:rPr>
              <w:t>регулирующей</w:t>
            </w:r>
          </w:p>
        </w:tc>
        <w:tc>
          <w:tcPr>
            <w:tcW w:w="1113" w:type="pct"/>
            <w:vMerge w:val="continue"/>
            <w:shd w:val="clear" w:color="auto" w:fill="auto"/>
            <w:vAlign w:val="center"/>
          </w:tcPr>
          <w:p w14:paraId="2FCBC9D3">
            <w:pPr>
              <w:autoSpaceDE w:val="0"/>
              <w:autoSpaceDN w:val="0"/>
              <w:adjustRightInd w:val="0"/>
              <w:spacing w:after="0" w:line="240" w:lineRule="auto"/>
              <w:ind w:firstLine="0"/>
              <w:contextualSpacing/>
              <w:jc w:val="center"/>
              <w:rPr>
                <w:sz w:val="20"/>
                <w:szCs w:val="20"/>
              </w:rPr>
            </w:pPr>
          </w:p>
        </w:tc>
      </w:tr>
      <w:tr w14:paraId="06BC0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3657FDE2">
            <w:pPr>
              <w:autoSpaceDE w:val="0"/>
              <w:autoSpaceDN w:val="0"/>
              <w:adjustRightInd w:val="0"/>
              <w:spacing w:after="0" w:line="240" w:lineRule="auto"/>
              <w:ind w:firstLine="0"/>
              <w:contextualSpacing/>
              <w:jc w:val="center"/>
              <w:rPr>
                <w:sz w:val="20"/>
                <w:szCs w:val="20"/>
              </w:rPr>
            </w:pPr>
            <w:r>
              <w:rPr>
                <w:sz w:val="20"/>
                <w:szCs w:val="20"/>
              </w:rPr>
              <w:t>ТК-1</w:t>
            </w:r>
          </w:p>
        </w:tc>
        <w:tc>
          <w:tcPr>
            <w:tcW w:w="1259" w:type="pct"/>
            <w:shd w:val="clear" w:color="auto" w:fill="auto"/>
            <w:vAlign w:val="center"/>
          </w:tcPr>
          <w:p w14:paraId="10244452">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245027F">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7DBE6D87">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55C311CA">
            <w:pPr>
              <w:autoSpaceDE w:val="0"/>
              <w:autoSpaceDN w:val="0"/>
              <w:adjustRightInd w:val="0"/>
              <w:spacing w:after="0" w:line="240" w:lineRule="auto"/>
              <w:ind w:firstLine="0"/>
              <w:contextualSpacing/>
              <w:jc w:val="center"/>
              <w:rPr>
                <w:sz w:val="20"/>
                <w:szCs w:val="20"/>
              </w:rPr>
            </w:pPr>
            <w:r>
              <w:rPr>
                <w:sz w:val="20"/>
                <w:szCs w:val="20"/>
              </w:rPr>
              <w:t>2,7</w:t>
            </w:r>
          </w:p>
        </w:tc>
      </w:tr>
      <w:tr w14:paraId="2B1F6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A4F2A9E">
            <w:pPr>
              <w:autoSpaceDE w:val="0"/>
              <w:autoSpaceDN w:val="0"/>
              <w:adjustRightInd w:val="0"/>
              <w:spacing w:after="0" w:line="240" w:lineRule="auto"/>
              <w:ind w:firstLine="0"/>
              <w:contextualSpacing/>
              <w:jc w:val="center"/>
              <w:rPr>
                <w:sz w:val="20"/>
                <w:szCs w:val="20"/>
              </w:rPr>
            </w:pPr>
            <w:r>
              <w:rPr>
                <w:sz w:val="20"/>
                <w:szCs w:val="20"/>
              </w:rPr>
              <w:t>ТК-2</w:t>
            </w:r>
          </w:p>
        </w:tc>
        <w:tc>
          <w:tcPr>
            <w:tcW w:w="1259" w:type="pct"/>
            <w:shd w:val="clear" w:color="auto" w:fill="auto"/>
            <w:vAlign w:val="center"/>
          </w:tcPr>
          <w:p w14:paraId="33053E80">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4BBDFF9">
            <w:pPr>
              <w:autoSpaceDE w:val="0"/>
              <w:autoSpaceDN w:val="0"/>
              <w:adjustRightInd w:val="0"/>
              <w:spacing w:after="0" w:line="240" w:lineRule="auto"/>
              <w:ind w:firstLine="0"/>
              <w:contextualSpacing/>
              <w:jc w:val="center"/>
              <w:rPr>
                <w:sz w:val="20"/>
                <w:szCs w:val="20"/>
              </w:rPr>
            </w:pPr>
            <w:r>
              <w:rPr>
                <w:sz w:val="20"/>
                <w:szCs w:val="20"/>
              </w:rPr>
              <w:t>10</w:t>
            </w:r>
          </w:p>
        </w:tc>
        <w:tc>
          <w:tcPr>
            <w:tcW w:w="1136" w:type="pct"/>
            <w:shd w:val="clear" w:color="auto" w:fill="auto"/>
            <w:vAlign w:val="center"/>
          </w:tcPr>
          <w:p w14:paraId="20F989C0">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2EBB6C99">
            <w:pPr>
              <w:autoSpaceDE w:val="0"/>
              <w:autoSpaceDN w:val="0"/>
              <w:adjustRightInd w:val="0"/>
              <w:spacing w:after="0" w:line="240" w:lineRule="auto"/>
              <w:ind w:firstLine="0"/>
              <w:contextualSpacing/>
              <w:jc w:val="center"/>
              <w:rPr>
                <w:sz w:val="20"/>
                <w:szCs w:val="20"/>
              </w:rPr>
            </w:pPr>
            <w:r>
              <w:rPr>
                <w:sz w:val="20"/>
                <w:szCs w:val="20"/>
              </w:rPr>
              <w:t>2,7</w:t>
            </w:r>
          </w:p>
        </w:tc>
      </w:tr>
      <w:tr w14:paraId="3502A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1AC9802C">
            <w:pPr>
              <w:autoSpaceDE w:val="0"/>
              <w:autoSpaceDN w:val="0"/>
              <w:adjustRightInd w:val="0"/>
              <w:spacing w:after="0" w:line="240" w:lineRule="auto"/>
              <w:ind w:firstLine="0"/>
              <w:contextualSpacing/>
              <w:jc w:val="center"/>
              <w:rPr>
                <w:sz w:val="20"/>
                <w:szCs w:val="20"/>
              </w:rPr>
            </w:pPr>
            <w:r>
              <w:rPr>
                <w:sz w:val="20"/>
                <w:szCs w:val="20"/>
              </w:rPr>
              <w:t>ТК-2а</w:t>
            </w:r>
          </w:p>
        </w:tc>
        <w:tc>
          <w:tcPr>
            <w:tcW w:w="1259" w:type="pct"/>
            <w:shd w:val="clear" w:color="auto" w:fill="auto"/>
            <w:vAlign w:val="center"/>
          </w:tcPr>
          <w:p w14:paraId="00FA3E0D">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8C8C0B2">
            <w:pPr>
              <w:autoSpaceDE w:val="0"/>
              <w:autoSpaceDN w:val="0"/>
              <w:adjustRightInd w:val="0"/>
              <w:spacing w:after="0" w:line="240" w:lineRule="auto"/>
              <w:ind w:firstLine="0"/>
              <w:contextualSpacing/>
              <w:jc w:val="center"/>
              <w:rPr>
                <w:sz w:val="20"/>
                <w:szCs w:val="20"/>
              </w:rPr>
            </w:pPr>
            <w:r>
              <w:rPr>
                <w:sz w:val="20"/>
                <w:szCs w:val="20"/>
              </w:rPr>
              <w:t>4</w:t>
            </w:r>
          </w:p>
        </w:tc>
        <w:tc>
          <w:tcPr>
            <w:tcW w:w="1136" w:type="pct"/>
            <w:shd w:val="clear" w:color="auto" w:fill="auto"/>
            <w:vAlign w:val="center"/>
          </w:tcPr>
          <w:p w14:paraId="038DA583">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5713510C">
            <w:pPr>
              <w:autoSpaceDE w:val="0"/>
              <w:autoSpaceDN w:val="0"/>
              <w:adjustRightInd w:val="0"/>
              <w:spacing w:after="0" w:line="240" w:lineRule="auto"/>
              <w:ind w:firstLine="0"/>
              <w:contextualSpacing/>
              <w:jc w:val="center"/>
              <w:rPr>
                <w:sz w:val="20"/>
                <w:szCs w:val="20"/>
              </w:rPr>
            </w:pPr>
            <w:r>
              <w:rPr>
                <w:sz w:val="20"/>
                <w:szCs w:val="20"/>
              </w:rPr>
              <w:t>2,7</w:t>
            </w:r>
          </w:p>
        </w:tc>
      </w:tr>
      <w:tr w14:paraId="0DF58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73F70FC0">
            <w:pPr>
              <w:autoSpaceDE w:val="0"/>
              <w:autoSpaceDN w:val="0"/>
              <w:adjustRightInd w:val="0"/>
              <w:spacing w:after="0" w:line="240" w:lineRule="auto"/>
              <w:ind w:firstLine="0"/>
              <w:contextualSpacing/>
              <w:jc w:val="center"/>
              <w:rPr>
                <w:sz w:val="20"/>
                <w:szCs w:val="20"/>
              </w:rPr>
            </w:pPr>
            <w:r>
              <w:rPr>
                <w:sz w:val="20"/>
                <w:szCs w:val="20"/>
              </w:rPr>
              <w:t>ТК-3</w:t>
            </w:r>
          </w:p>
        </w:tc>
        <w:tc>
          <w:tcPr>
            <w:tcW w:w="1259" w:type="pct"/>
            <w:shd w:val="clear" w:color="auto" w:fill="auto"/>
            <w:vAlign w:val="center"/>
          </w:tcPr>
          <w:p w14:paraId="50D9527D">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287BF463">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3F84B749">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5071EC7">
            <w:pPr>
              <w:autoSpaceDE w:val="0"/>
              <w:autoSpaceDN w:val="0"/>
              <w:adjustRightInd w:val="0"/>
              <w:spacing w:after="0" w:line="240" w:lineRule="auto"/>
              <w:ind w:firstLine="0"/>
              <w:contextualSpacing/>
              <w:jc w:val="center"/>
              <w:rPr>
                <w:sz w:val="20"/>
                <w:szCs w:val="20"/>
              </w:rPr>
            </w:pPr>
            <w:r>
              <w:rPr>
                <w:sz w:val="20"/>
                <w:szCs w:val="20"/>
              </w:rPr>
              <w:t>2,7</w:t>
            </w:r>
          </w:p>
        </w:tc>
      </w:tr>
      <w:tr w14:paraId="4865F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023512D4">
            <w:pPr>
              <w:autoSpaceDE w:val="0"/>
              <w:autoSpaceDN w:val="0"/>
              <w:adjustRightInd w:val="0"/>
              <w:spacing w:after="0" w:line="240" w:lineRule="auto"/>
              <w:ind w:firstLine="0"/>
              <w:contextualSpacing/>
              <w:jc w:val="center"/>
              <w:rPr>
                <w:sz w:val="20"/>
                <w:szCs w:val="20"/>
              </w:rPr>
            </w:pPr>
            <w:r>
              <w:rPr>
                <w:sz w:val="20"/>
                <w:szCs w:val="20"/>
              </w:rPr>
              <w:t>ТК-4</w:t>
            </w:r>
          </w:p>
        </w:tc>
        <w:tc>
          <w:tcPr>
            <w:tcW w:w="1259" w:type="pct"/>
            <w:shd w:val="clear" w:color="auto" w:fill="auto"/>
            <w:vAlign w:val="center"/>
          </w:tcPr>
          <w:p w14:paraId="4B794290">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0FA853D6">
            <w:pPr>
              <w:autoSpaceDE w:val="0"/>
              <w:autoSpaceDN w:val="0"/>
              <w:adjustRightInd w:val="0"/>
              <w:spacing w:after="0" w:line="240" w:lineRule="auto"/>
              <w:ind w:firstLine="0"/>
              <w:contextualSpacing/>
              <w:jc w:val="center"/>
              <w:rPr>
                <w:sz w:val="20"/>
                <w:szCs w:val="20"/>
              </w:rPr>
            </w:pPr>
            <w:r>
              <w:rPr>
                <w:sz w:val="20"/>
                <w:szCs w:val="20"/>
              </w:rPr>
              <w:t>15</w:t>
            </w:r>
          </w:p>
        </w:tc>
        <w:tc>
          <w:tcPr>
            <w:tcW w:w="1136" w:type="pct"/>
            <w:shd w:val="clear" w:color="auto" w:fill="auto"/>
            <w:vAlign w:val="center"/>
          </w:tcPr>
          <w:p w14:paraId="5D45C413">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30E49268">
            <w:pPr>
              <w:autoSpaceDE w:val="0"/>
              <w:autoSpaceDN w:val="0"/>
              <w:adjustRightInd w:val="0"/>
              <w:spacing w:after="0" w:line="240" w:lineRule="auto"/>
              <w:ind w:firstLine="0"/>
              <w:contextualSpacing/>
              <w:jc w:val="center"/>
              <w:rPr>
                <w:sz w:val="20"/>
                <w:szCs w:val="20"/>
              </w:rPr>
            </w:pPr>
            <w:r>
              <w:rPr>
                <w:sz w:val="20"/>
                <w:szCs w:val="20"/>
              </w:rPr>
              <w:t>2,7</w:t>
            </w:r>
          </w:p>
        </w:tc>
      </w:tr>
      <w:tr w14:paraId="49324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FFA8FC7">
            <w:pPr>
              <w:autoSpaceDE w:val="0"/>
              <w:autoSpaceDN w:val="0"/>
              <w:adjustRightInd w:val="0"/>
              <w:spacing w:after="0" w:line="240" w:lineRule="auto"/>
              <w:ind w:firstLine="0"/>
              <w:contextualSpacing/>
              <w:jc w:val="center"/>
              <w:rPr>
                <w:sz w:val="20"/>
                <w:szCs w:val="20"/>
              </w:rPr>
            </w:pPr>
            <w:r>
              <w:rPr>
                <w:sz w:val="20"/>
                <w:szCs w:val="20"/>
              </w:rPr>
              <w:t>ТК-5</w:t>
            </w:r>
          </w:p>
        </w:tc>
        <w:tc>
          <w:tcPr>
            <w:tcW w:w="1259" w:type="pct"/>
            <w:shd w:val="clear" w:color="auto" w:fill="auto"/>
            <w:vAlign w:val="center"/>
          </w:tcPr>
          <w:p w14:paraId="6F215CF8">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5B9323F4">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00E8F198">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6F4A31D3">
            <w:pPr>
              <w:autoSpaceDE w:val="0"/>
              <w:autoSpaceDN w:val="0"/>
              <w:adjustRightInd w:val="0"/>
              <w:spacing w:after="0" w:line="240" w:lineRule="auto"/>
              <w:ind w:firstLine="0"/>
              <w:contextualSpacing/>
              <w:jc w:val="center"/>
              <w:rPr>
                <w:sz w:val="20"/>
                <w:szCs w:val="20"/>
              </w:rPr>
            </w:pPr>
            <w:r>
              <w:rPr>
                <w:sz w:val="20"/>
                <w:szCs w:val="20"/>
              </w:rPr>
              <w:t>2,7</w:t>
            </w:r>
          </w:p>
        </w:tc>
      </w:tr>
      <w:tr w14:paraId="5D56C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0729DC3">
            <w:pPr>
              <w:autoSpaceDE w:val="0"/>
              <w:autoSpaceDN w:val="0"/>
              <w:adjustRightInd w:val="0"/>
              <w:spacing w:after="0" w:line="240" w:lineRule="auto"/>
              <w:ind w:firstLine="0"/>
              <w:contextualSpacing/>
              <w:jc w:val="center"/>
              <w:rPr>
                <w:sz w:val="20"/>
                <w:szCs w:val="20"/>
              </w:rPr>
            </w:pPr>
            <w:r>
              <w:rPr>
                <w:sz w:val="20"/>
                <w:szCs w:val="20"/>
              </w:rPr>
              <w:t>ТК-6</w:t>
            </w:r>
          </w:p>
        </w:tc>
        <w:tc>
          <w:tcPr>
            <w:tcW w:w="1259" w:type="pct"/>
            <w:shd w:val="clear" w:color="auto" w:fill="auto"/>
            <w:vAlign w:val="center"/>
          </w:tcPr>
          <w:p w14:paraId="6D8F9CEE">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01E80632">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3046560E">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306FA4FC">
            <w:pPr>
              <w:autoSpaceDE w:val="0"/>
              <w:autoSpaceDN w:val="0"/>
              <w:adjustRightInd w:val="0"/>
              <w:spacing w:after="0" w:line="240" w:lineRule="auto"/>
              <w:ind w:firstLine="0"/>
              <w:contextualSpacing/>
              <w:jc w:val="center"/>
              <w:rPr>
                <w:sz w:val="20"/>
                <w:szCs w:val="20"/>
              </w:rPr>
            </w:pPr>
            <w:r>
              <w:rPr>
                <w:sz w:val="20"/>
                <w:szCs w:val="20"/>
              </w:rPr>
              <w:t>2,7</w:t>
            </w:r>
          </w:p>
        </w:tc>
      </w:tr>
      <w:tr w14:paraId="333CC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190DE49E">
            <w:pPr>
              <w:autoSpaceDE w:val="0"/>
              <w:autoSpaceDN w:val="0"/>
              <w:adjustRightInd w:val="0"/>
              <w:spacing w:after="0" w:line="240" w:lineRule="auto"/>
              <w:ind w:firstLine="0"/>
              <w:contextualSpacing/>
              <w:jc w:val="center"/>
              <w:rPr>
                <w:sz w:val="20"/>
                <w:szCs w:val="20"/>
              </w:rPr>
            </w:pPr>
            <w:r>
              <w:rPr>
                <w:sz w:val="20"/>
                <w:szCs w:val="20"/>
              </w:rPr>
              <w:t>ТК-7</w:t>
            </w:r>
          </w:p>
        </w:tc>
        <w:tc>
          <w:tcPr>
            <w:tcW w:w="1259" w:type="pct"/>
            <w:shd w:val="clear" w:color="auto" w:fill="auto"/>
            <w:vAlign w:val="center"/>
          </w:tcPr>
          <w:p w14:paraId="133DAD11">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C45D405">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7CD4FA51">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67551222">
            <w:pPr>
              <w:autoSpaceDE w:val="0"/>
              <w:autoSpaceDN w:val="0"/>
              <w:adjustRightInd w:val="0"/>
              <w:spacing w:after="0" w:line="240" w:lineRule="auto"/>
              <w:ind w:firstLine="0"/>
              <w:contextualSpacing/>
              <w:jc w:val="center"/>
              <w:rPr>
                <w:sz w:val="20"/>
                <w:szCs w:val="20"/>
              </w:rPr>
            </w:pPr>
            <w:r>
              <w:rPr>
                <w:sz w:val="20"/>
                <w:szCs w:val="20"/>
              </w:rPr>
              <w:t>2,7</w:t>
            </w:r>
          </w:p>
        </w:tc>
      </w:tr>
      <w:tr w14:paraId="619A2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37969FCA">
            <w:pPr>
              <w:autoSpaceDE w:val="0"/>
              <w:autoSpaceDN w:val="0"/>
              <w:adjustRightInd w:val="0"/>
              <w:spacing w:after="0" w:line="240" w:lineRule="auto"/>
              <w:ind w:firstLine="0"/>
              <w:contextualSpacing/>
              <w:jc w:val="center"/>
              <w:rPr>
                <w:sz w:val="20"/>
                <w:szCs w:val="20"/>
              </w:rPr>
            </w:pPr>
            <w:r>
              <w:rPr>
                <w:sz w:val="20"/>
                <w:szCs w:val="20"/>
              </w:rPr>
              <w:t>ТК-8</w:t>
            </w:r>
          </w:p>
        </w:tc>
        <w:tc>
          <w:tcPr>
            <w:tcW w:w="1259" w:type="pct"/>
            <w:shd w:val="clear" w:color="auto" w:fill="auto"/>
            <w:vAlign w:val="center"/>
          </w:tcPr>
          <w:p w14:paraId="0E24187E">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7ECF8789">
            <w:pPr>
              <w:autoSpaceDE w:val="0"/>
              <w:autoSpaceDN w:val="0"/>
              <w:adjustRightInd w:val="0"/>
              <w:spacing w:after="0" w:line="240" w:lineRule="auto"/>
              <w:ind w:firstLine="0"/>
              <w:contextualSpacing/>
              <w:jc w:val="center"/>
              <w:rPr>
                <w:sz w:val="20"/>
                <w:szCs w:val="20"/>
              </w:rPr>
            </w:pPr>
            <w:r>
              <w:rPr>
                <w:sz w:val="20"/>
                <w:szCs w:val="20"/>
              </w:rPr>
              <w:t>11</w:t>
            </w:r>
          </w:p>
        </w:tc>
        <w:tc>
          <w:tcPr>
            <w:tcW w:w="1136" w:type="pct"/>
            <w:shd w:val="clear" w:color="auto" w:fill="auto"/>
            <w:vAlign w:val="center"/>
          </w:tcPr>
          <w:p w14:paraId="4741CDA9">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C8B1CEF">
            <w:pPr>
              <w:autoSpaceDE w:val="0"/>
              <w:autoSpaceDN w:val="0"/>
              <w:adjustRightInd w:val="0"/>
              <w:spacing w:after="0" w:line="240" w:lineRule="auto"/>
              <w:ind w:firstLine="0"/>
              <w:contextualSpacing/>
              <w:jc w:val="center"/>
              <w:rPr>
                <w:sz w:val="20"/>
                <w:szCs w:val="20"/>
              </w:rPr>
            </w:pPr>
            <w:r>
              <w:rPr>
                <w:sz w:val="20"/>
                <w:szCs w:val="20"/>
              </w:rPr>
              <w:t>2,7</w:t>
            </w:r>
          </w:p>
        </w:tc>
      </w:tr>
      <w:tr w14:paraId="093B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393BE204">
            <w:pPr>
              <w:autoSpaceDE w:val="0"/>
              <w:autoSpaceDN w:val="0"/>
              <w:adjustRightInd w:val="0"/>
              <w:spacing w:after="0" w:line="240" w:lineRule="auto"/>
              <w:ind w:firstLine="0"/>
              <w:contextualSpacing/>
              <w:jc w:val="center"/>
              <w:rPr>
                <w:sz w:val="20"/>
                <w:szCs w:val="20"/>
              </w:rPr>
            </w:pPr>
            <w:r>
              <w:rPr>
                <w:sz w:val="20"/>
                <w:szCs w:val="20"/>
              </w:rPr>
              <w:t>ТК-9</w:t>
            </w:r>
          </w:p>
        </w:tc>
        <w:tc>
          <w:tcPr>
            <w:tcW w:w="1259" w:type="pct"/>
            <w:shd w:val="clear" w:color="auto" w:fill="auto"/>
            <w:vAlign w:val="center"/>
          </w:tcPr>
          <w:p w14:paraId="754E0567">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437A2C34">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4C3DB984">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3CC0D3C6">
            <w:pPr>
              <w:autoSpaceDE w:val="0"/>
              <w:autoSpaceDN w:val="0"/>
              <w:adjustRightInd w:val="0"/>
              <w:spacing w:after="0" w:line="240" w:lineRule="auto"/>
              <w:ind w:firstLine="0"/>
              <w:contextualSpacing/>
              <w:jc w:val="center"/>
              <w:rPr>
                <w:sz w:val="20"/>
                <w:szCs w:val="20"/>
              </w:rPr>
            </w:pPr>
            <w:r>
              <w:rPr>
                <w:sz w:val="20"/>
                <w:szCs w:val="20"/>
              </w:rPr>
              <w:t>2,2</w:t>
            </w:r>
          </w:p>
        </w:tc>
      </w:tr>
      <w:tr w14:paraId="19308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4D679D6A">
            <w:pPr>
              <w:autoSpaceDE w:val="0"/>
              <w:autoSpaceDN w:val="0"/>
              <w:adjustRightInd w:val="0"/>
              <w:spacing w:after="0" w:line="240" w:lineRule="auto"/>
              <w:ind w:firstLine="0"/>
              <w:contextualSpacing/>
              <w:jc w:val="center"/>
              <w:rPr>
                <w:sz w:val="20"/>
                <w:szCs w:val="20"/>
              </w:rPr>
            </w:pPr>
            <w:r>
              <w:rPr>
                <w:sz w:val="20"/>
                <w:szCs w:val="20"/>
              </w:rPr>
              <w:t>ТК-10</w:t>
            </w:r>
          </w:p>
        </w:tc>
        <w:tc>
          <w:tcPr>
            <w:tcW w:w="1259" w:type="pct"/>
            <w:shd w:val="clear" w:color="auto" w:fill="auto"/>
            <w:vAlign w:val="center"/>
          </w:tcPr>
          <w:p w14:paraId="18084B18">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09AEA217">
            <w:pPr>
              <w:autoSpaceDE w:val="0"/>
              <w:autoSpaceDN w:val="0"/>
              <w:adjustRightInd w:val="0"/>
              <w:spacing w:after="0" w:line="240" w:lineRule="auto"/>
              <w:ind w:firstLine="0"/>
              <w:contextualSpacing/>
              <w:jc w:val="center"/>
              <w:rPr>
                <w:sz w:val="20"/>
                <w:szCs w:val="20"/>
              </w:rPr>
            </w:pPr>
            <w:r>
              <w:rPr>
                <w:sz w:val="20"/>
                <w:szCs w:val="20"/>
              </w:rPr>
              <w:t>19</w:t>
            </w:r>
          </w:p>
        </w:tc>
        <w:tc>
          <w:tcPr>
            <w:tcW w:w="1136" w:type="pct"/>
            <w:shd w:val="clear" w:color="auto" w:fill="auto"/>
            <w:vAlign w:val="center"/>
          </w:tcPr>
          <w:p w14:paraId="4102EAE1">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02A2BBC4">
            <w:pPr>
              <w:autoSpaceDE w:val="0"/>
              <w:autoSpaceDN w:val="0"/>
              <w:adjustRightInd w:val="0"/>
              <w:spacing w:after="0" w:line="240" w:lineRule="auto"/>
              <w:ind w:firstLine="0"/>
              <w:contextualSpacing/>
              <w:jc w:val="center"/>
              <w:rPr>
                <w:sz w:val="20"/>
                <w:szCs w:val="20"/>
              </w:rPr>
            </w:pPr>
            <w:r>
              <w:rPr>
                <w:sz w:val="20"/>
                <w:szCs w:val="20"/>
              </w:rPr>
              <w:t>2,7</w:t>
            </w:r>
          </w:p>
        </w:tc>
      </w:tr>
      <w:tr w14:paraId="7EE9E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41A82686">
            <w:pPr>
              <w:autoSpaceDE w:val="0"/>
              <w:autoSpaceDN w:val="0"/>
              <w:adjustRightInd w:val="0"/>
              <w:spacing w:after="0" w:line="240" w:lineRule="auto"/>
              <w:ind w:firstLine="0"/>
              <w:contextualSpacing/>
              <w:jc w:val="center"/>
              <w:rPr>
                <w:sz w:val="20"/>
                <w:szCs w:val="20"/>
              </w:rPr>
            </w:pPr>
            <w:r>
              <w:rPr>
                <w:sz w:val="20"/>
                <w:szCs w:val="20"/>
              </w:rPr>
              <w:t>ТК-11</w:t>
            </w:r>
          </w:p>
        </w:tc>
        <w:tc>
          <w:tcPr>
            <w:tcW w:w="1259" w:type="pct"/>
            <w:shd w:val="clear" w:color="auto" w:fill="auto"/>
            <w:vAlign w:val="center"/>
          </w:tcPr>
          <w:p w14:paraId="6861D558">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6200BD18">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094310C1">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5BD4174F">
            <w:pPr>
              <w:autoSpaceDE w:val="0"/>
              <w:autoSpaceDN w:val="0"/>
              <w:adjustRightInd w:val="0"/>
              <w:spacing w:after="0" w:line="240" w:lineRule="auto"/>
              <w:ind w:firstLine="0"/>
              <w:contextualSpacing/>
              <w:jc w:val="center"/>
              <w:rPr>
                <w:sz w:val="20"/>
                <w:szCs w:val="20"/>
              </w:rPr>
            </w:pPr>
            <w:r>
              <w:rPr>
                <w:sz w:val="20"/>
                <w:szCs w:val="20"/>
              </w:rPr>
              <w:t>2,2</w:t>
            </w:r>
          </w:p>
        </w:tc>
      </w:tr>
      <w:tr w14:paraId="66977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1AB96D59">
            <w:pPr>
              <w:autoSpaceDE w:val="0"/>
              <w:autoSpaceDN w:val="0"/>
              <w:adjustRightInd w:val="0"/>
              <w:spacing w:after="0" w:line="240" w:lineRule="auto"/>
              <w:ind w:firstLine="0"/>
              <w:contextualSpacing/>
              <w:jc w:val="center"/>
              <w:rPr>
                <w:sz w:val="20"/>
                <w:szCs w:val="20"/>
              </w:rPr>
            </w:pPr>
            <w:r>
              <w:rPr>
                <w:sz w:val="20"/>
                <w:szCs w:val="20"/>
              </w:rPr>
              <w:t>ТК-14</w:t>
            </w:r>
          </w:p>
        </w:tc>
        <w:tc>
          <w:tcPr>
            <w:tcW w:w="1259" w:type="pct"/>
            <w:shd w:val="clear" w:color="auto" w:fill="auto"/>
            <w:vAlign w:val="center"/>
          </w:tcPr>
          <w:p w14:paraId="1D177237">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56ADD2A7">
            <w:pPr>
              <w:autoSpaceDE w:val="0"/>
              <w:autoSpaceDN w:val="0"/>
              <w:adjustRightInd w:val="0"/>
              <w:spacing w:after="0" w:line="240" w:lineRule="auto"/>
              <w:ind w:firstLine="0"/>
              <w:contextualSpacing/>
              <w:jc w:val="center"/>
              <w:rPr>
                <w:sz w:val="20"/>
                <w:szCs w:val="20"/>
              </w:rPr>
            </w:pPr>
            <w:r>
              <w:rPr>
                <w:sz w:val="20"/>
                <w:szCs w:val="20"/>
              </w:rPr>
              <w:t>13</w:t>
            </w:r>
          </w:p>
        </w:tc>
        <w:tc>
          <w:tcPr>
            <w:tcW w:w="1136" w:type="pct"/>
            <w:shd w:val="clear" w:color="auto" w:fill="auto"/>
            <w:vAlign w:val="center"/>
          </w:tcPr>
          <w:p w14:paraId="75761E47">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139F56F1">
            <w:pPr>
              <w:autoSpaceDE w:val="0"/>
              <w:autoSpaceDN w:val="0"/>
              <w:adjustRightInd w:val="0"/>
              <w:spacing w:after="0" w:line="240" w:lineRule="auto"/>
              <w:ind w:firstLine="0"/>
              <w:contextualSpacing/>
              <w:jc w:val="center"/>
              <w:rPr>
                <w:sz w:val="20"/>
                <w:szCs w:val="20"/>
              </w:rPr>
            </w:pPr>
            <w:r>
              <w:rPr>
                <w:sz w:val="20"/>
                <w:szCs w:val="20"/>
              </w:rPr>
              <w:t>3,2</w:t>
            </w:r>
          </w:p>
        </w:tc>
      </w:tr>
      <w:tr w14:paraId="77BC7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46F7AEDE">
            <w:pPr>
              <w:autoSpaceDE w:val="0"/>
              <w:autoSpaceDN w:val="0"/>
              <w:adjustRightInd w:val="0"/>
              <w:spacing w:after="0" w:line="240" w:lineRule="auto"/>
              <w:ind w:firstLine="0"/>
              <w:contextualSpacing/>
              <w:jc w:val="center"/>
              <w:rPr>
                <w:sz w:val="20"/>
                <w:szCs w:val="20"/>
              </w:rPr>
            </w:pPr>
            <w:r>
              <w:rPr>
                <w:sz w:val="20"/>
                <w:szCs w:val="20"/>
              </w:rPr>
              <w:t>ТК-15</w:t>
            </w:r>
          </w:p>
        </w:tc>
        <w:tc>
          <w:tcPr>
            <w:tcW w:w="1259" w:type="pct"/>
            <w:shd w:val="clear" w:color="auto" w:fill="auto"/>
            <w:vAlign w:val="center"/>
          </w:tcPr>
          <w:p w14:paraId="200373A9">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40068785">
            <w:pPr>
              <w:autoSpaceDE w:val="0"/>
              <w:autoSpaceDN w:val="0"/>
              <w:adjustRightInd w:val="0"/>
              <w:spacing w:after="0" w:line="240" w:lineRule="auto"/>
              <w:ind w:firstLine="0"/>
              <w:contextualSpacing/>
              <w:jc w:val="center"/>
              <w:rPr>
                <w:sz w:val="20"/>
                <w:szCs w:val="20"/>
              </w:rPr>
            </w:pPr>
            <w:r>
              <w:rPr>
                <w:sz w:val="20"/>
                <w:szCs w:val="20"/>
              </w:rPr>
              <w:t>10</w:t>
            </w:r>
          </w:p>
        </w:tc>
        <w:tc>
          <w:tcPr>
            <w:tcW w:w="1136" w:type="pct"/>
            <w:shd w:val="clear" w:color="auto" w:fill="auto"/>
            <w:vAlign w:val="center"/>
          </w:tcPr>
          <w:p w14:paraId="2F896684">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40FE9E6">
            <w:pPr>
              <w:autoSpaceDE w:val="0"/>
              <w:autoSpaceDN w:val="0"/>
              <w:adjustRightInd w:val="0"/>
              <w:spacing w:after="0" w:line="240" w:lineRule="auto"/>
              <w:ind w:firstLine="0"/>
              <w:contextualSpacing/>
              <w:jc w:val="center"/>
              <w:rPr>
                <w:sz w:val="20"/>
                <w:szCs w:val="20"/>
              </w:rPr>
            </w:pPr>
            <w:r>
              <w:rPr>
                <w:sz w:val="20"/>
                <w:szCs w:val="20"/>
              </w:rPr>
              <w:t>2,7</w:t>
            </w:r>
          </w:p>
        </w:tc>
      </w:tr>
      <w:tr w14:paraId="08F95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6772FB5D">
            <w:pPr>
              <w:autoSpaceDE w:val="0"/>
              <w:autoSpaceDN w:val="0"/>
              <w:adjustRightInd w:val="0"/>
              <w:spacing w:after="0" w:line="240" w:lineRule="auto"/>
              <w:ind w:firstLine="0"/>
              <w:contextualSpacing/>
              <w:jc w:val="center"/>
              <w:rPr>
                <w:sz w:val="20"/>
                <w:szCs w:val="20"/>
              </w:rPr>
            </w:pPr>
            <w:r>
              <w:rPr>
                <w:sz w:val="20"/>
                <w:szCs w:val="20"/>
              </w:rPr>
              <w:t>ТК-16</w:t>
            </w:r>
          </w:p>
        </w:tc>
        <w:tc>
          <w:tcPr>
            <w:tcW w:w="1259" w:type="pct"/>
            <w:shd w:val="clear" w:color="auto" w:fill="auto"/>
            <w:vAlign w:val="center"/>
          </w:tcPr>
          <w:p w14:paraId="4712ED25">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572E45BB">
            <w:pPr>
              <w:autoSpaceDE w:val="0"/>
              <w:autoSpaceDN w:val="0"/>
              <w:adjustRightInd w:val="0"/>
              <w:spacing w:after="0" w:line="240" w:lineRule="auto"/>
              <w:ind w:firstLine="0"/>
              <w:contextualSpacing/>
              <w:jc w:val="center"/>
              <w:rPr>
                <w:sz w:val="20"/>
                <w:szCs w:val="20"/>
              </w:rPr>
            </w:pPr>
            <w:r>
              <w:rPr>
                <w:sz w:val="20"/>
                <w:szCs w:val="20"/>
              </w:rPr>
              <w:t>10</w:t>
            </w:r>
          </w:p>
        </w:tc>
        <w:tc>
          <w:tcPr>
            <w:tcW w:w="1136" w:type="pct"/>
            <w:shd w:val="clear" w:color="auto" w:fill="auto"/>
            <w:vAlign w:val="center"/>
          </w:tcPr>
          <w:p w14:paraId="24BA71E6">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029892D5">
            <w:pPr>
              <w:autoSpaceDE w:val="0"/>
              <w:autoSpaceDN w:val="0"/>
              <w:adjustRightInd w:val="0"/>
              <w:spacing w:after="0" w:line="240" w:lineRule="auto"/>
              <w:ind w:firstLine="0"/>
              <w:contextualSpacing/>
              <w:jc w:val="center"/>
              <w:rPr>
                <w:sz w:val="20"/>
                <w:szCs w:val="20"/>
              </w:rPr>
            </w:pPr>
            <w:r>
              <w:rPr>
                <w:sz w:val="20"/>
                <w:szCs w:val="20"/>
              </w:rPr>
              <w:t>2,7</w:t>
            </w:r>
          </w:p>
        </w:tc>
      </w:tr>
      <w:tr w14:paraId="20451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61DDB7D0">
            <w:pPr>
              <w:autoSpaceDE w:val="0"/>
              <w:autoSpaceDN w:val="0"/>
              <w:adjustRightInd w:val="0"/>
              <w:spacing w:after="0" w:line="240" w:lineRule="auto"/>
              <w:ind w:firstLine="0"/>
              <w:contextualSpacing/>
              <w:jc w:val="center"/>
              <w:rPr>
                <w:sz w:val="20"/>
                <w:szCs w:val="20"/>
              </w:rPr>
            </w:pPr>
            <w:r>
              <w:rPr>
                <w:sz w:val="20"/>
                <w:szCs w:val="20"/>
              </w:rPr>
              <w:t>ТК-17</w:t>
            </w:r>
          </w:p>
        </w:tc>
        <w:tc>
          <w:tcPr>
            <w:tcW w:w="1259" w:type="pct"/>
            <w:shd w:val="clear" w:color="auto" w:fill="auto"/>
            <w:vAlign w:val="center"/>
          </w:tcPr>
          <w:p w14:paraId="29A371FA">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65974EBF">
            <w:pPr>
              <w:autoSpaceDE w:val="0"/>
              <w:autoSpaceDN w:val="0"/>
              <w:adjustRightInd w:val="0"/>
              <w:spacing w:after="0" w:line="240" w:lineRule="auto"/>
              <w:ind w:firstLine="0"/>
              <w:contextualSpacing/>
              <w:jc w:val="center"/>
              <w:rPr>
                <w:sz w:val="20"/>
                <w:szCs w:val="20"/>
              </w:rPr>
            </w:pPr>
            <w:r>
              <w:rPr>
                <w:sz w:val="20"/>
                <w:szCs w:val="20"/>
              </w:rPr>
              <w:t>16</w:t>
            </w:r>
          </w:p>
        </w:tc>
        <w:tc>
          <w:tcPr>
            <w:tcW w:w="1136" w:type="pct"/>
            <w:shd w:val="clear" w:color="auto" w:fill="auto"/>
            <w:vAlign w:val="center"/>
          </w:tcPr>
          <w:p w14:paraId="1F1DBB6F">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A147C5F">
            <w:pPr>
              <w:autoSpaceDE w:val="0"/>
              <w:autoSpaceDN w:val="0"/>
              <w:adjustRightInd w:val="0"/>
              <w:spacing w:after="0" w:line="240" w:lineRule="auto"/>
              <w:ind w:firstLine="0"/>
              <w:contextualSpacing/>
              <w:jc w:val="center"/>
              <w:rPr>
                <w:sz w:val="20"/>
                <w:szCs w:val="20"/>
              </w:rPr>
            </w:pPr>
            <w:r>
              <w:rPr>
                <w:sz w:val="20"/>
                <w:szCs w:val="20"/>
              </w:rPr>
              <w:t>2,7</w:t>
            </w:r>
          </w:p>
        </w:tc>
      </w:tr>
      <w:tr w14:paraId="5D411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7B697331">
            <w:pPr>
              <w:autoSpaceDE w:val="0"/>
              <w:autoSpaceDN w:val="0"/>
              <w:adjustRightInd w:val="0"/>
              <w:spacing w:after="0" w:line="240" w:lineRule="auto"/>
              <w:ind w:firstLine="0"/>
              <w:contextualSpacing/>
              <w:jc w:val="center"/>
              <w:rPr>
                <w:sz w:val="20"/>
                <w:szCs w:val="20"/>
              </w:rPr>
            </w:pPr>
            <w:r>
              <w:rPr>
                <w:sz w:val="20"/>
                <w:szCs w:val="20"/>
              </w:rPr>
              <w:t>ТК-19</w:t>
            </w:r>
          </w:p>
        </w:tc>
        <w:tc>
          <w:tcPr>
            <w:tcW w:w="1259" w:type="pct"/>
            <w:shd w:val="clear" w:color="auto" w:fill="auto"/>
            <w:vAlign w:val="center"/>
          </w:tcPr>
          <w:p w14:paraId="4482287B">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2D3D7760">
            <w:pPr>
              <w:autoSpaceDE w:val="0"/>
              <w:autoSpaceDN w:val="0"/>
              <w:adjustRightInd w:val="0"/>
              <w:spacing w:after="0" w:line="240" w:lineRule="auto"/>
              <w:ind w:firstLine="0"/>
              <w:contextualSpacing/>
              <w:jc w:val="center"/>
              <w:rPr>
                <w:sz w:val="20"/>
                <w:szCs w:val="20"/>
              </w:rPr>
            </w:pPr>
            <w:r>
              <w:rPr>
                <w:sz w:val="20"/>
                <w:szCs w:val="20"/>
              </w:rPr>
              <w:t>9</w:t>
            </w:r>
          </w:p>
        </w:tc>
        <w:tc>
          <w:tcPr>
            <w:tcW w:w="1136" w:type="pct"/>
            <w:shd w:val="clear" w:color="auto" w:fill="auto"/>
            <w:vAlign w:val="center"/>
          </w:tcPr>
          <w:p w14:paraId="0E3AB237">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0AA83FEC">
            <w:pPr>
              <w:autoSpaceDE w:val="0"/>
              <w:autoSpaceDN w:val="0"/>
              <w:adjustRightInd w:val="0"/>
              <w:spacing w:after="0" w:line="240" w:lineRule="auto"/>
              <w:ind w:firstLine="0"/>
              <w:contextualSpacing/>
              <w:jc w:val="center"/>
              <w:rPr>
                <w:sz w:val="20"/>
                <w:szCs w:val="20"/>
              </w:rPr>
            </w:pPr>
            <w:r>
              <w:rPr>
                <w:sz w:val="20"/>
                <w:szCs w:val="20"/>
              </w:rPr>
              <w:t>2,7</w:t>
            </w:r>
          </w:p>
        </w:tc>
      </w:tr>
      <w:tr w14:paraId="151EC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46E36677">
            <w:pPr>
              <w:autoSpaceDE w:val="0"/>
              <w:autoSpaceDN w:val="0"/>
              <w:adjustRightInd w:val="0"/>
              <w:spacing w:after="0" w:line="240" w:lineRule="auto"/>
              <w:ind w:firstLine="0"/>
              <w:contextualSpacing/>
              <w:jc w:val="center"/>
              <w:rPr>
                <w:sz w:val="20"/>
                <w:szCs w:val="20"/>
              </w:rPr>
            </w:pPr>
            <w:r>
              <w:rPr>
                <w:sz w:val="20"/>
                <w:szCs w:val="20"/>
              </w:rPr>
              <w:t>ТК-20</w:t>
            </w:r>
          </w:p>
        </w:tc>
        <w:tc>
          <w:tcPr>
            <w:tcW w:w="1259" w:type="pct"/>
            <w:shd w:val="clear" w:color="auto" w:fill="auto"/>
            <w:vAlign w:val="center"/>
          </w:tcPr>
          <w:p w14:paraId="47CD431C">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4D8903F">
            <w:pPr>
              <w:autoSpaceDE w:val="0"/>
              <w:autoSpaceDN w:val="0"/>
              <w:adjustRightInd w:val="0"/>
              <w:spacing w:after="0" w:line="240" w:lineRule="auto"/>
              <w:ind w:firstLine="0"/>
              <w:contextualSpacing/>
              <w:jc w:val="center"/>
              <w:rPr>
                <w:sz w:val="20"/>
                <w:szCs w:val="20"/>
              </w:rPr>
            </w:pPr>
            <w:r>
              <w:rPr>
                <w:sz w:val="20"/>
                <w:szCs w:val="20"/>
              </w:rPr>
              <w:t>9</w:t>
            </w:r>
          </w:p>
        </w:tc>
        <w:tc>
          <w:tcPr>
            <w:tcW w:w="1136" w:type="pct"/>
            <w:shd w:val="clear" w:color="auto" w:fill="auto"/>
            <w:vAlign w:val="center"/>
          </w:tcPr>
          <w:p w14:paraId="4C1EE026">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26094D08">
            <w:pPr>
              <w:autoSpaceDE w:val="0"/>
              <w:autoSpaceDN w:val="0"/>
              <w:adjustRightInd w:val="0"/>
              <w:spacing w:after="0" w:line="240" w:lineRule="auto"/>
              <w:ind w:firstLine="0"/>
              <w:contextualSpacing/>
              <w:jc w:val="center"/>
              <w:rPr>
                <w:sz w:val="20"/>
                <w:szCs w:val="20"/>
              </w:rPr>
            </w:pPr>
            <w:r>
              <w:rPr>
                <w:sz w:val="20"/>
                <w:szCs w:val="20"/>
              </w:rPr>
              <w:t>2,7</w:t>
            </w:r>
          </w:p>
        </w:tc>
      </w:tr>
      <w:tr w14:paraId="41D5F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6F03B298">
            <w:pPr>
              <w:autoSpaceDE w:val="0"/>
              <w:autoSpaceDN w:val="0"/>
              <w:adjustRightInd w:val="0"/>
              <w:spacing w:after="0" w:line="240" w:lineRule="auto"/>
              <w:ind w:firstLine="0"/>
              <w:contextualSpacing/>
              <w:jc w:val="center"/>
              <w:rPr>
                <w:sz w:val="20"/>
                <w:szCs w:val="20"/>
              </w:rPr>
            </w:pPr>
            <w:r>
              <w:rPr>
                <w:sz w:val="20"/>
                <w:szCs w:val="20"/>
              </w:rPr>
              <w:t>ТК-24</w:t>
            </w:r>
          </w:p>
        </w:tc>
        <w:tc>
          <w:tcPr>
            <w:tcW w:w="1259" w:type="pct"/>
            <w:shd w:val="clear" w:color="auto" w:fill="auto"/>
            <w:vAlign w:val="center"/>
          </w:tcPr>
          <w:p w14:paraId="36EC2179">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7E1F5058">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342996E5">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F928F3D">
            <w:pPr>
              <w:autoSpaceDE w:val="0"/>
              <w:autoSpaceDN w:val="0"/>
              <w:adjustRightInd w:val="0"/>
              <w:spacing w:after="0" w:line="240" w:lineRule="auto"/>
              <w:ind w:firstLine="0"/>
              <w:contextualSpacing/>
              <w:jc w:val="center"/>
              <w:rPr>
                <w:sz w:val="20"/>
                <w:szCs w:val="20"/>
              </w:rPr>
            </w:pPr>
            <w:r>
              <w:rPr>
                <w:sz w:val="20"/>
                <w:szCs w:val="20"/>
              </w:rPr>
              <w:t>2,7</w:t>
            </w:r>
          </w:p>
        </w:tc>
      </w:tr>
      <w:tr w14:paraId="5648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1A87A7B3">
            <w:pPr>
              <w:autoSpaceDE w:val="0"/>
              <w:autoSpaceDN w:val="0"/>
              <w:adjustRightInd w:val="0"/>
              <w:spacing w:after="0" w:line="240" w:lineRule="auto"/>
              <w:ind w:firstLine="0"/>
              <w:contextualSpacing/>
              <w:jc w:val="center"/>
              <w:rPr>
                <w:sz w:val="20"/>
                <w:szCs w:val="20"/>
              </w:rPr>
            </w:pPr>
            <w:r>
              <w:rPr>
                <w:sz w:val="20"/>
                <w:szCs w:val="20"/>
              </w:rPr>
              <w:t>ТК-24а</w:t>
            </w:r>
          </w:p>
        </w:tc>
        <w:tc>
          <w:tcPr>
            <w:tcW w:w="1259" w:type="pct"/>
            <w:shd w:val="clear" w:color="auto" w:fill="auto"/>
            <w:vAlign w:val="center"/>
          </w:tcPr>
          <w:p w14:paraId="75A72F32">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219AD233">
            <w:pPr>
              <w:autoSpaceDE w:val="0"/>
              <w:autoSpaceDN w:val="0"/>
              <w:adjustRightInd w:val="0"/>
              <w:spacing w:after="0" w:line="240" w:lineRule="auto"/>
              <w:ind w:firstLine="0"/>
              <w:contextualSpacing/>
              <w:jc w:val="center"/>
              <w:rPr>
                <w:sz w:val="20"/>
                <w:szCs w:val="20"/>
              </w:rPr>
            </w:pPr>
            <w:r>
              <w:rPr>
                <w:sz w:val="20"/>
                <w:szCs w:val="20"/>
              </w:rPr>
              <w:t>3</w:t>
            </w:r>
          </w:p>
        </w:tc>
        <w:tc>
          <w:tcPr>
            <w:tcW w:w="1136" w:type="pct"/>
            <w:shd w:val="clear" w:color="auto" w:fill="auto"/>
            <w:vAlign w:val="center"/>
          </w:tcPr>
          <w:p w14:paraId="33C6B973">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ADED674">
            <w:pPr>
              <w:autoSpaceDE w:val="0"/>
              <w:autoSpaceDN w:val="0"/>
              <w:adjustRightInd w:val="0"/>
              <w:spacing w:after="0" w:line="240" w:lineRule="auto"/>
              <w:ind w:firstLine="0"/>
              <w:contextualSpacing/>
              <w:jc w:val="center"/>
              <w:rPr>
                <w:sz w:val="20"/>
                <w:szCs w:val="20"/>
              </w:rPr>
            </w:pPr>
            <w:r>
              <w:rPr>
                <w:sz w:val="20"/>
                <w:szCs w:val="20"/>
              </w:rPr>
              <w:t>2,7</w:t>
            </w:r>
          </w:p>
        </w:tc>
      </w:tr>
      <w:tr w14:paraId="3657E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2911EFED">
            <w:pPr>
              <w:autoSpaceDE w:val="0"/>
              <w:autoSpaceDN w:val="0"/>
              <w:adjustRightInd w:val="0"/>
              <w:spacing w:after="0" w:line="240" w:lineRule="auto"/>
              <w:ind w:firstLine="0"/>
              <w:contextualSpacing/>
              <w:jc w:val="center"/>
              <w:rPr>
                <w:sz w:val="20"/>
                <w:szCs w:val="20"/>
              </w:rPr>
            </w:pPr>
            <w:r>
              <w:rPr>
                <w:sz w:val="20"/>
                <w:szCs w:val="20"/>
              </w:rPr>
              <w:t>ТК-25</w:t>
            </w:r>
          </w:p>
        </w:tc>
        <w:tc>
          <w:tcPr>
            <w:tcW w:w="1259" w:type="pct"/>
            <w:shd w:val="clear" w:color="auto" w:fill="auto"/>
            <w:vAlign w:val="center"/>
          </w:tcPr>
          <w:p w14:paraId="57C78866">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5EB732ED">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477373F1">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0F3F33BE">
            <w:pPr>
              <w:autoSpaceDE w:val="0"/>
              <w:autoSpaceDN w:val="0"/>
              <w:adjustRightInd w:val="0"/>
              <w:spacing w:after="0" w:line="240" w:lineRule="auto"/>
              <w:ind w:firstLine="0"/>
              <w:contextualSpacing/>
              <w:jc w:val="center"/>
              <w:rPr>
                <w:sz w:val="20"/>
                <w:szCs w:val="20"/>
              </w:rPr>
            </w:pPr>
            <w:r>
              <w:rPr>
                <w:sz w:val="20"/>
                <w:szCs w:val="20"/>
              </w:rPr>
              <w:t>2,7</w:t>
            </w:r>
          </w:p>
        </w:tc>
      </w:tr>
      <w:tr w14:paraId="2CAC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418B323D">
            <w:pPr>
              <w:autoSpaceDE w:val="0"/>
              <w:autoSpaceDN w:val="0"/>
              <w:adjustRightInd w:val="0"/>
              <w:spacing w:after="0" w:line="240" w:lineRule="auto"/>
              <w:ind w:firstLine="0"/>
              <w:contextualSpacing/>
              <w:jc w:val="center"/>
              <w:rPr>
                <w:sz w:val="20"/>
                <w:szCs w:val="20"/>
              </w:rPr>
            </w:pPr>
            <w:r>
              <w:rPr>
                <w:sz w:val="20"/>
                <w:szCs w:val="20"/>
              </w:rPr>
              <w:t>ТК-26</w:t>
            </w:r>
          </w:p>
        </w:tc>
        <w:tc>
          <w:tcPr>
            <w:tcW w:w="1259" w:type="pct"/>
            <w:shd w:val="clear" w:color="auto" w:fill="auto"/>
            <w:vAlign w:val="center"/>
          </w:tcPr>
          <w:p w14:paraId="0B960176">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5937A0C9">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3137AD54">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2E3584C">
            <w:pPr>
              <w:autoSpaceDE w:val="0"/>
              <w:autoSpaceDN w:val="0"/>
              <w:adjustRightInd w:val="0"/>
              <w:spacing w:after="0" w:line="240" w:lineRule="auto"/>
              <w:ind w:firstLine="0"/>
              <w:contextualSpacing/>
              <w:jc w:val="center"/>
              <w:rPr>
                <w:sz w:val="20"/>
                <w:szCs w:val="20"/>
              </w:rPr>
            </w:pPr>
            <w:r>
              <w:rPr>
                <w:sz w:val="20"/>
                <w:szCs w:val="20"/>
              </w:rPr>
              <w:t>2,7</w:t>
            </w:r>
          </w:p>
        </w:tc>
      </w:tr>
      <w:tr w14:paraId="12D9C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41EFD4D7">
            <w:pPr>
              <w:autoSpaceDE w:val="0"/>
              <w:autoSpaceDN w:val="0"/>
              <w:adjustRightInd w:val="0"/>
              <w:spacing w:after="0" w:line="240" w:lineRule="auto"/>
              <w:ind w:firstLine="0"/>
              <w:contextualSpacing/>
              <w:jc w:val="center"/>
              <w:rPr>
                <w:sz w:val="20"/>
                <w:szCs w:val="20"/>
              </w:rPr>
            </w:pPr>
            <w:r>
              <w:rPr>
                <w:sz w:val="20"/>
                <w:szCs w:val="20"/>
              </w:rPr>
              <w:t>ТК-27</w:t>
            </w:r>
          </w:p>
        </w:tc>
        <w:tc>
          <w:tcPr>
            <w:tcW w:w="1259" w:type="pct"/>
            <w:shd w:val="clear" w:color="auto" w:fill="auto"/>
            <w:vAlign w:val="center"/>
          </w:tcPr>
          <w:p w14:paraId="2AF77D1E">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6BAE82F6">
            <w:pPr>
              <w:autoSpaceDE w:val="0"/>
              <w:autoSpaceDN w:val="0"/>
              <w:adjustRightInd w:val="0"/>
              <w:spacing w:after="0" w:line="240" w:lineRule="auto"/>
              <w:ind w:firstLine="0"/>
              <w:contextualSpacing/>
              <w:jc w:val="center"/>
              <w:rPr>
                <w:sz w:val="20"/>
                <w:szCs w:val="20"/>
              </w:rPr>
            </w:pPr>
            <w:r>
              <w:rPr>
                <w:sz w:val="20"/>
                <w:szCs w:val="20"/>
              </w:rPr>
              <w:t>15</w:t>
            </w:r>
          </w:p>
        </w:tc>
        <w:tc>
          <w:tcPr>
            <w:tcW w:w="1136" w:type="pct"/>
            <w:shd w:val="clear" w:color="auto" w:fill="auto"/>
            <w:vAlign w:val="center"/>
          </w:tcPr>
          <w:p w14:paraId="3497CDA8">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448F033D">
            <w:pPr>
              <w:autoSpaceDE w:val="0"/>
              <w:autoSpaceDN w:val="0"/>
              <w:adjustRightInd w:val="0"/>
              <w:spacing w:after="0" w:line="240" w:lineRule="auto"/>
              <w:ind w:firstLine="0"/>
              <w:contextualSpacing/>
              <w:jc w:val="center"/>
              <w:rPr>
                <w:sz w:val="20"/>
                <w:szCs w:val="20"/>
              </w:rPr>
            </w:pPr>
            <w:r>
              <w:rPr>
                <w:sz w:val="20"/>
                <w:szCs w:val="20"/>
              </w:rPr>
              <w:t>2,7</w:t>
            </w:r>
          </w:p>
        </w:tc>
      </w:tr>
      <w:tr w14:paraId="6EA55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3AD07B53">
            <w:pPr>
              <w:autoSpaceDE w:val="0"/>
              <w:autoSpaceDN w:val="0"/>
              <w:adjustRightInd w:val="0"/>
              <w:spacing w:after="0" w:line="240" w:lineRule="auto"/>
              <w:ind w:firstLine="0"/>
              <w:contextualSpacing/>
              <w:jc w:val="center"/>
              <w:rPr>
                <w:sz w:val="20"/>
                <w:szCs w:val="20"/>
              </w:rPr>
            </w:pPr>
            <w:r>
              <w:rPr>
                <w:sz w:val="20"/>
                <w:szCs w:val="20"/>
              </w:rPr>
              <w:t>ТК-28</w:t>
            </w:r>
          </w:p>
        </w:tc>
        <w:tc>
          <w:tcPr>
            <w:tcW w:w="1259" w:type="pct"/>
            <w:shd w:val="clear" w:color="auto" w:fill="auto"/>
            <w:vAlign w:val="center"/>
          </w:tcPr>
          <w:p w14:paraId="62A8CC72">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6CE3C17C">
            <w:pPr>
              <w:autoSpaceDE w:val="0"/>
              <w:autoSpaceDN w:val="0"/>
              <w:adjustRightInd w:val="0"/>
              <w:spacing w:after="0" w:line="240" w:lineRule="auto"/>
              <w:ind w:firstLine="0"/>
              <w:contextualSpacing/>
              <w:jc w:val="center"/>
              <w:rPr>
                <w:sz w:val="20"/>
                <w:szCs w:val="20"/>
              </w:rPr>
            </w:pPr>
            <w:r>
              <w:rPr>
                <w:sz w:val="20"/>
                <w:szCs w:val="20"/>
              </w:rPr>
              <w:t>15</w:t>
            </w:r>
          </w:p>
        </w:tc>
        <w:tc>
          <w:tcPr>
            <w:tcW w:w="1136" w:type="pct"/>
            <w:shd w:val="clear" w:color="auto" w:fill="auto"/>
            <w:vAlign w:val="center"/>
          </w:tcPr>
          <w:p w14:paraId="3D52CF7D">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2095F3D9">
            <w:pPr>
              <w:autoSpaceDE w:val="0"/>
              <w:autoSpaceDN w:val="0"/>
              <w:adjustRightInd w:val="0"/>
              <w:spacing w:after="0" w:line="240" w:lineRule="auto"/>
              <w:ind w:firstLine="0"/>
              <w:contextualSpacing/>
              <w:jc w:val="center"/>
              <w:rPr>
                <w:sz w:val="20"/>
                <w:szCs w:val="20"/>
              </w:rPr>
            </w:pPr>
            <w:r>
              <w:rPr>
                <w:sz w:val="20"/>
                <w:szCs w:val="20"/>
              </w:rPr>
              <w:t>2,7</w:t>
            </w:r>
          </w:p>
        </w:tc>
      </w:tr>
      <w:tr w14:paraId="08FA6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7185116">
            <w:pPr>
              <w:autoSpaceDE w:val="0"/>
              <w:autoSpaceDN w:val="0"/>
              <w:adjustRightInd w:val="0"/>
              <w:spacing w:after="0" w:line="240" w:lineRule="auto"/>
              <w:ind w:firstLine="0"/>
              <w:contextualSpacing/>
              <w:jc w:val="center"/>
              <w:rPr>
                <w:sz w:val="20"/>
                <w:szCs w:val="20"/>
              </w:rPr>
            </w:pPr>
            <w:r>
              <w:rPr>
                <w:sz w:val="20"/>
                <w:szCs w:val="20"/>
              </w:rPr>
              <w:t>ТК-29</w:t>
            </w:r>
          </w:p>
        </w:tc>
        <w:tc>
          <w:tcPr>
            <w:tcW w:w="1259" w:type="pct"/>
            <w:shd w:val="clear" w:color="auto" w:fill="auto"/>
            <w:vAlign w:val="center"/>
          </w:tcPr>
          <w:p w14:paraId="799C5736">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01A1E360">
            <w:pPr>
              <w:autoSpaceDE w:val="0"/>
              <w:autoSpaceDN w:val="0"/>
              <w:adjustRightInd w:val="0"/>
              <w:spacing w:after="0" w:line="240" w:lineRule="auto"/>
              <w:ind w:firstLine="0"/>
              <w:contextualSpacing/>
              <w:jc w:val="center"/>
              <w:rPr>
                <w:sz w:val="20"/>
                <w:szCs w:val="20"/>
              </w:rPr>
            </w:pPr>
            <w:r>
              <w:rPr>
                <w:sz w:val="20"/>
                <w:szCs w:val="20"/>
              </w:rPr>
              <w:t>7</w:t>
            </w:r>
          </w:p>
        </w:tc>
        <w:tc>
          <w:tcPr>
            <w:tcW w:w="1136" w:type="pct"/>
            <w:shd w:val="clear" w:color="auto" w:fill="auto"/>
            <w:vAlign w:val="center"/>
          </w:tcPr>
          <w:p w14:paraId="7FA4095A">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6B97F5F6">
            <w:pPr>
              <w:autoSpaceDE w:val="0"/>
              <w:autoSpaceDN w:val="0"/>
              <w:adjustRightInd w:val="0"/>
              <w:spacing w:after="0" w:line="240" w:lineRule="auto"/>
              <w:ind w:firstLine="0"/>
              <w:contextualSpacing/>
              <w:jc w:val="center"/>
              <w:rPr>
                <w:sz w:val="20"/>
                <w:szCs w:val="20"/>
              </w:rPr>
            </w:pPr>
            <w:r>
              <w:rPr>
                <w:sz w:val="20"/>
                <w:szCs w:val="20"/>
              </w:rPr>
              <w:t>2,7</w:t>
            </w:r>
          </w:p>
        </w:tc>
      </w:tr>
      <w:tr w14:paraId="22C84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27DCA96E">
            <w:pPr>
              <w:autoSpaceDE w:val="0"/>
              <w:autoSpaceDN w:val="0"/>
              <w:adjustRightInd w:val="0"/>
              <w:spacing w:after="0" w:line="240" w:lineRule="auto"/>
              <w:ind w:firstLine="0"/>
              <w:contextualSpacing/>
              <w:jc w:val="center"/>
              <w:rPr>
                <w:sz w:val="20"/>
                <w:szCs w:val="20"/>
              </w:rPr>
            </w:pPr>
            <w:r>
              <w:rPr>
                <w:sz w:val="20"/>
                <w:szCs w:val="20"/>
              </w:rPr>
              <w:t>ТК-30</w:t>
            </w:r>
          </w:p>
        </w:tc>
        <w:tc>
          <w:tcPr>
            <w:tcW w:w="1259" w:type="pct"/>
            <w:shd w:val="clear" w:color="auto" w:fill="auto"/>
            <w:vAlign w:val="center"/>
          </w:tcPr>
          <w:p w14:paraId="0F13F4F3">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7D5F20D6">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3A794FA5">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0459B360">
            <w:pPr>
              <w:autoSpaceDE w:val="0"/>
              <w:autoSpaceDN w:val="0"/>
              <w:adjustRightInd w:val="0"/>
              <w:spacing w:after="0" w:line="240" w:lineRule="auto"/>
              <w:ind w:firstLine="0"/>
              <w:contextualSpacing/>
              <w:jc w:val="center"/>
              <w:rPr>
                <w:sz w:val="20"/>
                <w:szCs w:val="20"/>
              </w:rPr>
            </w:pPr>
            <w:r>
              <w:rPr>
                <w:sz w:val="20"/>
                <w:szCs w:val="20"/>
              </w:rPr>
              <w:t>2,7</w:t>
            </w:r>
          </w:p>
        </w:tc>
      </w:tr>
      <w:tr w14:paraId="09C1D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DDCBE6F">
            <w:pPr>
              <w:autoSpaceDE w:val="0"/>
              <w:autoSpaceDN w:val="0"/>
              <w:adjustRightInd w:val="0"/>
              <w:spacing w:after="0" w:line="240" w:lineRule="auto"/>
              <w:ind w:firstLine="0"/>
              <w:contextualSpacing/>
              <w:jc w:val="center"/>
              <w:rPr>
                <w:sz w:val="20"/>
                <w:szCs w:val="20"/>
              </w:rPr>
            </w:pPr>
            <w:r>
              <w:rPr>
                <w:sz w:val="20"/>
                <w:szCs w:val="20"/>
              </w:rPr>
              <w:t>ТК-30а</w:t>
            </w:r>
          </w:p>
        </w:tc>
        <w:tc>
          <w:tcPr>
            <w:tcW w:w="1259" w:type="pct"/>
            <w:shd w:val="clear" w:color="auto" w:fill="auto"/>
            <w:vAlign w:val="center"/>
          </w:tcPr>
          <w:p w14:paraId="1E8D803B">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06E2C465">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6104922E">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3E9246EA">
            <w:pPr>
              <w:autoSpaceDE w:val="0"/>
              <w:autoSpaceDN w:val="0"/>
              <w:adjustRightInd w:val="0"/>
              <w:spacing w:after="0" w:line="240" w:lineRule="auto"/>
              <w:ind w:firstLine="0"/>
              <w:contextualSpacing/>
              <w:jc w:val="center"/>
              <w:rPr>
                <w:sz w:val="20"/>
                <w:szCs w:val="20"/>
              </w:rPr>
            </w:pPr>
            <w:r>
              <w:rPr>
                <w:sz w:val="20"/>
                <w:szCs w:val="20"/>
              </w:rPr>
              <w:t>2,7</w:t>
            </w:r>
          </w:p>
        </w:tc>
      </w:tr>
      <w:tr w14:paraId="75E90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4AEEFED">
            <w:pPr>
              <w:autoSpaceDE w:val="0"/>
              <w:autoSpaceDN w:val="0"/>
              <w:adjustRightInd w:val="0"/>
              <w:spacing w:after="0" w:line="240" w:lineRule="auto"/>
              <w:ind w:firstLine="0"/>
              <w:contextualSpacing/>
              <w:jc w:val="center"/>
              <w:rPr>
                <w:sz w:val="20"/>
                <w:szCs w:val="20"/>
              </w:rPr>
            </w:pPr>
            <w:r>
              <w:rPr>
                <w:sz w:val="20"/>
                <w:szCs w:val="20"/>
              </w:rPr>
              <w:t>ТК-31</w:t>
            </w:r>
          </w:p>
        </w:tc>
        <w:tc>
          <w:tcPr>
            <w:tcW w:w="1259" w:type="pct"/>
            <w:shd w:val="clear" w:color="auto" w:fill="auto"/>
            <w:vAlign w:val="center"/>
          </w:tcPr>
          <w:p w14:paraId="0323B9DF">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7E30182">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56455C70">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33135376">
            <w:pPr>
              <w:autoSpaceDE w:val="0"/>
              <w:autoSpaceDN w:val="0"/>
              <w:adjustRightInd w:val="0"/>
              <w:spacing w:after="0" w:line="240" w:lineRule="auto"/>
              <w:ind w:firstLine="0"/>
              <w:contextualSpacing/>
              <w:jc w:val="center"/>
              <w:rPr>
                <w:sz w:val="20"/>
                <w:szCs w:val="20"/>
              </w:rPr>
            </w:pPr>
            <w:r>
              <w:rPr>
                <w:sz w:val="20"/>
                <w:szCs w:val="20"/>
              </w:rPr>
              <w:t>2,7</w:t>
            </w:r>
          </w:p>
        </w:tc>
      </w:tr>
      <w:tr w14:paraId="4E55F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759E775B">
            <w:pPr>
              <w:autoSpaceDE w:val="0"/>
              <w:autoSpaceDN w:val="0"/>
              <w:adjustRightInd w:val="0"/>
              <w:spacing w:after="0" w:line="240" w:lineRule="auto"/>
              <w:ind w:firstLine="0"/>
              <w:contextualSpacing/>
              <w:jc w:val="center"/>
              <w:rPr>
                <w:sz w:val="20"/>
                <w:szCs w:val="20"/>
              </w:rPr>
            </w:pPr>
            <w:r>
              <w:rPr>
                <w:sz w:val="20"/>
                <w:szCs w:val="20"/>
              </w:rPr>
              <w:t>ТК-32</w:t>
            </w:r>
          </w:p>
        </w:tc>
        <w:tc>
          <w:tcPr>
            <w:tcW w:w="1259" w:type="pct"/>
            <w:shd w:val="clear" w:color="auto" w:fill="auto"/>
            <w:vAlign w:val="center"/>
          </w:tcPr>
          <w:p w14:paraId="67BBF3D5">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28DAADEA">
            <w:pPr>
              <w:autoSpaceDE w:val="0"/>
              <w:autoSpaceDN w:val="0"/>
              <w:adjustRightInd w:val="0"/>
              <w:spacing w:after="0" w:line="240" w:lineRule="auto"/>
              <w:ind w:firstLine="0"/>
              <w:contextualSpacing/>
              <w:jc w:val="center"/>
              <w:rPr>
                <w:sz w:val="20"/>
                <w:szCs w:val="20"/>
              </w:rPr>
            </w:pPr>
            <w:r>
              <w:rPr>
                <w:sz w:val="20"/>
                <w:szCs w:val="20"/>
              </w:rPr>
              <w:t>8</w:t>
            </w:r>
          </w:p>
        </w:tc>
        <w:tc>
          <w:tcPr>
            <w:tcW w:w="1136" w:type="pct"/>
            <w:shd w:val="clear" w:color="auto" w:fill="auto"/>
            <w:vAlign w:val="center"/>
          </w:tcPr>
          <w:p w14:paraId="44904848">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4C436904">
            <w:pPr>
              <w:autoSpaceDE w:val="0"/>
              <w:autoSpaceDN w:val="0"/>
              <w:adjustRightInd w:val="0"/>
              <w:spacing w:after="0" w:line="240" w:lineRule="auto"/>
              <w:ind w:firstLine="0"/>
              <w:contextualSpacing/>
              <w:jc w:val="center"/>
              <w:rPr>
                <w:sz w:val="20"/>
                <w:szCs w:val="20"/>
              </w:rPr>
            </w:pPr>
            <w:r>
              <w:rPr>
                <w:sz w:val="20"/>
                <w:szCs w:val="20"/>
              </w:rPr>
              <w:t>2,7</w:t>
            </w:r>
          </w:p>
        </w:tc>
      </w:tr>
      <w:tr w14:paraId="76008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6C009245">
            <w:pPr>
              <w:autoSpaceDE w:val="0"/>
              <w:autoSpaceDN w:val="0"/>
              <w:adjustRightInd w:val="0"/>
              <w:spacing w:after="0" w:line="240" w:lineRule="auto"/>
              <w:ind w:firstLine="0"/>
              <w:contextualSpacing/>
              <w:jc w:val="center"/>
              <w:rPr>
                <w:sz w:val="20"/>
                <w:szCs w:val="20"/>
              </w:rPr>
            </w:pPr>
            <w:r>
              <w:rPr>
                <w:sz w:val="20"/>
                <w:szCs w:val="20"/>
              </w:rPr>
              <w:t>ТК-33</w:t>
            </w:r>
          </w:p>
        </w:tc>
        <w:tc>
          <w:tcPr>
            <w:tcW w:w="1259" w:type="pct"/>
            <w:shd w:val="clear" w:color="auto" w:fill="auto"/>
            <w:vAlign w:val="center"/>
          </w:tcPr>
          <w:p w14:paraId="0B5B2AEA">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CD8FCB6">
            <w:pPr>
              <w:autoSpaceDE w:val="0"/>
              <w:autoSpaceDN w:val="0"/>
              <w:adjustRightInd w:val="0"/>
              <w:spacing w:after="0" w:line="240" w:lineRule="auto"/>
              <w:ind w:firstLine="0"/>
              <w:contextualSpacing/>
              <w:jc w:val="center"/>
              <w:rPr>
                <w:sz w:val="20"/>
                <w:szCs w:val="20"/>
              </w:rPr>
            </w:pPr>
            <w:r>
              <w:rPr>
                <w:sz w:val="20"/>
                <w:szCs w:val="20"/>
              </w:rPr>
              <w:t>6</w:t>
            </w:r>
          </w:p>
        </w:tc>
        <w:tc>
          <w:tcPr>
            <w:tcW w:w="1136" w:type="pct"/>
            <w:shd w:val="clear" w:color="auto" w:fill="auto"/>
            <w:vAlign w:val="center"/>
          </w:tcPr>
          <w:p w14:paraId="41ECCD4D">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2AD0A0B6">
            <w:pPr>
              <w:autoSpaceDE w:val="0"/>
              <w:autoSpaceDN w:val="0"/>
              <w:adjustRightInd w:val="0"/>
              <w:spacing w:after="0" w:line="240" w:lineRule="auto"/>
              <w:ind w:firstLine="0"/>
              <w:contextualSpacing/>
              <w:jc w:val="center"/>
              <w:rPr>
                <w:sz w:val="20"/>
                <w:szCs w:val="20"/>
              </w:rPr>
            </w:pPr>
            <w:r>
              <w:rPr>
                <w:sz w:val="20"/>
                <w:szCs w:val="20"/>
              </w:rPr>
              <w:t>2,7</w:t>
            </w:r>
          </w:p>
        </w:tc>
      </w:tr>
      <w:tr w14:paraId="57E6E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0413C748">
            <w:pPr>
              <w:autoSpaceDE w:val="0"/>
              <w:autoSpaceDN w:val="0"/>
              <w:adjustRightInd w:val="0"/>
              <w:spacing w:after="0" w:line="240" w:lineRule="auto"/>
              <w:ind w:firstLine="0"/>
              <w:contextualSpacing/>
              <w:jc w:val="center"/>
              <w:rPr>
                <w:sz w:val="20"/>
                <w:szCs w:val="20"/>
              </w:rPr>
            </w:pPr>
            <w:r>
              <w:rPr>
                <w:sz w:val="20"/>
                <w:szCs w:val="20"/>
              </w:rPr>
              <w:t>ТК-34</w:t>
            </w:r>
          </w:p>
        </w:tc>
        <w:tc>
          <w:tcPr>
            <w:tcW w:w="1259" w:type="pct"/>
            <w:shd w:val="clear" w:color="auto" w:fill="auto"/>
            <w:vAlign w:val="center"/>
          </w:tcPr>
          <w:p w14:paraId="34570726">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572C3D01">
            <w:pPr>
              <w:autoSpaceDE w:val="0"/>
              <w:autoSpaceDN w:val="0"/>
              <w:adjustRightInd w:val="0"/>
              <w:spacing w:after="0" w:line="240" w:lineRule="auto"/>
              <w:ind w:firstLine="0"/>
              <w:contextualSpacing/>
              <w:jc w:val="center"/>
              <w:rPr>
                <w:sz w:val="20"/>
                <w:szCs w:val="20"/>
              </w:rPr>
            </w:pPr>
            <w:r>
              <w:rPr>
                <w:sz w:val="20"/>
                <w:szCs w:val="20"/>
              </w:rPr>
              <w:t>1</w:t>
            </w:r>
          </w:p>
        </w:tc>
        <w:tc>
          <w:tcPr>
            <w:tcW w:w="1136" w:type="pct"/>
            <w:shd w:val="clear" w:color="auto" w:fill="auto"/>
            <w:vAlign w:val="center"/>
          </w:tcPr>
          <w:p w14:paraId="59788EFD">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442A7E3F">
            <w:pPr>
              <w:autoSpaceDE w:val="0"/>
              <w:autoSpaceDN w:val="0"/>
              <w:adjustRightInd w:val="0"/>
              <w:spacing w:after="0" w:line="240" w:lineRule="auto"/>
              <w:ind w:firstLine="0"/>
              <w:contextualSpacing/>
              <w:jc w:val="center"/>
              <w:rPr>
                <w:sz w:val="20"/>
                <w:szCs w:val="20"/>
              </w:rPr>
            </w:pPr>
            <w:r>
              <w:rPr>
                <w:sz w:val="20"/>
                <w:szCs w:val="20"/>
              </w:rPr>
              <w:t>2,7</w:t>
            </w:r>
          </w:p>
        </w:tc>
      </w:tr>
      <w:tr w14:paraId="67FD9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786CC426">
            <w:pPr>
              <w:autoSpaceDE w:val="0"/>
              <w:autoSpaceDN w:val="0"/>
              <w:adjustRightInd w:val="0"/>
              <w:spacing w:after="0" w:line="240" w:lineRule="auto"/>
              <w:ind w:firstLine="0"/>
              <w:contextualSpacing/>
              <w:jc w:val="center"/>
              <w:rPr>
                <w:sz w:val="20"/>
                <w:szCs w:val="20"/>
              </w:rPr>
            </w:pPr>
            <w:r>
              <w:rPr>
                <w:sz w:val="20"/>
                <w:szCs w:val="20"/>
              </w:rPr>
              <w:t>ТК-34а</w:t>
            </w:r>
          </w:p>
        </w:tc>
        <w:tc>
          <w:tcPr>
            <w:tcW w:w="1259" w:type="pct"/>
            <w:shd w:val="clear" w:color="auto" w:fill="auto"/>
            <w:vAlign w:val="center"/>
          </w:tcPr>
          <w:p w14:paraId="3215772D">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7BB366EB">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76B23A41">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62B00C34">
            <w:pPr>
              <w:autoSpaceDE w:val="0"/>
              <w:autoSpaceDN w:val="0"/>
              <w:adjustRightInd w:val="0"/>
              <w:spacing w:after="0" w:line="240" w:lineRule="auto"/>
              <w:ind w:firstLine="0"/>
              <w:contextualSpacing/>
              <w:jc w:val="center"/>
              <w:rPr>
                <w:sz w:val="20"/>
                <w:szCs w:val="20"/>
              </w:rPr>
            </w:pPr>
            <w:r>
              <w:rPr>
                <w:sz w:val="20"/>
                <w:szCs w:val="20"/>
              </w:rPr>
              <w:t>2,7</w:t>
            </w:r>
          </w:p>
        </w:tc>
      </w:tr>
      <w:tr w14:paraId="3A5B8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055A3239">
            <w:pPr>
              <w:autoSpaceDE w:val="0"/>
              <w:autoSpaceDN w:val="0"/>
              <w:adjustRightInd w:val="0"/>
              <w:spacing w:after="0" w:line="240" w:lineRule="auto"/>
              <w:ind w:firstLine="0"/>
              <w:contextualSpacing/>
              <w:jc w:val="center"/>
              <w:rPr>
                <w:sz w:val="20"/>
                <w:szCs w:val="20"/>
              </w:rPr>
            </w:pPr>
            <w:r>
              <w:rPr>
                <w:sz w:val="20"/>
                <w:szCs w:val="20"/>
              </w:rPr>
              <w:t>ТК-35</w:t>
            </w:r>
          </w:p>
        </w:tc>
        <w:tc>
          <w:tcPr>
            <w:tcW w:w="1259" w:type="pct"/>
            <w:shd w:val="clear" w:color="auto" w:fill="auto"/>
            <w:vAlign w:val="center"/>
          </w:tcPr>
          <w:p w14:paraId="3BECDBCF">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231C274">
            <w:pPr>
              <w:autoSpaceDE w:val="0"/>
              <w:autoSpaceDN w:val="0"/>
              <w:adjustRightInd w:val="0"/>
              <w:spacing w:after="0" w:line="240" w:lineRule="auto"/>
              <w:ind w:firstLine="0"/>
              <w:contextualSpacing/>
              <w:jc w:val="center"/>
              <w:rPr>
                <w:sz w:val="20"/>
                <w:szCs w:val="20"/>
              </w:rPr>
            </w:pPr>
            <w:r>
              <w:rPr>
                <w:sz w:val="20"/>
                <w:szCs w:val="20"/>
              </w:rPr>
              <w:t>4</w:t>
            </w:r>
          </w:p>
        </w:tc>
        <w:tc>
          <w:tcPr>
            <w:tcW w:w="1136" w:type="pct"/>
            <w:shd w:val="clear" w:color="auto" w:fill="auto"/>
            <w:vAlign w:val="center"/>
          </w:tcPr>
          <w:p w14:paraId="12FD6529">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47EE4C3A">
            <w:pPr>
              <w:autoSpaceDE w:val="0"/>
              <w:autoSpaceDN w:val="0"/>
              <w:adjustRightInd w:val="0"/>
              <w:spacing w:after="0" w:line="240" w:lineRule="auto"/>
              <w:ind w:firstLine="0"/>
              <w:contextualSpacing/>
              <w:jc w:val="center"/>
              <w:rPr>
                <w:sz w:val="20"/>
                <w:szCs w:val="20"/>
              </w:rPr>
            </w:pPr>
            <w:r>
              <w:rPr>
                <w:sz w:val="20"/>
                <w:szCs w:val="20"/>
              </w:rPr>
              <w:t>2,7</w:t>
            </w:r>
          </w:p>
        </w:tc>
      </w:tr>
      <w:tr w14:paraId="13FB9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607DAF73">
            <w:pPr>
              <w:autoSpaceDE w:val="0"/>
              <w:autoSpaceDN w:val="0"/>
              <w:adjustRightInd w:val="0"/>
              <w:spacing w:after="0" w:line="240" w:lineRule="auto"/>
              <w:ind w:firstLine="0"/>
              <w:contextualSpacing/>
              <w:jc w:val="center"/>
              <w:rPr>
                <w:sz w:val="20"/>
                <w:szCs w:val="20"/>
              </w:rPr>
            </w:pPr>
            <w:r>
              <w:rPr>
                <w:sz w:val="20"/>
                <w:szCs w:val="20"/>
              </w:rPr>
              <w:t>ТК-36</w:t>
            </w:r>
          </w:p>
        </w:tc>
        <w:tc>
          <w:tcPr>
            <w:tcW w:w="1259" w:type="pct"/>
            <w:shd w:val="clear" w:color="auto" w:fill="auto"/>
            <w:vAlign w:val="center"/>
          </w:tcPr>
          <w:p w14:paraId="11DF6840">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4FE151D6">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1C59B115">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00AFFF78">
            <w:pPr>
              <w:autoSpaceDE w:val="0"/>
              <w:autoSpaceDN w:val="0"/>
              <w:adjustRightInd w:val="0"/>
              <w:spacing w:after="0" w:line="240" w:lineRule="auto"/>
              <w:ind w:firstLine="0"/>
              <w:contextualSpacing/>
              <w:jc w:val="center"/>
              <w:rPr>
                <w:sz w:val="20"/>
                <w:szCs w:val="20"/>
              </w:rPr>
            </w:pPr>
            <w:r>
              <w:rPr>
                <w:sz w:val="20"/>
                <w:szCs w:val="20"/>
              </w:rPr>
              <w:t>2,7</w:t>
            </w:r>
          </w:p>
        </w:tc>
      </w:tr>
      <w:tr w14:paraId="51BBD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22F7CE11">
            <w:pPr>
              <w:autoSpaceDE w:val="0"/>
              <w:autoSpaceDN w:val="0"/>
              <w:adjustRightInd w:val="0"/>
              <w:spacing w:after="0" w:line="240" w:lineRule="auto"/>
              <w:ind w:firstLine="0"/>
              <w:contextualSpacing/>
              <w:jc w:val="center"/>
              <w:rPr>
                <w:sz w:val="20"/>
                <w:szCs w:val="20"/>
              </w:rPr>
            </w:pPr>
            <w:r>
              <w:rPr>
                <w:sz w:val="20"/>
                <w:szCs w:val="20"/>
              </w:rPr>
              <w:t>ТК-40</w:t>
            </w:r>
          </w:p>
        </w:tc>
        <w:tc>
          <w:tcPr>
            <w:tcW w:w="1259" w:type="pct"/>
            <w:shd w:val="clear" w:color="auto" w:fill="auto"/>
            <w:vAlign w:val="center"/>
          </w:tcPr>
          <w:p w14:paraId="5CF7695E">
            <w:pPr>
              <w:autoSpaceDE w:val="0"/>
              <w:autoSpaceDN w:val="0"/>
              <w:adjustRightInd w:val="0"/>
              <w:spacing w:after="0" w:line="240" w:lineRule="auto"/>
              <w:ind w:firstLine="0"/>
              <w:contextualSpacing/>
              <w:jc w:val="center"/>
              <w:rPr>
                <w:sz w:val="20"/>
                <w:szCs w:val="20"/>
              </w:rPr>
            </w:pPr>
            <w:r>
              <w:rPr>
                <w:sz w:val="20"/>
                <w:szCs w:val="20"/>
              </w:rPr>
              <w:t>Тр Ду1400 Ст</w:t>
            </w:r>
          </w:p>
        </w:tc>
        <w:tc>
          <w:tcPr>
            <w:tcW w:w="619" w:type="pct"/>
            <w:shd w:val="clear" w:color="auto" w:fill="auto"/>
            <w:vAlign w:val="center"/>
          </w:tcPr>
          <w:p w14:paraId="5DD1270F">
            <w:pPr>
              <w:autoSpaceDE w:val="0"/>
              <w:autoSpaceDN w:val="0"/>
              <w:adjustRightInd w:val="0"/>
              <w:spacing w:after="0" w:line="240" w:lineRule="auto"/>
              <w:ind w:firstLine="0"/>
              <w:contextualSpacing/>
              <w:jc w:val="center"/>
              <w:rPr>
                <w:sz w:val="20"/>
                <w:szCs w:val="20"/>
              </w:rPr>
            </w:pPr>
            <w:r>
              <w:rPr>
                <w:sz w:val="20"/>
                <w:szCs w:val="20"/>
              </w:rPr>
              <w:t>1</w:t>
            </w:r>
          </w:p>
        </w:tc>
        <w:tc>
          <w:tcPr>
            <w:tcW w:w="1136" w:type="pct"/>
            <w:shd w:val="clear" w:color="auto" w:fill="auto"/>
            <w:vAlign w:val="center"/>
          </w:tcPr>
          <w:p w14:paraId="5B9EEE80">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66A2A4E3">
            <w:pPr>
              <w:autoSpaceDE w:val="0"/>
              <w:autoSpaceDN w:val="0"/>
              <w:adjustRightInd w:val="0"/>
              <w:spacing w:after="0" w:line="240" w:lineRule="auto"/>
              <w:ind w:firstLine="0"/>
              <w:contextualSpacing/>
              <w:jc w:val="center"/>
              <w:rPr>
                <w:sz w:val="20"/>
                <w:szCs w:val="20"/>
              </w:rPr>
            </w:pPr>
            <w:r>
              <w:rPr>
                <w:sz w:val="20"/>
                <w:szCs w:val="20"/>
              </w:rPr>
              <w:t>2,3</w:t>
            </w:r>
          </w:p>
        </w:tc>
      </w:tr>
      <w:tr w14:paraId="6CE31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507C5714">
            <w:pPr>
              <w:autoSpaceDE w:val="0"/>
              <w:autoSpaceDN w:val="0"/>
              <w:adjustRightInd w:val="0"/>
              <w:spacing w:after="0" w:line="240" w:lineRule="auto"/>
              <w:ind w:firstLine="0"/>
              <w:contextualSpacing/>
              <w:jc w:val="center"/>
              <w:rPr>
                <w:sz w:val="20"/>
                <w:szCs w:val="20"/>
              </w:rPr>
            </w:pPr>
            <w:r>
              <w:rPr>
                <w:sz w:val="20"/>
                <w:szCs w:val="20"/>
              </w:rPr>
              <w:t>ТК-41</w:t>
            </w:r>
          </w:p>
        </w:tc>
        <w:tc>
          <w:tcPr>
            <w:tcW w:w="1259" w:type="pct"/>
            <w:shd w:val="clear" w:color="auto" w:fill="auto"/>
            <w:vAlign w:val="center"/>
          </w:tcPr>
          <w:p w14:paraId="024ED0AF">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05138942">
            <w:pPr>
              <w:autoSpaceDE w:val="0"/>
              <w:autoSpaceDN w:val="0"/>
              <w:adjustRightInd w:val="0"/>
              <w:spacing w:after="0" w:line="240" w:lineRule="auto"/>
              <w:ind w:firstLine="0"/>
              <w:contextualSpacing/>
              <w:jc w:val="center"/>
              <w:rPr>
                <w:sz w:val="20"/>
                <w:szCs w:val="20"/>
              </w:rPr>
            </w:pPr>
            <w:r>
              <w:rPr>
                <w:sz w:val="20"/>
                <w:szCs w:val="20"/>
              </w:rPr>
              <w:t>4</w:t>
            </w:r>
          </w:p>
        </w:tc>
        <w:tc>
          <w:tcPr>
            <w:tcW w:w="1136" w:type="pct"/>
            <w:shd w:val="clear" w:color="auto" w:fill="auto"/>
            <w:vAlign w:val="center"/>
          </w:tcPr>
          <w:p w14:paraId="5623471F">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3B7264F0">
            <w:pPr>
              <w:autoSpaceDE w:val="0"/>
              <w:autoSpaceDN w:val="0"/>
              <w:adjustRightInd w:val="0"/>
              <w:spacing w:after="0" w:line="240" w:lineRule="auto"/>
              <w:ind w:firstLine="0"/>
              <w:contextualSpacing/>
              <w:jc w:val="center"/>
              <w:rPr>
                <w:sz w:val="20"/>
                <w:szCs w:val="20"/>
              </w:rPr>
            </w:pPr>
            <w:r>
              <w:rPr>
                <w:sz w:val="20"/>
                <w:szCs w:val="20"/>
              </w:rPr>
              <w:t>2,7</w:t>
            </w:r>
          </w:p>
        </w:tc>
      </w:tr>
      <w:tr w14:paraId="0F3C8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3106BE70">
            <w:pPr>
              <w:autoSpaceDE w:val="0"/>
              <w:autoSpaceDN w:val="0"/>
              <w:adjustRightInd w:val="0"/>
              <w:spacing w:after="0" w:line="240" w:lineRule="auto"/>
              <w:ind w:firstLine="0"/>
              <w:contextualSpacing/>
              <w:jc w:val="center"/>
              <w:rPr>
                <w:sz w:val="20"/>
                <w:szCs w:val="20"/>
              </w:rPr>
            </w:pPr>
            <w:r>
              <w:rPr>
                <w:sz w:val="20"/>
                <w:szCs w:val="20"/>
              </w:rPr>
              <w:t>ТК-43</w:t>
            </w:r>
          </w:p>
        </w:tc>
        <w:tc>
          <w:tcPr>
            <w:tcW w:w="1259" w:type="pct"/>
            <w:shd w:val="clear" w:color="auto" w:fill="auto"/>
            <w:vAlign w:val="center"/>
          </w:tcPr>
          <w:p w14:paraId="451EF5D7">
            <w:pPr>
              <w:autoSpaceDE w:val="0"/>
              <w:autoSpaceDN w:val="0"/>
              <w:adjustRightInd w:val="0"/>
              <w:spacing w:after="0" w:line="240" w:lineRule="auto"/>
              <w:ind w:firstLine="0"/>
              <w:contextualSpacing/>
              <w:jc w:val="center"/>
              <w:rPr>
                <w:sz w:val="20"/>
                <w:szCs w:val="20"/>
              </w:rPr>
            </w:pPr>
            <w:r>
              <w:rPr>
                <w:sz w:val="20"/>
                <w:szCs w:val="20"/>
              </w:rPr>
              <w:t>Тр Ду1400 Ст</w:t>
            </w:r>
          </w:p>
        </w:tc>
        <w:tc>
          <w:tcPr>
            <w:tcW w:w="619" w:type="pct"/>
            <w:shd w:val="clear" w:color="auto" w:fill="auto"/>
            <w:vAlign w:val="center"/>
          </w:tcPr>
          <w:p w14:paraId="4ABBDD56">
            <w:pPr>
              <w:autoSpaceDE w:val="0"/>
              <w:autoSpaceDN w:val="0"/>
              <w:adjustRightInd w:val="0"/>
              <w:spacing w:after="0" w:line="240" w:lineRule="auto"/>
              <w:ind w:firstLine="0"/>
              <w:contextualSpacing/>
              <w:jc w:val="center"/>
              <w:rPr>
                <w:sz w:val="20"/>
                <w:szCs w:val="20"/>
              </w:rPr>
            </w:pPr>
            <w:r>
              <w:rPr>
                <w:sz w:val="20"/>
                <w:szCs w:val="20"/>
              </w:rPr>
              <w:t>5</w:t>
            </w:r>
          </w:p>
        </w:tc>
        <w:tc>
          <w:tcPr>
            <w:tcW w:w="1136" w:type="pct"/>
            <w:shd w:val="clear" w:color="auto" w:fill="auto"/>
            <w:vAlign w:val="center"/>
          </w:tcPr>
          <w:p w14:paraId="0E7056AA">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7C457BFA">
            <w:pPr>
              <w:autoSpaceDE w:val="0"/>
              <w:autoSpaceDN w:val="0"/>
              <w:adjustRightInd w:val="0"/>
              <w:spacing w:after="0" w:line="240" w:lineRule="auto"/>
              <w:ind w:firstLine="0"/>
              <w:contextualSpacing/>
              <w:jc w:val="center"/>
              <w:rPr>
                <w:sz w:val="20"/>
                <w:szCs w:val="20"/>
              </w:rPr>
            </w:pPr>
            <w:r>
              <w:rPr>
                <w:sz w:val="20"/>
                <w:szCs w:val="20"/>
              </w:rPr>
              <w:t>2,3</w:t>
            </w:r>
          </w:p>
        </w:tc>
      </w:tr>
      <w:tr w14:paraId="5AFC5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3" w:type="pct"/>
            <w:shd w:val="clear" w:color="auto" w:fill="auto"/>
            <w:vAlign w:val="center"/>
          </w:tcPr>
          <w:p w14:paraId="2D7921E5">
            <w:pPr>
              <w:autoSpaceDE w:val="0"/>
              <w:autoSpaceDN w:val="0"/>
              <w:adjustRightInd w:val="0"/>
              <w:spacing w:after="0" w:line="240" w:lineRule="auto"/>
              <w:ind w:firstLine="0"/>
              <w:contextualSpacing/>
              <w:jc w:val="center"/>
              <w:rPr>
                <w:sz w:val="20"/>
                <w:szCs w:val="20"/>
              </w:rPr>
            </w:pPr>
            <w:r>
              <w:rPr>
                <w:sz w:val="20"/>
                <w:szCs w:val="20"/>
              </w:rPr>
              <w:t>ТК-23</w:t>
            </w:r>
          </w:p>
        </w:tc>
        <w:tc>
          <w:tcPr>
            <w:tcW w:w="1259" w:type="pct"/>
            <w:shd w:val="clear" w:color="auto" w:fill="auto"/>
            <w:vAlign w:val="center"/>
          </w:tcPr>
          <w:p w14:paraId="55EBA628">
            <w:pPr>
              <w:autoSpaceDE w:val="0"/>
              <w:autoSpaceDN w:val="0"/>
              <w:adjustRightInd w:val="0"/>
              <w:spacing w:after="0" w:line="240" w:lineRule="auto"/>
              <w:ind w:firstLine="0"/>
              <w:contextualSpacing/>
              <w:jc w:val="center"/>
              <w:rPr>
                <w:sz w:val="20"/>
                <w:szCs w:val="20"/>
              </w:rPr>
            </w:pPr>
            <w:r>
              <w:rPr>
                <w:sz w:val="20"/>
                <w:szCs w:val="20"/>
              </w:rPr>
              <w:t>ЖБ плиты, блоки ФБС</w:t>
            </w:r>
          </w:p>
        </w:tc>
        <w:tc>
          <w:tcPr>
            <w:tcW w:w="619" w:type="pct"/>
            <w:shd w:val="clear" w:color="auto" w:fill="auto"/>
            <w:vAlign w:val="center"/>
          </w:tcPr>
          <w:p w14:paraId="3A227FBC">
            <w:pPr>
              <w:autoSpaceDE w:val="0"/>
              <w:autoSpaceDN w:val="0"/>
              <w:adjustRightInd w:val="0"/>
              <w:spacing w:after="0" w:line="240" w:lineRule="auto"/>
              <w:ind w:firstLine="0"/>
              <w:contextualSpacing/>
              <w:jc w:val="center"/>
              <w:rPr>
                <w:sz w:val="20"/>
                <w:szCs w:val="20"/>
              </w:rPr>
            </w:pPr>
            <w:r>
              <w:rPr>
                <w:sz w:val="20"/>
                <w:szCs w:val="20"/>
              </w:rPr>
              <w:t>3</w:t>
            </w:r>
          </w:p>
        </w:tc>
        <w:tc>
          <w:tcPr>
            <w:tcW w:w="1136" w:type="pct"/>
            <w:shd w:val="clear" w:color="auto" w:fill="auto"/>
            <w:vAlign w:val="center"/>
          </w:tcPr>
          <w:p w14:paraId="5181230A">
            <w:pPr>
              <w:autoSpaceDE w:val="0"/>
              <w:autoSpaceDN w:val="0"/>
              <w:adjustRightInd w:val="0"/>
              <w:spacing w:after="0" w:line="240" w:lineRule="auto"/>
              <w:ind w:firstLine="0"/>
              <w:contextualSpacing/>
              <w:jc w:val="center"/>
              <w:rPr>
                <w:sz w:val="20"/>
                <w:szCs w:val="20"/>
              </w:rPr>
            </w:pPr>
          </w:p>
        </w:tc>
        <w:tc>
          <w:tcPr>
            <w:tcW w:w="1113" w:type="pct"/>
            <w:shd w:val="clear" w:color="auto" w:fill="auto"/>
            <w:vAlign w:val="center"/>
          </w:tcPr>
          <w:p w14:paraId="1E20162D">
            <w:pPr>
              <w:autoSpaceDE w:val="0"/>
              <w:autoSpaceDN w:val="0"/>
              <w:adjustRightInd w:val="0"/>
              <w:spacing w:after="0" w:line="240" w:lineRule="auto"/>
              <w:ind w:firstLine="0"/>
              <w:contextualSpacing/>
              <w:jc w:val="center"/>
              <w:rPr>
                <w:sz w:val="20"/>
                <w:szCs w:val="20"/>
              </w:rPr>
            </w:pPr>
            <w:r>
              <w:rPr>
                <w:sz w:val="20"/>
                <w:szCs w:val="20"/>
              </w:rPr>
              <w:t>2,7</w:t>
            </w:r>
          </w:p>
        </w:tc>
      </w:tr>
    </w:tbl>
    <w:p w14:paraId="509BF241">
      <w:pPr>
        <w:spacing w:after="0" w:line="240" w:lineRule="auto"/>
        <w:contextualSpacing/>
        <w:jc w:val="both"/>
        <w:rPr>
          <w:sz w:val="24"/>
          <w:szCs w:val="24"/>
        </w:rPr>
      </w:pPr>
    </w:p>
    <w:p w14:paraId="49DAEBBC">
      <w:pPr>
        <w:pStyle w:val="4"/>
        <w:keepNext/>
        <w:spacing w:before="0" w:line="240" w:lineRule="auto"/>
        <w:ind w:left="0" w:firstLine="709"/>
        <w:contextualSpacing/>
        <w:rPr>
          <w:rFonts w:cs="Times New Roman"/>
          <w:b w:val="0"/>
          <w:sz w:val="24"/>
        </w:rPr>
      </w:pPr>
      <w:bookmarkStart w:id="104" w:name="_Toc451004723"/>
      <w:bookmarkStart w:id="105" w:name="_Toc182813882"/>
      <w:r>
        <w:rPr>
          <w:rFonts w:cs="Times New Roman"/>
          <w:b w:val="0"/>
          <w:sz w:val="24"/>
        </w:rPr>
        <w:t>Описание типов и строительных особенностей тепловых пунктов, тепловых камер и павильонов</w:t>
      </w:r>
      <w:bookmarkEnd w:id="104"/>
      <w:bookmarkEnd w:id="105"/>
    </w:p>
    <w:p w14:paraId="6DB2C6AA">
      <w:pPr>
        <w:spacing w:after="0" w:line="240" w:lineRule="auto"/>
        <w:contextualSpacing/>
        <w:jc w:val="both"/>
        <w:rPr>
          <w:sz w:val="24"/>
          <w:szCs w:val="24"/>
        </w:rPr>
      </w:pPr>
      <w:bookmarkStart w:id="106" w:name="_Hlk37270388"/>
      <w:r>
        <w:rPr>
          <w:sz w:val="24"/>
          <w:szCs w:val="24"/>
        </w:rPr>
        <w:t>Описание типов и строительных особенностей тепловых пунктов, тепловых камер и павильонов на территории с.п. Верхнеказымский предоставлены в таблице 22.</w:t>
      </w:r>
    </w:p>
    <w:p w14:paraId="00C0B579">
      <w:pPr>
        <w:spacing w:after="0" w:line="240" w:lineRule="auto"/>
        <w:contextualSpacing/>
        <w:jc w:val="both"/>
        <w:rPr>
          <w:sz w:val="24"/>
          <w:szCs w:val="24"/>
        </w:rPr>
      </w:pPr>
    </w:p>
    <w:bookmarkEnd w:id="106"/>
    <w:p w14:paraId="58233073">
      <w:pPr>
        <w:pStyle w:val="4"/>
        <w:spacing w:before="0" w:line="240" w:lineRule="auto"/>
        <w:ind w:left="0" w:firstLine="709"/>
        <w:contextualSpacing/>
        <w:rPr>
          <w:rFonts w:cs="Times New Roman"/>
          <w:b w:val="0"/>
          <w:sz w:val="24"/>
        </w:rPr>
      </w:pPr>
      <w:bookmarkStart w:id="107" w:name="_Toc524614759"/>
      <w:bookmarkStart w:id="108" w:name="_Toc524614975"/>
      <w:bookmarkStart w:id="109" w:name="_Toc182813883"/>
      <w:r>
        <w:rPr>
          <w:rFonts w:cs="Times New Roman"/>
          <w:b w:val="0"/>
          <w:sz w:val="24"/>
        </w:rPr>
        <w:t>Описание графиков регулирования отпуска тепловой энергии в тепловые сети с анализом их обоснованности</w:t>
      </w:r>
      <w:bookmarkEnd w:id="107"/>
      <w:bookmarkEnd w:id="108"/>
      <w:bookmarkEnd w:id="109"/>
    </w:p>
    <w:p w14:paraId="55741143">
      <w:pPr>
        <w:spacing w:after="0" w:line="240" w:lineRule="auto"/>
        <w:contextualSpacing/>
        <w:jc w:val="both"/>
        <w:rPr>
          <w:sz w:val="24"/>
          <w:szCs w:val="24"/>
        </w:rPr>
      </w:pPr>
      <w:r>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3F7CDB43">
      <w:pPr>
        <w:spacing w:after="0" w:line="240" w:lineRule="auto"/>
        <w:contextualSpacing/>
        <w:jc w:val="both"/>
        <w:rPr>
          <w:sz w:val="24"/>
          <w:szCs w:val="24"/>
        </w:rPr>
      </w:pPr>
      <w:r>
        <w:rPr>
          <w:sz w:val="24"/>
          <w:szCs w:val="24"/>
        </w:rPr>
        <w:t>Температурный график работы котельной – 95/70 °С и 65/55 °С.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1AD527E5">
      <w:pPr>
        <w:spacing w:after="0" w:line="240" w:lineRule="auto"/>
        <w:contextualSpacing/>
        <w:jc w:val="both"/>
        <w:rPr>
          <w:sz w:val="24"/>
          <w:szCs w:val="24"/>
        </w:rPr>
      </w:pPr>
      <w:r>
        <w:rPr>
          <w:sz w:val="24"/>
          <w:szCs w:val="24"/>
        </w:rPr>
        <w:t>Температурный график системы отопления (на входе с котельной) на отопительный период 2024-2025 гг. с.п. Верхнеказымский приведен на рисунке 5.</w:t>
      </w:r>
    </w:p>
    <w:p w14:paraId="563C7782">
      <w:pPr>
        <w:spacing w:after="0" w:line="240" w:lineRule="auto"/>
        <w:contextualSpacing/>
        <w:jc w:val="both"/>
        <w:rPr>
          <w:sz w:val="24"/>
          <w:szCs w:val="24"/>
        </w:rPr>
      </w:pPr>
      <w:r>
        <w:rPr>
          <w:sz w:val="24"/>
          <w:szCs w:val="24"/>
        </w:rPr>
        <w:t>Температурный график системы отопления (на входе в здание абонента, подключенного к центральной системе теплоснабжения) на отопительный период 2024-2025 гг. с.п. Верхнеказымский приведен на рисунке 6.</w:t>
      </w:r>
    </w:p>
    <w:p w14:paraId="2EE1B9FD">
      <w:pPr>
        <w:spacing w:after="0" w:line="240" w:lineRule="auto"/>
        <w:contextualSpacing/>
        <w:jc w:val="both"/>
        <w:rPr>
          <w:sz w:val="24"/>
          <w:szCs w:val="24"/>
        </w:rPr>
      </w:pPr>
      <w:r>
        <w:rPr>
          <w:sz w:val="24"/>
          <w:szCs w:val="24"/>
        </w:rPr>
        <w:t>Температурный график системы горячего водоснабжения (на входе в здание абонента, подключенного к центральной системе теплоснабжения) на отопительный период 2024-2025 гг. с.п. Верхнеказымский приведен на рисунке 7.</w:t>
      </w:r>
    </w:p>
    <w:p w14:paraId="465B391A">
      <w:pPr>
        <w:spacing w:after="0" w:line="240" w:lineRule="auto"/>
        <w:contextualSpacing/>
        <w:jc w:val="both"/>
        <w:rPr>
          <w:sz w:val="24"/>
          <w:szCs w:val="24"/>
          <w:lang w:eastAsia="en-US"/>
        </w:rPr>
      </w:pPr>
    </w:p>
    <w:p w14:paraId="214B7DF9">
      <w:pPr>
        <w:pStyle w:val="4"/>
        <w:spacing w:before="0" w:line="240" w:lineRule="auto"/>
        <w:ind w:left="0" w:firstLine="709"/>
        <w:contextualSpacing/>
        <w:rPr>
          <w:rFonts w:cs="Times New Roman"/>
          <w:b w:val="0"/>
          <w:sz w:val="24"/>
        </w:rPr>
      </w:pPr>
      <w:bookmarkStart w:id="110" w:name="_Toc524614760"/>
      <w:bookmarkStart w:id="111" w:name="_Toc182813884"/>
      <w:bookmarkStart w:id="112" w:name="_Toc524614976"/>
      <w:r>
        <w:rPr>
          <w:rFonts w:cs="Times New Roman"/>
          <w:b w:val="0"/>
          <w:sz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0"/>
      <w:bookmarkEnd w:id="111"/>
      <w:bookmarkEnd w:id="112"/>
    </w:p>
    <w:p w14:paraId="10058096">
      <w:pPr>
        <w:spacing w:after="0" w:line="240" w:lineRule="auto"/>
        <w:contextualSpacing/>
        <w:jc w:val="both"/>
        <w:rPr>
          <w:sz w:val="24"/>
          <w:szCs w:val="24"/>
        </w:rPr>
      </w:pPr>
      <w:r>
        <w:rPr>
          <w:sz w:val="24"/>
          <w:szCs w:val="24"/>
        </w:rPr>
        <w:t>В соответствии с пунктом 6.2.59 «Правил технической эксплуатации тепловых энергоустановок»:</w:t>
      </w:r>
    </w:p>
    <w:p w14:paraId="7886D824">
      <w:pPr>
        <w:spacing w:after="0" w:line="240" w:lineRule="auto"/>
        <w:contextualSpacing/>
        <w:jc w:val="both"/>
        <w:rPr>
          <w:sz w:val="24"/>
          <w:szCs w:val="24"/>
        </w:rPr>
      </w:pPr>
      <w:r>
        <w:rPr>
          <w:sz w:val="24"/>
          <w:szCs w:val="24"/>
        </w:rPr>
        <w:t>Отклонения от заданного режима на источнике теплоты предусматриваются не более:</w:t>
      </w:r>
    </w:p>
    <w:p w14:paraId="375983D3">
      <w:pPr>
        <w:pStyle w:val="153"/>
        <w:widowControl/>
        <w:numPr>
          <w:ilvl w:val="0"/>
          <w:numId w:val="30"/>
        </w:numPr>
        <w:adjustRightInd/>
        <w:ind w:left="0" w:firstLine="709"/>
        <w:textAlignment w:val="auto"/>
        <w:rPr>
          <w:sz w:val="24"/>
          <w:szCs w:val="24"/>
        </w:rPr>
      </w:pPr>
      <w:r>
        <w:rPr>
          <w:sz w:val="24"/>
          <w:szCs w:val="24"/>
        </w:rPr>
        <w:t>по температуре воды, поступающей в тепловую сеть ± 3 %;</w:t>
      </w:r>
    </w:p>
    <w:p w14:paraId="4505E273">
      <w:pPr>
        <w:pStyle w:val="153"/>
        <w:widowControl/>
        <w:numPr>
          <w:ilvl w:val="0"/>
          <w:numId w:val="30"/>
        </w:numPr>
        <w:adjustRightInd/>
        <w:ind w:left="0" w:firstLine="709"/>
        <w:textAlignment w:val="auto"/>
        <w:rPr>
          <w:sz w:val="24"/>
          <w:szCs w:val="24"/>
        </w:rPr>
      </w:pPr>
      <w:r>
        <w:rPr>
          <w:sz w:val="24"/>
          <w:szCs w:val="24"/>
        </w:rPr>
        <w:t>по давлению в подающем трубопроводе ± 5 %;</w:t>
      </w:r>
    </w:p>
    <w:p w14:paraId="27BC0747">
      <w:pPr>
        <w:pStyle w:val="153"/>
        <w:widowControl/>
        <w:numPr>
          <w:ilvl w:val="0"/>
          <w:numId w:val="30"/>
        </w:numPr>
        <w:adjustRightInd/>
        <w:ind w:left="0" w:firstLine="709"/>
        <w:textAlignment w:val="auto"/>
        <w:rPr>
          <w:sz w:val="24"/>
          <w:szCs w:val="24"/>
        </w:rPr>
      </w:pPr>
      <w:r>
        <w:rPr>
          <w:sz w:val="24"/>
          <w:szCs w:val="24"/>
        </w:rPr>
        <w:t>по давлению в обратном трубопроводе ± 0,2 кгс/см</w:t>
      </w:r>
      <w:r>
        <w:rPr>
          <w:sz w:val="24"/>
          <w:szCs w:val="24"/>
          <w:vertAlign w:val="superscript"/>
        </w:rPr>
        <w:t>2</w:t>
      </w:r>
      <w:r>
        <w:rPr>
          <w:sz w:val="24"/>
          <w:szCs w:val="24"/>
        </w:rPr>
        <w:t>.</w:t>
      </w:r>
    </w:p>
    <w:p w14:paraId="7039826B">
      <w:pPr>
        <w:spacing w:after="0" w:line="240" w:lineRule="auto"/>
        <w:contextualSpacing/>
        <w:jc w:val="both"/>
        <w:rPr>
          <w:sz w:val="24"/>
          <w:szCs w:val="24"/>
        </w:rPr>
      </w:pPr>
      <w:r>
        <w:rPr>
          <w:sz w:val="24"/>
          <w:szCs w:val="24"/>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w:t>
      </w:r>
    </w:p>
    <w:p w14:paraId="5EBA86EA">
      <w:pPr>
        <w:spacing w:after="0" w:line="240" w:lineRule="auto"/>
        <w:contextualSpacing/>
        <w:jc w:val="both"/>
        <w:rPr>
          <w:sz w:val="24"/>
          <w:szCs w:val="24"/>
        </w:rPr>
      </w:pPr>
      <w:r>
        <w:rPr>
          <w:sz w:val="24"/>
          <w:szCs w:val="24"/>
        </w:rPr>
        <w:t>Понижение фактической температуры обратной воды по сравнению с графиком не лимитируется.</w:t>
      </w:r>
    </w:p>
    <w:p w14:paraId="4AC1C646">
      <w:pPr>
        <w:spacing w:after="0" w:line="240" w:lineRule="auto"/>
        <w:contextualSpacing/>
        <w:jc w:val="both"/>
        <w:rPr>
          <w:sz w:val="24"/>
          <w:szCs w:val="24"/>
        </w:rPr>
      </w:pPr>
    </w:p>
    <w:p w14:paraId="1E6D3E77">
      <w:pPr>
        <w:pStyle w:val="4"/>
        <w:spacing w:before="0" w:line="240" w:lineRule="auto"/>
        <w:ind w:left="0" w:firstLine="709"/>
        <w:contextualSpacing/>
        <w:rPr>
          <w:rFonts w:cs="Times New Roman"/>
          <w:b w:val="0"/>
          <w:sz w:val="24"/>
        </w:rPr>
      </w:pPr>
      <w:bookmarkStart w:id="113" w:name="_Toc182813885"/>
      <w:bookmarkStart w:id="114" w:name="_Toc524614761"/>
      <w:bookmarkStart w:id="115" w:name="_Toc524614977"/>
      <w:r>
        <w:rPr>
          <w:rFonts w:cs="Times New Roman"/>
          <w:b w:val="0"/>
          <w:sz w:val="24"/>
        </w:rPr>
        <w:t>Гидравлические режимы и пьезометрические графики тепловых сетей</w:t>
      </w:r>
      <w:bookmarkEnd w:id="113"/>
      <w:bookmarkEnd w:id="114"/>
      <w:bookmarkEnd w:id="115"/>
    </w:p>
    <w:p w14:paraId="5D79C50E">
      <w:pPr>
        <w:spacing w:after="0" w:line="240" w:lineRule="auto"/>
        <w:contextualSpacing/>
        <w:jc w:val="both"/>
        <w:rPr>
          <w:sz w:val="24"/>
          <w:szCs w:val="24"/>
        </w:rPr>
      </w:pPr>
      <w:r>
        <w:rPr>
          <w:sz w:val="24"/>
          <w:szCs w:val="24"/>
        </w:rPr>
        <w:t>При разработке электронной модели системы теплоснабжения использован программный расчетный комплекс ГИС Zulu Thermo версии 2021.</w:t>
      </w:r>
    </w:p>
    <w:p w14:paraId="1902DBDE">
      <w:pPr>
        <w:spacing w:after="0" w:line="240" w:lineRule="auto"/>
        <w:contextualSpacing/>
        <w:jc w:val="both"/>
        <w:rPr>
          <w:sz w:val="24"/>
          <w:szCs w:val="24"/>
        </w:rPr>
      </w:pPr>
      <w:r>
        <w:rPr>
          <w:sz w:val="24"/>
          <w:szCs w:val="24"/>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2C1731F5">
      <w:pPr>
        <w:spacing w:after="0" w:line="240" w:lineRule="auto"/>
        <w:contextualSpacing/>
        <w:jc w:val="both"/>
        <w:rPr>
          <w:sz w:val="24"/>
          <w:szCs w:val="24"/>
        </w:rPr>
      </w:pPr>
      <w:r>
        <w:rPr>
          <w:sz w:val="24"/>
          <w:szCs w:val="24"/>
        </w:rPr>
        <w:t>Пакет ГИС Zulu Thermo версии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0AF4FB9A">
      <w:pPr>
        <w:spacing w:after="0" w:line="240" w:lineRule="auto"/>
        <w:contextualSpacing/>
        <w:jc w:val="both"/>
        <w:rPr>
          <w:sz w:val="24"/>
          <w:szCs w:val="24"/>
        </w:rPr>
      </w:pPr>
      <w:r>
        <w:rPr>
          <w:sz w:val="24"/>
          <w:szCs w:val="24"/>
        </w:rPr>
        <w:t>Выборочные фактические пьезометрические графики тепловой сети от источников теплоснабжения до тупиковых самых удаленных потребителей представлены на рисунках 8-9.</w:t>
      </w:r>
    </w:p>
    <w:p w14:paraId="3DB5C00B">
      <w:pPr>
        <w:spacing w:after="0" w:line="240" w:lineRule="auto"/>
        <w:contextualSpacing/>
        <w:jc w:val="both"/>
        <w:rPr>
          <w:sz w:val="24"/>
          <w:szCs w:val="24"/>
        </w:rPr>
      </w:pPr>
      <w:r>
        <w:rPr>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39D693D1">
      <w:pPr>
        <w:spacing w:after="0" w:line="240" w:lineRule="auto"/>
        <w:contextualSpacing/>
        <w:jc w:val="both"/>
        <w:rPr>
          <w:sz w:val="24"/>
          <w:szCs w:val="24"/>
        </w:rPr>
      </w:pPr>
      <w:r>
        <w:rPr>
          <w:sz w:val="24"/>
          <w:szCs w:val="24"/>
        </w:rPr>
        <w:t>На пьезометрическом графике отображаются:</w:t>
      </w:r>
    </w:p>
    <w:p w14:paraId="7E32EC56">
      <w:pPr>
        <w:spacing w:after="0" w:line="240" w:lineRule="auto"/>
        <w:contextualSpacing/>
        <w:jc w:val="both"/>
        <w:rPr>
          <w:sz w:val="24"/>
          <w:szCs w:val="24"/>
        </w:rPr>
      </w:pPr>
      <w:r>
        <w:rPr>
          <w:sz w:val="24"/>
          <w:szCs w:val="24"/>
        </w:rPr>
        <w:t>•</w:t>
      </w:r>
      <w:r>
        <w:rPr>
          <w:sz w:val="24"/>
          <w:szCs w:val="24"/>
        </w:rPr>
        <w:tab/>
      </w:r>
      <w:r>
        <w:rPr>
          <w:sz w:val="24"/>
          <w:szCs w:val="24"/>
        </w:rPr>
        <w:t>линия давления в подающем трубопроводе красным цветом;</w:t>
      </w:r>
    </w:p>
    <w:p w14:paraId="09D9AACF">
      <w:pPr>
        <w:spacing w:after="0" w:line="240" w:lineRule="auto"/>
        <w:contextualSpacing/>
        <w:jc w:val="both"/>
        <w:rPr>
          <w:sz w:val="24"/>
          <w:szCs w:val="24"/>
        </w:rPr>
      </w:pPr>
      <w:r>
        <w:rPr>
          <w:sz w:val="24"/>
          <w:szCs w:val="24"/>
        </w:rPr>
        <w:t>•</w:t>
      </w:r>
      <w:r>
        <w:rPr>
          <w:sz w:val="24"/>
          <w:szCs w:val="24"/>
        </w:rPr>
        <w:tab/>
      </w:r>
      <w:r>
        <w:rPr>
          <w:sz w:val="24"/>
          <w:szCs w:val="24"/>
        </w:rPr>
        <w:t>линия давления в обратном трубопроводе синим цветом;</w:t>
      </w:r>
    </w:p>
    <w:p w14:paraId="3BCFBEEE">
      <w:pPr>
        <w:spacing w:after="0" w:line="240" w:lineRule="auto"/>
        <w:contextualSpacing/>
        <w:jc w:val="both"/>
        <w:rPr>
          <w:sz w:val="24"/>
          <w:szCs w:val="24"/>
        </w:rPr>
      </w:pPr>
      <w:r>
        <w:rPr>
          <w:sz w:val="24"/>
          <w:szCs w:val="24"/>
        </w:rPr>
        <w:t>•</w:t>
      </w:r>
      <w:r>
        <w:rPr>
          <w:sz w:val="24"/>
          <w:szCs w:val="24"/>
        </w:rPr>
        <w:tab/>
      </w:r>
      <w:r>
        <w:rPr>
          <w:sz w:val="24"/>
          <w:szCs w:val="24"/>
        </w:rPr>
        <w:t>линия поверхности земли пунктиром;</w:t>
      </w:r>
    </w:p>
    <w:p w14:paraId="436B42B0">
      <w:pPr>
        <w:spacing w:after="0" w:line="240" w:lineRule="auto"/>
        <w:contextualSpacing/>
        <w:jc w:val="both"/>
        <w:rPr>
          <w:sz w:val="24"/>
          <w:szCs w:val="24"/>
        </w:rPr>
      </w:pPr>
      <w:r>
        <w:rPr>
          <w:sz w:val="24"/>
          <w:szCs w:val="24"/>
        </w:rPr>
        <w:t>•</w:t>
      </w:r>
      <w:r>
        <w:rPr>
          <w:sz w:val="24"/>
          <w:szCs w:val="24"/>
        </w:rPr>
        <w:tab/>
      </w:r>
      <w:r>
        <w:rPr>
          <w:sz w:val="24"/>
          <w:szCs w:val="24"/>
        </w:rPr>
        <w:t>линия статического напора голубым пунктиром;</w:t>
      </w:r>
    </w:p>
    <w:p w14:paraId="3C1F1416">
      <w:pPr>
        <w:spacing w:after="0" w:line="240" w:lineRule="auto"/>
        <w:contextualSpacing/>
        <w:jc w:val="both"/>
        <w:rPr>
          <w:sz w:val="24"/>
          <w:szCs w:val="24"/>
        </w:rPr>
      </w:pPr>
      <w:r>
        <w:rPr>
          <w:sz w:val="24"/>
          <w:szCs w:val="24"/>
        </w:rPr>
        <w:t>•</w:t>
      </w:r>
      <w:r>
        <w:rPr>
          <w:sz w:val="24"/>
          <w:szCs w:val="24"/>
        </w:rPr>
        <w:tab/>
      </w:r>
      <w:r>
        <w:rPr>
          <w:sz w:val="24"/>
          <w:szCs w:val="24"/>
        </w:rPr>
        <w:t>линия давления вскипания оранжевым цветом.</w:t>
      </w:r>
    </w:p>
    <w:p w14:paraId="2354728E">
      <w:pPr>
        <w:spacing w:after="0" w:line="240" w:lineRule="auto"/>
        <w:contextualSpacing/>
        <w:jc w:val="both"/>
        <w:rPr>
          <w:sz w:val="24"/>
          <w:szCs w:val="24"/>
        </w:rPr>
      </w:pPr>
    </w:p>
    <w:p w14:paraId="02B699E8">
      <w:pPr>
        <w:spacing w:after="0" w:line="240" w:lineRule="auto"/>
        <w:contextualSpacing/>
        <w:jc w:val="both"/>
        <w:rPr>
          <w:sz w:val="24"/>
          <w:szCs w:val="24"/>
        </w:rPr>
      </w:pPr>
      <w:r>
        <w:rPr>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1F0EF655">
      <w:pPr>
        <w:spacing w:after="0" w:line="240" w:lineRule="auto"/>
        <w:contextualSpacing/>
        <w:jc w:val="both"/>
        <w:rPr>
          <w:sz w:val="24"/>
          <w:szCs w:val="24"/>
        </w:rPr>
      </w:pPr>
    </w:p>
    <w:p w14:paraId="3F7B863A">
      <w:pPr>
        <w:spacing w:after="0" w:line="240" w:lineRule="auto"/>
        <w:contextualSpacing/>
        <w:jc w:val="both"/>
        <w:rPr>
          <w:sz w:val="24"/>
          <w:szCs w:val="24"/>
        </w:rPr>
      </w:pPr>
    </w:p>
    <w:p w14:paraId="0435D368">
      <w:pPr>
        <w:keepNext/>
        <w:spacing w:after="0" w:line="240" w:lineRule="auto"/>
        <w:ind w:firstLine="0"/>
        <w:contextualSpacing/>
        <w:jc w:val="center"/>
        <w:rPr>
          <w:sz w:val="24"/>
          <w:szCs w:val="24"/>
        </w:rPr>
        <w:sectPr>
          <w:pgSz w:w="11906" w:h="16838"/>
          <w:pgMar w:top="1134" w:right="567" w:bottom="1134" w:left="1701" w:header="708" w:footer="708" w:gutter="0"/>
          <w:cols w:space="708" w:num="1"/>
          <w:docGrid w:linePitch="360" w:charSpace="0"/>
        </w:sectPr>
      </w:pPr>
    </w:p>
    <w:p w14:paraId="1EAAE696">
      <w:pPr>
        <w:spacing w:after="0" w:line="240" w:lineRule="auto"/>
        <w:ind w:firstLine="0"/>
        <w:contextualSpacing/>
        <w:jc w:val="center"/>
        <w:rPr>
          <w:sz w:val="24"/>
          <w:szCs w:val="24"/>
        </w:rPr>
      </w:pPr>
      <w:r>
        <w:rPr>
          <w:sz w:val="24"/>
          <w:szCs w:val="24"/>
        </w:rPr>
        <w:drawing>
          <wp:inline distT="0" distB="0" distL="0" distR="0">
            <wp:extent cx="9611360" cy="4776470"/>
            <wp:effectExtent l="0" t="0" r="8890" b="5080"/>
            <wp:docPr id="16" name="Рисунок 16" descr="C:\Users\User\AppData\Local\Temp\Rar$DIa0.207\г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User\AppData\Local\Temp\Rar$DIa0.207\гвс.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611360" cy="4776730"/>
                    </a:xfrm>
                    <a:prstGeom prst="rect">
                      <a:avLst/>
                    </a:prstGeom>
                    <a:noFill/>
                    <a:ln>
                      <a:noFill/>
                    </a:ln>
                  </pic:spPr>
                </pic:pic>
              </a:graphicData>
            </a:graphic>
          </wp:inline>
        </w:drawing>
      </w:r>
    </w:p>
    <w:p w14:paraId="08983D4E">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8</w:t>
      </w:r>
      <w:r>
        <w:rPr>
          <w:sz w:val="24"/>
          <w:szCs w:val="24"/>
        </w:rPr>
        <w:fldChar w:fldCharType="end"/>
      </w:r>
      <w:r>
        <w:rPr>
          <w:sz w:val="24"/>
          <w:szCs w:val="24"/>
        </w:rPr>
        <w:t xml:space="preserve"> – Пьезометрический график от котельной «2БВК»</w:t>
      </w:r>
    </w:p>
    <w:p w14:paraId="6C4026D7">
      <w:pPr>
        <w:spacing w:after="0" w:line="240" w:lineRule="auto"/>
        <w:ind w:firstLine="0"/>
        <w:contextualSpacing/>
        <w:jc w:val="center"/>
        <w:rPr>
          <w:sz w:val="24"/>
          <w:szCs w:val="24"/>
        </w:rPr>
      </w:pPr>
    </w:p>
    <w:p w14:paraId="442CFE90">
      <w:pPr>
        <w:spacing w:after="0" w:line="240" w:lineRule="auto"/>
        <w:ind w:firstLine="0"/>
        <w:contextualSpacing/>
        <w:jc w:val="center"/>
        <w:rPr>
          <w:sz w:val="24"/>
          <w:szCs w:val="24"/>
        </w:rPr>
      </w:pPr>
    </w:p>
    <w:p w14:paraId="369307B5">
      <w:pPr>
        <w:spacing w:after="0" w:line="240" w:lineRule="auto"/>
        <w:ind w:firstLine="0"/>
        <w:contextualSpacing/>
        <w:jc w:val="center"/>
        <w:rPr>
          <w:sz w:val="24"/>
          <w:szCs w:val="24"/>
        </w:rPr>
      </w:pPr>
      <w:r>
        <w:rPr>
          <w:sz w:val="24"/>
          <w:szCs w:val="24"/>
        </w:rPr>
        <w:drawing>
          <wp:inline distT="0" distB="0" distL="0" distR="0">
            <wp:extent cx="9611360" cy="4707890"/>
            <wp:effectExtent l="0" t="0" r="0" b="0"/>
            <wp:docPr id="15" name="Рисунок 15" descr="C:\Users\User\AppData\Local\Temp\Rar$DIa0.01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User\AppData\Local\Temp\Rar$DIa0.012\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611360" cy="4708419"/>
                    </a:xfrm>
                    <a:prstGeom prst="rect">
                      <a:avLst/>
                    </a:prstGeom>
                    <a:noFill/>
                    <a:ln>
                      <a:noFill/>
                    </a:ln>
                  </pic:spPr>
                </pic:pic>
              </a:graphicData>
            </a:graphic>
          </wp:inline>
        </w:drawing>
      </w:r>
    </w:p>
    <w:p w14:paraId="0174F43E">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9</w:t>
      </w:r>
      <w:r>
        <w:rPr>
          <w:sz w:val="24"/>
          <w:szCs w:val="24"/>
        </w:rPr>
        <w:fldChar w:fldCharType="end"/>
      </w:r>
      <w:r>
        <w:rPr>
          <w:sz w:val="24"/>
          <w:szCs w:val="24"/>
        </w:rPr>
        <w:t xml:space="preserve"> – Пьезометрический график от теплоутилизационной установки КС «Верхнеказымская»</w:t>
      </w:r>
    </w:p>
    <w:p w14:paraId="319579E7">
      <w:pPr>
        <w:keepNext/>
        <w:spacing w:after="0" w:line="240" w:lineRule="auto"/>
        <w:ind w:firstLine="0"/>
        <w:contextualSpacing/>
        <w:jc w:val="center"/>
        <w:rPr>
          <w:sz w:val="24"/>
          <w:szCs w:val="24"/>
        </w:rPr>
      </w:pPr>
    </w:p>
    <w:p w14:paraId="76A1831D">
      <w:pPr>
        <w:pStyle w:val="43"/>
        <w:spacing w:before="0" w:after="0" w:line="240" w:lineRule="auto"/>
        <w:contextualSpacing/>
        <w:jc w:val="center"/>
        <w:rPr>
          <w:rFonts w:cs="Times New Roman"/>
          <w:b w:val="0"/>
          <w:sz w:val="24"/>
          <w:szCs w:val="24"/>
        </w:rPr>
      </w:pPr>
    </w:p>
    <w:p w14:paraId="0CBC09EA">
      <w:pPr>
        <w:spacing w:after="0" w:line="240" w:lineRule="auto"/>
        <w:contextualSpacing/>
        <w:rPr>
          <w:sz w:val="24"/>
          <w:szCs w:val="24"/>
          <w:lang w:eastAsia="en-US"/>
        </w:rPr>
      </w:pPr>
    </w:p>
    <w:p w14:paraId="435F9F0E">
      <w:pPr>
        <w:spacing w:after="0" w:line="240" w:lineRule="auto"/>
        <w:ind w:firstLine="0"/>
        <w:contextualSpacing/>
        <w:jc w:val="center"/>
        <w:rPr>
          <w:bCs/>
          <w:sz w:val="24"/>
          <w:szCs w:val="24"/>
        </w:rPr>
        <w:sectPr>
          <w:pgSz w:w="16840" w:h="11907" w:orient="landscape"/>
          <w:pgMar w:top="1134" w:right="567" w:bottom="1134" w:left="1701" w:header="709" w:footer="709" w:gutter="0"/>
          <w:cols w:space="708" w:num="1"/>
          <w:docGrid w:linePitch="381" w:charSpace="0"/>
        </w:sectPr>
      </w:pPr>
    </w:p>
    <w:p w14:paraId="7B6F8399">
      <w:pPr>
        <w:pStyle w:val="4"/>
        <w:spacing w:before="0" w:line="240" w:lineRule="auto"/>
        <w:ind w:left="0" w:firstLine="709"/>
        <w:contextualSpacing/>
        <w:rPr>
          <w:rFonts w:cs="Times New Roman"/>
          <w:b w:val="0"/>
          <w:sz w:val="24"/>
        </w:rPr>
      </w:pPr>
      <w:bookmarkStart w:id="116" w:name="_Toc182813886"/>
      <w:bookmarkStart w:id="117" w:name="_Toc524614762"/>
      <w:bookmarkStart w:id="118" w:name="_Toc524614978"/>
      <w:r>
        <w:rPr>
          <w:rFonts w:cs="Times New Roman"/>
          <w:b w:val="0"/>
          <w:sz w:val="24"/>
        </w:rPr>
        <w:t>Статистика отказов тепловых сетей (аварий, инцидентов) за последние 5 лет</w:t>
      </w:r>
      <w:bookmarkEnd w:id="116"/>
      <w:bookmarkEnd w:id="117"/>
      <w:bookmarkEnd w:id="118"/>
    </w:p>
    <w:p w14:paraId="152A9121">
      <w:pPr>
        <w:spacing w:after="0" w:line="240" w:lineRule="auto"/>
        <w:contextualSpacing/>
        <w:jc w:val="both"/>
        <w:rPr>
          <w:sz w:val="24"/>
          <w:szCs w:val="24"/>
        </w:rPr>
      </w:pPr>
      <w:r>
        <w:rPr>
          <w:sz w:val="24"/>
          <w:szCs w:val="24"/>
        </w:rPr>
        <w:t>Информация о количестве инцидентов, технологических и аварийных отказов систем теплоснабжения МУП «БКС» составляет:</w:t>
      </w:r>
    </w:p>
    <w:p w14:paraId="73FA53C5">
      <w:pPr>
        <w:spacing w:after="0" w:line="240" w:lineRule="auto"/>
        <w:contextualSpacing/>
        <w:jc w:val="both"/>
        <w:rPr>
          <w:sz w:val="24"/>
          <w:szCs w:val="24"/>
        </w:rPr>
      </w:pPr>
      <w:r>
        <w:rPr>
          <w:sz w:val="24"/>
          <w:szCs w:val="24"/>
        </w:rPr>
        <w:t>- за 2023 год – 5,</w:t>
      </w:r>
    </w:p>
    <w:p w14:paraId="1659BF0F">
      <w:pPr>
        <w:spacing w:after="0" w:line="240" w:lineRule="auto"/>
        <w:contextualSpacing/>
        <w:jc w:val="both"/>
        <w:rPr>
          <w:sz w:val="24"/>
          <w:szCs w:val="24"/>
        </w:rPr>
      </w:pPr>
      <w:r>
        <w:rPr>
          <w:sz w:val="24"/>
          <w:szCs w:val="24"/>
        </w:rPr>
        <w:t>- за 2024 год – 2.</w:t>
      </w:r>
    </w:p>
    <w:p w14:paraId="086E083E">
      <w:pPr>
        <w:spacing w:after="0" w:line="240" w:lineRule="auto"/>
        <w:contextualSpacing/>
        <w:jc w:val="both"/>
        <w:rPr>
          <w:rFonts w:eastAsia="Calibri"/>
          <w:sz w:val="24"/>
          <w:szCs w:val="24"/>
          <w:lang w:eastAsia="en-US"/>
        </w:rPr>
      </w:pPr>
    </w:p>
    <w:p w14:paraId="5999C47E">
      <w:pPr>
        <w:pStyle w:val="4"/>
        <w:spacing w:before="0" w:line="240" w:lineRule="auto"/>
        <w:ind w:left="0" w:firstLine="709"/>
        <w:contextualSpacing/>
        <w:rPr>
          <w:rFonts w:cs="Times New Roman"/>
          <w:b w:val="0"/>
          <w:sz w:val="24"/>
        </w:rPr>
      </w:pPr>
      <w:bookmarkStart w:id="119" w:name="_Toc182813887"/>
      <w:bookmarkStart w:id="120" w:name="_Toc524614763"/>
      <w:bookmarkStart w:id="121" w:name="_Toc524614979"/>
      <w:r>
        <w:rPr>
          <w:rFonts w:cs="Times New Roman"/>
          <w:b w:val="0"/>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19"/>
      <w:bookmarkEnd w:id="120"/>
      <w:bookmarkEnd w:id="121"/>
    </w:p>
    <w:p w14:paraId="76DB05B3">
      <w:pPr>
        <w:spacing w:after="0" w:line="240" w:lineRule="auto"/>
        <w:jc w:val="both"/>
        <w:rPr>
          <w:sz w:val="24"/>
          <w:szCs w:val="24"/>
        </w:rPr>
      </w:pPr>
      <w:r>
        <w:rPr>
          <w:sz w:val="24"/>
          <w:szCs w:val="24"/>
        </w:rPr>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14:paraId="197D8E9D">
      <w:pPr>
        <w:spacing w:after="0" w:line="240" w:lineRule="auto"/>
        <w:jc w:val="both"/>
        <w:rPr>
          <w:sz w:val="24"/>
          <w:szCs w:val="24"/>
        </w:rPr>
      </w:pPr>
      <w:r>
        <w:rPr>
          <w:sz w:val="24"/>
          <w:szCs w:val="24"/>
        </w:rPr>
        <w:t>В таблице 23 представлено 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3B78CD0D">
      <w:pPr>
        <w:spacing w:after="0" w:line="240" w:lineRule="auto"/>
        <w:jc w:val="both"/>
        <w:rPr>
          <w:sz w:val="24"/>
          <w:szCs w:val="24"/>
        </w:rPr>
      </w:pPr>
    </w:p>
    <w:p w14:paraId="6DCC0055">
      <w:pPr>
        <w:tabs>
          <w:tab w:val="left" w:pos="8004"/>
        </w:tabs>
        <w:spacing w:after="0" w:line="240" w:lineRule="auto"/>
        <w:ind w:firstLine="0"/>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23</w:t>
      </w:r>
      <w:r>
        <w:rPr>
          <w:bCs/>
          <w:sz w:val="24"/>
          <w:szCs w:val="24"/>
        </w:rPr>
        <w:fldChar w:fldCharType="end"/>
      </w:r>
      <w:r>
        <w:rPr>
          <w:bCs/>
          <w:sz w:val="24"/>
          <w:szCs w:val="24"/>
        </w:rPr>
        <w:t xml:space="preserve"> – Среднее время, затрачиваемое на восстановление работоспособности тепловых сетей в отопительный период в зависимости от диаметра трубопровода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1"/>
        <w:gridCol w:w="618"/>
        <w:gridCol w:w="618"/>
        <w:gridCol w:w="693"/>
        <w:gridCol w:w="693"/>
        <w:gridCol w:w="693"/>
        <w:gridCol w:w="694"/>
        <w:gridCol w:w="694"/>
        <w:gridCol w:w="694"/>
        <w:gridCol w:w="694"/>
        <w:gridCol w:w="694"/>
        <w:gridCol w:w="694"/>
        <w:gridCol w:w="764"/>
      </w:tblGrid>
      <w:tr w14:paraId="41A9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0F1F4BCF">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Условный диаметр, мм</w:t>
            </w:r>
          </w:p>
        </w:tc>
        <w:tc>
          <w:tcPr>
            <w:tcW w:w="332" w:type="pct"/>
            <w:tcBorders>
              <w:top w:val="single" w:color="auto" w:sz="4" w:space="0"/>
              <w:left w:val="single" w:color="auto" w:sz="4" w:space="0"/>
              <w:bottom w:val="single" w:color="auto" w:sz="4" w:space="0"/>
              <w:right w:val="single" w:color="auto" w:sz="4" w:space="0"/>
            </w:tcBorders>
            <w:vAlign w:val="center"/>
          </w:tcPr>
          <w:p w14:paraId="77E5498C">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50</w:t>
            </w:r>
          </w:p>
        </w:tc>
        <w:tc>
          <w:tcPr>
            <w:tcW w:w="332" w:type="pct"/>
            <w:tcBorders>
              <w:top w:val="single" w:color="auto" w:sz="4" w:space="0"/>
              <w:left w:val="single" w:color="auto" w:sz="4" w:space="0"/>
              <w:bottom w:val="single" w:color="auto" w:sz="4" w:space="0"/>
              <w:right w:val="single" w:color="auto" w:sz="4" w:space="0"/>
            </w:tcBorders>
            <w:vAlign w:val="center"/>
          </w:tcPr>
          <w:p w14:paraId="02709E64">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80</w:t>
            </w:r>
          </w:p>
        </w:tc>
        <w:tc>
          <w:tcPr>
            <w:tcW w:w="371" w:type="pct"/>
            <w:tcBorders>
              <w:top w:val="single" w:color="auto" w:sz="4" w:space="0"/>
              <w:left w:val="single" w:color="auto" w:sz="4" w:space="0"/>
              <w:bottom w:val="single" w:color="auto" w:sz="4" w:space="0"/>
              <w:right w:val="single" w:color="auto" w:sz="4" w:space="0"/>
            </w:tcBorders>
            <w:vAlign w:val="center"/>
          </w:tcPr>
          <w:p w14:paraId="69C7E59B">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100</w:t>
            </w:r>
          </w:p>
        </w:tc>
        <w:tc>
          <w:tcPr>
            <w:tcW w:w="371" w:type="pct"/>
            <w:tcBorders>
              <w:top w:val="single" w:color="auto" w:sz="4" w:space="0"/>
              <w:left w:val="single" w:color="auto" w:sz="4" w:space="0"/>
              <w:bottom w:val="single" w:color="auto" w:sz="4" w:space="0"/>
              <w:right w:val="single" w:color="auto" w:sz="4" w:space="0"/>
            </w:tcBorders>
            <w:vAlign w:val="center"/>
          </w:tcPr>
          <w:p w14:paraId="44CF7D7F">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150</w:t>
            </w:r>
          </w:p>
        </w:tc>
        <w:tc>
          <w:tcPr>
            <w:tcW w:w="371" w:type="pct"/>
            <w:tcBorders>
              <w:top w:val="single" w:color="auto" w:sz="4" w:space="0"/>
              <w:left w:val="single" w:color="auto" w:sz="4" w:space="0"/>
              <w:bottom w:val="single" w:color="auto" w:sz="4" w:space="0"/>
              <w:right w:val="single" w:color="auto" w:sz="4" w:space="0"/>
            </w:tcBorders>
            <w:vAlign w:val="center"/>
          </w:tcPr>
          <w:p w14:paraId="7E652B3C">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200</w:t>
            </w:r>
          </w:p>
        </w:tc>
        <w:tc>
          <w:tcPr>
            <w:tcW w:w="371" w:type="pct"/>
            <w:tcBorders>
              <w:top w:val="single" w:color="auto" w:sz="4" w:space="0"/>
              <w:left w:val="single" w:color="auto" w:sz="4" w:space="0"/>
              <w:bottom w:val="single" w:color="auto" w:sz="4" w:space="0"/>
              <w:right w:val="single" w:color="auto" w:sz="4" w:space="0"/>
            </w:tcBorders>
            <w:vAlign w:val="center"/>
          </w:tcPr>
          <w:p w14:paraId="2E642042">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300</w:t>
            </w:r>
          </w:p>
        </w:tc>
        <w:tc>
          <w:tcPr>
            <w:tcW w:w="371" w:type="pct"/>
            <w:tcBorders>
              <w:top w:val="single" w:color="auto" w:sz="4" w:space="0"/>
              <w:left w:val="single" w:color="auto" w:sz="4" w:space="0"/>
              <w:bottom w:val="single" w:color="auto" w:sz="4" w:space="0"/>
              <w:right w:val="single" w:color="auto" w:sz="4" w:space="0"/>
            </w:tcBorders>
            <w:vAlign w:val="center"/>
          </w:tcPr>
          <w:p w14:paraId="60B3F2D4">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400</w:t>
            </w:r>
          </w:p>
        </w:tc>
        <w:tc>
          <w:tcPr>
            <w:tcW w:w="371" w:type="pct"/>
            <w:tcBorders>
              <w:top w:val="single" w:color="auto" w:sz="4" w:space="0"/>
              <w:left w:val="single" w:color="auto" w:sz="4" w:space="0"/>
              <w:bottom w:val="single" w:color="auto" w:sz="4" w:space="0"/>
              <w:right w:val="single" w:color="auto" w:sz="4" w:space="0"/>
            </w:tcBorders>
            <w:vAlign w:val="center"/>
          </w:tcPr>
          <w:p w14:paraId="6D8C382B">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500</w:t>
            </w:r>
          </w:p>
        </w:tc>
        <w:tc>
          <w:tcPr>
            <w:tcW w:w="371" w:type="pct"/>
            <w:tcBorders>
              <w:top w:val="single" w:color="auto" w:sz="4" w:space="0"/>
              <w:left w:val="single" w:color="auto" w:sz="4" w:space="0"/>
              <w:bottom w:val="single" w:color="auto" w:sz="4" w:space="0"/>
              <w:right w:val="single" w:color="auto" w:sz="4" w:space="0"/>
            </w:tcBorders>
            <w:vAlign w:val="center"/>
          </w:tcPr>
          <w:p w14:paraId="1C807548">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600</w:t>
            </w:r>
          </w:p>
        </w:tc>
        <w:tc>
          <w:tcPr>
            <w:tcW w:w="371" w:type="pct"/>
            <w:tcBorders>
              <w:top w:val="single" w:color="auto" w:sz="4" w:space="0"/>
              <w:left w:val="single" w:color="auto" w:sz="4" w:space="0"/>
              <w:bottom w:val="single" w:color="auto" w:sz="4" w:space="0"/>
              <w:right w:val="single" w:color="auto" w:sz="4" w:space="0"/>
            </w:tcBorders>
            <w:vAlign w:val="center"/>
          </w:tcPr>
          <w:p w14:paraId="08BA8E07">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700</w:t>
            </w:r>
          </w:p>
        </w:tc>
        <w:tc>
          <w:tcPr>
            <w:tcW w:w="371" w:type="pct"/>
            <w:tcBorders>
              <w:top w:val="single" w:color="auto" w:sz="4" w:space="0"/>
              <w:left w:val="single" w:color="auto" w:sz="4" w:space="0"/>
              <w:bottom w:val="single" w:color="auto" w:sz="4" w:space="0"/>
              <w:right w:val="single" w:color="auto" w:sz="4" w:space="0"/>
            </w:tcBorders>
            <w:vAlign w:val="center"/>
          </w:tcPr>
          <w:p w14:paraId="38A601C2">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800</w:t>
            </w:r>
          </w:p>
        </w:tc>
        <w:tc>
          <w:tcPr>
            <w:tcW w:w="409" w:type="pct"/>
            <w:tcBorders>
              <w:top w:val="single" w:color="auto" w:sz="4" w:space="0"/>
              <w:left w:val="single" w:color="auto" w:sz="4" w:space="0"/>
              <w:bottom w:val="single" w:color="auto" w:sz="4" w:space="0"/>
              <w:right w:val="single" w:color="auto" w:sz="4" w:space="0"/>
            </w:tcBorders>
            <w:vAlign w:val="center"/>
          </w:tcPr>
          <w:p w14:paraId="655AE47E">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1000</w:t>
            </w:r>
          </w:p>
        </w:tc>
      </w:tr>
      <w:tr w14:paraId="74AD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1116D253">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Время восстановления, час.</w:t>
            </w:r>
          </w:p>
        </w:tc>
        <w:tc>
          <w:tcPr>
            <w:tcW w:w="332" w:type="pct"/>
            <w:tcBorders>
              <w:top w:val="single" w:color="auto" w:sz="4" w:space="0"/>
              <w:left w:val="single" w:color="auto" w:sz="4" w:space="0"/>
              <w:bottom w:val="single" w:color="auto" w:sz="4" w:space="0"/>
              <w:right w:val="single" w:color="auto" w:sz="4" w:space="0"/>
            </w:tcBorders>
            <w:vAlign w:val="center"/>
          </w:tcPr>
          <w:p w14:paraId="6AA6AF5C">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2</w:t>
            </w:r>
          </w:p>
        </w:tc>
        <w:tc>
          <w:tcPr>
            <w:tcW w:w="332" w:type="pct"/>
            <w:tcBorders>
              <w:top w:val="single" w:color="auto" w:sz="4" w:space="0"/>
              <w:left w:val="single" w:color="auto" w:sz="4" w:space="0"/>
              <w:bottom w:val="single" w:color="auto" w:sz="4" w:space="0"/>
              <w:right w:val="single" w:color="auto" w:sz="4" w:space="0"/>
            </w:tcBorders>
            <w:vAlign w:val="center"/>
          </w:tcPr>
          <w:p w14:paraId="2846A36F">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3</w:t>
            </w:r>
          </w:p>
        </w:tc>
        <w:tc>
          <w:tcPr>
            <w:tcW w:w="371" w:type="pct"/>
            <w:tcBorders>
              <w:top w:val="single" w:color="auto" w:sz="4" w:space="0"/>
              <w:left w:val="single" w:color="auto" w:sz="4" w:space="0"/>
              <w:bottom w:val="single" w:color="auto" w:sz="4" w:space="0"/>
              <w:right w:val="single" w:color="auto" w:sz="4" w:space="0"/>
            </w:tcBorders>
            <w:vAlign w:val="center"/>
          </w:tcPr>
          <w:p w14:paraId="071AA142">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4</w:t>
            </w:r>
          </w:p>
        </w:tc>
        <w:tc>
          <w:tcPr>
            <w:tcW w:w="371" w:type="pct"/>
            <w:tcBorders>
              <w:top w:val="single" w:color="auto" w:sz="4" w:space="0"/>
              <w:left w:val="single" w:color="auto" w:sz="4" w:space="0"/>
              <w:bottom w:val="single" w:color="auto" w:sz="4" w:space="0"/>
              <w:right w:val="single" w:color="auto" w:sz="4" w:space="0"/>
            </w:tcBorders>
            <w:vAlign w:val="center"/>
          </w:tcPr>
          <w:p w14:paraId="02A8CC7A">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5</w:t>
            </w:r>
          </w:p>
        </w:tc>
        <w:tc>
          <w:tcPr>
            <w:tcW w:w="371" w:type="pct"/>
            <w:tcBorders>
              <w:top w:val="single" w:color="auto" w:sz="4" w:space="0"/>
              <w:left w:val="single" w:color="auto" w:sz="4" w:space="0"/>
              <w:bottom w:val="single" w:color="auto" w:sz="4" w:space="0"/>
              <w:right w:val="single" w:color="auto" w:sz="4" w:space="0"/>
            </w:tcBorders>
            <w:vAlign w:val="center"/>
          </w:tcPr>
          <w:p w14:paraId="210D9D77">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6</w:t>
            </w:r>
          </w:p>
        </w:tc>
        <w:tc>
          <w:tcPr>
            <w:tcW w:w="371" w:type="pct"/>
            <w:tcBorders>
              <w:top w:val="single" w:color="auto" w:sz="4" w:space="0"/>
              <w:left w:val="single" w:color="auto" w:sz="4" w:space="0"/>
              <w:bottom w:val="single" w:color="auto" w:sz="4" w:space="0"/>
              <w:right w:val="single" w:color="auto" w:sz="4" w:space="0"/>
            </w:tcBorders>
            <w:vAlign w:val="center"/>
          </w:tcPr>
          <w:p w14:paraId="7D84B4FA">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7</w:t>
            </w:r>
          </w:p>
        </w:tc>
        <w:tc>
          <w:tcPr>
            <w:tcW w:w="371" w:type="pct"/>
            <w:tcBorders>
              <w:top w:val="single" w:color="auto" w:sz="4" w:space="0"/>
              <w:left w:val="single" w:color="auto" w:sz="4" w:space="0"/>
              <w:bottom w:val="single" w:color="auto" w:sz="4" w:space="0"/>
              <w:right w:val="single" w:color="auto" w:sz="4" w:space="0"/>
            </w:tcBorders>
            <w:vAlign w:val="center"/>
          </w:tcPr>
          <w:p w14:paraId="58A368FD">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8</w:t>
            </w:r>
          </w:p>
        </w:tc>
        <w:tc>
          <w:tcPr>
            <w:tcW w:w="371" w:type="pct"/>
            <w:tcBorders>
              <w:top w:val="single" w:color="auto" w:sz="4" w:space="0"/>
              <w:left w:val="single" w:color="auto" w:sz="4" w:space="0"/>
              <w:bottom w:val="single" w:color="auto" w:sz="4" w:space="0"/>
              <w:right w:val="single" w:color="auto" w:sz="4" w:space="0"/>
            </w:tcBorders>
            <w:vAlign w:val="center"/>
          </w:tcPr>
          <w:p w14:paraId="050379A6">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9</w:t>
            </w:r>
          </w:p>
        </w:tc>
        <w:tc>
          <w:tcPr>
            <w:tcW w:w="371" w:type="pct"/>
            <w:tcBorders>
              <w:top w:val="single" w:color="auto" w:sz="4" w:space="0"/>
              <w:left w:val="single" w:color="auto" w:sz="4" w:space="0"/>
              <w:bottom w:val="single" w:color="auto" w:sz="4" w:space="0"/>
              <w:right w:val="single" w:color="auto" w:sz="4" w:space="0"/>
            </w:tcBorders>
            <w:vAlign w:val="center"/>
          </w:tcPr>
          <w:p w14:paraId="03E57CDC">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9</w:t>
            </w:r>
          </w:p>
        </w:tc>
        <w:tc>
          <w:tcPr>
            <w:tcW w:w="371" w:type="pct"/>
            <w:tcBorders>
              <w:top w:val="single" w:color="auto" w:sz="4" w:space="0"/>
              <w:left w:val="single" w:color="auto" w:sz="4" w:space="0"/>
              <w:bottom w:val="single" w:color="auto" w:sz="4" w:space="0"/>
              <w:right w:val="single" w:color="auto" w:sz="4" w:space="0"/>
            </w:tcBorders>
            <w:vAlign w:val="center"/>
          </w:tcPr>
          <w:p w14:paraId="447FAAA8">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9</w:t>
            </w:r>
          </w:p>
        </w:tc>
        <w:tc>
          <w:tcPr>
            <w:tcW w:w="371" w:type="pct"/>
            <w:tcBorders>
              <w:top w:val="single" w:color="auto" w:sz="4" w:space="0"/>
              <w:left w:val="single" w:color="auto" w:sz="4" w:space="0"/>
              <w:bottom w:val="single" w:color="auto" w:sz="4" w:space="0"/>
              <w:right w:val="single" w:color="auto" w:sz="4" w:space="0"/>
            </w:tcBorders>
            <w:vAlign w:val="center"/>
          </w:tcPr>
          <w:p w14:paraId="1D8F80A3">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10</w:t>
            </w:r>
          </w:p>
        </w:tc>
        <w:tc>
          <w:tcPr>
            <w:tcW w:w="409" w:type="pct"/>
            <w:tcBorders>
              <w:top w:val="single" w:color="auto" w:sz="4" w:space="0"/>
              <w:left w:val="single" w:color="auto" w:sz="4" w:space="0"/>
              <w:bottom w:val="single" w:color="auto" w:sz="4" w:space="0"/>
              <w:right w:val="single" w:color="auto" w:sz="4" w:space="0"/>
            </w:tcBorders>
            <w:vAlign w:val="center"/>
          </w:tcPr>
          <w:p w14:paraId="57C18644">
            <w:pPr>
              <w:widowControl w:val="0"/>
              <w:spacing w:after="0" w:line="240" w:lineRule="auto"/>
              <w:ind w:firstLine="0"/>
              <w:jc w:val="center"/>
              <w:rPr>
                <w:rFonts w:eastAsiaTheme="minorHAnsi"/>
                <w:sz w:val="20"/>
                <w:szCs w:val="20"/>
                <w:lang w:eastAsia="en-US"/>
              </w:rPr>
            </w:pPr>
            <w:r>
              <w:rPr>
                <w:rFonts w:eastAsiaTheme="minorHAnsi"/>
                <w:sz w:val="20"/>
                <w:szCs w:val="20"/>
                <w:lang w:eastAsia="en-US"/>
              </w:rPr>
              <w:t>12</w:t>
            </w:r>
          </w:p>
        </w:tc>
      </w:tr>
    </w:tbl>
    <w:p w14:paraId="280EAB67">
      <w:pPr>
        <w:spacing w:after="0" w:line="240" w:lineRule="auto"/>
        <w:contextualSpacing/>
        <w:jc w:val="both"/>
        <w:rPr>
          <w:rFonts w:eastAsia="Calibri"/>
          <w:sz w:val="24"/>
          <w:szCs w:val="24"/>
          <w:lang w:eastAsia="en-US"/>
        </w:rPr>
      </w:pPr>
    </w:p>
    <w:p w14:paraId="6A1C89AA">
      <w:pPr>
        <w:pStyle w:val="4"/>
        <w:spacing w:before="0" w:line="240" w:lineRule="auto"/>
        <w:ind w:left="0" w:firstLine="709"/>
        <w:contextualSpacing/>
        <w:rPr>
          <w:rFonts w:cs="Times New Roman"/>
          <w:b w:val="0"/>
          <w:sz w:val="24"/>
        </w:rPr>
      </w:pPr>
      <w:bookmarkStart w:id="122" w:name="_Toc182813888"/>
      <w:r>
        <w:rPr>
          <w:rFonts w:cs="Times New Roman"/>
          <w:b w:val="0"/>
          <w:sz w:val="24"/>
        </w:rPr>
        <w:t>Описание процедур диагностики состояния тепловых сетей и планирования капитальных (текущих) ремонтов</w:t>
      </w:r>
      <w:bookmarkEnd w:id="122"/>
    </w:p>
    <w:p w14:paraId="0FD60A55">
      <w:pPr>
        <w:spacing w:after="0" w:line="240" w:lineRule="auto"/>
        <w:contextualSpacing/>
        <w:jc w:val="both"/>
        <w:rPr>
          <w:sz w:val="24"/>
          <w:szCs w:val="24"/>
        </w:rPr>
      </w:pPr>
      <w:r>
        <w:rPr>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 планировать и производить ремонты тепловых сетей исходя из их реального состояния, а не в зависимости от срока службы. При этом предпочтение - имеют неразрушающие методы диагностики.</w:t>
      </w:r>
    </w:p>
    <w:p w14:paraId="2786914D">
      <w:pPr>
        <w:spacing w:after="0" w:line="240" w:lineRule="auto"/>
        <w:contextualSpacing/>
        <w:jc w:val="both"/>
        <w:rPr>
          <w:sz w:val="24"/>
          <w:szCs w:val="24"/>
        </w:rPr>
      </w:pPr>
      <w:r>
        <w:rPr>
          <w:sz w:val="24"/>
          <w:szCs w:val="24"/>
        </w:rPr>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 повреждений выявляется в ремонтный период и 80 % уходит на период отопления. Метод применяется в комплексе оперативной системы сбора и анализа данных о состоянии теплопроводов.</w:t>
      </w:r>
    </w:p>
    <w:p w14:paraId="564709C3">
      <w:pPr>
        <w:spacing w:after="0" w:line="240" w:lineRule="auto"/>
        <w:contextualSpacing/>
        <w:jc w:val="both"/>
        <w:rPr>
          <w:sz w:val="24"/>
          <w:szCs w:val="24"/>
        </w:rPr>
      </w:pPr>
      <w:r>
        <w:rPr>
          <w:sz w:val="24"/>
          <w:szCs w:val="24"/>
        </w:rP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5B612783">
      <w:pPr>
        <w:spacing w:after="0" w:line="240" w:lineRule="auto"/>
        <w:contextualSpacing/>
        <w:jc w:val="both"/>
        <w:rPr>
          <w:sz w:val="24"/>
          <w:szCs w:val="24"/>
        </w:rPr>
      </w:pPr>
      <w:r>
        <w:rPr>
          <w:sz w:val="24"/>
          <w:szCs w:val="24"/>
        </w:rPr>
        <w:t>Совокупность организационно-технических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14:paraId="6750F962">
      <w:pPr>
        <w:spacing w:after="0" w:line="240" w:lineRule="auto"/>
        <w:contextualSpacing/>
        <w:jc w:val="both"/>
        <w:rPr>
          <w:sz w:val="24"/>
          <w:szCs w:val="24"/>
        </w:rPr>
      </w:pPr>
      <w:r>
        <w:rPr>
          <w:sz w:val="24"/>
          <w:szCs w:val="24"/>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690EA73">
      <w:pPr>
        <w:spacing w:after="0" w:line="240" w:lineRule="auto"/>
        <w:contextualSpacing/>
        <w:jc w:val="both"/>
        <w:rPr>
          <w:sz w:val="24"/>
          <w:szCs w:val="24"/>
        </w:rPr>
      </w:pPr>
      <w:r>
        <w:rPr>
          <w:sz w:val="24"/>
          <w:szCs w:val="24"/>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62810E0">
      <w:pPr>
        <w:spacing w:after="0" w:line="240" w:lineRule="auto"/>
        <w:contextualSpacing/>
        <w:jc w:val="both"/>
        <w:rPr>
          <w:sz w:val="24"/>
          <w:szCs w:val="24"/>
        </w:rPr>
      </w:pPr>
      <w:r>
        <w:rPr>
          <w:sz w:val="24"/>
          <w:szCs w:val="24"/>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7BCAF50C">
      <w:pPr>
        <w:numPr>
          <w:ilvl w:val="0"/>
          <w:numId w:val="31"/>
        </w:numPr>
        <w:spacing w:after="0" w:line="240" w:lineRule="auto"/>
        <w:ind w:left="0" w:firstLine="709"/>
        <w:contextualSpacing/>
        <w:jc w:val="both"/>
        <w:rPr>
          <w:sz w:val="24"/>
          <w:szCs w:val="24"/>
        </w:rPr>
      </w:pPr>
      <w:r>
        <w:rPr>
          <w:sz w:val="24"/>
          <w:szCs w:val="24"/>
        </w:rPr>
        <w:t>ТО-1, плановое техническое обслуживание (как правило, полугодовое);</w:t>
      </w:r>
    </w:p>
    <w:p w14:paraId="1D2ACC39">
      <w:pPr>
        <w:numPr>
          <w:ilvl w:val="0"/>
          <w:numId w:val="31"/>
        </w:numPr>
        <w:spacing w:after="0" w:line="240" w:lineRule="auto"/>
        <w:ind w:left="0" w:firstLine="709"/>
        <w:contextualSpacing/>
        <w:jc w:val="both"/>
        <w:rPr>
          <w:sz w:val="24"/>
          <w:szCs w:val="24"/>
        </w:rPr>
      </w:pPr>
      <w:r>
        <w:rPr>
          <w:sz w:val="24"/>
          <w:szCs w:val="24"/>
        </w:rPr>
        <w:t>ТО-2, плановое техническое обслуживание (как правило, годовое);</w:t>
      </w:r>
    </w:p>
    <w:p w14:paraId="6CA75FD9">
      <w:pPr>
        <w:numPr>
          <w:ilvl w:val="0"/>
          <w:numId w:val="31"/>
        </w:numPr>
        <w:spacing w:after="0" w:line="240" w:lineRule="auto"/>
        <w:ind w:left="0" w:firstLine="709"/>
        <w:contextualSpacing/>
        <w:jc w:val="both"/>
        <w:rPr>
          <w:sz w:val="24"/>
          <w:szCs w:val="24"/>
        </w:rPr>
      </w:pPr>
      <w:r>
        <w:rPr>
          <w:sz w:val="24"/>
          <w:szCs w:val="24"/>
        </w:rPr>
        <w:t>КР, капитальный ремонт.</w:t>
      </w:r>
    </w:p>
    <w:p w14:paraId="08F1DF51">
      <w:pPr>
        <w:spacing w:after="0" w:line="240" w:lineRule="auto"/>
        <w:contextualSpacing/>
        <w:jc w:val="both"/>
        <w:rPr>
          <w:sz w:val="24"/>
          <w:szCs w:val="24"/>
        </w:rPr>
      </w:pPr>
    </w:p>
    <w:p w14:paraId="448302E9">
      <w:pPr>
        <w:spacing w:after="0" w:line="240" w:lineRule="auto"/>
        <w:contextualSpacing/>
        <w:jc w:val="both"/>
        <w:rPr>
          <w:sz w:val="24"/>
          <w:szCs w:val="24"/>
        </w:rPr>
      </w:pPr>
      <w:r>
        <w:rPr>
          <w:sz w:val="24"/>
          <w:szCs w:val="24"/>
        </w:rPr>
        <w:t>Модернизация оборудования выполняется при выводе его в капитальный ремонт.</w:t>
      </w:r>
    </w:p>
    <w:p w14:paraId="54854505">
      <w:pPr>
        <w:spacing w:after="0" w:line="240" w:lineRule="auto"/>
        <w:contextualSpacing/>
        <w:jc w:val="both"/>
        <w:rPr>
          <w:sz w:val="24"/>
          <w:szCs w:val="24"/>
        </w:rPr>
      </w:pPr>
      <w:r>
        <w:rPr>
          <w:sz w:val="24"/>
          <w:szCs w:val="24"/>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720C4FFE">
      <w:pPr>
        <w:spacing w:after="0" w:line="240" w:lineRule="auto"/>
        <w:contextualSpacing/>
        <w:jc w:val="both"/>
        <w:rPr>
          <w:sz w:val="24"/>
          <w:szCs w:val="24"/>
        </w:rPr>
      </w:pPr>
      <w:r>
        <w:rPr>
          <w:sz w:val="24"/>
          <w:szCs w:val="24"/>
        </w:rPr>
        <w:t>Целесообразность модернизации должна быть экономически обоснована.</w:t>
      </w:r>
    </w:p>
    <w:p w14:paraId="3C0B2908">
      <w:pPr>
        <w:spacing w:after="0" w:line="240" w:lineRule="auto"/>
        <w:contextualSpacing/>
        <w:jc w:val="both"/>
        <w:rPr>
          <w:sz w:val="24"/>
          <w:szCs w:val="24"/>
        </w:rPr>
      </w:pPr>
      <w:r>
        <w:rPr>
          <w:sz w:val="24"/>
          <w:szCs w:val="24"/>
        </w:rP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1A8D7DB">
      <w:pPr>
        <w:spacing w:after="0" w:line="240" w:lineRule="auto"/>
        <w:contextualSpacing/>
        <w:jc w:val="both"/>
        <w:rPr>
          <w:sz w:val="24"/>
          <w:szCs w:val="24"/>
        </w:rPr>
      </w:pPr>
      <w:r>
        <w:rPr>
          <w:sz w:val="24"/>
          <w:szCs w:val="24"/>
        </w:rPr>
        <w:t>В качестве диагностики теплосетей проводится наружный осмотр и плановые шурфы.</w:t>
      </w:r>
    </w:p>
    <w:p w14:paraId="2D3D76EB">
      <w:pPr>
        <w:spacing w:after="0" w:line="240" w:lineRule="auto"/>
        <w:contextualSpacing/>
        <w:jc w:val="both"/>
        <w:rPr>
          <w:sz w:val="24"/>
          <w:szCs w:val="24"/>
        </w:rPr>
      </w:pPr>
      <w:r>
        <w:rPr>
          <w:sz w:val="24"/>
          <w:szCs w:val="24"/>
        </w:rPr>
        <w:t>Оценка технического состояния тепловых сетей в т. ч. горячего водоснабжения:</w:t>
      </w:r>
    </w:p>
    <w:p w14:paraId="51D04FC9">
      <w:pPr>
        <w:spacing w:after="0" w:line="240" w:lineRule="auto"/>
        <w:contextualSpacing/>
        <w:jc w:val="both"/>
        <w:rPr>
          <w:sz w:val="24"/>
          <w:szCs w:val="24"/>
        </w:rPr>
      </w:pPr>
      <w:r>
        <w:rPr>
          <w:sz w:val="24"/>
          <w:szCs w:val="24"/>
        </w:rPr>
        <w:t>1. Оценка степени физического износа оборудования объектов централизованных систем теплоснабжения осуществляется по 5 основным группам:</w:t>
      </w:r>
    </w:p>
    <w:p w14:paraId="7ADD018B">
      <w:pPr>
        <w:pStyle w:val="153"/>
        <w:numPr>
          <w:ilvl w:val="0"/>
          <w:numId w:val="32"/>
        </w:numPr>
        <w:tabs>
          <w:tab w:val="left" w:pos="993"/>
        </w:tabs>
        <w:ind w:left="0" w:firstLine="709"/>
        <w:rPr>
          <w:sz w:val="24"/>
          <w:szCs w:val="24"/>
        </w:rPr>
      </w:pPr>
      <w:r>
        <w:rPr>
          <w:sz w:val="24"/>
          <w:szCs w:val="24"/>
        </w:rPr>
        <w:t>оборудование новое или почти новое, нарушений в работе не выявляется, к состоянию и внешнему виду нареканий нет;</w:t>
      </w:r>
    </w:p>
    <w:p w14:paraId="1A59E0EF">
      <w:pPr>
        <w:pStyle w:val="153"/>
        <w:numPr>
          <w:ilvl w:val="0"/>
          <w:numId w:val="32"/>
        </w:numPr>
        <w:tabs>
          <w:tab w:val="left" w:pos="993"/>
        </w:tabs>
        <w:ind w:left="0" w:firstLine="709"/>
        <w:rPr>
          <w:sz w:val="24"/>
          <w:szCs w:val="24"/>
        </w:rPr>
      </w:pPr>
      <w:r>
        <w:rPr>
          <w:sz w:val="24"/>
          <w:szCs w:val="24"/>
        </w:rPr>
        <w:t>оборудование в работе, находится не в аварийном состоянии, но периодически возникают технические неполадки, которые устраняются в межремонтные интервалы;</w:t>
      </w:r>
    </w:p>
    <w:p w14:paraId="2C268F77">
      <w:pPr>
        <w:pStyle w:val="153"/>
        <w:numPr>
          <w:ilvl w:val="0"/>
          <w:numId w:val="32"/>
        </w:numPr>
        <w:tabs>
          <w:tab w:val="left" w:pos="993"/>
        </w:tabs>
        <w:ind w:left="0" w:firstLine="709"/>
        <w:rPr>
          <w:sz w:val="24"/>
          <w:szCs w:val="24"/>
        </w:rPr>
      </w:pPr>
      <w:r>
        <w:rPr>
          <w:sz w:val="24"/>
          <w:szCs w:val="24"/>
        </w:rPr>
        <w:t>оборудование в работе, находится не в аварийном состоянии, но периодически возникают технические неполадки (чаще, чем указанные заводом изготовителем межремонтные интервалы);</w:t>
      </w:r>
    </w:p>
    <w:p w14:paraId="2693FA34">
      <w:pPr>
        <w:pStyle w:val="153"/>
        <w:numPr>
          <w:ilvl w:val="0"/>
          <w:numId w:val="32"/>
        </w:numPr>
        <w:tabs>
          <w:tab w:val="left" w:pos="993"/>
        </w:tabs>
        <w:ind w:left="0" w:firstLine="709"/>
        <w:rPr>
          <w:sz w:val="24"/>
          <w:szCs w:val="24"/>
        </w:rPr>
      </w:pPr>
      <w:r>
        <w:rPr>
          <w:sz w:val="24"/>
          <w:szCs w:val="24"/>
        </w:rPr>
        <w:t>оборудование в работе, но по выявленным показателям находится в предаварийном или аварийном состоянии, эксплуатация оборудования нежелательна или опасна;</w:t>
      </w:r>
    </w:p>
    <w:p w14:paraId="2199C851">
      <w:pPr>
        <w:pStyle w:val="153"/>
        <w:numPr>
          <w:ilvl w:val="0"/>
          <w:numId w:val="32"/>
        </w:numPr>
        <w:tabs>
          <w:tab w:val="left" w:pos="993"/>
        </w:tabs>
        <w:ind w:left="0" w:firstLine="709"/>
        <w:rPr>
          <w:sz w:val="24"/>
          <w:szCs w:val="24"/>
        </w:rPr>
      </w:pPr>
      <w:r>
        <w:rPr>
          <w:sz w:val="24"/>
          <w:szCs w:val="24"/>
        </w:rPr>
        <w:t>оборудование не работает по причине невозможности эксплуатации вследствие явных нарушений конструкций или элементов.</w:t>
      </w:r>
    </w:p>
    <w:p w14:paraId="72618B1E">
      <w:pPr>
        <w:spacing w:after="0" w:line="240" w:lineRule="auto"/>
        <w:contextualSpacing/>
        <w:jc w:val="both"/>
        <w:rPr>
          <w:sz w:val="24"/>
          <w:szCs w:val="24"/>
        </w:rPr>
      </w:pPr>
    </w:p>
    <w:p w14:paraId="6884FD57">
      <w:pPr>
        <w:spacing w:after="0" w:line="240" w:lineRule="auto"/>
        <w:contextualSpacing/>
        <w:jc w:val="both"/>
        <w:rPr>
          <w:sz w:val="24"/>
          <w:szCs w:val="24"/>
        </w:rPr>
      </w:pPr>
      <w:r>
        <w:rPr>
          <w:sz w:val="24"/>
          <w:szCs w:val="24"/>
        </w:rPr>
        <w:t>2. Оценка состояния объектов централизованных систем теплоснабжения и проводится на основании технического обследования с учётом оценки степени физического износа оборудования объектов централизованных систем теплоснабжения.</w:t>
      </w:r>
    </w:p>
    <w:p w14:paraId="7FFDE04E">
      <w:pPr>
        <w:pStyle w:val="153"/>
        <w:numPr>
          <w:ilvl w:val="1"/>
          <w:numId w:val="33"/>
        </w:numPr>
        <w:tabs>
          <w:tab w:val="left" w:pos="993"/>
        </w:tabs>
        <w:ind w:left="0" w:firstLine="709"/>
        <w:rPr>
          <w:sz w:val="24"/>
        </w:rPr>
      </w:pPr>
      <w:r>
        <w:rPr>
          <w:sz w:val="24"/>
        </w:rPr>
        <w:t>для группы «а» в интервале от «0 %» до «15 %»;</w:t>
      </w:r>
    </w:p>
    <w:p w14:paraId="1F4E30F7">
      <w:pPr>
        <w:pStyle w:val="153"/>
        <w:numPr>
          <w:ilvl w:val="1"/>
          <w:numId w:val="33"/>
        </w:numPr>
        <w:tabs>
          <w:tab w:val="left" w:pos="993"/>
        </w:tabs>
        <w:ind w:left="0" w:firstLine="709"/>
        <w:rPr>
          <w:sz w:val="24"/>
        </w:rPr>
      </w:pPr>
      <w:r>
        <w:rPr>
          <w:sz w:val="24"/>
        </w:rPr>
        <w:t>для группы «б» в интервале от «16 %» до «40 %» - если оборудование по наработке прошло капитальный ремонт, а в межремонтные интервалы оборудование работает без аварий (допустимы незначительные сбои);</w:t>
      </w:r>
    </w:p>
    <w:p w14:paraId="1FAEF59F">
      <w:pPr>
        <w:pStyle w:val="153"/>
        <w:numPr>
          <w:ilvl w:val="1"/>
          <w:numId w:val="33"/>
        </w:numPr>
        <w:tabs>
          <w:tab w:val="left" w:pos="993"/>
        </w:tabs>
        <w:ind w:left="0" w:firstLine="709"/>
        <w:rPr>
          <w:sz w:val="24"/>
        </w:rPr>
      </w:pPr>
      <w:r>
        <w:rPr>
          <w:sz w:val="24"/>
        </w:rPr>
        <w:t>для группы «в» в интервале от «41 %» до «60 %» - оборудование, прошедшее более 1 капитального ремонта и (или) имеющее сбои в работе чаще, чем положено проведением ППР (при этом оборудование не вызывает аварийных ситуаций);</w:t>
      </w:r>
    </w:p>
    <w:p w14:paraId="57783002">
      <w:pPr>
        <w:pStyle w:val="153"/>
        <w:numPr>
          <w:ilvl w:val="1"/>
          <w:numId w:val="33"/>
        </w:numPr>
        <w:tabs>
          <w:tab w:val="left" w:pos="993"/>
        </w:tabs>
        <w:ind w:left="0" w:firstLine="709"/>
        <w:rPr>
          <w:sz w:val="24"/>
        </w:rPr>
      </w:pPr>
      <w:r>
        <w:rPr>
          <w:sz w:val="24"/>
        </w:rPr>
        <w:t>для группы «г» в интервале от «61 %» до «80 %» - оборудование находится в аварийном состоянии, оборудование опасно в эксплуатации - нарушением работы водопроводных и канализационных сетей или подвергающее опасности жизнь и здоровье обслуживающего персонала, находящегося в непосредственной близости. Оборудование не может эксплуатироваться без постоянного надзора;</w:t>
      </w:r>
    </w:p>
    <w:p w14:paraId="3E5A0237">
      <w:pPr>
        <w:pStyle w:val="153"/>
        <w:numPr>
          <w:ilvl w:val="1"/>
          <w:numId w:val="33"/>
        </w:numPr>
        <w:tabs>
          <w:tab w:val="left" w:pos="993"/>
        </w:tabs>
        <w:ind w:left="0" w:firstLine="709"/>
        <w:rPr>
          <w:sz w:val="24"/>
        </w:rPr>
      </w:pPr>
      <w:r>
        <w:rPr>
          <w:sz w:val="24"/>
        </w:rPr>
        <w:t>для группы «д» от «81 %» до «100 %» - оборудование, включение которого невозможно и (или) опасно для сетей и (или) жизни и здоровья обслуживающего персонала. Эксплуатация такого оборудования неминуемо приведет к аварии, и (или) такое оборудование физически невозможно включить в работу.</w:t>
      </w:r>
    </w:p>
    <w:p w14:paraId="3D78B5D5">
      <w:pPr>
        <w:spacing w:after="0" w:line="240" w:lineRule="auto"/>
        <w:contextualSpacing/>
        <w:jc w:val="both"/>
        <w:rPr>
          <w:sz w:val="24"/>
          <w:szCs w:val="24"/>
        </w:rPr>
      </w:pPr>
    </w:p>
    <w:p w14:paraId="08D2F5C4">
      <w:pPr>
        <w:spacing w:after="0" w:line="240" w:lineRule="auto"/>
        <w:contextualSpacing/>
        <w:jc w:val="both"/>
        <w:rPr>
          <w:sz w:val="24"/>
          <w:szCs w:val="24"/>
        </w:rPr>
      </w:pPr>
      <w:r>
        <w:rPr>
          <w:sz w:val="24"/>
          <w:szCs w:val="24"/>
        </w:rPr>
        <w:t>Оценка технического состояния тепловых сетей характеризуется долей ветхих, подлежащих замене сетей, и определяется по формуле:</w:t>
      </w:r>
    </w:p>
    <w:p w14:paraId="32E11D12">
      <w:pPr>
        <w:spacing w:after="0" w:line="240" w:lineRule="auto"/>
        <w:ind w:firstLine="0"/>
        <w:contextualSpacing/>
        <w:jc w:val="center"/>
        <w:rPr>
          <w:sz w:val="24"/>
          <w:szCs w:val="24"/>
        </w:rPr>
      </w:pPr>
      <w:r>
        <w:rPr>
          <w:i/>
          <w:sz w:val="24"/>
          <w:szCs w:val="24"/>
        </w:rPr>
        <w:drawing>
          <wp:inline distT="0" distB="0" distL="0" distR="0">
            <wp:extent cx="1092835" cy="4394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a:picLocks noChangeAspect="1" noChangeArrowheads="1"/>
                    </pic:cNvPicPr>
                  </pic:nvPicPr>
                  <pic:blipFill>
                    <a:blip r:embed="rId18" cstate="email"/>
                    <a:srcRect/>
                    <a:stretch>
                      <a:fillRect/>
                    </a:stretch>
                  </pic:blipFill>
                  <pic:spPr>
                    <a:xfrm>
                      <a:off x="0" y="0"/>
                      <a:ext cx="1092835" cy="439420"/>
                    </a:xfrm>
                    <a:prstGeom prst="rect">
                      <a:avLst/>
                    </a:prstGeom>
                    <a:noFill/>
                    <a:ln>
                      <a:noFill/>
                    </a:ln>
                  </pic:spPr>
                </pic:pic>
              </a:graphicData>
            </a:graphic>
          </wp:inline>
        </w:drawing>
      </w:r>
    </w:p>
    <w:p w14:paraId="53F306A4">
      <w:pPr>
        <w:spacing w:after="0" w:line="240" w:lineRule="auto"/>
        <w:contextualSpacing/>
        <w:jc w:val="both"/>
        <w:rPr>
          <w:sz w:val="24"/>
          <w:szCs w:val="24"/>
        </w:rPr>
      </w:pPr>
      <w:r>
        <w:rPr>
          <w:sz w:val="24"/>
          <w:szCs w:val="24"/>
        </w:rPr>
        <w:t>где:</w:t>
      </w:r>
    </w:p>
    <w:p w14:paraId="063B805D">
      <w:pPr>
        <w:spacing w:after="0" w:line="240" w:lineRule="auto"/>
        <w:contextualSpacing/>
        <w:jc w:val="both"/>
        <w:rPr>
          <w:sz w:val="24"/>
          <w:szCs w:val="24"/>
        </w:rPr>
      </w:pPr>
      <w:r>
        <w:rPr>
          <w:sz w:val="24"/>
          <w:szCs w:val="24"/>
        </w:rPr>
        <w:t>S</w:t>
      </w:r>
      <w:r>
        <w:rPr>
          <w:sz w:val="24"/>
          <w:szCs w:val="24"/>
          <w:vertAlign w:val="subscript"/>
        </w:rPr>
        <w:t>с</w:t>
      </w:r>
      <w:r>
        <w:rPr>
          <w:sz w:val="24"/>
          <w:szCs w:val="24"/>
          <w:vertAlign w:val="superscript"/>
        </w:rPr>
        <w:t>эксп</w:t>
      </w:r>
      <w:r>
        <w:rPr>
          <w:sz w:val="24"/>
          <w:szCs w:val="24"/>
        </w:rPr>
        <w:t xml:space="preserve"> – протяжённость сетей тепловых, находящихся в эксплуатации, км;</w:t>
      </w:r>
    </w:p>
    <w:p w14:paraId="4EB15688">
      <w:pPr>
        <w:spacing w:after="0" w:line="240" w:lineRule="auto"/>
        <w:contextualSpacing/>
        <w:jc w:val="both"/>
        <w:rPr>
          <w:sz w:val="24"/>
          <w:szCs w:val="24"/>
        </w:rPr>
      </w:pPr>
      <w:r>
        <w:rPr>
          <w:sz w:val="24"/>
          <w:szCs w:val="24"/>
        </w:rPr>
        <w:t>S</w:t>
      </w:r>
      <w:r>
        <w:rPr>
          <w:sz w:val="24"/>
          <w:szCs w:val="24"/>
          <w:vertAlign w:val="subscript"/>
        </w:rPr>
        <w:t>с</w:t>
      </w:r>
      <w:r>
        <w:rPr>
          <w:sz w:val="24"/>
          <w:szCs w:val="24"/>
          <w:vertAlign w:val="superscript"/>
        </w:rPr>
        <w:t>ветх</w:t>
      </w:r>
      <w:r>
        <w:rPr>
          <w:sz w:val="24"/>
          <w:szCs w:val="24"/>
        </w:rPr>
        <w:t xml:space="preserve"> – протяжённость ветхих сетей тепловых, находящихся в эксплуатации, км.</w:t>
      </w:r>
    </w:p>
    <w:p w14:paraId="388550E5">
      <w:pPr>
        <w:spacing w:after="0" w:line="240" w:lineRule="auto"/>
        <w:contextualSpacing/>
        <w:jc w:val="both"/>
        <w:rPr>
          <w:sz w:val="24"/>
          <w:szCs w:val="24"/>
        </w:rPr>
      </w:pPr>
    </w:p>
    <w:p w14:paraId="162AA193">
      <w:pPr>
        <w:spacing w:after="0" w:line="240" w:lineRule="auto"/>
        <w:contextualSpacing/>
        <w:jc w:val="both"/>
        <w:rPr>
          <w:sz w:val="24"/>
          <w:szCs w:val="24"/>
        </w:rPr>
      </w:pPr>
      <w:r>
        <w:rPr>
          <w:sz w:val="24"/>
          <w:szCs w:val="24"/>
        </w:rPr>
        <w:t>Эксплуатация</w:t>
      </w:r>
      <w:r>
        <w:rPr>
          <w:spacing w:val="26"/>
          <w:sz w:val="24"/>
          <w:szCs w:val="24"/>
        </w:rPr>
        <w:t xml:space="preserve"> </w:t>
      </w:r>
      <w:r>
        <w:rPr>
          <w:sz w:val="24"/>
          <w:szCs w:val="24"/>
        </w:rPr>
        <w:t>тепловых</w:t>
      </w:r>
      <w:r>
        <w:rPr>
          <w:spacing w:val="24"/>
          <w:sz w:val="24"/>
          <w:szCs w:val="24"/>
        </w:rPr>
        <w:t xml:space="preserve"> </w:t>
      </w:r>
      <w:r>
        <w:rPr>
          <w:spacing w:val="-4"/>
          <w:sz w:val="24"/>
          <w:szCs w:val="24"/>
        </w:rPr>
        <w:t>сетей</w:t>
      </w:r>
      <w:r>
        <w:rPr>
          <w:spacing w:val="26"/>
          <w:sz w:val="24"/>
          <w:szCs w:val="24"/>
        </w:rPr>
        <w:t xml:space="preserve"> </w:t>
      </w:r>
      <w:r>
        <w:rPr>
          <w:sz w:val="24"/>
          <w:szCs w:val="24"/>
        </w:rPr>
        <w:t>производится</w:t>
      </w:r>
      <w:r>
        <w:rPr>
          <w:spacing w:val="26"/>
          <w:sz w:val="24"/>
          <w:szCs w:val="24"/>
        </w:rPr>
        <w:t xml:space="preserve"> </w:t>
      </w:r>
      <w:r>
        <w:rPr>
          <w:sz w:val="24"/>
          <w:szCs w:val="24"/>
        </w:rPr>
        <w:t>в</w:t>
      </w:r>
      <w:r>
        <w:rPr>
          <w:spacing w:val="26"/>
          <w:sz w:val="24"/>
          <w:szCs w:val="24"/>
        </w:rPr>
        <w:t xml:space="preserve"> </w:t>
      </w:r>
      <w:r>
        <w:rPr>
          <w:spacing w:val="-4"/>
          <w:sz w:val="24"/>
          <w:szCs w:val="24"/>
        </w:rPr>
        <w:t>рамках</w:t>
      </w:r>
      <w:r>
        <w:rPr>
          <w:spacing w:val="27"/>
          <w:sz w:val="24"/>
          <w:szCs w:val="24"/>
        </w:rPr>
        <w:t xml:space="preserve"> </w:t>
      </w:r>
      <w:r>
        <w:rPr>
          <w:sz w:val="24"/>
          <w:szCs w:val="24"/>
        </w:rPr>
        <w:t>требований,</w:t>
      </w:r>
      <w:r>
        <w:rPr>
          <w:spacing w:val="26"/>
          <w:sz w:val="24"/>
          <w:szCs w:val="24"/>
        </w:rPr>
        <w:t xml:space="preserve"> </w:t>
      </w:r>
      <w:r>
        <w:rPr>
          <w:sz w:val="24"/>
          <w:szCs w:val="24"/>
        </w:rPr>
        <w:t>действующих</w:t>
      </w:r>
      <w:r>
        <w:rPr>
          <w:spacing w:val="24"/>
          <w:sz w:val="24"/>
          <w:szCs w:val="24"/>
        </w:rPr>
        <w:t xml:space="preserve"> </w:t>
      </w:r>
      <w:r>
        <w:rPr>
          <w:spacing w:val="-4"/>
          <w:sz w:val="24"/>
          <w:szCs w:val="24"/>
        </w:rPr>
        <w:t>«Правил</w:t>
      </w:r>
      <w:r>
        <w:rPr>
          <w:spacing w:val="31"/>
          <w:sz w:val="24"/>
          <w:szCs w:val="24"/>
        </w:rPr>
        <w:t xml:space="preserve"> </w:t>
      </w:r>
      <w:r>
        <w:rPr>
          <w:sz w:val="24"/>
          <w:szCs w:val="24"/>
        </w:rPr>
        <w:t>технической</w:t>
      </w:r>
      <w:r>
        <w:rPr>
          <w:spacing w:val="32"/>
          <w:sz w:val="24"/>
          <w:szCs w:val="24"/>
        </w:rPr>
        <w:t xml:space="preserve"> </w:t>
      </w:r>
      <w:r>
        <w:rPr>
          <w:spacing w:val="-6"/>
          <w:sz w:val="24"/>
          <w:szCs w:val="24"/>
        </w:rPr>
        <w:t>эксплуатации</w:t>
      </w:r>
      <w:r>
        <w:rPr>
          <w:spacing w:val="32"/>
          <w:sz w:val="24"/>
          <w:szCs w:val="24"/>
        </w:rPr>
        <w:t xml:space="preserve"> </w:t>
      </w:r>
      <w:r>
        <w:rPr>
          <w:sz w:val="24"/>
          <w:szCs w:val="24"/>
        </w:rPr>
        <w:t>тепловых</w:t>
      </w:r>
      <w:r>
        <w:rPr>
          <w:spacing w:val="30"/>
          <w:sz w:val="24"/>
          <w:szCs w:val="24"/>
        </w:rPr>
        <w:t xml:space="preserve"> </w:t>
      </w:r>
      <w:r>
        <w:rPr>
          <w:sz w:val="24"/>
          <w:szCs w:val="24"/>
        </w:rPr>
        <w:t>энергоустановок»,</w:t>
      </w:r>
      <w:r>
        <w:rPr>
          <w:spacing w:val="30"/>
          <w:sz w:val="24"/>
          <w:szCs w:val="24"/>
        </w:rPr>
        <w:t xml:space="preserve"> </w:t>
      </w:r>
      <w:r>
        <w:rPr>
          <w:sz w:val="24"/>
          <w:szCs w:val="24"/>
        </w:rPr>
        <w:t>утверждённых</w:t>
      </w:r>
      <w:r>
        <w:rPr>
          <w:spacing w:val="30"/>
          <w:sz w:val="24"/>
          <w:szCs w:val="24"/>
        </w:rPr>
        <w:t xml:space="preserve"> </w:t>
      </w:r>
      <w:r>
        <w:rPr>
          <w:sz w:val="24"/>
          <w:szCs w:val="24"/>
        </w:rPr>
        <w:t>Приказом</w:t>
      </w:r>
      <w:r>
        <w:rPr>
          <w:spacing w:val="53"/>
          <w:sz w:val="24"/>
          <w:szCs w:val="24"/>
        </w:rPr>
        <w:t xml:space="preserve"> </w:t>
      </w:r>
      <w:r>
        <w:rPr>
          <w:sz w:val="24"/>
          <w:szCs w:val="24"/>
        </w:rPr>
        <w:t>Минэнерго</w:t>
      </w:r>
      <w:r>
        <w:rPr>
          <w:spacing w:val="6"/>
          <w:sz w:val="24"/>
          <w:szCs w:val="24"/>
        </w:rPr>
        <w:t xml:space="preserve"> </w:t>
      </w:r>
      <w:r>
        <w:rPr>
          <w:sz w:val="24"/>
          <w:szCs w:val="24"/>
        </w:rPr>
        <w:t>России</w:t>
      </w:r>
      <w:r>
        <w:rPr>
          <w:spacing w:val="5"/>
          <w:sz w:val="24"/>
          <w:szCs w:val="24"/>
        </w:rPr>
        <w:t xml:space="preserve"> </w:t>
      </w:r>
      <w:r>
        <w:rPr>
          <w:spacing w:val="-4"/>
          <w:sz w:val="24"/>
          <w:szCs w:val="24"/>
        </w:rPr>
        <w:t>от</w:t>
      </w:r>
      <w:r>
        <w:rPr>
          <w:spacing w:val="5"/>
          <w:sz w:val="24"/>
          <w:szCs w:val="24"/>
        </w:rPr>
        <w:t xml:space="preserve"> </w:t>
      </w:r>
      <w:r>
        <w:rPr>
          <w:sz w:val="24"/>
          <w:szCs w:val="24"/>
        </w:rPr>
        <w:t>24.03.2003</w:t>
      </w:r>
      <w:r>
        <w:rPr>
          <w:spacing w:val="6"/>
          <w:sz w:val="24"/>
          <w:szCs w:val="24"/>
        </w:rPr>
        <w:t xml:space="preserve"> </w:t>
      </w:r>
      <w:r>
        <w:rPr>
          <w:sz w:val="24"/>
          <w:szCs w:val="24"/>
        </w:rPr>
        <w:t>№</w:t>
      </w:r>
      <w:r>
        <w:rPr>
          <w:spacing w:val="4"/>
          <w:sz w:val="24"/>
          <w:szCs w:val="24"/>
        </w:rPr>
        <w:t xml:space="preserve"> </w:t>
      </w:r>
      <w:r>
        <w:rPr>
          <w:spacing w:val="-4"/>
          <w:sz w:val="24"/>
          <w:szCs w:val="24"/>
        </w:rPr>
        <w:t>115</w:t>
      </w:r>
      <w:r>
        <w:rPr>
          <w:spacing w:val="6"/>
          <w:sz w:val="24"/>
          <w:szCs w:val="24"/>
        </w:rPr>
        <w:t xml:space="preserve"> </w:t>
      </w:r>
      <w:r>
        <w:rPr>
          <w:sz w:val="24"/>
          <w:szCs w:val="24"/>
        </w:rPr>
        <w:t>и</w:t>
      </w:r>
      <w:r>
        <w:rPr>
          <w:spacing w:val="5"/>
          <w:sz w:val="24"/>
          <w:szCs w:val="24"/>
        </w:rPr>
        <w:t xml:space="preserve"> </w:t>
      </w:r>
      <w:r>
        <w:rPr>
          <w:spacing w:val="-6"/>
          <w:sz w:val="24"/>
          <w:szCs w:val="24"/>
        </w:rPr>
        <w:t>зарегистрированных</w:t>
      </w:r>
      <w:r>
        <w:rPr>
          <w:spacing w:val="2"/>
          <w:sz w:val="24"/>
          <w:szCs w:val="24"/>
        </w:rPr>
        <w:t xml:space="preserve"> </w:t>
      </w:r>
      <w:r>
        <w:rPr>
          <w:sz w:val="24"/>
          <w:szCs w:val="24"/>
        </w:rPr>
        <w:t>Минюстом</w:t>
      </w:r>
      <w:r>
        <w:rPr>
          <w:spacing w:val="5"/>
          <w:sz w:val="24"/>
          <w:szCs w:val="24"/>
        </w:rPr>
        <w:t xml:space="preserve"> </w:t>
      </w:r>
      <w:r>
        <w:rPr>
          <w:sz w:val="24"/>
          <w:szCs w:val="24"/>
        </w:rPr>
        <w:t>России</w:t>
      </w:r>
      <w:r>
        <w:rPr>
          <w:spacing w:val="5"/>
          <w:sz w:val="24"/>
          <w:szCs w:val="24"/>
        </w:rPr>
        <w:t xml:space="preserve"> </w:t>
      </w:r>
      <w:r>
        <w:rPr>
          <w:spacing w:val="-6"/>
          <w:sz w:val="24"/>
          <w:szCs w:val="24"/>
        </w:rPr>
        <w:t>02.04.2003,</w:t>
      </w:r>
      <w:r>
        <w:rPr>
          <w:spacing w:val="96"/>
          <w:sz w:val="24"/>
          <w:szCs w:val="24"/>
        </w:rPr>
        <w:t xml:space="preserve"> </w:t>
      </w:r>
      <w:r>
        <w:rPr>
          <w:sz w:val="24"/>
          <w:szCs w:val="24"/>
        </w:rPr>
        <w:t>регистрационный</w:t>
      </w:r>
      <w:r>
        <w:rPr>
          <w:spacing w:val="-9"/>
          <w:sz w:val="24"/>
          <w:szCs w:val="24"/>
        </w:rPr>
        <w:t xml:space="preserve"> </w:t>
      </w:r>
      <w:r>
        <w:rPr>
          <w:sz w:val="24"/>
          <w:szCs w:val="24"/>
        </w:rPr>
        <w:t>номер</w:t>
      </w:r>
      <w:r>
        <w:rPr>
          <w:spacing w:val="-9"/>
          <w:sz w:val="24"/>
          <w:szCs w:val="24"/>
        </w:rPr>
        <w:t xml:space="preserve"> </w:t>
      </w:r>
      <w:r>
        <w:rPr>
          <w:sz w:val="24"/>
          <w:szCs w:val="24"/>
        </w:rPr>
        <w:t>№</w:t>
      </w:r>
      <w:r>
        <w:rPr>
          <w:spacing w:val="-13"/>
          <w:sz w:val="24"/>
          <w:szCs w:val="24"/>
        </w:rPr>
        <w:t xml:space="preserve"> </w:t>
      </w:r>
      <w:r>
        <w:rPr>
          <w:spacing w:val="-4"/>
          <w:sz w:val="24"/>
          <w:szCs w:val="24"/>
        </w:rPr>
        <w:t>4358.</w:t>
      </w:r>
    </w:p>
    <w:p w14:paraId="21654776">
      <w:pPr>
        <w:spacing w:after="0" w:line="240" w:lineRule="auto"/>
        <w:contextualSpacing/>
        <w:jc w:val="both"/>
        <w:rPr>
          <w:sz w:val="24"/>
          <w:szCs w:val="24"/>
        </w:rPr>
      </w:pPr>
      <w:r>
        <w:rPr>
          <w:sz w:val="24"/>
          <w:szCs w:val="24"/>
        </w:rPr>
        <w:t>Организация</w:t>
      </w:r>
      <w:r>
        <w:rPr>
          <w:spacing w:val="16"/>
          <w:sz w:val="24"/>
          <w:szCs w:val="24"/>
        </w:rPr>
        <w:t xml:space="preserve"> </w:t>
      </w:r>
      <w:r>
        <w:rPr>
          <w:spacing w:val="-6"/>
          <w:sz w:val="24"/>
          <w:szCs w:val="24"/>
        </w:rPr>
        <w:t>ремонтного</w:t>
      </w:r>
      <w:r>
        <w:rPr>
          <w:spacing w:val="18"/>
          <w:sz w:val="24"/>
          <w:szCs w:val="24"/>
        </w:rPr>
        <w:t xml:space="preserve"> </w:t>
      </w:r>
      <w:r>
        <w:rPr>
          <w:sz w:val="24"/>
          <w:szCs w:val="24"/>
        </w:rPr>
        <w:t>производства,</w:t>
      </w:r>
      <w:r>
        <w:rPr>
          <w:spacing w:val="15"/>
          <w:sz w:val="24"/>
          <w:szCs w:val="24"/>
        </w:rPr>
        <w:t xml:space="preserve"> </w:t>
      </w:r>
      <w:r>
        <w:rPr>
          <w:sz w:val="24"/>
          <w:szCs w:val="24"/>
        </w:rPr>
        <w:t>разработка</w:t>
      </w:r>
      <w:r>
        <w:rPr>
          <w:spacing w:val="15"/>
          <w:sz w:val="24"/>
          <w:szCs w:val="24"/>
        </w:rPr>
        <w:t xml:space="preserve"> </w:t>
      </w:r>
      <w:r>
        <w:rPr>
          <w:sz w:val="24"/>
          <w:szCs w:val="24"/>
        </w:rPr>
        <w:t>ремонтной</w:t>
      </w:r>
      <w:r>
        <w:rPr>
          <w:spacing w:val="17"/>
          <w:sz w:val="24"/>
          <w:szCs w:val="24"/>
        </w:rPr>
        <w:t xml:space="preserve"> </w:t>
      </w:r>
      <w:r>
        <w:rPr>
          <w:spacing w:val="-6"/>
          <w:sz w:val="24"/>
          <w:szCs w:val="24"/>
        </w:rPr>
        <w:t>документации,</w:t>
      </w:r>
      <w:r>
        <w:rPr>
          <w:spacing w:val="15"/>
          <w:sz w:val="24"/>
          <w:szCs w:val="24"/>
        </w:rPr>
        <w:t xml:space="preserve"> </w:t>
      </w:r>
      <w:r>
        <w:rPr>
          <w:sz w:val="24"/>
          <w:szCs w:val="24"/>
        </w:rPr>
        <w:t>планирование</w:t>
      </w:r>
      <w:r>
        <w:rPr>
          <w:spacing w:val="20"/>
          <w:sz w:val="24"/>
          <w:szCs w:val="24"/>
        </w:rPr>
        <w:t xml:space="preserve"> </w:t>
      </w:r>
      <w:r>
        <w:rPr>
          <w:sz w:val="24"/>
          <w:szCs w:val="24"/>
        </w:rPr>
        <w:t>и</w:t>
      </w:r>
      <w:r>
        <w:rPr>
          <w:spacing w:val="19"/>
          <w:sz w:val="24"/>
          <w:szCs w:val="24"/>
        </w:rPr>
        <w:t xml:space="preserve"> </w:t>
      </w:r>
      <w:r>
        <w:rPr>
          <w:sz w:val="24"/>
          <w:szCs w:val="24"/>
        </w:rPr>
        <w:t>подготовка</w:t>
      </w:r>
      <w:r>
        <w:rPr>
          <w:spacing w:val="20"/>
          <w:sz w:val="24"/>
          <w:szCs w:val="24"/>
        </w:rPr>
        <w:t xml:space="preserve"> </w:t>
      </w:r>
      <w:r>
        <w:rPr>
          <w:sz w:val="24"/>
          <w:szCs w:val="24"/>
        </w:rPr>
        <w:t>к</w:t>
      </w:r>
      <w:r>
        <w:rPr>
          <w:spacing w:val="17"/>
          <w:sz w:val="24"/>
          <w:szCs w:val="24"/>
        </w:rPr>
        <w:t xml:space="preserve"> </w:t>
      </w:r>
      <w:r>
        <w:rPr>
          <w:sz w:val="24"/>
          <w:szCs w:val="24"/>
        </w:rPr>
        <w:t>ремонту,</w:t>
      </w:r>
      <w:r>
        <w:rPr>
          <w:spacing w:val="19"/>
          <w:sz w:val="24"/>
          <w:szCs w:val="24"/>
        </w:rPr>
        <w:t xml:space="preserve"> </w:t>
      </w:r>
      <w:r>
        <w:rPr>
          <w:sz w:val="24"/>
          <w:szCs w:val="24"/>
        </w:rPr>
        <w:t>вывод</w:t>
      </w:r>
      <w:r>
        <w:rPr>
          <w:spacing w:val="18"/>
          <w:sz w:val="24"/>
          <w:szCs w:val="24"/>
        </w:rPr>
        <w:t xml:space="preserve"> </w:t>
      </w:r>
      <w:r>
        <w:rPr>
          <w:sz w:val="24"/>
          <w:szCs w:val="24"/>
        </w:rPr>
        <w:t>в</w:t>
      </w:r>
      <w:r>
        <w:rPr>
          <w:spacing w:val="19"/>
          <w:sz w:val="24"/>
          <w:szCs w:val="24"/>
        </w:rPr>
        <w:t xml:space="preserve"> </w:t>
      </w:r>
      <w:r>
        <w:rPr>
          <w:sz w:val="24"/>
          <w:szCs w:val="24"/>
        </w:rPr>
        <w:t>ремонт</w:t>
      </w:r>
      <w:r>
        <w:rPr>
          <w:spacing w:val="19"/>
          <w:sz w:val="24"/>
          <w:szCs w:val="24"/>
        </w:rPr>
        <w:t xml:space="preserve"> </w:t>
      </w:r>
      <w:r>
        <w:rPr>
          <w:sz w:val="24"/>
          <w:szCs w:val="24"/>
        </w:rPr>
        <w:t>и</w:t>
      </w:r>
      <w:r>
        <w:rPr>
          <w:spacing w:val="19"/>
          <w:sz w:val="24"/>
          <w:szCs w:val="24"/>
        </w:rPr>
        <w:t xml:space="preserve"> </w:t>
      </w:r>
      <w:r>
        <w:rPr>
          <w:spacing w:val="-6"/>
          <w:sz w:val="24"/>
          <w:szCs w:val="24"/>
        </w:rPr>
        <w:t>производство</w:t>
      </w:r>
      <w:r>
        <w:rPr>
          <w:spacing w:val="20"/>
          <w:sz w:val="24"/>
          <w:szCs w:val="24"/>
        </w:rPr>
        <w:t xml:space="preserve"> </w:t>
      </w:r>
      <w:r>
        <w:rPr>
          <w:sz w:val="24"/>
          <w:szCs w:val="24"/>
        </w:rPr>
        <w:t>ремонта,</w:t>
      </w:r>
      <w:r>
        <w:rPr>
          <w:spacing w:val="17"/>
          <w:sz w:val="24"/>
          <w:szCs w:val="24"/>
        </w:rPr>
        <w:t xml:space="preserve"> </w:t>
      </w:r>
      <w:r>
        <w:rPr>
          <w:sz w:val="24"/>
          <w:szCs w:val="24"/>
        </w:rPr>
        <w:t>а</w:t>
      </w:r>
      <w:r>
        <w:rPr>
          <w:spacing w:val="20"/>
          <w:sz w:val="24"/>
          <w:szCs w:val="24"/>
        </w:rPr>
        <w:t xml:space="preserve"> </w:t>
      </w:r>
      <w:r>
        <w:rPr>
          <w:sz w:val="24"/>
          <w:szCs w:val="24"/>
        </w:rPr>
        <w:t>также</w:t>
      </w:r>
      <w:r>
        <w:rPr>
          <w:spacing w:val="20"/>
          <w:sz w:val="24"/>
          <w:szCs w:val="24"/>
        </w:rPr>
        <w:t xml:space="preserve"> </w:t>
      </w:r>
      <w:r>
        <w:rPr>
          <w:sz w:val="24"/>
          <w:szCs w:val="24"/>
        </w:rPr>
        <w:t>приёмка</w:t>
      </w:r>
      <w:r>
        <w:rPr>
          <w:spacing w:val="18"/>
          <w:sz w:val="24"/>
          <w:szCs w:val="24"/>
        </w:rPr>
        <w:t xml:space="preserve"> </w:t>
      </w:r>
      <w:r>
        <w:rPr>
          <w:sz w:val="24"/>
          <w:szCs w:val="24"/>
        </w:rPr>
        <w:t>и</w:t>
      </w:r>
      <w:r>
        <w:rPr>
          <w:spacing w:val="67"/>
          <w:sz w:val="24"/>
          <w:szCs w:val="24"/>
        </w:rPr>
        <w:t xml:space="preserve"> </w:t>
      </w:r>
      <w:r>
        <w:rPr>
          <w:sz w:val="24"/>
          <w:szCs w:val="24"/>
        </w:rPr>
        <w:t>оценка</w:t>
      </w:r>
      <w:r>
        <w:rPr>
          <w:spacing w:val="53"/>
          <w:sz w:val="24"/>
          <w:szCs w:val="24"/>
        </w:rPr>
        <w:t xml:space="preserve"> </w:t>
      </w:r>
      <w:r>
        <w:rPr>
          <w:sz w:val="24"/>
          <w:szCs w:val="24"/>
        </w:rPr>
        <w:t>качества</w:t>
      </w:r>
      <w:r>
        <w:rPr>
          <w:spacing w:val="56"/>
          <w:sz w:val="24"/>
          <w:szCs w:val="24"/>
        </w:rPr>
        <w:t xml:space="preserve"> </w:t>
      </w:r>
      <w:r>
        <w:rPr>
          <w:sz w:val="24"/>
          <w:szCs w:val="24"/>
        </w:rPr>
        <w:t>ремонта</w:t>
      </w:r>
      <w:r>
        <w:rPr>
          <w:spacing w:val="54"/>
          <w:sz w:val="24"/>
          <w:szCs w:val="24"/>
        </w:rPr>
        <w:t xml:space="preserve"> </w:t>
      </w:r>
      <w:r>
        <w:rPr>
          <w:sz w:val="24"/>
          <w:szCs w:val="24"/>
        </w:rPr>
        <w:t>тепловых</w:t>
      </w:r>
      <w:r>
        <w:rPr>
          <w:spacing w:val="52"/>
          <w:sz w:val="24"/>
          <w:szCs w:val="24"/>
        </w:rPr>
        <w:t xml:space="preserve"> </w:t>
      </w:r>
      <w:r>
        <w:rPr>
          <w:spacing w:val="-4"/>
          <w:sz w:val="24"/>
          <w:szCs w:val="24"/>
        </w:rPr>
        <w:t>сетей</w:t>
      </w:r>
      <w:r>
        <w:rPr>
          <w:spacing w:val="53"/>
          <w:sz w:val="24"/>
          <w:szCs w:val="24"/>
        </w:rPr>
        <w:t xml:space="preserve"> </w:t>
      </w:r>
      <w:r>
        <w:rPr>
          <w:sz w:val="24"/>
          <w:szCs w:val="24"/>
        </w:rPr>
        <w:t>осуществляются</w:t>
      </w:r>
      <w:r>
        <w:rPr>
          <w:spacing w:val="55"/>
          <w:sz w:val="24"/>
          <w:szCs w:val="24"/>
        </w:rPr>
        <w:t xml:space="preserve"> </w:t>
      </w:r>
      <w:r>
        <w:rPr>
          <w:sz w:val="24"/>
          <w:szCs w:val="24"/>
        </w:rPr>
        <w:t>в</w:t>
      </w:r>
      <w:r>
        <w:rPr>
          <w:spacing w:val="55"/>
          <w:sz w:val="24"/>
          <w:szCs w:val="24"/>
        </w:rPr>
        <w:t xml:space="preserve"> </w:t>
      </w:r>
      <w:r>
        <w:rPr>
          <w:spacing w:val="-6"/>
          <w:sz w:val="24"/>
          <w:szCs w:val="24"/>
        </w:rPr>
        <w:t>соответствии</w:t>
      </w:r>
      <w:r>
        <w:rPr>
          <w:spacing w:val="54"/>
          <w:sz w:val="24"/>
          <w:szCs w:val="24"/>
        </w:rPr>
        <w:t xml:space="preserve"> </w:t>
      </w:r>
      <w:r>
        <w:rPr>
          <w:sz w:val="24"/>
          <w:szCs w:val="24"/>
        </w:rPr>
        <w:t>с</w:t>
      </w:r>
      <w:r>
        <w:rPr>
          <w:spacing w:val="55"/>
          <w:sz w:val="24"/>
          <w:szCs w:val="24"/>
        </w:rPr>
        <w:t xml:space="preserve"> </w:t>
      </w:r>
      <w:r>
        <w:rPr>
          <w:sz w:val="24"/>
          <w:szCs w:val="24"/>
        </w:rPr>
        <w:t>нормативно-технической</w:t>
      </w:r>
      <w:r>
        <w:rPr>
          <w:spacing w:val="-9"/>
          <w:sz w:val="24"/>
          <w:szCs w:val="24"/>
        </w:rPr>
        <w:t xml:space="preserve"> </w:t>
      </w:r>
      <w:r>
        <w:rPr>
          <w:sz w:val="24"/>
          <w:szCs w:val="24"/>
        </w:rPr>
        <w:t>документацией,</w:t>
      </w:r>
      <w:r>
        <w:rPr>
          <w:spacing w:val="-9"/>
          <w:sz w:val="24"/>
          <w:szCs w:val="24"/>
        </w:rPr>
        <w:t xml:space="preserve"> </w:t>
      </w:r>
      <w:r>
        <w:rPr>
          <w:sz w:val="24"/>
          <w:szCs w:val="24"/>
        </w:rPr>
        <w:t>разработанной</w:t>
      </w:r>
      <w:r>
        <w:rPr>
          <w:spacing w:val="-9"/>
          <w:sz w:val="24"/>
          <w:szCs w:val="24"/>
        </w:rPr>
        <w:t xml:space="preserve"> </w:t>
      </w:r>
      <w:r>
        <w:rPr>
          <w:sz w:val="24"/>
          <w:szCs w:val="24"/>
        </w:rPr>
        <w:t>в</w:t>
      </w:r>
      <w:r>
        <w:rPr>
          <w:spacing w:val="-7"/>
          <w:sz w:val="24"/>
          <w:szCs w:val="24"/>
        </w:rPr>
        <w:t xml:space="preserve"> </w:t>
      </w:r>
      <w:r>
        <w:rPr>
          <w:sz w:val="24"/>
          <w:szCs w:val="24"/>
        </w:rPr>
        <w:t>организации</w:t>
      </w:r>
      <w:r>
        <w:rPr>
          <w:spacing w:val="-7"/>
          <w:sz w:val="24"/>
          <w:szCs w:val="24"/>
        </w:rPr>
        <w:t xml:space="preserve"> </w:t>
      </w:r>
      <w:r>
        <w:rPr>
          <w:spacing w:val="-3"/>
          <w:sz w:val="24"/>
          <w:szCs w:val="24"/>
        </w:rPr>
        <w:t>на</w:t>
      </w:r>
      <w:r>
        <w:rPr>
          <w:spacing w:val="-9"/>
          <w:sz w:val="24"/>
          <w:szCs w:val="24"/>
        </w:rPr>
        <w:t xml:space="preserve"> </w:t>
      </w:r>
      <w:r>
        <w:rPr>
          <w:sz w:val="24"/>
          <w:szCs w:val="24"/>
        </w:rPr>
        <w:t>основании</w:t>
      </w:r>
      <w:r>
        <w:rPr>
          <w:spacing w:val="-9"/>
          <w:sz w:val="24"/>
          <w:szCs w:val="24"/>
        </w:rPr>
        <w:t xml:space="preserve"> </w:t>
      </w:r>
      <w:r>
        <w:rPr>
          <w:sz w:val="24"/>
          <w:szCs w:val="24"/>
        </w:rPr>
        <w:t>настоящих</w:t>
      </w:r>
      <w:r>
        <w:rPr>
          <w:spacing w:val="-10"/>
          <w:sz w:val="24"/>
          <w:szCs w:val="24"/>
        </w:rPr>
        <w:t xml:space="preserve"> </w:t>
      </w:r>
      <w:r>
        <w:rPr>
          <w:sz w:val="24"/>
          <w:szCs w:val="24"/>
        </w:rPr>
        <w:t>Правил</w:t>
      </w:r>
      <w:r>
        <w:rPr>
          <w:spacing w:val="-10"/>
          <w:sz w:val="24"/>
          <w:szCs w:val="24"/>
        </w:rPr>
        <w:t xml:space="preserve"> </w:t>
      </w:r>
      <w:r>
        <w:rPr>
          <w:sz w:val="24"/>
          <w:szCs w:val="24"/>
        </w:rPr>
        <w:t>и</w:t>
      </w:r>
      <w:r>
        <w:rPr>
          <w:spacing w:val="29"/>
          <w:sz w:val="24"/>
          <w:szCs w:val="24"/>
        </w:rPr>
        <w:t xml:space="preserve"> </w:t>
      </w:r>
      <w:r>
        <w:rPr>
          <w:sz w:val="24"/>
          <w:szCs w:val="24"/>
        </w:rPr>
        <w:t>требований</w:t>
      </w:r>
      <w:r>
        <w:rPr>
          <w:spacing w:val="-12"/>
          <w:sz w:val="24"/>
          <w:szCs w:val="24"/>
        </w:rPr>
        <w:t xml:space="preserve"> </w:t>
      </w:r>
      <w:r>
        <w:rPr>
          <w:spacing w:val="-6"/>
          <w:sz w:val="24"/>
          <w:szCs w:val="24"/>
        </w:rPr>
        <w:t>заводов-изготовителей.</w:t>
      </w:r>
    </w:p>
    <w:p w14:paraId="40060464">
      <w:pPr>
        <w:spacing w:after="0" w:line="240" w:lineRule="auto"/>
        <w:contextualSpacing/>
        <w:jc w:val="both"/>
        <w:rPr>
          <w:sz w:val="24"/>
          <w:szCs w:val="24"/>
        </w:rPr>
      </w:pPr>
      <w:r>
        <w:rPr>
          <w:sz w:val="24"/>
          <w:szCs w:val="24"/>
        </w:rPr>
        <w:t>Периодичность и</w:t>
      </w:r>
      <w:r>
        <w:rPr>
          <w:spacing w:val="-2"/>
          <w:sz w:val="24"/>
          <w:szCs w:val="24"/>
        </w:rPr>
        <w:t xml:space="preserve"> </w:t>
      </w:r>
      <w:r>
        <w:rPr>
          <w:spacing w:val="-6"/>
          <w:sz w:val="24"/>
          <w:szCs w:val="24"/>
        </w:rPr>
        <w:t>продолжительность</w:t>
      </w:r>
      <w:r>
        <w:rPr>
          <w:spacing w:val="-3"/>
          <w:sz w:val="24"/>
          <w:szCs w:val="24"/>
        </w:rPr>
        <w:t xml:space="preserve"> </w:t>
      </w:r>
      <w:r>
        <w:rPr>
          <w:sz w:val="24"/>
          <w:szCs w:val="24"/>
        </w:rPr>
        <w:t>всех видов</w:t>
      </w:r>
      <w:r>
        <w:rPr>
          <w:spacing w:val="-3"/>
          <w:sz w:val="24"/>
          <w:szCs w:val="24"/>
        </w:rPr>
        <w:t xml:space="preserve"> </w:t>
      </w:r>
      <w:r>
        <w:rPr>
          <w:sz w:val="24"/>
          <w:szCs w:val="24"/>
        </w:rPr>
        <w:t>ремонта</w:t>
      </w:r>
      <w:r>
        <w:rPr>
          <w:spacing w:val="-2"/>
          <w:sz w:val="24"/>
          <w:szCs w:val="24"/>
        </w:rPr>
        <w:t xml:space="preserve"> </w:t>
      </w:r>
      <w:r>
        <w:rPr>
          <w:spacing w:val="-6"/>
          <w:sz w:val="24"/>
          <w:szCs w:val="24"/>
        </w:rPr>
        <w:t>устанавливается</w:t>
      </w:r>
      <w:r>
        <w:rPr>
          <w:spacing w:val="-3"/>
          <w:sz w:val="24"/>
          <w:szCs w:val="24"/>
        </w:rPr>
        <w:t xml:space="preserve"> </w:t>
      </w:r>
      <w:r>
        <w:rPr>
          <w:sz w:val="24"/>
          <w:szCs w:val="24"/>
        </w:rPr>
        <w:t>нормативно-техническими</w:t>
      </w:r>
      <w:r>
        <w:rPr>
          <w:spacing w:val="-9"/>
          <w:sz w:val="24"/>
          <w:szCs w:val="24"/>
        </w:rPr>
        <w:t xml:space="preserve"> </w:t>
      </w:r>
      <w:r>
        <w:rPr>
          <w:sz w:val="24"/>
          <w:szCs w:val="24"/>
        </w:rPr>
        <w:t>документами</w:t>
      </w:r>
      <w:r>
        <w:rPr>
          <w:spacing w:val="-12"/>
          <w:sz w:val="24"/>
          <w:szCs w:val="24"/>
        </w:rPr>
        <w:t xml:space="preserve"> </w:t>
      </w:r>
      <w:r>
        <w:rPr>
          <w:spacing w:val="-3"/>
          <w:sz w:val="24"/>
          <w:szCs w:val="24"/>
        </w:rPr>
        <w:t>на</w:t>
      </w:r>
      <w:r>
        <w:rPr>
          <w:spacing w:val="-11"/>
          <w:sz w:val="24"/>
          <w:szCs w:val="24"/>
        </w:rPr>
        <w:t xml:space="preserve"> </w:t>
      </w:r>
      <w:r>
        <w:rPr>
          <w:sz w:val="24"/>
          <w:szCs w:val="24"/>
        </w:rPr>
        <w:t>ремонт</w:t>
      </w:r>
      <w:r>
        <w:rPr>
          <w:spacing w:val="-9"/>
          <w:sz w:val="24"/>
          <w:szCs w:val="24"/>
        </w:rPr>
        <w:t xml:space="preserve"> </w:t>
      </w:r>
      <w:r>
        <w:rPr>
          <w:spacing w:val="-6"/>
          <w:sz w:val="24"/>
          <w:szCs w:val="24"/>
        </w:rPr>
        <w:t>данного</w:t>
      </w:r>
      <w:r>
        <w:rPr>
          <w:spacing w:val="-9"/>
          <w:sz w:val="24"/>
          <w:szCs w:val="24"/>
        </w:rPr>
        <w:t xml:space="preserve"> </w:t>
      </w:r>
      <w:r>
        <w:rPr>
          <w:sz w:val="24"/>
          <w:szCs w:val="24"/>
        </w:rPr>
        <w:t>вида</w:t>
      </w:r>
      <w:r>
        <w:rPr>
          <w:spacing w:val="-9"/>
          <w:sz w:val="24"/>
          <w:szCs w:val="24"/>
        </w:rPr>
        <w:t xml:space="preserve"> </w:t>
      </w:r>
      <w:r>
        <w:rPr>
          <w:sz w:val="24"/>
          <w:szCs w:val="24"/>
        </w:rPr>
        <w:t>оборудования.</w:t>
      </w:r>
    </w:p>
    <w:p w14:paraId="5D69BB81">
      <w:pPr>
        <w:spacing w:after="0" w:line="240" w:lineRule="auto"/>
        <w:contextualSpacing/>
        <w:jc w:val="both"/>
        <w:rPr>
          <w:sz w:val="24"/>
          <w:szCs w:val="24"/>
        </w:rPr>
      </w:pPr>
      <w:r>
        <w:rPr>
          <w:sz w:val="24"/>
          <w:szCs w:val="24"/>
        </w:rPr>
        <w:t>Система</w:t>
      </w:r>
      <w:r>
        <w:rPr>
          <w:spacing w:val="20"/>
          <w:sz w:val="24"/>
          <w:szCs w:val="24"/>
        </w:rPr>
        <w:t xml:space="preserve"> </w:t>
      </w:r>
      <w:r>
        <w:rPr>
          <w:sz w:val="24"/>
          <w:szCs w:val="24"/>
        </w:rPr>
        <w:t>технического</w:t>
      </w:r>
      <w:r>
        <w:rPr>
          <w:spacing w:val="18"/>
          <w:sz w:val="24"/>
          <w:szCs w:val="24"/>
        </w:rPr>
        <w:t xml:space="preserve"> </w:t>
      </w:r>
      <w:r>
        <w:rPr>
          <w:sz w:val="24"/>
          <w:szCs w:val="24"/>
        </w:rPr>
        <w:t>обслуживания</w:t>
      </w:r>
      <w:r>
        <w:rPr>
          <w:spacing w:val="18"/>
          <w:sz w:val="24"/>
          <w:szCs w:val="24"/>
        </w:rPr>
        <w:t xml:space="preserve"> </w:t>
      </w:r>
      <w:r>
        <w:rPr>
          <w:sz w:val="24"/>
          <w:szCs w:val="24"/>
        </w:rPr>
        <w:t>и</w:t>
      </w:r>
      <w:r>
        <w:rPr>
          <w:spacing w:val="19"/>
          <w:sz w:val="24"/>
          <w:szCs w:val="24"/>
        </w:rPr>
        <w:t xml:space="preserve"> </w:t>
      </w:r>
      <w:r>
        <w:rPr>
          <w:sz w:val="24"/>
          <w:szCs w:val="24"/>
        </w:rPr>
        <w:t>ремонта</w:t>
      </w:r>
      <w:r>
        <w:rPr>
          <w:spacing w:val="20"/>
          <w:sz w:val="24"/>
          <w:szCs w:val="24"/>
        </w:rPr>
        <w:t xml:space="preserve"> </w:t>
      </w:r>
      <w:r>
        <w:rPr>
          <w:sz w:val="24"/>
          <w:szCs w:val="24"/>
        </w:rPr>
        <w:t>носит</w:t>
      </w:r>
      <w:r>
        <w:rPr>
          <w:spacing w:val="17"/>
          <w:sz w:val="24"/>
          <w:szCs w:val="24"/>
        </w:rPr>
        <w:t xml:space="preserve"> </w:t>
      </w:r>
      <w:r>
        <w:rPr>
          <w:spacing w:val="-6"/>
          <w:sz w:val="24"/>
          <w:szCs w:val="24"/>
        </w:rPr>
        <w:t>планово-предупредительный</w:t>
      </w:r>
      <w:r>
        <w:rPr>
          <w:spacing w:val="17"/>
          <w:sz w:val="24"/>
          <w:szCs w:val="24"/>
        </w:rPr>
        <w:t xml:space="preserve"> </w:t>
      </w:r>
      <w:r>
        <w:rPr>
          <w:sz w:val="24"/>
          <w:szCs w:val="24"/>
        </w:rPr>
        <w:t>характер.</w:t>
      </w:r>
      <w:r>
        <w:rPr>
          <w:spacing w:val="7"/>
          <w:sz w:val="24"/>
          <w:szCs w:val="24"/>
        </w:rPr>
        <w:t xml:space="preserve"> </w:t>
      </w:r>
      <w:r>
        <w:rPr>
          <w:spacing w:val="-3"/>
          <w:sz w:val="24"/>
          <w:szCs w:val="24"/>
        </w:rPr>
        <w:t>На</w:t>
      </w:r>
      <w:r>
        <w:rPr>
          <w:spacing w:val="8"/>
          <w:sz w:val="24"/>
          <w:szCs w:val="24"/>
        </w:rPr>
        <w:t xml:space="preserve"> </w:t>
      </w:r>
      <w:r>
        <w:rPr>
          <w:spacing w:val="-4"/>
          <w:sz w:val="24"/>
          <w:szCs w:val="24"/>
        </w:rPr>
        <w:t>все</w:t>
      </w:r>
      <w:r>
        <w:rPr>
          <w:spacing w:val="8"/>
          <w:sz w:val="24"/>
          <w:szCs w:val="24"/>
        </w:rPr>
        <w:t xml:space="preserve"> </w:t>
      </w:r>
      <w:r>
        <w:rPr>
          <w:sz w:val="24"/>
          <w:szCs w:val="24"/>
        </w:rPr>
        <w:t>виды</w:t>
      </w:r>
      <w:r>
        <w:rPr>
          <w:spacing w:val="7"/>
          <w:sz w:val="24"/>
          <w:szCs w:val="24"/>
        </w:rPr>
        <w:t xml:space="preserve"> </w:t>
      </w:r>
      <w:r>
        <w:rPr>
          <w:sz w:val="24"/>
          <w:szCs w:val="24"/>
        </w:rPr>
        <w:t>оборудования</w:t>
      </w:r>
      <w:r>
        <w:rPr>
          <w:spacing w:val="6"/>
          <w:sz w:val="24"/>
          <w:szCs w:val="24"/>
        </w:rPr>
        <w:t xml:space="preserve"> </w:t>
      </w:r>
      <w:r>
        <w:rPr>
          <w:sz w:val="24"/>
          <w:szCs w:val="24"/>
        </w:rPr>
        <w:t>составляются</w:t>
      </w:r>
      <w:r>
        <w:rPr>
          <w:spacing w:val="6"/>
          <w:sz w:val="24"/>
          <w:szCs w:val="24"/>
        </w:rPr>
        <w:t xml:space="preserve"> </w:t>
      </w:r>
      <w:r>
        <w:rPr>
          <w:sz w:val="24"/>
          <w:szCs w:val="24"/>
        </w:rPr>
        <w:t>годовые</w:t>
      </w:r>
      <w:r>
        <w:rPr>
          <w:spacing w:val="8"/>
          <w:sz w:val="24"/>
          <w:szCs w:val="24"/>
        </w:rPr>
        <w:t xml:space="preserve"> </w:t>
      </w:r>
      <w:r>
        <w:rPr>
          <w:sz w:val="24"/>
          <w:szCs w:val="24"/>
        </w:rPr>
        <w:t>планы</w:t>
      </w:r>
      <w:r>
        <w:rPr>
          <w:spacing w:val="7"/>
          <w:sz w:val="24"/>
          <w:szCs w:val="24"/>
        </w:rPr>
        <w:t xml:space="preserve"> </w:t>
      </w:r>
      <w:r>
        <w:rPr>
          <w:sz w:val="24"/>
          <w:szCs w:val="24"/>
        </w:rPr>
        <w:t>(графики)</w:t>
      </w:r>
      <w:r>
        <w:rPr>
          <w:spacing w:val="6"/>
          <w:sz w:val="24"/>
          <w:szCs w:val="24"/>
        </w:rPr>
        <w:t xml:space="preserve"> </w:t>
      </w:r>
      <w:r>
        <w:rPr>
          <w:sz w:val="24"/>
          <w:szCs w:val="24"/>
        </w:rPr>
        <w:t>ремонтов,</w:t>
      </w:r>
      <w:r>
        <w:rPr>
          <w:spacing w:val="7"/>
          <w:sz w:val="24"/>
          <w:szCs w:val="24"/>
        </w:rPr>
        <w:t xml:space="preserve"> </w:t>
      </w:r>
      <w:r>
        <w:rPr>
          <w:sz w:val="24"/>
          <w:szCs w:val="24"/>
        </w:rPr>
        <w:t>утверждаемые</w:t>
      </w:r>
      <w:r>
        <w:rPr>
          <w:spacing w:val="-11"/>
          <w:sz w:val="24"/>
          <w:szCs w:val="24"/>
        </w:rPr>
        <w:t xml:space="preserve"> </w:t>
      </w:r>
      <w:r>
        <w:rPr>
          <w:sz w:val="24"/>
          <w:szCs w:val="24"/>
        </w:rPr>
        <w:t>руководителем</w:t>
      </w:r>
      <w:r>
        <w:rPr>
          <w:spacing w:val="-12"/>
          <w:sz w:val="24"/>
          <w:szCs w:val="24"/>
        </w:rPr>
        <w:t xml:space="preserve"> </w:t>
      </w:r>
      <w:r>
        <w:rPr>
          <w:sz w:val="24"/>
          <w:szCs w:val="24"/>
        </w:rPr>
        <w:t>организации.</w:t>
      </w:r>
    </w:p>
    <w:p w14:paraId="0406C7D3">
      <w:pPr>
        <w:spacing w:after="0" w:line="240" w:lineRule="auto"/>
        <w:contextualSpacing/>
        <w:jc w:val="both"/>
        <w:rPr>
          <w:spacing w:val="-6"/>
          <w:sz w:val="24"/>
          <w:szCs w:val="24"/>
        </w:rPr>
      </w:pPr>
      <w:r>
        <w:rPr>
          <w:sz w:val="24"/>
          <w:szCs w:val="24"/>
        </w:rPr>
        <w:t>Ремонт</w:t>
      </w:r>
      <w:r>
        <w:rPr>
          <w:spacing w:val="24"/>
          <w:sz w:val="24"/>
          <w:szCs w:val="24"/>
        </w:rPr>
        <w:t xml:space="preserve"> </w:t>
      </w:r>
      <w:r>
        <w:rPr>
          <w:sz w:val="24"/>
          <w:szCs w:val="24"/>
        </w:rPr>
        <w:t>тепловых</w:t>
      </w:r>
      <w:r>
        <w:rPr>
          <w:spacing w:val="21"/>
          <w:sz w:val="24"/>
          <w:szCs w:val="24"/>
        </w:rPr>
        <w:t xml:space="preserve"> </w:t>
      </w:r>
      <w:r>
        <w:rPr>
          <w:spacing w:val="-4"/>
          <w:sz w:val="24"/>
          <w:szCs w:val="24"/>
        </w:rPr>
        <w:t>сетей</w:t>
      </w:r>
      <w:r>
        <w:rPr>
          <w:spacing w:val="24"/>
          <w:sz w:val="24"/>
          <w:szCs w:val="24"/>
        </w:rPr>
        <w:t xml:space="preserve"> </w:t>
      </w:r>
      <w:r>
        <w:rPr>
          <w:sz w:val="24"/>
          <w:szCs w:val="24"/>
        </w:rPr>
        <w:t>производится</w:t>
      </w:r>
      <w:r>
        <w:rPr>
          <w:spacing w:val="23"/>
          <w:sz w:val="24"/>
          <w:szCs w:val="24"/>
        </w:rPr>
        <w:t xml:space="preserve"> </w:t>
      </w:r>
      <w:r>
        <w:rPr>
          <w:sz w:val="24"/>
          <w:szCs w:val="24"/>
        </w:rPr>
        <w:t>в</w:t>
      </w:r>
      <w:r>
        <w:rPr>
          <w:spacing w:val="24"/>
          <w:sz w:val="24"/>
          <w:szCs w:val="24"/>
        </w:rPr>
        <w:t xml:space="preserve"> </w:t>
      </w:r>
      <w:r>
        <w:rPr>
          <w:sz w:val="24"/>
          <w:szCs w:val="24"/>
        </w:rPr>
        <w:t>соответствии</w:t>
      </w:r>
      <w:r>
        <w:rPr>
          <w:spacing w:val="24"/>
          <w:sz w:val="24"/>
          <w:szCs w:val="24"/>
        </w:rPr>
        <w:t xml:space="preserve"> </w:t>
      </w:r>
      <w:r>
        <w:rPr>
          <w:sz w:val="24"/>
          <w:szCs w:val="24"/>
        </w:rPr>
        <w:t>с</w:t>
      </w:r>
      <w:r>
        <w:rPr>
          <w:spacing w:val="24"/>
          <w:sz w:val="24"/>
          <w:szCs w:val="24"/>
        </w:rPr>
        <w:t xml:space="preserve"> </w:t>
      </w:r>
      <w:r>
        <w:rPr>
          <w:spacing w:val="-6"/>
          <w:sz w:val="24"/>
          <w:szCs w:val="24"/>
        </w:rPr>
        <w:t>утверждённым</w:t>
      </w:r>
      <w:r>
        <w:rPr>
          <w:spacing w:val="24"/>
          <w:sz w:val="24"/>
          <w:szCs w:val="24"/>
        </w:rPr>
        <w:t xml:space="preserve"> </w:t>
      </w:r>
      <w:r>
        <w:rPr>
          <w:sz w:val="24"/>
          <w:szCs w:val="24"/>
        </w:rPr>
        <w:t>графиком</w:t>
      </w:r>
      <w:r>
        <w:rPr>
          <w:spacing w:val="24"/>
          <w:sz w:val="24"/>
          <w:szCs w:val="24"/>
        </w:rPr>
        <w:t xml:space="preserve"> </w:t>
      </w:r>
      <w:r>
        <w:rPr>
          <w:spacing w:val="-6"/>
          <w:sz w:val="24"/>
          <w:szCs w:val="24"/>
        </w:rPr>
        <w:t>(пла</w:t>
      </w:r>
      <w:r>
        <w:rPr>
          <w:spacing w:val="-4"/>
          <w:sz w:val="24"/>
          <w:szCs w:val="24"/>
        </w:rPr>
        <w:t>ном)</w:t>
      </w:r>
      <w:r>
        <w:rPr>
          <w:spacing w:val="46"/>
          <w:sz w:val="24"/>
          <w:szCs w:val="24"/>
        </w:rPr>
        <w:t xml:space="preserve"> </w:t>
      </w:r>
      <w:r>
        <w:rPr>
          <w:spacing w:val="-3"/>
          <w:sz w:val="24"/>
          <w:szCs w:val="24"/>
        </w:rPr>
        <w:t>на</w:t>
      </w:r>
      <w:r>
        <w:rPr>
          <w:spacing w:val="47"/>
          <w:sz w:val="24"/>
          <w:szCs w:val="24"/>
        </w:rPr>
        <w:t xml:space="preserve"> </w:t>
      </w:r>
      <w:r>
        <w:rPr>
          <w:sz w:val="24"/>
          <w:szCs w:val="24"/>
        </w:rPr>
        <w:t>основе</w:t>
      </w:r>
      <w:r>
        <w:rPr>
          <w:spacing w:val="47"/>
          <w:sz w:val="24"/>
          <w:szCs w:val="24"/>
        </w:rPr>
        <w:t xml:space="preserve"> </w:t>
      </w:r>
      <w:r>
        <w:rPr>
          <w:sz w:val="24"/>
          <w:szCs w:val="24"/>
        </w:rPr>
        <w:t>результатов</w:t>
      </w:r>
      <w:r>
        <w:rPr>
          <w:spacing w:val="44"/>
          <w:sz w:val="24"/>
          <w:szCs w:val="24"/>
        </w:rPr>
        <w:t xml:space="preserve"> </w:t>
      </w:r>
      <w:r>
        <w:rPr>
          <w:sz w:val="24"/>
          <w:szCs w:val="24"/>
        </w:rPr>
        <w:t>анализа</w:t>
      </w:r>
      <w:r>
        <w:rPr>
          <w:spacing w:val="49"/>
          <w:sz w:val="24"/>
          <w:szCs w:val="24"/>
        </w:rPr>
        <w:t xml:space="preserve"> </w:t>
      </w:r>
      <w:r>
        <w:rPr>
          <w:spacing w:val="-6"/>
          <w:sz w:val="24"/>
          <w:szCs w:val="24"/>
        </w:rPr>
        <w:t>выявленных</w:t>
      </w:r>
      <w:r>
        <w:rPr>
          <w:spacing w:val="46"/>
          <w:sz w:val="24"/>
          <w:szCs w:val="24"/>
        </w:rPr>
        <w:t xml:space="preserve"> </w:t>
      </w:r>
      <w:r>
        <w:rPr>
          <w:sz w:val="24"/>
          <w:szCs w:val="24"/>
        </w:rPr>
        <w:t>дефектов,</w:t>
      </w:r>
      <w:r>
        <w:rPr>
          <w:spacing w:val="46"/>
          <w:sz w:val="24"/>
          <w:szCs w:val="24"/>
        </w:rPr>
        <w:t xml:space="preserve"> </w:t>
      </w:r>
      <w:r>
        <w:rPr>
          <w:sz w:val="24"/>
          <w:szCs w:val="24"/>
        </w:rPr>
        <w:t>повреждений,</w:t>
      </w:r>
      <w:r>
        <w:rPr>
          <w:spacing w:val="45"/>
          <w:sz w:val="24"/>
          <w:szCs w:val="24"/>
        </w:rPr>
        <w:t xml:space="preserve"> </w:t>
      </w:r>
      <w:r>
        <w:rPr>
          <w:sz w:val="24"/>
          <w:szCs w:val="24"/>
        </w:rPr>
        <w:t>периодических</w:t>
      </w:r>
      <w:r>
        <w:rPr>
          <w:spacing w:val="51"/>
          <w:sz w:val="24"/>
          <w:szCs w:val="24"/>
        </w:rPr>
        <w:t xml:space="preserve"> </w:t>
      </w:r>
      <w:r>
        <w:rPr>
          <w:sz w:val="24"/>
          <w:szCs w:val="24"/>
        </w:rPr>
        <w:t>осмотров,</w:t>
      </w:r>
      <w:r>
        <w:rPr>
          <w:spacing w:val="5"/>
          <w:sz w:val="24"/>
          <w:szCs w:val="24"/>
        </w:rPr>
        <w:t xml:space="preserve"> </w:t>
      </w:r>
      <w:r>
        <w:rPr>
          <w:sz w:val="24"/>
          <w:szCs w:val="24"/>
        </w:rPr>
        <w:t>испытаний,</w:t>
      </w:r>
      <w:r>
        <w:rPr>
          <w:spacing w:val="3"/>
          <w:sz w:val="24"/>
          <w:szCs w:val="24"/>
        </w:rPr>
        <w:t xml:space="preserve"> </w:t>
      </w:r>
      <w:r>
        <w:rPr>
          <w:sz w:val="24"/>
          <w:szCs w:val="24"/>
        </w:rPr>
        <w:t>диагностики</w:t>
      </w:r>
      <w:r>
        <w:rPr>
          <w:spacing w:val="2"/>
          <w:sz w:val="24"/>
          <w:szCs w:val="24"/>
        </w:rPr>
        <w:t xml:space="preserve"> </w:t>
      </w:r>
      <w:r>
        <w:rPr>
          <w:sz w:val="24"/>
          <w:szCs w:val="24"/>
        </w:rPr>
        <w:t>и</w:t>
      </w:r>
      <w:r>
        <w:rPr>
          <w:spacing w:val="5"/>
          <w:sz w:val="24"/>
          <w:szCs w:val="24"/>
        </w:rPr>
        <w:t xml:space="preserve"> </w:t>
      </w:r>
      <w:r>
        <w:rPr>
          <w:sz w:val="24"/>
          <w:szCs w:val="24"/>
        </w:rPr>
        <w:t>ежегодных</w:t>
      </w:r>
      <w:r>
        <w:rPr>
          <w:spacing w:val="2"/>
          <w:sz w:val="24"/>
          <w:szCs w:val="24"/>
        </w:rPr>
        <w:t xml:space="preserve"> </w:t>
      </w:r>
      <w:r>
        <w:rPr>
          <w:sz w:val="24"/>
          <w:szCs w:val="24"/>
        </w:rPr>
        <w:t>испытаний</w:t>
      </w:r>
      <w:r>
        <w:rPr>
          <w:spacing w:val="5"/>
          <w:sz w:val="24"/>
          <w:szCs w:val="24"/>
        </w:rPr>
        <w:t xml:space="preserve"> </w:t>
      </w:r>
      <w:r>
        <w:rPr>
          <w:spacing w:val="-3"/>
          <w:sz w:val="24"/>
          <w:szCs w:val="24"/>
        </w:rPr>
        <w:t>на</w:t>
      </w:r>
      <w:r>
        <w:rPr>
          <w:spacing w:val="6"/>
          <w:sz w:val="24"/>
          <w:szCs w:val="24"/>
        </w:rPr>
        <w:t xml:space="preserve"> </w:t>
      </w:r>
      <w:r>
        <w:rPr>
          <w:sz w:val="24"/>
          <w:szCs w:val="24"/>
        </w:rPr>
        <w:t>прочность</w:t>
      </w:r>
      <w:r>
        <w:rPr>
          <w:spacing w:val="4"/>
          <w:sz w:val="24"/>
          <w:szCs w:val="24"/>
        </w:rPr>
        <w:t xml:space="preserve"> </w:t>
      </w:r>
      <w:r>
        <w:rPr>
          <w:sz w:val="24"/>
          <w:szCs w:val="24"/>
        </w:rPr>
        <w:t>и</w:t>
      </w:r>
      <w:r>
        <w:rPr>
          <w:spacing w:val="5"/>
          <w:sz w:val="24"/>
          <w:szCs w:val="24"/>
        </w:rPr>
        <w:t xml:space="preserve"> </w:t>
      </w:r>
      <w:r>
        <w:rPr>
          <w:sz w:val="24"/>
          <w:szCs w:val="24"/>
        </w:rPr>
        <w:t>плотность.</w:t>
      </w:r>
      <w:r>
        <w:rPr>
          <w:spacing w:val="3"/>
          <w:sz w:val="24"/>
          <w:szCs w:val="24"/>
        </w:rPr>
        <w:t xml:space="preserve"> </w:t>
      </w:r>
      <w:r>
        <w:rPr>
          <w:sz w:val="24"/>
          <w:szCs w:val="24"/>
        </w:rPr>
        <w:t>Объём</w:t>
      </w:r>
      <w:r>
        <w:rPr>
          <w:spacing w:val="31"/>
          <w:sz w:val="24"/>
          <w:szCs w:val="24"/>
        </w:rPr>
        <w:t xml:space="preserve"> </w:t>
      </w:r>
      <w:r>
        <w:rPr>
          <w:sz w:val="24"/>
          <w:szCs w:val="24"/>
        </w:rPr>
        <w:t>технического</w:t>
      </w:r>
      <w:r>
        <w:rPr>
          <w:spacing w:val="15"/>
          <w:sz w:val="24"/>
          <w:szCs w:val="24"/>
        </w:rPr>
        <w:t xml:space="preserve"> </w:t>
      </w:r>
      <w:r>
        <w:rPr>
          <w:sz w:val="24"/>
          <w:szCs w:val="24"/>
        </w:rPr>
        <w:t>обслуживания</w:t>
      </w:r>
      <w:r>
        <w:rPr>
          <w:spacing w:val="16"/>
          <w:sz w:val="24"/>
          <w:szCs w:val="24"/>
        </w:rPr>
        <w:t xml:space="preserve"> </w:t>
      </w:r>
      <w:r>
        <w:rPr>
          <w:sz w:val="24"/>
          <w:szCs w:val="24"/>
        </w:rPr>
        <w:t>и</w:t>
      </w:r>
      <w:r>
        <w:rPr>
          <w:spacing w:val="14"/>
          <w:sz w:val="24"/>
          <w:szCs w:val="24"/>
        </w:rPr>
        <w:t xml:space="preserve"> </w:t>
      </w:r>
      <w:r>
        <w:rPr>
          <w:sz w:val="24"/>
          <w:szCs w:val="24"/>
        </w:rPr>
        <w:t>ремонта</w:t>
      </w:r>
      <w:r>
        <w:rPr>
          <w:spacing w:val="15"/>
          <w:sz w:val="24"/>
          <w:szCs w:val="24"/>
        </w:rPr>
        <w:t xml:space="preserve"> </w:t>
      </w:r>
      <w:r>
        <w:rPr>
          <w:sz w:val="24"/>
          <w:szCs w:val="24"/>
        </w:rPr>
        <w:t>определяется</w:t>
      </w:r>
      <w:r>
        <w:rPr>
          <w:spacing w:val="16"/>
          <w:sz w:val="24"/>
          <w:szCs w:val="24"/>
        </w:rPr>
        <w:t xml:space="preserve"> </w:t>
      </w:r>
      <w:r>
        <w:rPr>
          <w:spacing w:val="-6"/>
          <w:sz w:val="24"/>
          <w:szCs w:val="24"/>
        </w:rPr>
        <w:t>необходимостью</w:t>
      </w:r>
      <w:r>
        <w:rPr>
          <w:spacing w:val="17"/>
          <w:sz w:val="24"/>
          <w:szCs w:val="24"/>
        </w:rPr>
        <w:t xml:space="preserve"> </w:t>
      </w:r>
      <w:r>
        <w:rPr>
          <w:sz w:val="24"/>
          <w:szCs w:val="24"/>
        </w:rPr>
        <w:t>поддержания</w:t>
      </w:r>
      <w:r>
        <w:rPr>
          <w:spacing w:val="14"/>
          <w:sz w:val="24"/>
          <w:szCs w:val="24"/>
        </w:rPr>
        <w:t xml:space="preserve"> </w:t>
      </w:r>
      <w:r>
        <w:rPr>
          <w:spacing w:val="-6"/>
          <w:sz w:val="24"/>
          <w:szCs w:val="24"/>
        </w:rPr>
        <w:t>исправ</w:t>
      </w:r>
      <w:r>
        <w:rPr>
          <w:spacing w:val="-4"/>
          <w:sz w:val="24"/>
          <w:szCs w:val="24"/>
        </w:rPr>
        <w:t>ного,</w:t>
      </w:r>
      <w:r>
        <w:rPr>
          <w:spacing w:val="22"/>
          <w:sz w:val="24"/>
          <w:szCs w:val="24"/>
        </w:rPr>
        <w:t xml:space="preserve"> </w:t>
      </w:r>
      <w:r>
        <w:rPr>
          <w:spacing w:val="-6"/>
          <w:sz w:val="24"/>
          <w:szCs w:val="24"/>
        </w:rPr>
        <w:t>работоспособного</w:t>
      </w:r>
      <w:r>
        <w:rPr>
          <w:spacing w:val="25"/>
          <w:sz w:val="24"/>
          <w:szCs w:val="24"/>
        </w:rPr>
        <w:t xml:space="preserve"> </w:t>
      </w:r>
      <w:r>
        <w:rPr>
          <w:sz w:val="24"/>
          <w:szCs w:val="24"/>
        </w:rPr>
        <w:t>состояния</w:t>
      </w:r>
      <w:r>
        <w:rPr>
          <w:spacing w:val="23"/>
          <w:sz w:val="24"/>
          <w:szCs w:val="24"/>
        </w:rPr>
        <w:t xml:space="preserve"> </w:t>
      </w:r>
      <w:r>
        <w:rPr>
          <w:sz w:val="24"/>
          <w:szCs w:val="24"/>
        </w:rPr>
        <w:t>и</w:t>
      </w:r>
      <w:r>
        <w:rPr>
          <w:spacing w:val="22"/>
          <w:sz w:val="24"/>
          <w:szCs w:val="24"/>
        </w:rPr>
        <w:t xml:space="preserve"> </w:t>
      </w:r>
      <w:r>
        <w:rPr>
          <w:sz w:val="24"/>
          <w:szCs w:val="24"/>
        </w:rPr>
        <w:t>периодического</w:t>
      </w:r>
      <w:r>
        <w:rPr>
          <w:spacing w:val="22"/>
          <w:sz w:val="24"/>
          <w:szCs w:val="24"/>
        </w:rPr>
        <w:t xml:space="preserve"> </w:t>
      </w:r>
      <w:r>
        <w:rPr>
          <w:spacing w:val="-6"/>
          <w:sz w:val="24"/>
          <w:szCs w:val="24"/>
        </w:rPr>
        <w:t>восстановления</w:t>
      </w:r>
      <w:r>
        <w:rPr>
          <w:spacing w:val="23"/>
          <w:sz w:val="24"/>
          <w:szCs w:val="24"/>
        </w:rPr>
        <w:t xml:space="preserve"> </w:t>
      </w:r>
      <w:r>
        <w:rPr>
          <w:sz w:val="24"/>
          <w:szCs w:val="24"/>
        </w:rPr>
        <w:t>тепловых</w:t>
      </w:r>
      <w:r>
        <w:rPr>
          <w:spacing w:val="21"/>
          <w:sz w:val="24"/>
          <w:szCs w:val="24"/>
        </w:rPr>
        <w:t xml:space="preserve"> </w:t>
      </w:r>
      <w:r>
        <w:rPr>
          <w:spacing w:val="-4"/>
          <w:sz w:val="24"/>
          <w:szCs w:val="24"/>
        </w:rPr>
        <w:t>сетей</w:t>
      </w:r>
      <w:r>
        <w:rPr>
          <w:spacing w:val="22"/>
          <w:sz w:val="24"/>
          <w:szCs w:val="24"/>
        </w:rPr>
        <w:t xml:space="preserve"> </w:t>
      </w:r>
      <w:r>
        <w:rPr>
          <w:sz w:val="24"/>
          <w:szCs w:val="24"/>
        </w:rPr>
        <w:t>с</w:t>
      </w:r>
      <w:r>
        <w:rPr>
          <w:spacing w:val="24"/>
          <w:sz w:val="24"/>
          <w:szCs w:val="24"/>
        </w:rPr>
        <w:t xml:space="preserve"> </w:t>
      </w:r>
      <w:r>
        <w:rPr>
          <w:sz w:val="24"/>
          <w:szCs w:val="24"/>
        </w:rPr>
        <w:t>учё</w:t>
      </w:r>
      <w:r>
        <w:rPr>
          <w:spacing w:val="-3"/>
          <w:sz w:val="24"/>
          <w:szCs w:val="24"/>
        </w:rPr>
        <w:t>том</w:t>
      </w:r>
      <w:r>
        <w:rPr>
          <w:spacing w:val="-12"/>
          <w:sz w:val="24"/>
          <w:szCs w:val="24"/>
        </w:rPr>
        <w:t xml:space="preserve"> </w:t>
      </w:r>
      <w:r>
        <w:rPr>
          <w:spacing w:val="-3"/>
          <w:sz w:val="24"/>
          <w:szCs w:val="24"/>
        </w:rPr>
        <w:t>их</w:t>
      </w:r>
      <w:r>
        <w:rPr>
          <w:spacing w:val="-12"/>
          <w:sz w:val="24"/>
          <w:szCs w:val="24"/>
        </w:rPr>
        <w:t xml:space="preserve"> </w:t>
      </w:r>
      <w:r>
        <w:rPr>
          <w:sz w:val="24"/>
          <w:szCs w:val="24"/>
        </w:rPr>
        <w:t>фактического</w:t>
      </w:r>
      <w:r>
        <w:rPr>
          <w:spacing w:val="-11"/>
          <w:sz w:val="24"/>
          <w:szCs w:val="24"/>
        </w:rPr>
        <w:t xml:space="preserve"> </w:t>
      </w:r>
      <w:r>
        <w:rPr>
          <w:sz w:val="24"/>
          <w:szCs w:val="24"/>
        </w:rPr>
        <w:t>технического</w:t>
      </w:r>
      <w:r>
        <w:rPr>
          <w:spacing w:val="-9"/>
          <w:sz w:val="24"/>
          <w:szCs w:val="24"/>
        </w:rPr>
        <w:t xml:space="preserve"> </w:t>
      </w:r>
      <w:r>
        <w:rPr>
          <w:spacing w:val="-6"/>
          <w:sz w:val="24"/>
          <w:szCs w:val="24"/>
        </w:rPr>
        <w:t>состояния.</w:t>
      </w:r>
    </w:p>
    <w:p w14:paraId="009B459E">
      <w:pPr>
        <w:spacing w:after="0" w:line="240" w:lineRule="auto"/>
        <w:contextualSpacing/>
        <w:jc w:val="both"/>
        <w:rPr>
          <w:sz w:val="24"/>
          <w:szCs w:val="24"/>
        </w:rPr>
      </w:pPr>
    </w:p>
    <w:p w14:paraId="6FFA09C6">
      <w:pPr>
        <w:pStyle w:val="4"/>
        <w:spacing w:before="0" w:line="240" w:lineRule="auto"/>
        <w:ind w:left="0" w:firstLine="709"/>
        <w:contextualSpacing/>
        <w:rPr>
          <w:rFonts w:cs="Times New Roman"/>
          <w:b w:val="0"/>
          <w:sz w:val="24"/>
        </w:rPr>
      </w:pPr>
      <w:bookmarkStart w:id="123" w:name="_Toc182813889"/>
      <w:r>
        <w:rPr>
          <w:rFonts w:cs="Times New Roman"/>
          <w:b w:val="0"/>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3"/>
    </w:p>
    <w:p w14:paraId="0ACA7E6C">
      <w:pPr>
        <w:spacing w:after="0" w:line="240" w:lineRule="auto"/>
        <w:contextualSpacing/>
        <w:jc w:val="both"/>
        <w:rPr>
          <w:sz w:val="24"/>
          <w:szCs w:val="24"/>
        </w:rPr>
      </w:pPr>
      <w:r>
        <w:rPr>
          <w:sz w:val="24"/>
          <w:szCs w:val="24"/>
        </w:rPr>
        <w:t>Согласно п.6.82 МДК 4-02.2001 «Типовая инструкция по технической эксплуатации тепловых сетей систем коммунального теплоснабжения»:</w:t>
      </w:r>
    </w:p>
    <w:p w14:paraId="0A331643">
      <w:pPr>
        <w:spacing w:after="0" w:line="240" w:lineRule="auto"/>
        <w:contextualSpacing/>
        <w:jc w:val="both"/>
        <w:rPr>
          <w:sz w:val="24"/>
          <w:szCs w:val="24"/>
        </w:rPr>
      </w:pPr>
      <w:r>
        <w:rPr>
          <w:sz w:val="24"/>
          <w:szCs w:val="24"/>
        </w:rPr>
        <w:t>Тепловые сети, находящиеся в эксплуатации, должны подвергаться следующим испытаниям:</w:t>
      </w:r>
    </w:p>
    <w:p w14:paraId="3C7747B3">
      <w:pPr>
        <w:pStyle w:val="153"/>
        <w:numPr>
          <w:ilvl w:val="1"/>
          <w:numId w:val="34"/>
        </w:numPr>
        <w:tabs>
          <w:tab w:val="left" w:pos="993"/>
        </w:tabs>
        <w:ind w:left="0" w:firstLine="709"/>
        <w:rPr>
          <w:sz w:val="24"/>
        </w:rPr>
      </w:pPr>
      <w:r>
        <w:rPr>
          <w:sz w:val="24"/>
        </w:rPr>
        <w:t>гидравлическим испытаниям с целью проверки прочности и плотности трубопроводов, их элементов и арматуры;</w:t>
      </w:r>
    </w:p>
    <w:p w14:paraId="20FEA65F">
      <w:pPr>
        <w:pStyle w:val="153"/>
        <w:numPr>
          <w:ilvl w:val="1"/>
          <w:numId w:val="34"/>
        </w:numPr>
        <w:tabs>
          <w:tab w:val="left" w:pos="993"/>
        </w:tabs>
        <w:ind w:left="0" w:firstLine="709"/>
        <w:rPr>
          <w:sz w:val="24"/>
        </w:rPr>
      </w:pPr>
      <w:r>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AB50F9B">
      <w:pPr>
        <w:pStyle w:val="153"/>
        <w:numPr>
          <w:ilvl w:val="1"/>
          <w:numId w:val="34"/>
        </w:numPr>
        <w:tabs>
          <w:tab w:val="left" w:pos="993"/>
        </w:tabs>
        <w:ind w:left="0" w:firstLine="709"/>
        <w:rPr>
          <w:sz w:val="24"/>
        </w:rPr>
      </w:pPr>
      <w:r>
        <w:rPr>
          <w:sz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91FF20A">
      <w:pPr>
        <w:pStyle w:val="153"/>
        <w:numPr>
          <w:ilvl w:val="1"/>
          <w:numId w:val="34"/>
        </w:numPr>
        <w:tabs>
          <w:tab w:val="left" w:pos="993"/>
        </w:tabs>
        <w:ind w:left="0" w:firstLine="709"/>
        <w:rPr>
          <w:sz w:val="24"/>
        </w:rPr>
      </w:pPr>
      <w:r>
        <w:rPr>
          <w:sz w:val="24"/>
        </w:rPr>
        <w:t>испытаниям на гидравлические потери для получения гидравлических характеристик трубопроводов;</w:t>
      </w:r>
    </w:p>
    <w:p w14:paraId="43E9A748">
      <w:pPr>
        <w:pStyle w:val="153"/>
        <w:numPr>
          <w:ilvl w:val="1"/>
          <w:numId w:val="34"/>
        </w:numPr>
        <w:tabs>
          <w:tab w:val="left" w:pos="993"/>
        </w:tabs>
        <w:ind w:left="0" w:firstLine="709"/>
        <w:rPr>
          <w:sz w:val="24"/>
        </w:rPr>
      </w:pPr>
      <w:r>
        <w:rPr>
          <w:sz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8276DAD">
      <w:pPr>
        <w:spacing w:after="0" w:line="240" w:lineRule="auto"/>
        <w:contextualSpacing/>
        <w:jc w:val="both"/>
        <w:rPr>
          <w:sz w:val="24"/>
          <w:szCs w:val="24"/>
        </w:rPr>
      </w:pPr>
    </w:p>
    <w:p w14:paraId="2993A510">
      <w:pPr>
        <w:spacing w:after="0" w:line="240" w:lineRule="auto"/>
        <w:contextualSpacing/>
        <w:jc w:val="both"/>
        <w:rPr>
          <w:sz w:val="24"/>
          <w:szCs w:val="24"/>
        </w:rPr>
      </w:pPr>
      <w:r>
        <w:rPr>
          <w:sz w:val="24"/>
          <w:szCs w:val="24"/>
        </w:rPr>
        <w:t>Для снижения температуры воды, поступающей в обратный трубопровод, испытания проводятся с включёнными системами отопления, присоединёнными через смесительные устройства (элеваторы, смесительные насосы) и водоподогреватели, а также с включёнными системами горячего водоснабжения, присоединёнными по закрытой схеме и оборудованными автоматическими регуляторами температуры.</w:t>
      </w:r>
    </w:p>
    <w:p w14:paraId="2B7477AF">
      <w:pPr>
        <w:spacing w:after="0" w:line="240" w:lineRule="auto"/>
        <w:contextualSpacing/>
        <w:jc w:val="both"/>
        <w:rPr>
          <w:sz w:val="24"/>
          <w:szCs w:val="24"/>
        </w:rPr>
      </w:pPr>
      <w:r>
        <w:rPr>
          <w:sz w:val="24"/>
          <w:szCs w:val="24"/>
        </w:rPr>
        <w:t>На время температурных испытаний от тепловой сети должны быть отключены:</w:t>
      </w:r>
    </w:p>
    <w:p w14:paraId="2C7A2BC4">
      <w:pPr>
        <w:pStyle w:val="153"/>
        <w:numPr>
          <w:ilvl w:val="1"/>
          <w:numId w:val="34"/>
        </w:numPr>
        <w:tabs>
          <w:tab w:val="left" w:pos="993"/>
        </w:tabs>
        <w:ind w:left="0" w:firstLine="709"/>
        <w:rPr>
          <w:sz w:val="24"/>
          <w:szCs w:val="24"/>
        </w:rPr>
      </w:pPr>
      <w:r>
        <w:rPr>
          <w:sz w:val="24"/>
          <w:szCs w:val="24"/>
        </w:rPr>
        <w:t>отопительные системы детских и лечебных учреждений;</w:t>
      </w:r>
    </w:p>
    <w:p w14:paraId="3B7E96E1">
      <w:pPr>
        <w:pStyle w:val="153"/>
        <w:numPr>
          <w:ilvl w:val="1"/>
          <w:numId w:val="34"/>
        </w:numPr>
        <w:tabs>
          <w:tab w:val="left" w:pos="993"/>
        </w:tabs>
        <w:ind w:left="0" w:firstLine="709"/>
        <w:rPr>
          <w:sz w:val="24"/>
          <w:szCs w:val="24"/>
        </w:rPr>
      </w:pPr>
      <w:r>
        <w:rPr>
          <w:sz w:val="24"/>
          <w:szCs w:val="24"/>
        </w:rPr>
        <w:t>неавтоматизированные системы горячего водоснабжения, присоединённые по закрытой схеме;</w:t>
      </w:r>
    </w:p>
    <w:p w14:paraId="7EC6F831">
      <w:pPr>
        <w:pStyle w:val="153"/>
        <w:numPr>
          <w:ilvl w:val="1"/>
          <w:numId w:val="34"/>
        </w:numPr>
        <w:tabs>
          <w:tab w:val="left" w:pos="993"/>
        </w:tabs>
        <w:ind w:left="0" w:firstLine="709"/>
        <w:rPr>
          <w:sz w:val="24"/>
          <w:szCs w:val="24"/>
        </w:rPr>
      </w:pPr>
      <w:r>
        <w:rPr>
          <w:sz w:val="24"/>
          <w:szCs w:val="24"/>
        </w:rPr>
        <w:t>системы горячего водоснабжения, присоединённые по открытой схеме;</w:t>
      </w:r>
    </w:p>
    <w:p w14:paraId="65581AB0">
      <w:pPr>
        <w:pStyle w:val="153"/>
        <w:numPr>
          <w:ilvl w:val="1"/>
          <w:numId w:val="34"/>
        </w:numPr>
        <w:tabs>
          <w:tab w:val="left" w:pos="993"/>
        </w:tabs>
        <w:ind w:left="0" w:firstLine="709"/>
        <w:rPr>
          <w:sz w:val="24"/>
          <w:szCs w:val="24"/>
        </w:rPr>
      </w:pPr>
      <w:r>
        <w:rPr>
          <w:sz w:val="24"/>
          <w:szCs w:val="24"/>
        </w:rPr>
        <w:t>отопительные системы с непосредственной схемой присоединения;</w:t>
      </w:r>
    </w:p>
    <w:p w14:paraId="6333479E">
      <w:pPr>
        <w:pStyle w:val="153"/>
        <w:numPr>
          <w:ilvl w:val="1"/>
          <w:numId w:val="34"/>
        </w:numPr>
        <w:tabs>
          <w:tab w:val="left" w:pos="993"/>
        </w:tabs>
        <w:ind w:left="0" w:firstLine="709"/>
        <w:rPr>
          <w:sz w:val="24"/>
          <w:szCs w:val="24"/>
        </w:rPr>
      </w:pPr>
      <w:r>
        <w:rPr>
          <w:sz w:val="24"/>
          <w:szCs w:val="24"/>
        </w:rPr>
        <w:t>калориферные установки.</w:t>
      </w:r>
    </w:p>
    <w:p w14:paraId="20ABDC54">
      <w:pPr>
        <w:spacing w:after="0" w:line="240" w:lineRule="auto"/>
        <w:contextualSpacing/>
        <w:jc w:val="both"/>
        <w:rPr>
          <w:sz w:val="24"/>
          <w:szCs w:val="24"/>
        </w:rPr>
      </w:pPr>
    </w:p>
    <w:p w14:paraId="64E3B81E">
      <w:pPr>
        <w:spacing w:after="0" w:line="240" w:lineRule="auto"/>
        <w:contextualSpacing/>
        <w:jc w:val="both"/>
        <w:rPr>
          <w:sz w:val="24"/>
          <w:szCs w:val="24"/>
        </w:rPr>
      </w:pPr>
      <w:r>
        <w:rPr>
          <w:sz w:val="24"/>
          <w:szCs w:val="24"/>
        </w:rPr>
        <w:t>Испытания тепловых сетей на тепловые и гидравлические потери проводятся при отключённых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07FA6977">
      <w:pPr>
        <w:spacing w:after="0" w:line="240" w:lineRule="auto"/>
        <w:contextualSpacing/>
        <w:jc w:val="both"/>
        <w:rPr>
          <w:sz w:val="24"/>
          <w:szCs w:val="24"/>
        </w:rPr>
      </w:pPr>
      <w:r>
        <w:rPr>
          <w:sz w:val="24"/>
          <w:szCs w:val="24"/>
        </w:rPr>
        <w:t>Планы ремонтов тепловых сетей организации должны быть увязаны с планом ремонта оборудования источников тепла.</w:t>
      </w:r>
    </w:p>
    <w:p w14:paraId="5DEE3B56">
      <w:pPr>
        <w:spacing w:after="0" w:line="240" w:lineRule="auto"/>
        <w:contextualSpacing/>
        <w:jc w:val="both"/>
        <w:rPr>
          <w:sz w:val="24"/>
          <w:szCs w:val="24"/>
        </w:rPr>
      </w:pPr>
      <w:r>
        <w:rPr>
          <w:sz w:val="24"/>
          <w:szCs w:val="24"/>
        </w:rPr>
        <w:t>В системе технического обслуживания и ремонта должны быть предусмотрены:</w:t>
      </w:r>
    </w:p>
    <w:p w14:paraId="648DA40E">
      <w:pPr>
        <w:pStyle w:val="153"/>
        <w:numPr>
          <w:ilvl w:val="1"/>
          <w:numId w:val="34"/>
        </w:numPr>
        <w:tabs>
          <w:tab w:val="left" w:pos="993"/>
        </w:tabs>
        <w:ind w:left="0" w:firstLine="709"/>
        <w:rPr>
          <w:sz w:val="24"/>
          <w:szCs w:val="24"/>
        </w:rPr>
      </w:pPr>
      <w:r>
        <w:rPr>
          <w:sz w:val="24"/>
          <w:szCs w:val="24"/>
        </w:rPr>
        <w:t>подготовка технического обслуживания и ремонтов;</w:t>
      </w:r>
    </w:p>
    <w:p w14:paraId="47D3A3EC">
      <w:pPr>
        <w:pStyle w:val="153"/>
        <w:numPr>
          <w:ilvl w:val="1"/>
          <w:numId w:val="34"/>
        </w:numPr>
        <w:tabs>
          <w:tab w:val="left" w:pos="993"/>
        </w:tabs>
        <w:ind w:left="0" w:firstLine="709"/>
        <w:rPr>
          <w:sz w:val="24"/>
          <w:szCs w:val="24"/>
        </w:rPr>
      </w:pPr>
      <w:r>
        <w:rPr>
          <w:sz w:val="24"/>
          <w:szCs w:val="24"/>
        </w:rPr>
        <w:t>вывод оборудования в ремонт;</w:t>
      </w:r>
    </w:p>
    <w:p w14:paraId="2653C559">
      <w:pPr>
        <w:pStyle w:val="153"/>
        <w:numPr>
          <w:ilvl w:val="1"/>
          <w:numId w:val="34"/>
        </w:numPr>
        <w:tabs>
          <w:tab w:val="left" w:pos="993"/>
        </w:tabs>
        <w:ind w:left="0" w:firstLine="709"/>
        <w:rPr>
          <w:sz w:val="24"/>
          <w:szCs w:val="24"/>
        </w:rPr>
      </w:pPr>
      <w:r>
        <w:rPr>
          <w:sz w:val="24"/>
          <w:szCs w:val="24"/>
        </w:rPr>
        <w:t>оценка технического состояния тепловых сетей и составление дефектных ведомостей;</w:t>
      </w:r>
    </w:p>
    <w:p w14:paraId="6CC15CD7">
      <w:pPr>
        <w:pStyle w:val="153"/>
        <w:numPr>
          <w:ilvl w:val="1"/>
          <w:numId w:val="34"/>
        </w:numPr>
        <w:tabs>
          <w:tab w:val="left" w:pos="993"/>
        </w:tabs>
        <w:ind w:left="0" w:firstLine="709"/>
        <w:rPr>
          <w:sz w:val="24"/>
          <w:szCs w:val="24"/>
        </w:rPr>
      </w:pPr>
      <w:r>
        <w:rPr>
          <w:sz w:val="24"/>
          <w:szCs w:val="24"/>
        </w:rPr>
        <w:t>проведение технического обслуживания и ремонта;</w:t>
      </w:r>
    </w:p>
    <w:p w14:paraId="17718E02">
      <w:pPr>
        <w:pStyle w:val="153"/>
        <w:numPr>
          <w:ilvl w:val="1"/>
          <w:numId w:val="34"/>
        </w:numPr>
        <w:tabs>
          <w:tab w:val="left" w:pos="993"/>
        </w:tabs>
        <w:ind w:left="0" w:firstLine="709"/>
        <w:rPr>
          <w:sz w:val="24"/>
          <w:szCs w:val="24"/>
        </w:rPr>
      </w:pPr>
      <w:r>
        <w:rPr>
          <w:sz w:val="24"/>
          <w:szCs w:val="24"/>
        </w:rPr>
        <w:t>приёмка оборудования из ремонта;</w:t>
      </w:r>
    </w:p>
    <w:p w14:paraId="78D2E9FE">
      <w:pPr>
        <w:pStyle w:val="153"/>
        <w:numPr>
          <w:ilvl w:val="1"/>
          <w:numId w:val="34"/>
        </w:numPr>
        <w:tabs>
          <w:tab w:val="left" w:pos="993"/>
        </w:tabs>
        <w:ind w:left="0" w:firstLine="709"/>
        <w:rPr>
          <w:sz w:val="24"/>
          <w:szCs w:val="24"/>
        </w:rPr>
      </w:pPr>
      <w:r>
        <w:rPr>
          <w:sz w:val="24"/>
          <w:szCs w:val="24"/>
        </w:rPr>
        <w:t>контроль и отчётность о выполнении технического обслуживания и ремонта.</w:t>
      </w:r>
    </w:p>
    <w:p w14:paraId="2B85309F">
      <w:pPr>
        <w:spacing w:after="0" w:line="240" w:lineRule="auto"/>
        <w:contextualSpacing/>
        <w:jc w:val="both"/>
        <w:rPr>
          <w:sz w:val="24"/>
          <w:szCs w:val="24"/>
        </w:rPr>
      </w:pPr>
    </w:p>
    <w:p w14:paraId="094591EB">
      <w:pPr>
        <w:pStyle w:val="4"/>
        <w:spacing w:before="0" w:line="240" w:lineRule="auto"/>
        <w:ind w:left="0" w:firstLine="709"/>
        <w:contextualSpacing/>
        <w:rPr>
          <w:rFonts w:cs="Times New Roman"/>
          <w:b w:val="0"/>
          <w:sz w:val="24"/>
        </w:rPr>
      </w:pPr>
      <w:bookmarkStart w:id="124" w:name="_Toc182813890"/>
      <w:bookmarkStart w:id="125" w:name="_Toc524614764"/>
      <w:bookmarkStart w:id="126" w:name="_Toc524614980"/>
      <w:r>
        <w:rPr>
          <w:rFonts w:cs="Times New Roman"/>
          <w:b w:val="0"/>
          <w:sz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24"/>
      <w:bookmarkEnd w:id="125"/>
      <w:bookmarkEnd w:id="126"/>
    </w:p>
    <w:p w14:paraId="0B9C3E22">
      <w:pPr>
        <w:spacing w:after="0" w:line="240" w:lineRule="auto"/>
        <w:contextualSpacing/>
        <w:jc w:val="both"/>
        <w:rPr>
          <w:sz w:val="24"/>
          <w:szCs w:val="24"/>
        </w:rPr>
      </w:pPr>
      <w:r>
        <w:rPr>
          <w:sz w:val="24"/>
          <w:szCs w:val="24"/>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14:paraId="0D8D2E65">
      <w:pPr>
        <w:spacing w:after="0" w:line="240" w:lineRule="auto"/>
        <w:contextualSpacing/>
        <w:jc w:val="both"/>
        <w:rPr>
          <w:sz w:val="24"/>
          <w:szCs w:val="24"/>
        </w:rPr>
      </w:pPr>
      <w:r>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1F6B8FA8">
      <w:pPr>
        <w:spacing w:after="0" w:line="240" w:lineRule="auto"/>
        <w:contextualSpacing/>
        <w:jc w:val="both"/>
        <w:rPr>
          <w:sz w:val="24"/>
          <w:szCs w:val="24"/>
        </w:rPr>
      </w:pPr>
      <w:r>
        <w:rPr>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409013FA">
      <w:pPr>
        <w:spacing w:after="0" w:line="240" w:lineRule="auto"/>
        <w:contextualSpacing/>
        <w:jc w:val="both"/>
        <w:rPr>
          <w:sz w:val="24"/>
          <w:szCs w:val="24"/>
        </w:rPr>
      </w:pPr>
      <w:bookmarkStart w:id="127" w:name="_Hlk42017590"/>
      <w:r>
        <w:rPr>
          <w:sz w:val="24"/>
          <w:szCs w:val="24"/>
        </w:rPr>
        <w:t xml:space="preserve">Фактические технологические потери при передаче тепловой энергии по тепловым сетям </w:t>
      </w:r>
      <w:bookmarkEnd w:id="127"/>
      <w:r>
        <w:rPr>
          <w:sz w:val="24"/>
          <w:szCs w:val="24"/>
        </w:rPr>
        <w:t>представлены в таблице 24.</w:t>
      </w:r>
    </w:p>
    <w:p w14:paraId="6D3389B2">
      <w:pPr>
        <w:spacing w:after="0" w:line="240" w:lineRule="auto"/>
        <w:contextualSpacing/>
        <w:jc w:val="both"/>
        <w:rPr>
          <w:sz w:val="24"/>
          <w:szCs w:val="24"/>
        </w:rPr>
      </w:pPr>
    </w:p>
    <w:p w14:paraId="636A3AF1">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24</w:t>
      </w:r>
      <w:r>
        <w:rPr>
          <w:bCs/>
          <w:sz w:val="24"/>
          <w:szCs w:val="24"/>
        </w:rPr>
        <w:fldChar w:fldCharType="end"/>
      </w:r>
      <w:r>
        <w:rPr>
          <w:bCs/>
          <w:sz w:val="24"/>
          <w:szCs w:val="24"/>
        </w:rPr>
        <w:t xml:space="preserve"> – </w:t>
      </w:r>
      <w:r>
        <w:rPr>
          <w:sz w:val="24"/>
          <w:szCs w:val="24"/>
        </w:rPr>
        <w:t>Фактические технологические потери при передаче тепловой энергии по тепловым сетям за 2023 год</w:t>
      </w:r>
    </w:p>
    <w:tbl>
      <w:tblPr>
        <w:tblStyle w:val="12"/>
        <w:tblW w:w="5000" w:type="pct"/>
        <w:tblInd w:w="0" w:type="dxa"/>
        <w:tblLayout w:type="autofit"/>
        <w:tblCellMar>
          <w:top w:w="0" w:type="dxa"/>
          <w:left w:w="108" w:type="dxa"/>
          <w:bottom w:w="0" w:type="dxa"/>
          <w:right w:w="108" w:type="dxa"/>
        </w:tblCellMar>
      </w:tblPr>
      <w:tblGrid>
        <w:gridCol w:w="979"/>
        <w:gridCol w:w="4342"/>
        <w:gridCol w:w="1955"/>
        <w:gridCol w:w="2578"/>
      </w:tblGrid>
      <w:tr w14:paraId="353EFF7F">
        <w:tblPrEx>
          <w:tblCellMar>
            <w:top w:w="0" w:type="dxa"/>
            <w:left w:w="108" w:type="dxa"/>
            <w:bottom w:w="0" w:type="dxa"/>
            <w:right w:w="108" w:type="dxa"/>
          </w:tblCellMar>
        </w:tblPrEx>
        <w:trPr>
          <w:trHeight w:val="2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3ABFF32">
            <w:pPr>
              <w:spacing w:after="0" w:line="240" w:lineRule="auto"/>
              <w:ind w:firstLine="0"/>
              <w:jc w:val="center"/>
              <w:rPr>
                <w:color w:val="000000"/>
                <w:sz w:val="20"/>
                <w:szCs w:val="20"/>
              </w:rPr>
            </w:pPr>
            <w:r>
              <w:rPr>
                <w:color w:val="000000"/>
                <w:sz w:val="20"/>
                <w:szCs w:val="20"/>
              </w:rPr>
              <w:t>№ п/п</w:t>
            </w:r>
          </w:p>
        </w:tc>
        <w:tc>
          <w:tcPr>
            <w:tcW w:w="2203" w:type="pct"/>
            <w:tcBorders>
              <w:top w:val="single" w:color="auto" w:sz="4" w:space="0"/>
              <w:left w:val="nil"/>
              <w:bottom w:val="single" w:color="auto" w:sz="4" w:space="0"/>
              <w:right w:val="single" w:color="auto" w:sz="4" w:space="0"/>
            </w:tcBorders>
            <w:shd w:val="clear" w:color="auto" w:fill="auto"/>
            <w:vAlign w:val="center"/>
          </w:tcPr>
          <w:p w14:paraId="5FF0F6D8">
            <w:pPr>
              <w:spacing w:after="0" w:line="240" w:lineRule="auto"/>
              <w:ind w:firstLine="0"/>
              <w:jc w:val="center"/>
              <w:rPr>
                <w:color w:val="000000"/>
                <w:sz w:val="20"/>
                <w:szCs w:val="20"/>
              </w:rPr>
            </w:pPr>
            <w:r>
              <w:rPr>
                <w:bCs/>
                <w:color w:val="000000"/>
                <w:sz w:val="20"/>
                <w:szCs w:val="20"/>
              </w:rPr>
              <w:t>Источник тепловой энергии</w:t>
            </w:r>
          </w:p>
        </w:tc>
        <w:tc>
          <w:tcPr>
            <w:tcW w:w="992" w:type="pct"/>
            <w:tcBorders>
              <w:top w:val="single" w:color="auto" w:sz="4" w:space="0"/>
              <w:left w:val="nil"/>
              <w:bottom w:val="single" w:color="auto" w:sz="4" w:space="0"/>
              <w:right w:val="single" w:color="auto" w:sz="4" w:space="0"/>
            </w:tcBorders>
            <w:shd w:val="clear" w:color="auto" w:fill="auto"/>
            <w:vAlign w:val="center"/>
          </w:tcPr>
          <w:p w14:paraId="203ED130">
            <w:pPr>
              <w:spacing w:after="0" w:line="240" w:lineRule="auto"/>
              <w:ind w:firstLine="0"/>
              <w:jc w:val="center"/>
              <w:rPr>
                <w:color w:val="000000"/>
                <w:sz w:val="20"/>
                <w:szCs w:val="20"/>
              </w:rPr>
            </w:pPr>
            <w:r>
              <w:rPr>
                <w:color w:val="000000"/>
                <w:sz w:val="20"/>
                <w:szCs w:val="20"/>
              </w:rPr>
              <w:t>Установленная мощность, Гкал/ч</w:t>
            </w:r>
          </w:p>
        </w:tc>
        <w:tc>
          <w:tcPr>
            <w:tcW w:w="1309" w:type="pct"/>
            <w:tcBorders>
              <w:top w:val="single" w:color="auto" w:sz="4" w:space="0"/>
              <w:left w:val="nil"/>
              <w:bottom w:val="single" w:color="auto" w:sz="4" w:space="0"/>
              <w:right w:val="single" w:color="auto" w:sz="4" w:space="0"/>
            </w:tcBorders>
            <w:shd w:val="clear" w:color="auto" w:fill="auto"/>
            <w:vAlign w:val="center"/>
          </w:tcPr>
          <w:p w14:paraId="0C6D5DDF">
            <w:pPr>
              <w:spacing w:after="0" w:line="240" w:lineRule="auto"/>
              <w:ind w:firstLine="0"/>
              <w:jc w:val="center"/>
              <w:rPr>
                <w:color w:val="000000"/>
                <w:sz w:val="20"/>
                <w:szCs w:val="20"/>
              </w:rPr>
            </w:pPr>
            <w:r>
              <w:rPr>
                <w:color w:val="000000"/>
                <w:sz w:val="20"/>
                <w:szCs w:val="20"/>
              </w:rPr>
              <w:t>Общие потери тепловой энергии, Гкал</w:t>
            </w:r>
          </w:p>
        </w:tc>
      </w:tr>
      <w:tr w14:paraId="6453D83F">
        <w:tblPrEx>
          <w:tblCellMar>
            <w:top w:w="0" w:type="dxa"/>
            <w:left w:w="108" w:type="dxa"/>
            <w:bottom w:w="0" w:type="dxa"/>
            <w:right w:w="108" w:type="dxa"/>
          </w:tblCellMar>
        </w:tblPrEx>
        <w:trPr>
          <w:trHeight w:val="20" w:hRule="atLeast"/>
        </w:trPr>
        <w:tc>
          <w:tcPr>
            <w:tcW w:w="497" w:type="pct"/>
            <w:tcBorders>
              <w:top w:val="nil"/>
              <w:left w:val="single" w:color="auto" w:sz="4" w:space="0"/>
              <w:bottom w:val="single" w:color="auto" w:sz="4" w:space="0"/>
              <w:right w:val="single" w:color="auto" w:sz="4" w:space="0"/>
            </w:tcBorders>
            <w:shd w:val="clear" w:color="auto" w:fill="auto"/>
            <w:noWrap/>
            <w:vAlign w:val="center"/>
          </w:tcPr>
          <w:p w14:paraId="548E568E">
            <w:pPr>
              <w:spacing w:after="0" w:line="240" w:lineRule="auto"/>
              <w:ind w:firstLine="0"/>
              <w:jc w:val="center"/>
              <w:rPr>
                <w:color w:val="000000"/>
                <w:sz w:val="20"/>
                <w:szCs w:val="20"/>
              </w:rPr>
            </w:pPr>
            <w:r>
              <w:rPr>
                <w:color w:val="000000"/>
                <w:sz w:val="20"/>
                <w:szCs w:val="20"/>
              </w:rPr>
              <w:t>1</w:t>
            </w:r>
          </w:p>
        </w:tc>
        <w:tc>
          <w:tcPr>
            <w:tcW w:w="2203" w:type="pct"/>
            <w:tcBorders>
              <w:top w:val="nil"/>
              <w:left w:val="nil"/>
              <w:bottom w:val="single" w:color="auto" w:sz="4" w:space="0"/>
              <w:right w:val="single" w:color="auto" w:sz="4" w:space="0"/>
            </w:tcBorders>
            <w:shd w:val="clear" w:color="auto" w:fill="auto"/>
            <w:vAlign w:val="center"/>
          </w:tcPr>
          <w:p w14:paraId="624E8905">
            <w:pPr>
              <w:spacing w:after="0" w:line="240" w:lineRule="auto"/>
              <w:ind w:firstLine="0"/>
              <w:jc w:val="center"/>
              <w:rPr>
                <w:color w:val="000000"/>
                <w:sz w:val="20"/>
                <w:szCs w:val="20"/>
              </w:rPr>
            </w:pPr>
            <w:r>
              <w:rPr>
                <w:color w:val="000000"/>
                <w:sz w:val="20"/>
                <w:szCs w:val="20"/>
              </w:rPr>
              <w:t>Котельная №2 МУП «БКС»</w:t>
            </w:r>
          </w:p>
        </w:tc>
        <w:tc>
          <w:tcPr>
            <w:tcW w:w="992" w:type="pct"/>
            <w:tcBorders>
              <w:top w:val="nil"/>
              <w:left w:val="nil"/>
              <w:bottom w:val="single" w:color="auto" w:sz="4" w:space="0"/>
              <w:right w:val="single" w:color="auto" w:sz="4" w:space="0"/>
            </w:tcBorders>
            <w:shd w:val="clear" w:color="auto" w:fill="auto"/>
            <w:vAlign w:val="center"/>
          </w:tcPr>
          <w:p w14:paraId="739AF99B">
            <w:pPr>
              <w:spacing w:after="0" w:line="240" w:lineRule="auto"/>
              <w:ind w:firstLine="0"/>
              <w:jc w:val="center"/>
              <w:rPr>
                <w:color w:val="000000"/>
                <w:sz w:val="20"/>
                <w:szCs w:val="20"/>
              </w:rPr>
            </w:pPr>
            <w:r>
              <w:rPr>
                <w:color w:val="000000"/>
                <w:sz w:val="20"/>
                <w:szCs w:val="20"/>
              </w:rPr>
              <w:t>6,02</w:t>
            </w:r>
          </w:p>
        </w:tc>
        <w:tc>
          <w:tcPr>
            <w:tcW w:w="1309" w:type="pct"/>
            <w:tcBorders>
              <w:top w:val="nil"/>
              <w:left w:val="nil"/>
              <w:bottom w:val="single" w:color="auto" w:sz="4" w:space="0"/>
              <w:right w:val="single" w:color="auto" w:sz="4" w:space="0"/>
            </w:tcBorders>
            <w:shd w:val="clear" w:color="auto" w:fill="auto"/>
            <w:vAlign w:val="center"/>
          </w:tcPr>
          <w:p w14:paraId="694DC666">
            <w:pPr>
              <w:spacing w:after="0" w:line="240" w:lineRule="auto"/>
              <w:ind w:firstLine="0"/>
              <w:jc w:val="center"/>
              <w:rPr>
                <w:color w:val="000000"/>
                <w:sz w:val="20"/>
                <w:szCs w:val="20"/>
                <w:lang w:val="en-US"/>
              </w:rPr>
            </w:pPr>
            <w:r>
              <w:rPr>
                <w:color w:val="000000"/>
                <w:sz w:val="20"/>
                <w:szCs w:val="20"/>
                <w:lang w:val="en-US"/>
              </w:rPr>
              <w:t>846,825</w:t>
            </w:r>
          </w:p>
        </w:tc>
      </w:tr>
      <w:tr w14:paraId="34A2F995">
        <w:tblPrEx>
          <w:tblCellMar>
            <w:top w:w="0" w:type="dxa"/>
            <w:left w:w="108" w:type="dxa"/>
            <w:bottom w:w="0" w:type="dxa"/>
            <w:right w:w="108" w:type="dxa"/>
          </w:tblCellMar>
        </w:tblPrEx>
        <w:trPr>
          <w:trHeight w:val="20" w:hRule="atLeast"/>
        </w:trPr>
        <w:tc>
          <w:tcPr>
            <w:tcW w:w="497" w:type="pct"/>
            <w:tcBorders>
              <w:top w:val="nil"/>
              <w:left w:val="single" w:color="auto" w:sz="4" w:space="0"/>
              <w:bottom w:val="single" w:color="auto" w:sz="4" w:space="0"/>
              <w:right w:val="single" w:color="auto" w:sz="4" w:space="0"/>
            </w:tcBorders>
            <w:shd w:val="clear" w:color="auto" w:fill="auto"/>
            <w:noWrap/>
            <w:vAlign w:val="center"/>
          </w:tcPr>
          <w:p w14:paraId="22A205A5">
            <w:pPr>
              <w:spacing w:after="0" w:line="240" w:lineRule="auto"/>
              <w:ind w:firstLine="0"/>
              <w:jc w:val="center"/>
              <w:rPr>
                <w:color w:val="000000"/>
                <w:sz w:val="20"/>
                <w:szCs w:val="20"/>
              </w:rPr>
            </w:pPr>
            <w:r>
              <w:rPr>
                <w:color w:val="000000"/>
                <w:sz w:val="20"/>
                <w:szCs w:val="20"/>
              </w:rPr>
              <w:t>2</w:t>
            </w:r>
          </w:p>
        </w:tc>
        <w:tc>
          <w:tcPr>
            <w:tcW w:w="2203" w:type="pct"/>
            <w:tcBorders>
              <w:top w:val="nil"/>
              <w:left w:val="nil"/>
              <w:bottom w:val="single" w:color="auto" w:sz="4" w:space="0"/>
              <w:right w:val="single" w:color="auto" w:sz="4" w:space="0"/>
            </w:tcBorders>
            <w:shd w:val="clear" w:color="auto" w:fill="auto"/>
            <w:vAlign w:val="center"/>
          </w:tcPr>
          <w:p w14:paraId="0B1ABA5D">
            <w:pPr>
              <w:spacing w:after="0" w:line="240" w:lineRule="auto"/>
              <w:ind w:firstLine="0"/>
              <w:jc w:val="center"/>
              <w:rPr>
                <w:color w:val="000000"/>
                <w:sz w:val="20"/>
                <w:szCs w:val="20"/>
              </w:rPr>
            </w:pPr>
            <w:r>
              <w:rPr>
                <w:color w:val="000000"/>
                <w:sz w:val="20"/>
                <w:szCs w:val="20"/>
              </w:rPr>
              <w:t>Котельная «2БВК»</w:t>
            </w:r>
          </w:p>
        </w:tc>
        <w:tc>
          <w:tcPr>
            <w:tcW w:w="992" w:type="pct"/>
            <w:tcBorders>
              <w:top w:val="nil"/>
              <w:left w:val="nil"/>
              <w:bottom w:val="single" w:color="auto" w:sz="4" w:space="0"/>
              <w:right w:val="single" w:color="auto" w:sz="4" w:space="0"/>
            </w:tcBorders>
            <w:shd w:val="clear" w:color="auto" w:fill="auto"/>
            <w:vAlign w:val="center"/>
          </w:tcPr>
          <w:p w14:paraId="550DD43E">
            <w:pPr>
              <w:spacing w:after="0" w:line="240" w:lineRule="auto"/>
              <w:ind w:firstLine="0"/>
              <w:jc w:val="center"/>
              <w:rPr>
                <w:color w:val="000000"/>
                <w:sz w:val="20"/>
                <w:szCs w:val="20"/>
              </w:rPr>
            </w:pPr>
            <w:r>
              <w:rPr>
                <w:color w:val="000000"/>
                <w:sz w:val="20"/>
                <w:szCs w:val="20"/>
              </w:rPr>
              <w:t>7,2</w:t>
            </w:r>
          </w:p>
        </w:tc>
        <w:tc>
          <w:tcPr>
            <w:tcW w:w="1309" w:type="pct"/>
            <w:vMerge w:val="restart"/>
            <w:tcBorders>
              <w:top w:val="nil"/>
              <w:left w:val="single" w:color="auto" w:sz="4" w:space="0"/>
              <w:bottom w:val="single" w:color="000000" w:sz="4" w:space="0"/>
              <w:right w:val="single" w:color="auto" w:sz="4" w:space="0"/>
            </w:tcBorders>
            <w:shd w:val="clear" w:color="auto" w:fill="auto"/>
            <w:vAlign w:val="center"/>
          </w:tcPr>
          <w:p w14:paraId="08962BAF">
            <w:pPr>
              <w:spacing w:after="0" w:line="240" w:lineRule="auto"/>
              <w:ind w:firstLine="0"/>
              <w:jc w:val="center"/>
              <w:rPr>
                <w:color w:val="000000"/>
                <w:sz w:val="20"/>
                <w:szCs w:val="20"/>
              </w:rPr>
            </w:pPr>
            <w:r>
              <w:rPr>
                <w:color w:val="000000"/>
                <w:sz w:val="20"/>
                <w:szCs w:val="20"/>
              </w:rPr>
              <w:t>5456,80</w:t>
            </w:r>
          </w:p>
        </w:tc>
      </w:tr>
      <w:tr w14:paraId="41657CAB">
        <w:tblPrEx>
          <w:tblCellMar>
            <w:top w:w="0" w:type="dxa"/>
            <w:left w:w="108" w:type="dxa"/>
            <w:bottom w:w="0" w:type="dxa"/>
            <w:right w:w="108" w:type="dxa"/>
          </w:tblCellMar>
        </w:tblPrEx>
        <w:trPr>
          <w:trHeight w:val="20" w:hRule="atLeast"/>
        </w:trPr>
        <w:tc>
          <w:tcPr>
            <w:tcW w:w="497" w:type="pct"/>
            <w:tcBorders>
              <w:top w:val="nil"/>
              <w:left w:val="single" w:color="auto" w:sz="4" w:space="0"/>
              <w:bottom w:val="single" w:color="auto" w:sz="4" w:space="0"/>
              <w:right w:val="single" w:color="auto" w:sz="4" w:space="0"/>
            </w:tcBorders>
            <w:shd w:val="clear" w:color="auto" w:fill="auto"/>
            <w:noWrap/>
            <w:vAlign w:val="center"/>
          </w:tcPr>
          <w:p w14:paraId="401A734C">
            <w:pPr>
              <w:spacing w:after="0" w:line="240" w:lineRule="auto"/>
              <w:ind w:firstLine="0"/>
              <w:jc w:val="center"/>
              <w:rPr>
                <w:color w:val="000000"/>
                <w:sz w:val="20"/>
                <w:szCs w:val="20"/>
              </w:rPr>
            </w:pPr>
            <w:r>
              <w:rPr>
                <w:color w:val="000000"/>
                <w:sz w:val="20"/>
                <w:szCs w:val="20"/>
              </w:rPr>
              <w:t>3</w:t>
            </w:r>
          </w:p>
        </w:tc>
        <w:tc>
          <w:tcPr>
            <w:tcW w:w="2203" w:type="pct"/>
            <w:tcBorders>
              <w:top w:val="nil"/>
              <w:left w:val="nil"/>
              <w:bottom w:val="single" w:color="auto" w:sz="4" w:space="0"/>
              <w:right w:val="single" w:color="auto" w:sz="4" w:space="0"/>
            </w:tcBorders>
            <w:shd w:val="clear" w:color="auto" w:fill="auto"/>
            <w:vAlign w:val="center"/>
          </w:tcPr>
          <w:p w14:paraId="44EDEC1C">
            <w:pPr>
              <w:spacing w:after="0" w:line="240" w:lineRule="auto"/>
              <w:ind w:firstLine="0"/>
              <w:jc w:val="center"/>
              <w:rPr>
                <w:color w:val="000000"/>
                <w:sz w:val="20"/>
                <w:szCs w:val="20"/>
              </w:rPr>
            </w:pPr>
            <w:r>
              <w:rPr>
                <w:color w:val="000000"/>
                <w:sz w:val="20"/>
                <w:szCs w:val="20"/>
              </w:rPr>
              <w:t>Котельная «Вирбекс»</w:t>
            </w:r>
          </w:p>
        </w:tc>
        <w:tc>
          <w:tcPr>
            <w:tcW w:w="992" w:type="pct"/>
            <w:tcBorders>
              <w:top w:val="nil"/>
              <w:left w:val="nil"/>
              <w:bottom w:val="single" w:color="auto" w:sz="4" w:space="0"/>
              <w:right w:val="single" w:color="auto" w:sz="4" w:space="0"/>
            </w:tcBorders>
            <w:shd w:val="clear" w:color="auto" w:fill="auto"/>
            <w:vAlign w:val="center"/>
          </w:tcPr>
          <w:p w14:paraId="1B0B2E92">
            <w:pPr>
              <w:spacing w:after="0" w:line="240" w:lineRule="auto"/>
              <w:ind w:firstLine="0"/>
              <w:jc w:val="center"/>
              <w:rPr>
                <w:color w:val="000000"/>
                <w:sz w:val="20"/>
                <w:szCs w:val="20"/>
              </w:rPr>
            </w:pPr>
            <w:r>
              <w:rPr>
                <w:color w:val="000000"/>
                <w:sz w:val="20"/>
                <w:szCs w:val="20"/>
              </w:rPr>
              <w:t>2,8</w:t>
            </w:r>
          </w:p>
        </w:tc>
        <w:tc>
          <w:tcPr>
            <w:tcW w:w="1309" w:type="pct"/>
            <w:vMerge w:val="continue"/>
            <w:tcBorders>
              <w:top w:val="nil"/>
              <w:left w:val="single" w:color="auto" w:sz="4" w:space="0"/>
              <w:bottom w:val="single" w:color="000000" w:sz="4" w:space="0"/>
              <w:right w:val="single" w:color="auto" w:sz="4" w:space="0"/>
            </w:tcBorders>
            <w:vAlign w:val="center"/>
          </w:tcPr>
          <w:p w14:paraId="67FAF090">
            <w:pPr>
              <w:spacing w:after="0" w:line="240" w:lineRule="auto"/>
              <w:ind w:firstLine="0"/>
              <w:rPr>
                <w:color w:val="000000"/>
                <w:sz w:val="20"/>
                <w:szCs w:val="20"/>
              </w:rPr>
            </w:pPr>
          </w:p>
        </w:tc>
      </w:tr>
      <w:tr w14:paraId="6762E702">
        <w:tblPrEx>
          <w:tblCellMar>
            <w:top w:w="0" w:type="dxa"/>
            <w:left w:w="108" w:type="dxa"/>
            <w:bottom w:w="0" w:type="dxa"/>
            <w:right w:w="108" w:type="dxa"/>
          </w:tblCellMar>
        </w:tblPrEx>
        <w:trPr>
          <w:trHeight w:val="20" w:hRule="atLeast"/>
        </w:trPr>
        <w:tc>
          <w:tcPr>
            <w:tcW w:w="497" w:type="pct"/>
            <w:tcBorders>
              <w:top w:val="nil"/>
              <w:left w:val="single" w:color="auto" w:sz="4" w:space="0"/>
              <w:bottom w:val="single" w:color="auto" w:sz="4" w:space="0"/>
              <w:right w:val="single" w:color="auto" w:sz="4" w:space="0"/>
            </w:tcBorders>
            <w:shd w:val="clear" w:color="auto" w:fill="auto"/>
            <w:noWrap/>
            <w:vAlign w:val="center"/>
          </w:tcPr>
          <w:p w14:paraId="5DBA729D">
            <w:pPr>
              <w:spacing w:after="0" w:line="240" w:lineRule="auto"/>
              <w:ind w:firstLine="0"/>
              <w:jc w:val="center"/>
              <w:rPr>
                <w:color w:val="000000"/>
                <w:sz w:val="20"/>
                <w:szCs w:val="20"/>
              </w:rPr>
            </w:pPr>
            <w:r>
              <w:rPr>
                <w:color w:val="000000"/>
                <w:sz w:val="20"/>
                <w:szCs w:val="20"/>
              </w:rPr>
              <w:t>4</w:t>
            </w:r>
          </w:p>
        </w:tc>
        <w:tc>
          <w:tcPr>
            <w:tcW w:w="2203" w:type="pct"/>
            <w:tcBorders>
              <w:top w:val="nil"/>
              <w:left w:val="nil"/>
              <w:bottom w:val="single" w:color="auto" w:sz="4" w:space="0"/>
              <w:right w:val="single" w:color="auto" w:sz="4" w:space="0"/>
            </w:tcBorders>
            <w:shd w:val="clear" w:color="auto" w:fill="auto"/>
            <w:vAlign w:val="center"/>
          </w:tcPr>
          <w:p w14:paraId="0F158801">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992" w:type="pct"/>
            <w:tcBorders>
              <w:top w:val="nil"/>
              <w:left w:val="nil"/>
              <w:bottom w:val="single" w:color="auto" w:sz="4" w:space="0"/>
              <w:right w:val="single" w:color="auto" w:sz="4" w:space="0"/>
            </w:tcBorders>
            <w:shd w:val="clear" w:color="auto" w:fill="auto"/>
            <w:vAlign w:val="center"/>
          </w:tcPr>
          <w:p w14:paraId="7AFE641C">
            <w:pPr>
              <w:spacing w:after="0" w:line="240" w:lineRule="auto"/>
              <w:ind w:firstLine="0"/>
              <w:jc w:val="center"/>
              <w:rPr>
                <w:color w:val="000000"/>
                <w:sz w:val="20"/>
                <w:szCs w:val="20"/>
              </w:rPr>
            </w:pPr>
            <w:r>
              <w:rPr>
                <w:color w:val="000000"/>
                <w:sz w:val="20"/>
                <w:szCs w:val="20"/>
              </w:rPr>
              <w:t>37,72</w:t>
            </w:r>
          </w:p>
        </w:tc>
        <w:tc>
          <w:tcPr>
            <w:tcW w:w="1309" w:type="pct"/>
            <w:vMerge w:val="continue"/>
            <w:tcBorders>
              <w:top w:val="nil"/>
              <w:left w:val="single" w:color="auto" w:sz="4" w:space="0"/>
              <w:bottom w:val="single" w:color="000000" w:sz="4" w:space="0"/>
              <w:right w:val="single" w:color="auto" w:sz="4" w:space="0"/>
            </w:tcBorders>
            <w:vAlign w:val="center"/>
          </w:tcPr>
          <w:p w14:paraId="502A2455">
            <w:pPr>
              <w:spacing w:after="0" w:line="240" w:lineRule="auto"/>
              <w:ind w:firstLine="0"/>
              <w:rPr>
                <w:color w:val="000000"/>
                <w:sz w:val="20"/>
                <w:szCs w:val="20"/>
              </w:rPr>
            </w:pPr>
          </w:p>
        </w:tc>
      </w:tr>
    </w:tbl>
    <w:p w14:paraId="3BB4B6E0">
      <w:pPr>
        <w:spacing w:after="0" w:line="240" w:lineRule="auto"/>
        <w:ind w:firstLine="0"/>
        <w:contextualSpacing/>
        <w:jc w:val="both"/>
        <w:rPr>
          <w:b/>
          <w:sz w:val="24"/>
          <w:szCs w:val="24"/>
        </w:rPr>
      </w:pPr>
    </w:p>
    <w:p w14:paraId="7674160A">
      <w:pPr>
        <w:pStyle w:val="4"/>
        <w:spacing w:before="0" w:line="240" w:lineRule="auto"/>
        <w:ind w:left="0" w:firstLine="851"/>
        <w:contextualSpacing/>
        <w:rPr>
          <w:rFonts w:cs="Times New Roman"/>
          <w:b w:val="0"/>
          <w:sz w:val="24"/>
        </w:rPr>
      </w:pPr>
      <w:bookmarkStart w:id="128" w:name="_Toc524614765"/>
      <w:bookmarkStart w:id="129" w:name="_Toc524614981"/>
      <w:bookmarkStart w:id="130" w:name="_Toc182813891"/>
      <w:r>
        <w:rPr>
          <w:rFonts w:cs="Times New Roman"/>
          <w:b w:val="0"/>
          <w:sz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8"/>
      <w:bookmarkEnd w:id="129"/>
      <w:bookmarkEnd w:id="130"/>
    </w:p>
    <w:p w14:paraId="2F8BE01B">
      <w:pPr>
        <w:spacing w:after="0" w:line="240" w:lineRule="auto"/>
        <w:contextualSpacing/>
        <w:jc w:val="both"/>
        <w:rPr>
          <w:sz w:val="24"/>
          <w:szCs w:val="24"/>
        </w:rPr>
      </w:pPr>
      <w:r>
        <w:rPr>
          <w:sz w:val="24"/>
          <w:szCs w:val="24"/>
        </w:rPr>
        <w:t>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4C3BB98D">
      <w:pPr>
        <w:spacing w:after="0" w:line="240" w:lineRule="auto"/>
        <w:contextualSpacing/>
        <w:jc w:val="both"/>
        <w:rPr>
          <w:sz w:val="24"/>
          <w:szCs w:val="24"/>
        </w:rPr>
      </w:pPr>
      <w:r>
        <w:rPr>
          <w:sz w:val="24"/>
          <w:szCs w:val="24"/>
        </w:rPr>
        <w:t>Оценка тепловых потерь в тепловых сетях за последние 3 года представлена в таблице 25.</w:t>
      </w:r>
    </w:p>
    <w:p w14:paraId="7A1037A8">
      <w:pPr>
        <w:spacing w:after="0" w:line="240" w:lineRule="auto"/>
        <w:contextualSpacing/>
        <w:jc w:val="both"/>
        <w:rPr>
          <w:sz w:val="24"/>
          <w:szCs w:val="24"/>
        </w:rPr>
      </w:pPr>
    </w:p>
    <w:p w14:paraId="4B1DA844">
      <w:pPr>
        <w:pStyle w:val="43"/>
        <w:keepNext/>
        <w:spacing w:before="0" w:after="0" w:line="240" w:lineRule="auto"/>
        <w:ind w:firstLine="0"/>
        <w:contextualSpacing/>
        <w:rPr>
          <w:rFonts w:cs="Times New Roman"/>
          <w:b w:val="0"/>
          <w:sz w:val="24"/>
          <w:szCs w:val="24"/>
        </w:rPr>
      </w:pPr>
      <w:r>
        <w:rPr>
          <w:b w:val="0"/>
          <w:bCs w:val="0"/>
          <w:sz w:val="24"/>
          <w:szCs w:val="24"/>
        </w:rPr>
        <w:t xml:space="preserve">Таблица </w:t>
      </w:r>
      <w:r>
        <w:rPr>
          <w:b w:val="0"/>
          <w:bCs w:val="0"/>
          <w:sz w:val="24"/>
          <w:szCs w:val="24"/>
        </w:rPr>
        <w:fldChar w:fldCharType="begin"/>
      </w:r>
      <w:r>
        <w:rPr>
          <w:b w:val="0"/>
          <w:bCs w:val="0"/>
          <w:sz w:val="24"/>
          <w:szCs w:val="24"/>
        </w:rPr>
        <w:instrText xml:space="preserve"> SEQ Таблица \* ARABIC </w:instrText>
      </w:r>
      <w:r>
        <w:rPr>
          <w:b w:val="0"/>
          <w:bCs w:val="0"/>
          <w:sz w:val="24"/>
          <w:szCs w:val="24"/>
        </w:rPr>
        <w:fldChar w:fldCharType="separate"/>
      </w:r>
      <w:r>
        <w:rPr>
          <w:b w:val="0"/>
          <w:bCs w:val="0"/>
          <w:sz w:val="24"/>
          <w:szCs w:val="24"/>
        </w:rPr>
        <w:t>25</w:t>
      </w:r>
      <w:r>
        <w:rPr>
          <w:b w:val="0"/>
          <w:bCs w:val="0"/>
          <w:sz w:val="24"/>
          <w:szCs w:val="24"/>
        </w:rPr>
        <w:fldChar w:fldCharType="end"/>
      </w:r>
      <w:r>
        <w:rPr>
          <w:b w:val="0"/>
          <w:bCs w:val="0"/>
          <w:sz w:val="24"/>
          <w:szCs w:val="24"/>
        </w:rPr>
        <w:t xml:space="preserve"> – </w:t>
      </w:r>
      <w:r>
        <w:rPr>
          <w:rFonts w:cs="Times New Roman"/>
          <w:b w:val="0"/>
          <w:sz w:val="24"/>
          <w:szCs w:val="24"/>
        </w:rPr>
        <w:t>Оценка фактических тепловых потерь в тепловых сетях за последние 3 года</w:t>
      </w:r>
    </w:p>
    <w:tbl>
      <w:tblPr>
        <w:tblStyle w:val="12"/>
        <w:tblW w:w="5000" w:type="pct"/>
        <w:jc w:val="center"/>
        <w:tblLayout w:type="autofit"/>
        <w:tblCellMar>
          <w:top w:w="0" w:type="dxa"/>
          <w:left w:w="108" w:type="dxa"/>
          <w:bottom w:w="0" w:type="dxa"/>
          <w:right w:w="108" w:type="dxa"/>
        </w:tblCellMar>
      </w:tblPr>
      <w:tblGrid>
        <w:gridCol w:w="4784"/>
        <w:gridCol w:w="1741"/>
        <w:gridCol w:w="1741"/>
        <w:gridCol w:w="1588"/>
      </w:tblGrid>
      <w:tr w14:paraId="7351147C">
        <w:tblPrEx>
          <w:tblCellMar>
            <w:top w:w="0" w:type="dxa"/>
            <w:left w:w="108" w:type="dxa"/>
            <w:bottom w:w="0" w:type="dxa"/>
            <w:right w:w="108" w:type="dxa"/>
          </w:tblCellMar>
        </w:tblPrEx>
        <w:trPr>
          <w:trHeight w:val="20" w:hRule="atLeast"/>
          <w:tblHeader/>
          <w:jc w:val="center"/>
        </w:trPr>
        <w:tc>
          <w:tcPr>
            <w:tcW w:w="4674" w:type="dxa"/>
            <w:vMerge w:val="restart"/>
            <w:tcBorders>
              <w:top w:val="single" w:color="auto" w:sz="4" w:space="0"/>
              <w:left w:val="single" w:color="auto" w:sz="4" w:space="0"/>
              <w:right w:val="single" w:color="auto" w:sz="4" w:space="0"/>
            </w:tcBorders>
            <w:shd w:val="clear" w:color="auto" w:fill="auto"/>
            <w:vAlign w:val="center"/>
          </w:tcPr>
          <w:p w14:paraId="6885175C">
            <w:pPr>
              <w:spacing w:after="0" w:line="240" w:lineRule="auto"/>
              <w:ind w:firstLine="0"/>
              <w:contextualSpacing/>
              <w:jc w:val="center"/>
              <w:rPr>
                <w:color w:val="000000"/>
                <w:sz w:val="20"/>
                <w:szCs w:val="20"/>
              </w:rPr>
            </w:pPr>
            <w:r>
              <w:rPr>
                <w:color w:val="000000"/>
                <w:sz w:val="20"/>
                <w:szCs w:val="20"/>
              </w:rPr>
              <w:t>Параметр</w:t>
            </w:r>
          </w:p>
        </w:tc>
        <w:tc>
          <w:tcPr>
            <w:tcW w:w="1701" w:type="dxa"/>
            <w:tcBorders>
              <w:top w:val="single" w:color="auto" w:sz="4" w:space="0"/>
              <w:left w:val="nil"/>
              <w:bottom w:val="single" w:color="auto" w:sz="4" w:space="0"/>
              <w:right w:val="single" w:color="auto" w:sz="4" w:space="0"/>
            </w:tcBorders>
            <w:shd w:val="clear" w:color="auto" w:fill="auto"/>
            <w:vAlign w:val="center"/>
          </w:tcPr>
          <w:p w14:paraId="003DCEB7">
            <w:pPr>
              <w:spacing w:after="0" w:line="240" w:lineRule="auto"/>
              <w:ind w:firstLine="0"/>
              <w:contextualSpacing/>
              <w:jc w:val="center"/>
              <w:rPr>
                <w:color w:val="000000"/>
                <w:sz w:val="20"/>
                <w:szCs w:val="20"/>
              </w:rPr>
            </w:pPr>
            <w:r>
              <w:rPr>
                <w:color w:val="000000"/>
                <w:sz w:val="20"/>
                <w:szCs w:val="20"/>
              </w:rPr>
              <w:t>2021 г.</w:t>
            </w:r>
          </w:p>
        </w:tc>
        <w:tc>
          <w:tcPr>
            <w:tcW w:w="1701" w:type="dxa"/>
            <w:tcBorders>
              <w:top w:val="single" w:color="auto" w:sz="4" w:space="0"/>
              <w:left w:val="nil"/>
              <w:bottom w:val="single" w:color="auto" w:sz="4" w:space="0"/>
              <w:right w:val="single" w:color="auto" w:sz="4" w:space="0"/>
            </w:tcBorders>
            <w:shd w:val="clear" w:color="auto" w:fill="auto"/>
            <w:vAlign w:val="center"/>
          </w:tcPr>
          <w:p w14:paraId="05D0324B">
            <w:pPr>
              <w:spacing w:after="0" w:line="240" w:lineRule="auto"/>
              <w:ind w:firstLine="0"/>
              <w:contextualSpacing/>
              <w:jc w:val="center"/>
              <w:rPr>
                <w:color w:val="000000"/>
                <w:sz w:val="20"/>
                <w:szCs w:val="20"/>
              </w:rPr>
            </w:pPr>
            <w:r>
              <w:rPr>
                <w:color w:val="000000"/>
                <w:sz w:val="20"/>
                <w:szCs w:val="20"/>
              </w:rPr>
              <w:t>2022 г.</w:t>
            </w:r>
          </w:p>
        </w:tc>
        <w:tc>
          <w:tcPr>
            <w:tcW w:w="1552" w:type="dxa"/>
            <w:tcBorders>
              <w:top w:val="single" w:color="auto" w:sz="4" w:space="0"/>
              <w:left w:val="nil"/>
              <w:bottom w:val="single" w:color="auto" w:sz="4" w:space="0"/>
              <w:right w:val="single" w:color="auto" w:sz="4" w:space="0"/>
            </w:tcBorders>
            <w:vAlign w:val="center"/>
          </w:tcPr>
          <w:p w14:paraId="398989C5">
            <w:pPr>
              <w:spacing w:after="0" w:line="240" w:lineRule="auto"/>
              <w:ind w:firstLine="0"/>
              <w:contextualSpacing/>
              <w:jc w:val="center"/>
              <w:rPr>
                <w:color w:val="000000"/>
                <w:sz w:val="20"/>
                <w:szCs w:val="20"/>
              </w:rPr>
            </w:pPr>
            <w:r>
              <w:rPr>
                <w:color w:val="000000"/>
                <w:sz w:val="20"/>
                <w:szCs w:val="20"/>
              </w:rPr>
              <w:t>2023 г.</w:t>
            </w:r>
          </w:p>
        </w:tc>
      </w:tr>
      <w:tr w14:paraId="34051A4A">
        <w:tblPrEx>
          <w:tblCellMar>
            <w:top w:w="0" w:type="dxa"/>
            <w:left w:w="108" w:type="dxa"/>
            <w:bottom w:w="0" w:type="dxa"/>
            <w:right w:w="108" w:type="dxa"/>
          </w:tblCellMar>
        </w:tblPrEx>
        <w:trPr>
          <w:trHeight w:val="20" w:hRule="atLeast"/>
          <w:tblHeader/>
          <w:jc w:val="center"/>
        </w:trPr>
        <w:tc>
          <w:tcPr>
            <w:tcW w:w="4674" w:type="dxa"/>
            <w:vMerge w:val="continue"/>
            <w:tcBorders>
              <w:left w:val="single" w:color="auto" w:sz="4" w:space="0"/>
              <w:bottom w:val="single" w:color="auto" w:sz="4" w:space="0"/>
              <w:right w:val="single" w:color="auto" w:sz="4" w:space="0"/>
            </w:tcBorders>
            <w:shd w:val="clear" w:color="auto" w:fill="auto"/>
            <w:vAlign w:val="center"/>
          </w:tcPr>
          <w:p w14:paraId="3C9B19C7">
            <w:pPr>
              <w:spacing w:after="0" w:line="240" w:lineRule="auto"/>
              <w:ind w:firstLine="0"/>
              <w:contextualSpacing/>
              <w:jc w:val="center"/>
              <w:rPr>
                <w:color w:val="000000"/>
                <w:sz w:val="20"/>
                <w:szCs w:val="20"/>
              </w:rPr>
            </w:pPr>
          </w:p>
        </w:tc>
        <w:tc>
          <w:tcPr>
            <w:tcW w:w="1701" w:type="dxa"/>
            <w:tcBorders>
              <w:top w:val="single" w:color="auto" w:sz="4" w:space="0"/>
              <w:left w:val="nil"/>
              <w:bottom w:val="single" w:color="auto" w:sz="4" w:space="0"/>
              <w:right w:val="single" w:color="auto" w:sz="4" w:space="0"/>
            </w:tcBorders>
            <w:shd w:val="clear" w:color="auto" w:fill="auto"/>
            <w:vAlign w:val="center"/>
          </w:tcPr>
          <w:p w14:paraId="11539B86">
            <w:pPr>
              <w:spacing w:after="0" w:line="240" w:lineRule="auto"/>
              <w:ind w:firstLine="0"/>
              <w:contextualSpacing/>
              <w:jc w:val="center"/>
              <w:rPr>
                <w:color w:val="000000"/>
                <w:sz w:val="20"/>
                <w:szCs w:val="20"/>
              </w:rPr>
            </w:pPr>
            <w:r>
              <w:rPr>
                <w:color w:val="000000"/>
                <w:sz w:val="20"/>
                <w:szCs w:val="20"/>
              </w:rPr>
              <w:t>факт</w:t>
            </w:r>
          </w:p>
        </w:tc>
        <w:tc>
          <w:tcPr>
            <w:tcW w:w="1701" w:type="dxa"/>
            <w:tcBorders>
              <w:top w:val="single" w:color="auto" w:sz="4" w:space="0"/>
              <w:left w:val="nil"/>
              <w:bottom w:val="single" w:color="auto" w:sz="4" w:space="0"/>
              <w:right w:val="single" w:color="auto" w:sz="4" w:space="0"/>
            </w:tcBorders>
            <w:shd w:val="clear" w:color="auto" w:fill="auto"/>
            <w:vAlign w:val="center"/>
          </w:tcPr>
          <w:p w14:paraId="241ADB62">
            <w:pPr>
              <w:spacing w:after="0" w:line="240" w:lineRule="auto"/>
              <w:ind w:firstLine="0"/>
              <w:contextualSpacing/>
              <w:jc w:val="center"/>
              <w:rPr>
                <w:color w:val="000000"/>
                <w:sz w:val="20"/>
                <w:szCs w:val="20"/>
              </w:rPr>
            </w:pPr>
            <w:r>
              <w:rPr>
                <w:color w:val="000000"/>
                <w:sz w:val="20"/>
                <w:szCs w:val="20"/>
              </w:rPr>
              <w:t>факт</w:t>
            </w:r>
          </w:p>
        </w:tc>
        <w:tc>
          <w:tcPr>
            <w:tcW w:w="1552" w:type="dxa"/>
            <w:tcBorders>
              <w:top w:val="single" w:color="auto" w:sz="4" w:space="0"/>
              <w:left w:val="nil"/>
              <w:bottom w:val="single" w:color="auto" w:sz="4" w:space="0"/>
              <w:right w:val="single" w:color="auto" w:sz="4" w:space="0"/>
            </w:tcBorders>
            <w:vAlign w:val="center"/>
          </w:tcPr>
          <w:p w14:paraId="5D3A59C0">
            <w:pPr>
              <w:spacing w:after="0" w:line="240" w:lineRule="auto"/>
              <w:ind w:firstLine="0"/>
              <w:contextualSpacing/>
              <w:jc w:val="center"/>
              <w:rPr>
                <w:color w:val="000000"/>
                <w:sz w:val="20"/>
                <w:szCs w:val="20"/>
              </w:rPr>
            </w:pPr>
            <w:r>
              <w:rPr>
                <w:color w:val="000000"/>
                <w:sz w:val="20"/>
                <w:szCs w:val="20"/>
              </w:rPr>
              <w:t>факт</w:t>
            </w:r>
          </w:p>
        </w:tc>
      </w:tr>
      <w:tr w14:paraId="160FC3C0">
        <w:tblPrEx>
          <w:tblCellMar>
            <w:top w:w="0" w:type="dxa"/>
            <w:left w:w="108" w:type="dxa"/>
            <w:bottom w:w="0" w:type="dxa"/>
            <w:right w:w="108" w:type="dxa"/>
          </w:tblCellMar>
        </w:tblPrEx>
        <w:trPr>
          <w:trHeight w:val="20" w:hRule="atLeast"/>
          <w:jc w:val="center"/>
        </w:trPr>
        <w:tc>
          <w:tcPr>
            <w:tcW w:w="4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0BF3C">
            <w:pPr>
              <w:spacing w:after="0" w:line="240" w:lineRule="auto"/>
              <w:ind w:firstLine="0"/>
              <w:contextualSpacing/>
              <w:jc w:val="center"/>
              <w:rPr>
                <w:color w:val="000000"/>
                <w:sz w:val="20"/>
                <w:szCs w:val="20"/>
              </w:rPr>
            </w:pPr>
          </w:p>
        </w:tc>
        <w:tc>
          <w:tcPr>
            <w:tcW w:w="34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4ABA7F">
            <w:pPr>
              <w:spacing w:after="0" w:line="240" w:lineRule="auto"/>
              <w:ind w:firstLine="0"/>
              <w:contextualSpacing/>
              <w:jc w:val="center"/>
              <w:rPr>
                <w:color w:val="000000"/>
                <w:sz w:val="20"/>
                <w:szCs w:val="20"/>
              </w:rPr>
            </w:pPr>
            <w:r>
              <w:rPr>
                <w:color w:val="000000"/>
                <w:sz w:val="20"/>
                <w:szCs w:val="20"/>
              </w:rPr>
              <w:t>АО «ЮКЭК-Белоярский»</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0EED444C">
            <w:pPr>
              <w:spacing w:after="0" w:line="240" w:lineRule="auto"/>
              <w:ind w:firstLine="0"/>
              <w:contextualSpacing/>
              <w:jc w:val="center"/>
              <w:rPr>
                <w:color w:val="000000"/>
                <w:sz w:val="20"/>
                <w:szCs w:val="20"/>
              </w:rPr>
            </w:pPr>
            <w:r>
              <w:rPr>
                <w:color w:val="000000"/>
                <w:sz w:val="20"/>
                <w:szCs w:val="20"/>
              </w:rPr>
              <w:t>МУП «БКС»</w:t>
            </w:r>
          </w:p>
        </w:tc>
      </w:tr>
      <w:tr w14:paraId="376E1315">
        <w:tblPrEx>
          <w:tblCellMar>
            <w:top w:w="0" w:type="dxa"/>
            <w:left w:w="108" w:type="dxa"/>
            <w:bottom w:w="0" w:type="dxa"/>
            <w:right w:w="108" w:type="dxa"/>
          </w:tblCellMar>
        </w:tblPrEx>
        <w:trPr>
          <w:trHeight w:val="20" w:hRule="atLeast"/>
          <w:jc w:val="center"/>
        </w:trPr>
        <w:tc>
          <w:tcPr>
            <w:tcW w:w="4674" w:type="dxa"/>
            <w:tcBorders>
              <w:top w:val="single" w:color="auto" w:sz="4" w:space="0"/>
              <w:left w:val="single" w:color="auto" w:sz="4" w:space="0"/>
              <w:bottom w:val="single" w:color="auto" w:sz="4" w:space="0"/>
              <w:right w:val="single" w:color="auto" w:sz="4" w:space="0"/>
            </w:tcBorders>
            <w:shd w:val="clear" w:color="auto" w:fill="auto"/>
            <w:vAlign w:val="center"/>
          </w:tcPr>
          <w:p w14:paraId="1094F8F9">
            <w:pPr>
              <w:spacing w:after="0" w:line="240" w:lineRule="auto"/>
              <w:ind w:firstLine="0"/>
              <w:contextualSpacing/>
              <w:jc w:val="center"/>
              <w:rPr>
                <w:color w:val="000000"/>
                <w:sz w:val="20"/>
                <w:szCs w:val="20"/>
              </w:rPr>
            </w:pPr>
            <w:r>
              <w:rPr>
                <w:color w:val="000000"/>
                <w:sz w:val="20"/>
                <w:szCs w:val="20"/>
              </w:rPr>
              <w:t>Отпуск тепловой энергии, Гкал</w:t>
            </w:r>
          </w:p>
        </w:tc>
        <w:tc>
          <w:tcPr>
            <w:tcW w:w="1701" w:type="dxa"/>
            <w:tcBorders>
              <w:top w:val="single" w:color="auto" w:sz="4" w:space="0"/>
              <w:left w:val="nil"/>
              <w:bottom w:val="single" w:color="auto" w:sz="4" w:space="0"/>
              <w:right w:val="single" w:color="auto" w:sz="4" w:space="0"/>
            </w:tcBorders>
            <w:shd w:val="clear" w:color="auto" w:fill="auto"/>
            <w:vAlign w:val="center"/>
          </w:tcPr>
          <w:p w14:paraId="2E25CE27">
            <w:pPr>
              <w:spacing w:after="0" w:line="240" w:lineRule="auto"/>
              <w:ind w:firstLine="0"/>
              <w:contextualSpacing/>
              <w:jc w:val="center"/>
              <w:rPr>
                <w:color w:val="000000"/>
                <w:sz w:val="20"/>
                <w:szCs w:val="20"/>
              </w:rPr>
            </w:pPr>
            <w:r>
              <w:rPr>
                <w:color w:val="000000"/>
                <w:sz w:val="20"/>
                <w:szCs w:val="20"/>
              </w:rPr>
              <w:t>4326,09</w:t>
            </w:r>
          </w:p>
        </w:tc>
        <w:tc>
          <w:tcPr>
            <w:tcW w:w="1701" w:type="dxa"/>
            <w:tcBorders>
              <w:top w:val="single" w:color="auto" w:sz="4" w:space="0"/>
              <w:left w:val="nil"/>
              <w:bottom w:val="single" w:color="auto" w:sz="4" w:space="0"/>
              <w:right w:val="single" w:color="auto" w:sz="4" w:space="0"/>
            </w:tcBorders>
            <w:shd w:val="clear" w:color="auto" w:fill="auto"/>
            <w:vAlign w:val="center"/>
          </w:tcPr>
          <w:p w14:paraId="40286350">
            <w:pPr>
              <w:spacing w:after="0" w:line="240" w:lineRule="auto"/>
              <w:ind w:firstLine="0"/>
              <w:contextualSpacing/>
              <w:jc w:val="center"/>
              <w:rPr>
                <w:color w:val="000000"/>
                <w:sz w:val="20"/>
                <w:szCs w:val="20"/>
              </w:rPr>
            </w:pPr>
            <w:r>
              <w:rPr>
                <w:color w:val="000000"/>
                <w:sz w:val="20"/>
                <w:szCs w:val="20"/>
              </w:rPr>
              <w:t>3303,23</w:t>
            </w:r>
          </w:p>
        </w:tc>
        <w:tc>
          <w:tcPr>
            <w:tcW w:w="1552" w:type="dxa"/>
            <w:tcBorders>
              <w:top w:val="single" w:color="auto" w:sz="4" w:space="0"/>
              <w:left w:val="nil"/>
              <w:bottom w:val="single" w:color="auto" w:sz="4" w:space="0"/>
              <w:right w:val="single" w:color="auto" w:sz="4" w:space="0"/>
            </w:tcBorders>
            <w:vAlign w:val="center"/>
          </w:tcPr>
          <w:p w14:paraId="039C8D34">
            <w:pPr>
              <w:spacing w:after="0" w:line="240" w:lineRule="auto"/>
              <w:ind w:firstLine="0"/>
              <w:contextualSpacing/>
              <w:jc w:val="center"/>
              <w:rPr>
                <w:color w:val="000000"/>
                <w:sz w:val="20"/>
                <w:szCs w:val="20"/>
              </w:rPr>
            </w:pPr>
            <w:r>
              <w:rPr>
                <w:color w:val="000000"/>
                <w:sz w:val="20"/>
                <w:szCs w:val="20"/>
              </w:rPr>
              <w:t>2298,275</w:t>
            </w:r>
          </w:p>
        </w:tc>
      </w:tr>
      <w:tr w14:paraId="68C83328">
        <w:tblPrEx>
          <w:tblCellMar>
            <w:top w:w="0" w:type="dxa"/>
            <w:left w:w="108" w:type="dxa"/>
            <w:bottom w:w="0" w:type="dxa"/>
            <w:right w:w="108" w:type="dxa"/>
          </w:tblCellMar>
        </w:tblPrEx>
        <w:trPr>
          <w:trHeight w:val="20" w:hRule="atLeast"/>
          <w:jc w:val="center"/>
        </w:trPr>
        <w:tc>
          <w:tcPr>
            <w:tcW w:w="4674" w:type="dxa"/>
            <w:tcBorders>
              <w:top w:val="single" w:color="auto" w:sz="4" w:space="0"/>
              <w:left w:val="single" w:color="auto" w:sz="4" w:space="0"/>
              <w:bottom w:val="single" w:color="auto" w:sz="4" w:space="0"/>
              <w:right w:val="single" w:color="auto" w:sz="4" w:space="0"/>
            </w:tcBorders>
            <w:shd w:val="clear" w:color="auto" w:fill="auto"/>
            <w:vAlign w:val="center"/>
          </w:tcPr>
          <w:p w14:paraId="5D543977">
            <w:pPr>
              <w:spacing w:after="0" w:line="240" w:lineRule="auto"/>
              <w:ind w:firstLine="0"/>
              <w:contextualSpacing/>
              <w:jc w:val="center"/>
              <w:rPr>
                <w:color w:val="000000"/>
                <w:sz w:val="20"/>
                <w:szCs w:val="20"/>
              </w:rPr>
            </w:pPr>
            <w:r>
              <w:rPr>
                <w:color w:val="000000"/>
                <w:sz w:val="20"/>
                <w:szCs w:val="20"/>
              </w:rPr>
              <w:t>Потери тепловой энергии в сетях, Гкал</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1F67CE05">
            <w:pPr>
              <w:spacing w:after="0" w:line="240" w:lineRule="auto"/>
              <w:ind w:firstLine="0"/>
              <w:contextualSpacing/>
              <w:jc w:val="center"/>
              <w:rPr>
                <w:color w:val="000000"/>
                <w:sz w:val="20"/>
                <w:szCs w:val="20"/>
              </w:rPr>
            </w:pPr>
            <w:r>
              <w:rPr>
                <w:color w:val="000000"/>
                <w:sz w:val="20"/>
                <w:szCs w:val="20"/>
              </w:rPr>
              <w:t>472,93</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027E4848">
            <w:pPr>
              <w:spacing w:after="0" w:line="240" w:lineRule="auto"/>
              <w:ind w:firstLine="0"/>
              <w:contextualSpacing/>
              <w:jc w:val="center"/>
              <w:rPr>
                <w:color w:val="000000"/>
                <w:sz w:val="20"/>
                <w:szCs w:val="20"/>
              </w:rPr>
            </w:pPr>
            <w:r>
              <w:rPr>
                <w:color w:val="000000"/>
                <w:sz w:val="20"/>
                <w:szCs w:val="20"/>
              </w:rPr>
              <w:t>327,07</w:t>
            </w:r>
          </w:p>
        </w:tc>
        <w:tc>
          <w:tcPr>
            <w:tcW w:w="1552" w:type="dxa"/>
            <w:tcBorders>
              <w:top w:val="single" w:color="auto" w:sz="4" w:space="0"/>
              <w:left w:val="single" w:color="auto" w:sz="4" w:space="0"/>
              <w:bottom w:val="single" w:color="auto" w:sz="4" w:space="0"/>
              <w:right w:val="single" w:color="auto" w:sz="4" w:space="0"/>
            </w:tcBorders>
            <w:vAlign w:val="center"/>
          </w:tcPr>
          <w:p w14:paraId="3C6AB1FA">
            <w:pPr>
              <w:spacing w:after="0" w:line="240" w:lineRule="auto"/>
              <w:ind w:firstLine="0"/>
              <w:contextualSpacing/>
              <w:jc w:val="center"/>
              <w:rPr>
                <w:color w:val="000000"/>
                <w:sz w:val="20"/>
                <w:szCs w:val="20"/>
                <w:lang w:val="en-US"/>
              </w:rPr>
            </w:pPr>
            <w:r>
              <w:rPr>
                <w:color w:val="000000"/>
                <w:sz w:val="20"/>
                <w:szCs w:val="20"/>
                <w:lang w:val="en-US"/>
              </w:rPr>
              <w:t>846,825</w:t>
            </w:r>
          </w:p>
        </w:tc>
      </w:tr>
      <w:tr w14:paraId="6C7D3B6C">
        <w:tblPrEx>
          <w:tblCellMar>
            <w:top w:w="0" w:type="dxa"/>
            <w:left w:w="108" w:type="dxa"/>
            <w:bottom w:w="0" w:type="dxa"/>
            <w:right w:w="108" w:type="dxa"/>
          </w:tblCellMar>
        </w:tblPrEx>
        <w:trPr>
          <w:trHeight w:val="20" w:hRule="atLeast"/>
          <w:jc w:val="center"/>
        </w:trPr>
        <w:tc>
          <w:tcPr>
            <w:tcW w:w="4674" w:type="dxa"/>
            <w:tcBorders>
              <w:top w:val="single" w:color="auto" w:sz="4" w:space="0"/>
              <w:left w:val="single" w:color="auto" w:sz="4" w:space="0"/>
              <w:bottom w:val="single" w:color="auto" w:sz="4" w:space="0"/>
              <w:right w:val="single" w:color="auto" w:sz="4" w:space="0"/>
            </w:tcBorders>
            <w:shd w:val="clear" w:color="auto" w:fill="auto"/>
            <w:vAlign w:val="center"/>
          </w:tcPr>
          <w:p w14:paraId="1AD8EC01">
            <w:pPr>
              <w:spacing w:after="0" w:line="240" w:lineRule="auto"/>
              <w:ind w:firstLine="0"/>
              <w:contextualSpacing/>
              <w:jc w:val="center"/>
              <w:rPr>
                <w:color w:val="000000"/>
                <w:sz w:val="20"/>
                <w:szCs w:val="20"/>
              </w:rPr>
            </w:pPr>
          </w:p>
        </w:tc>
        <w:tc>
          <w:tcPr>
            <w:tcW w:w="495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2AB2FC">
            <w:pPr>
              <w:spacing w:after="0" w:line="240" w:lineRule="auto"/>
              <w:ind w:firstLine="0"/>
              <w:contextualSpacing/>
              <w:jc w:val="center"/>
              <w:rPr>
                <w:color w:val="000000"/>
                <w:sz w:val="20"/>
                <w:szCs w:val="20"/>
              </w:rPr>
            </w:pPr>
            <w:r>
              <w:rPr>
                <w:color w:val="000000"/>
                <w:sz w:val="20"/>
                <w:szCs w:val="20"/>
              </w:rPr>
              <w:t>ООО «Газпром трансгаз Югорск» Верхнеказымское ЛПУ МГ</w:t>
            </w:r>
          </w:p>
        </w:tc>
      </w:tr>
      <w:tr w14:paraId="4B5B5301">
        <w:tblPrEx>
          <w:tblCellMar>
            <w:top w:w="0" w:type="dxa"/>
            <w:left w:w="108" w:type="dxa"/>
            <w:bottom w:w="0" w:type="dxa"/>
            <w:right w:w="108" w:type="dxa"/>
          </w:tblCellMar>
        </w:tblPrEx>
        <w:trPr>
          <w:trHeight w:val="20" w:hRule="atLeast"/>
          <w:jc w:val="center"/>
        </w:trPr>
        <w:tc>
          <w:tcPr>
            <w:tcW w:w="4674" w:type="dxa"/>
            <w:tcBorders>
              <w:top w:val="single" w:color="auto" w:sz="4" w:space="0"/>
              <w:left w:val="single" w:color="auto" w:sz="4" w:space="0"/>
              <w:bottom w:val="single" w:color="auto" w:sz="4" w:space="0"/>
              <w:right w:val="single" w:color="auto" w:sz="4" w:space="0"/>
            </w:tcBorders>
            <w:shd w:val="clear" w:color="auto" w:fill="auto"/>
            <w:vAlign w:val="center"/>
          </w:tcPr>
          <w:p w14:paraId="7F518722">
            <w:pPr>
              <w:spacing w:after="0" w:line="240" w:lineRule="auto"/>
              <w:ind w:firstLine="0"/>
              <w:contextualSpacing/>
              <w:jc w:val="center"/>
              <w:rPr>
                <w:color w:val="000000"/>
                <w:sz w:val="20"/>
                <w:szCs w:val="20"/>
              </w:rPr>
            </w:pPr>
            <w:r>
              <w:rPr>
                <w:color w:val="000000"/>
                <w:sz w:val="20"/>
                <w:szCs w:val="20"/>
              </w:rPr>
              <w:t>Отпуск тепловой энергии, Гкал</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3042549D">
            <w:pPr>
              <w:spacing w:after="0" w:line="240" w:lineRule="auto"/>
              <w:ind w:firstLine="0"/>
              <w:contextualSpacing/>
              <w:jc w:val="center"/>
              <w:rPr>
                <w:color w:val="000000"/>
                <w:sz w:val="20"/>
                <w:szCs w:val="20"/>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01E84BD5">
            <w:pPr>
              <w:spacing w:after="0" w:line="240" w:lineRule="auto"/>
              <w:ind w:firstLine="0"/>
              <w:contextualSpacing/>
              <w:jc w:val="center"/>
              <w:rPr>
                <w:color w:val="000000"/>
                <w:sz w:val="20"/>
                <w:szCs w:val="20"/>
              </w:rPr>
            </w:pPr>
          </w:p>
        </w:tc>
        <w:tc>
          <w:tcPr>
            <w:tcW w:w="1552" w:type="dxa"/>
            <w:tcBorders>
              <w:top w:val="single" w:color="auto" w:sz="4" w:space="0"/>
              <w:left w:val="single" w:color="auto" w:sz="4" w:space="0"/>
              <w:bottom w:val="single" w:color="auto" w:sz="4" w:space="0"/>
              <w:right w:val="single" w:color="auto" w:sz="4" w:space="0"/>
            </w:tcBorders>
            <w:vAlign w:val="center"/>
          </w:tcPr>
          <w:p w14:paraId="1A492B86">
            <w:pPr>
              <w:spacing w:after="0" w:line="240" w:lineRule="auto"/>
              <w:ind w:firstLine="0"/>
              <w:contextualSpacing/>
              <w:jc w:val="center"/>
              <w:rPr>
                <w:color w:val="000000"/>
                <w:sz w:val="20"/>
                <w:szCs w:val="20"/>
              </w:rPr>
            </w:pPr>
            <w:r>
              <w:rPr>
                <w:color w:val="000000"/>
                <w:sz w:val="20"/>
                <w:szCs w:val="20"/>
              </w:rPr>
              <w:t>18022,500</w:t>
            </w:r>
          </w:p>
        </w:tc>
      </w:tr>
      <w:tr w14:paraId="66CC2F4D">
        <w:tblPrEx>
          <w:tblCellMar>
            <w:top w:w="0" w:type="dxa"/>
            <w:left w:w="108" w:type="dxa"/>
            <w:bottom w:w="0" w:type="dxa"/>
            <w:right w:w="108" w:type="dxa"/>
          </w:tblCellMar>
        </w:tblPrEx>
        <w:trPr>
          <w:trHeight w:val="20" w:hRule="atLeast"/>
          <w:jc w:val="center"/>
        </w:trPr>
        <w:tc>
          <w:tcPr>
            <w:tcW w:w="4674" w:type="dxa"/>
            <w:tcBorders>
              <w:top w:val="single" w:color="auto" w:sz="4" w:space="0"/>
              <w:left w:val="single" w:color="auto" w:sz="4" w:space="0"/>
              <w:bottom w:val="single" w:color="auto" w:sz="4" w:space="0"/>
              <w:right w:val="single" w:color="auto" w:sz="4" w:space="0"/>
            </w:tcBorders>
            <w:shd w:val="clear" w:color="auto" w:fill="auto"/>
            <w:vAlign w:val="center"/>
          </w:tcPr>
          <w:p w14:paraId="1B05AFDC">
            <w:pPr>
              <w:spacing w:after="0" w:line="240" w:lineRule="auto"/>
              <w:ind w:firstLine="0"/>
              <w:contextualSpacing/>
              <w:jc w:val="center"/>
              <w:rPr>
                <w:color w:val="000000"/>
                <w:sz w:val="20"/>
                <w:szCs w:val="20"/>
              </w:rPr>
            </w:pPr>
            <w:r>
              <w:rPr>
                <w:color w:val="000000"/>
                <w:sz w:val="20"/>
                <w:szCs w:val="20"/>
              </w:rPr>
              <w:t>Потери тепловой энергии в сетях, Гкал</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50ABB1D5">
            <w:pPr>
              <w:spacing w:after="0" w:line="240" w:lineRule="auto"/>
              <w:ind w:firstLine="0"/>
              <w:contextualSpacing/>
              <w:jc w:val="center"/>
              <w:rPr>
                <w:color w:val="000000"/>
                <w:sz w:val="20"/>
                <w:szCs w:val="20"/>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012C3D98">
            <w:pPr>
              <w:spacing w:after="0" w:line="240" w:lineRule="auto"/>
              <w:ind w:firstLine="0"/>
              <w:contextualSpacing/>
              <w:jc w:val="center"/>
              <w:rPr>
                <w:color w:val="000000"/>
                <w:sz w:val="20"/>
                <w:szCs w:val="20"/>
              </w:rPr>
            </w:pPr>
          </w:p>
        </w:tc>
        <w:tc>
          <w:tcPr>
            <w:tcW w:w="1552" w:type="dxa"/>
            <w:tcBorders>
              <w:top w:val="single" w:color="auto" w:sz="4" w:space="0"/>
              <w:left w:val="single" w:color="auto" w:sz="4" w:space="0"/>
              <w:bottom w:val="single" w:color="auto" w:sz="4" w:space="0"/>
              <w:right w:val="single" w:color="auto" w:sz="4" w:space="0"/>
            </w:tcBorders>
            <w:vAlign w:val="center"/>
          </w:tcPr>
          <w:p w14:paraId="4EAF6967">
            <w:pPr>
              <w:spacing w:after="0" w:line="240" w:lineRule="auto"/>
              <w:ind w:firstLine="0"/>
              <w:contextualSpacing/>
              <w:jc w:val="center"/>
              <w:rPr>
                <w:color w:val="000000"/>
                <w:sz w:val="20"/>
                <w:szCs w:val="20"/>
              </w:rPr>
            </w:pPr>
            <w:r>
              <w:rPr>
                <w:color w:val="000000"/>
                <w:sz w:val="20"/>
                <w:szCs w:val="20"/>
              </w:rPr>
              <w:t>5456,800</w:t>
            </w:r>
          </w:p>
        </w:tc>
      </w:tr>
    </w:tbl>
    <w:p w14:paraId="7B870B33">
      <w:pPr>
        <w:spacing w:after="0" w:line="240" w:lineRule="auto"/>
        <w:contextualSpacing/>
        <w:jc w:val="both"/>
        <w:rPr>
          <w:sz w:val="24"/>
          <w:szCs w:val="24"/>
        </w:rPr>
      </w:pPr>
    </w:p>
    <w:p w14:paraId="61AB7E4D">
      <w:pPr>
        <w:pStyle w:val="4"/>
        <w:spacing w:before="0" w:line="240" w:lineRule="auto"/>
        <w:ind w:left="0" w:firstLine="709"/>
        <w:contextualSpacing/>
        <w:rPr>
          <w:rFonts w:cs="Times New Roman"/>
          <w:b w:val="0"/>
          <w:sz w:val="24"/>
        </w:rPr>
      </w:pPr>
      <w:bookmarkStart w:id="131" w:name="_Toc524614766"/>
      <w:bookmarkStart w:id="132" w:name="_Toc182813892"/>
      <w:bookmarkStart w:id="133" w:name="_Toc524614982"/>
      <w:r>
        <w:rPr>
          <w:rFonts w:cs="Times New Roman"/>
          <w:b w:val="0"/>
          <w:sz w:val="24"/>
        </w:rPr>
        <w:t>Предписания надзорных органов по запрещению дальнейшей эксплуатации участков тепловой сети и результаты их исполнения</w:t>
      </w:r>
      <w:bookmarkEnd w:id="131"/>
      <w:bookmarkEnd w:id="132"/>
      <w:bookmarkEnd w:id="133"/>
    </w:p>
    <w:p w14:paraId="19573D91">
      <w:pPr>
        <w:spacing w:after="0" w:line="240" w:lineRule="auto"/>
        <w:contextualSpacing/>
        <w:jc w:val="both"/>
        <w:rPr>
          <w:sz w:val="24"/>
          <w:szCs w:val="24"/>
        </w:rPr>
      </w:pPr>
      <w:r>
        <w:rPr>
          <w:sz w:val="24"/>
          <w:szCs w:val="24"/>
        </w:rPr>
        <w:t>Предписания надзорных органов по запрещению дальнейшей эксплуатации участков тепловых сетей отсутствуют.</w:t>
      </w:r>
    </w:p>
    <w:p w14:paraId="791BD116">
      <w:pPr>
        <w:spacing w:after="0" w:line="240" w:lineRule="auto"/>
        <w:contextualSpacing/>
        <w:jc w:val="both"/>
        <w:rPr>
          <w:sz w:val="24"/>
          <w:szCs w:val="24"/>
        </w:rPr>
      </w:pPr>
    </w:p>
    <w:p w14:paraId="325D406F">
      <w:pPr>
        <w:pStyle w:val="4"/>
        <w:spacing w:before="0" w:line="240" w:lineRule="auto"/>
        <w:ind w:left="0" w:firstLine="709"/>
        <w:contextualSpacing/>
        <w:rPr>
          <w:rFonts w:cs="Times New Roman"/>
          <w:b w:val="0"/>
          <w:sz w:val="24"/>
        </w:rPr>
      </w:pPr>
      <w:bookmarkStart w:id="134" w:name="_Toc182813893"/>
      <w:bookmarkStart w:id="135" w:name="_Toc524614767"/>
      <w:bookmarkStart w:id="136" w:name="_Toc524614983"/>
      <w:r>
        <w:rPr>
          <w:rFonts w:cs="Times New Roman"/>
          <w:b w:val="0"/>
          <w:sz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4"/>
      <w:bookmarkEnd w:id="135"/>
      <w:bookmarkEnd w:id="136"/>
    </w:p>
    <w:p w14:paraId="266C258F">
      <w:pPr>
        <w:suppressAutoHyphens/>
        <w:spacing w:after="0" w:line="240" w:lineRule="auto"/>
        <w:contextualSpacing/>
        <w:jc w:val="both"/>
        <w:rPr>
          <w:kern w:val="1"/>
          <w:sz w:val="24"/>
          <w:szCs w:val="24"/>
          <w:lang w:eastAsia="hi-IN" w:bidi="hi-IN"/>
        </w:rPr>
      </w:pPr>
      <w:r>
        <w:rPr>
          <w:kern w:val="1"/>
          <w:sz w:val="24"/>
          <w:szCs w:val="24"/>
          <w:lang w:eastAsia="hi-IN" w:bidi="hi-IN"/>
        </w:rPr>
        <w:t>К тепловым сетям системы централизованного теплоснабжения с.п. Верхнеказымский подключены потребители различного назначения, которые представляют собой здания жилого, социально-культурного, административного и производственного назначения высотой от 1 до 4 этажей.</w:t>
      </w:r>
    </w:p>
    <w:p w14:paraId="74F9A67E">
      <w:pPr>
        <w:suppressAutoHyphens/>
        <w:spacing w:after="0" w:line="240" w:lineRule="auto"/>
        <w:contextualSpacing/>
        <w:jc w:val="both"/>
        <w:rPr>
          <w:kern w:val="1"/>
          <w:sz w:val="24"/>
          <w:szCs w:val="24"/>
          <w:lang w:eastAsia="hi-IN" w:bidi="hi-IN"/>
        </w:rPr>
      </w:pPr>
      <w:r>
        <w:rPr>
          <w:kern w:val="1"/>
          <w:sz w:val="24"/>
          <w:szCs w:val="24"/>
          <w:lang w:eastAsia="hi-IN" w:bidi="hi-IN"/>
        </w:rPr>
        <w:t>Подключение систем отопления потребителей к тепловой сети отопления осуществляется по зависимой схеме – используются непосредственное присоединение.</w:t>
      </w:r>
    </w:p>
    <w:p w14:paraId="0208139B">
      <w:pPr>
        <w:suppressAutoHyphens/>
        <w:spacing w:after="0" w:line="240" w:lineRule="auto"/>
        <w:contextualSpacing/>
        <w:jc w:val="both"/>
        <w:rPr>
          <w:kern w:val="1"/>
          <w:sz w:val="24"/>
          <w:szCs w:val="24"/>
          <w:lang w:eastAsia="hi-IN" w:bidi="hi-IN"/>
        </w:rPr>
      </w:pPr>
      <w:r>
        <w:rPr>
          <w:kern w:val="1"/>
          <w:sz w:val="24"/>
          <w:szCs w:val="24"/>
          <w:lang w:eastAsia="hi-IN" w:bidi="hi-IN"/>
        </w:rPr>
        <w:t>Подключение систем горячего водоснабжения потребителей к тепловой сети ГВС осуществляется по непосредственной схеме.</w:t>
      </w:r>
    </w:p>
    <w:p w14:paraId="02EA1F91">
      <w:pPr>
        <w:suppressAutoHyphens/>
        <w:spacing w:after="0" w:line="240" w:lineRule="auto"/>
        <w:contextualSpacing/>
        <w:jc w:val="both"/>
        <w:rPr>
          <w:kern w:val="1"/>
          <w:sz w:val="24"/>
          <w:szCs w:val="24"/>
          <w:lang w:eastAsia="hi-IN" w:bidi="hi-IN"/>
        </w:rPr>
      </w:pPr>
    </w:p>
    <w:p w14:paraId="340D9328">
      <w:pPr>
        <w:pStyle w:val="4"/>
        <w:spacing w:before="0" w:line="240" w:lineRule="auto"/>
        <w:ind w:left="0" w:firstLine="709"/>
        <w:contextualSpacing/>
        <w:rPr>
          <w:rFonts w:cs="Times New Roman"/>
          <w:b w:val="0"/>
          <w:sz w:val="24"/>
        </w:rPr>
      </w:pPr>
      <w:bookmarkStart w:id="137" w:name="_Toc524614984"/>
      <w:bookmarkStart w:id="138" w:name="_Toc524614768"/>
      <w:bookmarkStart w:id="139" w:name="_Toc182813894"/>
      <w:r>
        <w:rPr>
          <w:rFonts w:cs="Times New Roman"/>
          <w:b w:val="0"/>
          <w:sz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7"/>
      <w:bookmarkEnd w:id="138"/>
      <w:bookmarkEnd w:id="139"/>
    </w:p>
    <w:p w14:paraId="5999BE21">
      <w:pPr>
        <w:spacing w:after="0" w:line="240" w:lineRule="auto"/>
        <w:contextualSpacing/>
        <w:jc w:val="both"/>
        <w:rPr>
          <w:sz w:val="24"/>
          <w:szCs w:val="24"/>
        </w:rPr>
      </w:pPr>
      <w:bookmarkStart w:id="140" w:name="_Hlk36825270"/>
      <w:r>
        <w:rPr>
          <w:sz w:val="24"/>
          <w:szCs w:val="24"/>
        </w:rPr>
        <w:t>В рамках выполнения требований Федерального закона от 23.11.2009 № 261-ФЗ «Об 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с.п. Верхнеказымский.</w:t>
      </w:r>
    </w:p>
    <w:p w14:paraId="28164BEF">
      <w:pPr>
        <w:spacing w:after="0" w:line="240" w:lineRule="auto"/>
        <w:contextualSpacing/>
        <w:jc w:val="both"/>
        <w:rPr>
          <w:sz w:val="24"/>
          <w:szCs w:val="24"/>
        </w:rPr>
      </w:pPr>
      <w:r>
        <w:rPr>
          <w:sz w:val="24"/>
          <w:szCs w:val="24"/>
        </w:rPr>
        <w:t>Приборы учёта МУП «БКС» представлены в таблице 26. Приборы учёта тепловой энергии «Газпром трансгаз Югорск» Верхнеказымское ЛПУ МГ отсутствуют в двух домах: 3 мкр. д. 12 и 4 мкр. д. 2.</w:t>
      </w:r>
    </w:p>
    <w:p w14:paraId="3802696F">
      <w:pPr>
        <w:spacing w:after="0" w:line="240" w:lineRule="auto"/>
        <w:contextualSpacing/>
        <w:jc w:val="both"/>
        <w:rPr>
          <w:sz w:val="24"/>
          <w:szCs w:val="24"/>
        </w:rPr>
      </w:pPr>
    </w:p>
    <w:p w14:paraId="6A39F2CC">
      <w:pPr>
        <w:spacing w:after="0" w:line="240" w:lineRule="auto"/>
        <w:ind w:firstLine="0"/>
        <w:contextualSpacing/>
        <w:jc w:val="both"/>
        <w:rPr>
          <w:sz w:val="24"/>
          <w:szCs w:val="24"/>
        </w:rPr>
      </w:pPr>
      <w:r>
        <w:rPr>
          <w:bCs/>
          <w:sz w:val="24"/>
        </w:rPr>
        <w:t xml:space="preserve">Таблица </w:t>
      </w:r>
      <w:r>
        <w:rPr>
          <w:bCs/>
          <w:sz w:val="24"/>
        </w:rPr>
        <w:fldChar w:fldCharType="begin"/>
      </w:r>
      <w:r>
        <w:rPr>
          <w:bCs/>
          <w:sz w:val="24"/>
        </w:rPr>
        <w:instrText xml:space="preserve"> SEQ Таблица \* ARABIC </w:instrText>
      </w:r>
      <w:r>
        <w:rPr>
          <w:bCs/>
          <w:sz w:val="24"/>
        </w:rPr>
        <w:fldChar w:fldCharType="separate"/>
      </w:r>
      <w:r>
        <w:rPr>
          <w:bCs/>
          <w:sz w:val="24"/>
        </w:rPr>
        <w:t>26</w:t>
      </w:r>
      <w:r>
        <w:rPr>
          <w:bCs/>
          <w:sz w:val="24"/>
        </w:rPr>
        <w:fldChar w:fldCharType="end"/>
      </w:r>
      <w:r>
        <w:rPr>
          <w:bCs/>
          <w:sz w:val="24"/>
        </w:rPr>
        <w:t xml:space="preserve"> – Приборы учета МУП «БКС»</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50"/>
        <w:gridCol w:w="6844"/>
      </w:tblGrid>
      <w:tr w14:paraId="56CD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2DC5D581">
            <w:pPr>
              <w:spacing w:after="0" w:line="240" w:lineRule="auto"/>
              <w:ind w:firstLine="0"/>
              <w:jc w:val="center"/>
              <w:rPr>
                <w:bCs/>
                <w:sz w:val="20"/>
                <w:szCs w:val="20"/>
              </w:rPr>
            </w:pPr>
            <w:r>
              <w:rPr>
                <w:bCs/>
                <w:sz w:val="20"/>
                <w:szCs w:val="20"/>
              </w:rPr>
              <w:t>Организация плательщик</w:t>
            </w:r>
          </w:p>
        </w:tc>
        <w:tc>
          <w:tcPr>
            <w:tcW w:w="3530" w:type="pct"/>
            <w:shd w:val="clear" w:color="auto" w:fill="auto"/>
            <w:vAlign w:val="center"/>
          </w:tcPr>
          <w:p w14:paraId="3F783278">
            <w:pPr>
              <w:spacing w:after="0" w:line="240" w:lineRule="auto"/>
              <w:ind w:firstLine="0"/>
              <w:jc w:val="center"/>
              <w:rPr>
                <w:bCs/>
                <w:sz w:val="20"/>
                <w:szCs w:val="20"/>
              </w:rPr>
            </w:pPr>
            <w:r>
              <w:rPr>
                <w:bCs/>
                <w:sz w:val="20"/>
                <w:szCs w:val="20"/>
              </w:rPr>
              <w:t>Наименование объекта, на котором установлен прибор учёта</w:t>
            </w:r>
          </w:p>
        </w:tc>
      </w:tr>
      <w:tr w14:paraId="12A3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0F6CA5BC">
            <w:pPr>
              <w:spacing w:after="0" w:line="240" w:lineRule="auto"/>
              <w:ind w:firstLine="0"/>
              <w:jc w:val="center"/>
              <w:rPr>
                <w:bCs/>
                <w:sz w:val="20"/>
                <w:szCs w:val="20"/>
              </w:rPr>
            </w:pPr>
            <w:r>
              <w:rPr>
                <w:bCs/>
                <w:sz w:val="20"/>
                <w:szCs w:val="20"/>
              </w:rPr>
              <w:t>Колокольчик Верхнеказымский</w:t>
            </w:r>
          </w:p>
        </w:tc>
        <w:tc>
          <w:tcPr>
            <w:tcW w:w="3530" w:type="pct"/>
            <w:shd w:val="clear" w:color="auto" w:fill="auto"/>
            <w:vAlign w:val="center"/>
          </w:tcPr>
          <w:p w14:paraId="78477F43">
            <w:pPr>
              <w:spacing w:after="0" w:line="240" w:lineRule="auto"/>
              <w:ind w:firstLine="0"/>
              <w:jc w:val="center"/>
              <w:rPr>
                <w:sz w:val="20"/>
                <w:szCs w:val="20"/>
              </w:rPr>
            </w:pPr>
            <w:r>
              <w:rPr>
                <w:sz w:val="20"/>
                <w:szCs w:val="20"/>
              </w:rPr>
              <w:t>МАОУ Белоярского р-на "СОШ п. Верхнеказымский" Верхнеказымский мкр, мкр. 3, Ханты-Мансийский Автономный округ - Югра АО,  ответственный: Директор Степура Нина Владимировна телефон: 47439; 47522</w:t>
            </w:r>
          </w:p>
        </w:tc>
      </w:tr>
      <w:tr w14:paraId="0A77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658C4ADD">
            <w:pPr>
              <w:spacing w:after="0" w:line="240" w:lineRule="auto"/>
              <w:ind w:firstLine="0"/>
              <w:jc w:val="center"/>
              <w:rPr>
                <w:bCs/>
                <w:sz w:val="20"/>
                <w:szCs w:val="20"/>
              </w:rPr>
            </w:pPr>
            <w:r>
              <w:rPr>
                <w:bCs/>
                <w:sz w:val="20"/>
                <w:szCs w:val="20"/>
              </w:rPr>
              <w:t>Зинченко И.А.</w:t>
            </w:r>
          </w:p>
        </w:tc>
        <w:tc>
          <w:tcPr>
            <w:tcW w:w="3530" w:type="pct"/>
            <w:shd w:val="clear" w:color="auto" w:fill="auto"/>
            <w:vAlign w:val="center"/>
          </w:tcPr>
          <w:p w14:paraId="50BBDF10">
            <w:pPr>
              <w:spacing w:after="0" w:line="240" w:lineRule="auto"/>
              <w:ind w:firstLine="0"/>
              <w:jc w:val="center"/>
              <w:rPr>
                <w:sz w:val="20"/>
                <w:szCs w:val="20"/>
              </w:rPr>
            </w:pPr>
            <w:r>
              <w:rPr>
                <w:sz w:val="20"/>
                <w:szCs w:val="20"/>
              </w:rPr>
              <w:t>Пекарня 4-й мкр, д. 9,, Верхнеказымский п, ответственный:ИП Зинченко Игорь Александрович телефон: 89224408842</w:t>
            </w:r>
          </w:p>
        </w:tc>
      </w:tr>
      <w:tr w14:paraId="33BB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04490B5C">
            <w:pPr>
              <w:spacing w:after="0" w:line="240" w:lineRule="auto"/>
              <w:ind w:firstLine="0"/>
              <w:jc w:val="center"/>
              <w:rPr>
                <w:bCs/>
                <w:sz w:val="20"/>
                <w:szCs w:val="20"/>
              </w:rPr>
            </w:pPr>
            <w:r>
              <w:rPr>
                <w:bCs/>
                <w:sz w:val="20"/>
                <w:szCs w:val="20"/>
              </w:rPr>
              <w:t>УМП ГЦТ</w:t>
            </w:r>
          </w:p>
        </w:tc>
        <w:tc>
          <w:tcPr>
            <w:tcW w:w="3530" w:type="pct"/>
            <w:shd w:val="clear" w:color="auto" w:fill="auto"/>
            <w:vAlign w:val="center"/>
          </w:tcPr>
          <w:p w14:paraId="6974798A">
            <w:pPr>
              <w:spacing w:after="0" w:line="240" w:lineRule="auto"/>
              <w:ind w:firstLine="0"/>
              <w:jc w:val="center"/>
              <w:rPr>
                <w:sz w:val="20"/>
                <w:szCs w:val="20"/>
              </w:rPr>
            </w:pPr>
            <w:r>
              <w:rPr>
                <w:sz w:val="20"/>
                <w:szCs w:val="20"/>
              </w:rPr>
              <w:t>УМП ГЦТ "Пекарня Верхнеказымский" Верхнеказымский п, мкр. 1 дом 9, ответственный: Грачев В.Н. телефон: 2-11-81</w:t>
            </w:r>
          </w:p>
        </w:tc>
      </w:tr>
      <w:tr w14:paraId="26B2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413E0524">
            <w:pPr>
              <w:spacing w:after="0" w:line="240" w:lineRule="auto"/>
              <w:ind w:firstLine="0"/>
              <w:jc w:val="center"/>
              <w:rPr>
                <w:bCs/>
                <w:sz w:val="20"/>
                <w:szCs w:val="20"/>
              </w:rPr>
            </w:pPr>
            <w:r>
              <w:rPr>
                <w:sz w:val="20"/>
                <w:szCs w:val="20"/>
              </w:rPr>
              <w:t>ООО «Интехсов»</w:t>
            </w:r>
          </w:p>
        </w:tc>
        <w:tc>
          <w:tcPr>
            <w:tcW w:w="3530" w:type="pct"/>
            <w:shd w:val="clear" w:color="auto" w:fill="auto"/>
            <w:vAlign w:val="center"/>
          </w:tcPr>
          <w:p w14:paraId="6ADF9242">
            <w:pPr>
              <w:spacing w:after="0" w:line="240" w:lineRule="auto"/>
              <w:ind w:firstLine="0"/>
              <w:jc w:val="center"/>
              <w:rPr>
                <w:sz w:val="20"/>
                <w:szCs w:val="20"/>
              </w:rPr>
            </w:pPr>
            <w:r>
              <w:rPr>
                <w:sz w:val="20"/>
                <w:szCs w:val="20"/>
              </w:rPr>
              <w:t>ООО «Интехсов», ОБЩЕЖИТИЕ; п. Верхнеказымский, мкр.. 1-14/1,  ответственный: Кнутарева Е.В. телефон: 89128665896</w:t>
            </w:r>
          </w:p>
        </w:tc>
      </w:tr>
      <w:tr w14:paraId="52E5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470" w:type="pct"/>
            <w:shd w:val="clear" w:color="auto" w:fill="auto"/>
            <w:vAlign w:val="center"/>
          </w:tcPr>
          <w:p w14:paraId="68E9C3E3">
            <w:pPr>
              <w:spacing w:after="0" w:line="240" w:lineRule="auto"/>
              <w:ind w:firstLine="0"/>
              <w:jc w:val="center"/>
              <w:rPr>
                <w:bCs/>
                <w:sz w:val="20"/>
                <w:szCs w:val="20"/>
              </w:rPr>
            </w:pPr>
            <w:r>
              <w:rPr>
                <w:bCs/>
                <w:sz w:val="20"/>
                <w:szCs w:val="20"/>
              </w:rPr>
              <w:t>ООО «Управляющая компания ЖКС плюс»</w:t>
            </w:r>
          </w:p>
        </w:tc>
        <w:tc>
          <w:tcPr>
            <w:tcW w:w="3530" w:type="pct"/>
            <w:shd w:val="clear" w:color="auto" w:fill="auto"/>
            <w:vAlign w:val="center"/>
          </w:tcPr>
          <w:p w14:paraId="4FD9A534">
            <w:pPr>
              <w:spacing w:after="0" w:line="240" w:lineRule="auto"/>
              <w:ind w:firstLine="0"/>
              <w:jc w:val="center"/>
              <w:rPr>
                <w:sz w:val="20"/>
                <w:szCs w:val="20"/>
              </w:rPr>
            </w:pPr>
            <w:r>
              <w:rPr>
                <w:sz w:val="20"/>
                <w:szCs w:val="20"/>
              </w:rPr>
              <w:t>Общежитие, ООО «УК ЖКС плюс» с/п Верхнеказымский Верхнеказымский п, дом 15/1, ответственный: Техник ООО «ЖКС+» телефон: 21409</w:t>
            </w:r>
          </w:p>
        </w:tc>
      </w:tr>
      <w:tr w14:paraId="4C64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 w:hRule="atLeast"/>
        </w:trPr>
        <w:tc>
          <w:tcPr>
            <w:tcW w:w="1470" w:type="pct"/>
            <w:shd w:val="clear" w:color="auto" w:fill="auto"/>
            <w:vAlign w:val="center"/>
          </w:tcPr>
          <w:p w14:paraId="0495733B">
            <w:pPr>
              <w:spacing w:after="0" w:line="240" w:lineRule="auto"/>
              <w:ind w:firstLine="0"/>
              <w:jc w:val="center"/>
              <w:rPr>
                <w:bCs/>
                <w:sz w:val="20"/>
                <w:szCs w:val="20"/>
              </w:rPr>
            </w:pPr>
            <w:r>
              <w:rPr>
                <w:color w:val="000000"/>
                <w:sz w:val="20"/>
                <w:szCs w:val="20"/>
              </w:rPr>
              <w:t>Котельная №2</w:t>
            </w:r>
          </w:p>
        </w:tc>
        <w:tc>
          <w:tcPr>
            <w:tcW w:w="3530" w:type="pct"/>
            <w:shd w:val="clear" w:color="auto" w:fill="auto"/>
            <w:vAlign w:val="center"/>
          </w:tcPr>
          <w:p w14:paraId="7AB29482">
            <w:pPr>
              <w:spacing w:after="0" w:line="240" w:lineRule="auto"/>
              <w:ind w:firstLine="0"/>
              <w:jc w:val="center"/>
              <w:rPr>
                <w:sz w:val="20"/>
                <w:szCs w:val="20"/>
              </w:rPr>
            </w:pPr>
            <w:r>
              <w:rPr>
                <w:bCs/>
                <w:sz w:val="20"/>
                <w:szCs w:val="20"/>
              </w:rPr>
              <w:t>Котельная №2 Верхнеказымский п, мкр.1, здан.20</w:t>
            </w:r>
          </w:p>
        </w:tc>
      </w:tr>
    </w:tbl>
    <w:p w14:paraId="4CD121E7">
      <w:pPr>
        <w:widowControl w:val="0"/>
        <w:spacing w:after="0" w:line="240" w:lineRule="auto"/>
        <w:contextualSpacing/>
        <w:jc w:val="both"/>
        <w:rPr>
          <w:sz w:val="24"/>
          <w:szCs w:val="24"/>
        </w:rPr>
      </w:pPr>
    </w:p>
    <w:bookmarkEnd w:id="140"/>
    <w:p w14:paraId="2B8D4449">
      <w:pPr>
        <w:pStyle w:val="4"/>
        <w:spacing w:before="0" w:line="240" w:lineRule="auto"/>
        <w:ind w:left="0" w:firstLine="709"/>
        <w:contextualSpacing/>
        <w:rPr>
          <w:rFonts w:cs="Times New Roman"/>
          <w:b w:val="0"/>
          <w:sz w:val="24"/>
        </w:rPr>
      </w:pPr>
      <w:bookmarkStart w:id="141" w:name="_Toc182813895"/>
      <w:r>
        <w:rPr>
          <w:rFonts w:cs="Times New Roman"/>
          <w:b w:val="0"/>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1"/>
    </w:p>
    <w:p w14:paraId="30B306D6">
      <w:pPr>
        <w:spacing w:after="0" w:line="240" w:lineRule="auto"/>
        <w:jc w:val="both"/>
        <w:rPr>
          <w:sz w:val="24"/>
          <w:szCs w:val="20"/>
        </w:rPr>
      </w:pPr>
      <w:r>
        <w:rPr>
          <w:sz w:val="24"/>
          <w:szCs w:val="20"/>
        </w:rPr>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5EA0F967">
      <w:pPr>
        <w:pStyle w:val="153"/>
        <w:numPr>
          <w:ilvl w:val="0"/>
          <w:numId w:val="35"/>
        </w:numPr>
        <w:tabs>
          <w:tab w:val="left" w:pos="993"/>
        </w:tabs>
        <w:ind w:left="0" w:firstLine="709"/>
        <w:rPr>
          <w:sz w:val="24"/>
        </w:rPr>
      </w:pPr>
      <w:r>
        <w:rPr>
          <w:sz w:val="24"/>
        </w:rPr>
        <w:t>ведение режима работы;</w:t>
      </w:r>
    </w:p>
    <w:p w14:paraId="6E07D244">
      <w:pPr>
        <w:pStyle w:val="153"/>
        <w:numPr>
          <w:ilvl w:val="0"/>
          <w:numId w:val="35"/>
        </w:numPr>
        <w:tabs>
          <w:tab w:val="left" w:pos="993"/>
        </w:tabs>
        <w:ind w:left="0" w:firstLine="709"/>
        <w:rPr>
          <w:sz w:val="24"/>
        </w:rPr>
      </w:pPr>
      <w:r>
        <w:rPr>
          <w:sz w:val="24"/>
        </w:rPr>
        <w:t>производство переключений, пусков и остановов;</w:t>
      </w:r>
    </w:p>
    <w:p w14:paraId="0B309746">
      <w:pPr>
        <w:pStyle w:val="153"/>
        <w:numPr>
          <w:ilvl w:val="0"/>
          <w:numId w:val="35"/>
        </w:numPr>
        <w:tabs>
          <w:tab w:val="left" w:pos="993"/>
        </w:tabs>
        <w:ind w:left="0" w:firstLine="709"/>
        <w:rPr>
          <w:sz w:val="24"/>
        </w:rPr>
      </w:pPr>
      <w:r>
        <w:rPr>
          <w:sz w:val="24"/>
        </w:rPr>
        <w:t>локализация аварий и восстановление режима работы;</w:t>
      </w:r>
    </w:p>
    <w:p w14:paraId="0B1058ED">
      <w:pPr>
        <w:pStyle w:val="153"/>
        <w:numPr>
          <w:ilvl w:val="0"/>
          <w:numId w:val="35"/>
        </w:numPr>
        <w:tabs>
          <w:tab w:val="left" w:pos="993"/>
        </w:tabs>
        <w:ind w:left="0" w:firstLine="709"/>
        <w:rPr>
          <w:sz w:val="24"/>
        </w:rPr>
      </w:pPr>
      <w:r>
        <w:rPr>
          <w:sz w:val="24"/>
        </w:rPr>
        <w:t>подготовка к производству ремонтных работ;</w:t>
      </w:r>
    </w:p>
    <w:p w14:paraId="7A1B19D7">
      <w:pPr>
        <w:pStyle w:val="153"/>
        <w:numPr>
          <w:ilvl w:val="0"/>
          <w:numId w:val="35"/>
        </w:numPr>
        <w:tabs>
          <w:tab w:val="left" w:pos="993"/>
        </w:tabs>
        <w:ind w:left="0" w:firstLine="709"/>
        <w:rPr>
          <w:sz w:val="24"/>
        </w:rPr>
      </w:pPr>
      <w:r>
        <w:rPr>
          <w:sz w:val="24"/>
        </w:rPr>
        <w:t>выполнение графика ограничений и отключений потребителей, вводимого в установленном порядке.</w:t>
      </w:r>
    </w:p>
    <w:p w14:paraId="658E85D0">
      <w:pPr>
        <w:spacing w:after="0" w:line="240" w:lineRule="auto"/>
        <w:jc w:val="both"/>
        <w:rPr>
          <w:sz w:val="24"/>
          <w:szCs w:val="20"/>
        </w:rPr>
      </w:pPr>
    </w:p>
    <w:p w14:paraId="60E6211D">
      <w:pPr>
        <w:spacing w:after="0" w:line="240" w:lineRule="auto"/>
        <w:jc w:val="both"/>
        <w:rPr>
          <w:sz w:val="24"/>
          <w:szCs w:val="20"/>
        </w:rPr>
      </w:pPr>
      <w:r>
        <w:rPr>
          <w:sz w:val="24"/>
          <w:szCs w:val="20"/>
        </w:rPr>
        <w:t>В целях обеспечения надёжного и качественного теплоснабжения дежурный персонал котельных осуществляет контроль над параметрами температурных и гидравлических режимов работы оборудования.</w:t>
      </w:r>
    </w:p>
    <w:p w14:paraId="5271C715">
      <w:pPr>
        <w:spacing w:after="0" w:line="240" w:lineRule="auto"/>
        <w:jc w:val="both"/>
        <w:rPr>
          <w:sz w:val="24"/>
          <w:szCs w:val="20"/>
        </w:rPr>
      </w:pPr>
      <w:r>
        <w:rPr>
          <w:sz w:val="24"/>
          <w:szCs w:val="20"/>
        </w:rPr>
        <w:t>Автоматическое регулирование качеством теплоснабжения на котельных с.п. Верхнеказымский отсутствует.</w:t>
      </w:r>
    </w:p>
    <w:p w14:paraId="4C1E28BF">
      <w:pPr>
        <w:spacing w:after="0" w:line="240" w:lineRule="auto"/>
        <w:jc w:val="both"/>
        <w:rPr>
          <w:sz w:val="24"/>
          <w:szCs w:val="20"/>
        </w:rPr>
      </w:pPr>
    </w:p>
    <w:p w14:paraId="2D0A8295">
      <w:pPr>
        <w:pStyle w:val="4"/>
        <w:spacing w:before="0" w:line="240" w:lineRule="auto"/>
        <w:ind w:left="0" w:firstLine="709"/>
        <w:contextualSpacing/>
        <w:rPr>
          <w:rFonts w:cs="Times New Roman"/>
          <w:b w:val="0"/>
          <w:sz w:val="24"/>
        </w:rPr>
      </w:pPr>
      <w:bookmarkStart w:id="142" w:name="_Toc182813896"/>
      <w:r>
        <w:rPr>
          <w:rFonts w:cs="Times New Roman"/>
          <w:b w:val="0"/>
          <w:sz w:val="24"/>
        </w:rPr>
        <w:t>Уровень автоматизации и обслуживания центральных тепловых пунктов, насосных станций</w:t>
      </w:r>
      <w:bookmarkEnd w:id="142"/>
    </w:p>
    <w:p w14:paraId="1D45532D">
      <w:pPr>
        <w:spacing w:after="0" w:line="240" w:lineRule="auto"/>
        <w:contextualSpacing/>
        <w:jc w:val="both"/>
        <w:rPr>
          <w:sz w:val="24"/>
          <w:szCs w:val="24"/>
        </w:rPr>
      </w:pPr>
      <w:r>
        <w:rPr>
          <w:sz w:val="24"/>
          <w:szCs w:val="24"/>
        </w:rPr>
        <w:t>Автоматическое регулирование качеством теплоснабжения осуществляется от котельных №2 и Вирбекс.</w:t>
      </w:r>
    </w:p>
    <w:p w14:paraId="17659DB7">
      <w:pPr>
        <w:spacing w:after="0" w:line="240" w:lineRule="auto"/>
        <w:contextualSpacing/>
        <w:jc w:val="both"/>
        <w:rPr>
          <w:sz w:val="24"/>
          <w:szCs w:val="24"/>
        </w:rPr>
      </w:pPr>
      <w:r>
        <w:rPr>
          <w:sz w:val="24"/>
          <w:szCs w:val="24"/>
        </w:rPr>
        <w:t>Автоматическое регулирование качеством теплоснабжения от котельной 2БВК отсутствует.</w:t>
      </w:r>
    </w:p>
    <w:p w14:paraId="53E57731">
      <w:pPr>
        <w:spacing w:after="0" w:line="240" w:lineRule="auto"/>
        <w:contextualSpacing/>
        <w:jc w:val="both"/>
        <w:rPr>
          <w:rFonts w:eastAsia="Calibri"/>
          <w:sz w:val="24"/>
          <w:szCs w:val="24"/>
          <w:lang w:eastAsia="en-US"/>
        </w:rPr>
      </w:pPr>
    </w:p>
    <w:p w14:paraId="3052992B">
      <w:pPr>
        <w:pStyle w:val="4"/>
        <w:spacing w:before="0" w:line="240" w:lineRule="auto"/>
        <w:ind w:left="0" w:firstLine="709"/>
        <w:contextualSpacing/>
        <w:rPr>
          <w:rFonts w:cs="Times New Roman"/>
          <w:b w:val="0"/>
          <w:sz w:val="24"/>
        </w:rPr>
      </w:pPr>
      <w:bookmarkStart w:id="143" w:name="_Toc182813897"/>
      <w:r>
        <w:rPr>
          <w:rFonts w:cs="Times New Roman"/>
          <w:b w:val="0"/>
          <w:sz w:val="24"/>
        </w:rPr>
        <w:t>Сведения о наличии защиты тепловых сетей от превышения давления</w:t>
      </w:r>
      <w:bookmarkEnd w:id="143"/>
    </w:p>
    <w:p w14:paraId="10B18968">
      <w:pPr>
        <w:spacing w:after="0" w:line="240" w:lineRule="auto"/>
        <w:contextualSpacing/>
        <w:jc w:val="both"/>
        <w:rPr>
          <w:sz w:val="24"/>
          <w:szCs w:val="24"/>
        </w:rPr>
      </w:pPr>
      <w:r>
        <w:rPr>
          <w:sz w:val="24"/>
          <w:szCs w:val="24"/>
        </w:rPr>
        <w:t>На теплоисточниках для автоматической защиты тепловых сетей от превышения давления установлены предохранительные клапаны.</w:t>
      </w:r>
    </w:p>
    <w:p w14:paraId="2195743E">
      <w:pPr>
        <w:spacing w:after="0" w:line="240" w:lineRule="auto"/>
        <w:contextualSpacing/>
        <w:jc w:val="both"/>
        <w:rPr>
          <w:sz w:val="24"/>
          <w:szCs w:val="24"/>
        </w:rPr>
      </w:pPr>
    </w:p>
    <w:p w14:paraId="40F556D7">
      <w:pPr>
        <w:pStyle w:val="4"/>
        <w:spacing w:before="0" w:line="240" w:lineRule="auto"/>
        <w:ind w:left="0" w:firstLine="709"/>
        <w:contextualSpacing/>
        <w:rPr>
          <w:rFonts w:cs="Times New Roman"/>
          <w:b w:val="0"/>
          <w:sz w:val="24"/>
        </w:rPr>
      </w:pPr>
      <w:bookmarkStart w:id="144" w:name="_Toc524614769"/>
      <w:bookmarkStart w:id="145" w:name="_Toc524614985"/>
      <w:bookmarkStart w:id="146" w:name="_Toc182813898"/>
      <w:r>
        <w:rPr>
          <w:rFonts w:cs="Times New Roman"/>
          <w:b w:val="0"/>
          <w:sz w:val="24"/>
        </w:rPr>
        <w:t>Перечень выявленных бесхозяйных тепловых сетей и обоснование выбора организации, уполномоченной на их эксплуатацию</w:t>
      </w:r>
      <w:bookmarkEnd w:id="144"/>
      <w:bookmarkEnd w:id="145"/>
      <w:bookmarkEnd w:id="146"/>
    </w:p>
    <w:p w14:paraId="537189B2">
      <w:pPr>
        <w:spacing w:after="0" w:line="240" w:lineRule="auto"/>
        <w:contextualSpacing/>
        <w:jc w:val="both"/>
        <w:rPr>
          <w:sz w:val="24"/>
          <w:szCs w:val="24"/>
        </w:rPr>
      </w:pPr>
      <w:bookmarkStart w:id="147" w:name="_Hlk22219815"/>
      <w:bookmarkStart w:id="148" w:name="_Hlk37159700"/>
      <w:r>
        <w:rPr>
          <w:sz w:val="24"/>
          <w:szCs w:val="24"/>
        </w:rPr>
        <w:t>На момент актуализации Схемы теплоснабжения в границах с.п. Верхнеказымский бесхозяйные участки тепловой сети не выявлены.</w:t>
      </w:r>
    </w:p>
    <w:p w14:paraId="7DAF351C">
      <w:pPr>
        <w:spacing w:after="0" w:line="240" w:lineRule="auto"/>
        <w:contextualSpacing/>
        <w:jc w:val="both"/>
        <w:rPr>
          <w:sz w:val="24"/>
          <w:szCs w:val="24"/>
        </w:rPr>
      </w:pPr>
      <w:r>
        <w:rPr>
          <w:sz w:val="24"/>
          <w:szCs w:val="24"/>
        </w:rPr>
        <w:t>В соответствии со статьей 15 п.6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муниципального образования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3F4F86A7">
      <w:pPr>
        <w:spacing w:after="0" w:line="240" w:lineRule="auto"/>
        <w:contextualSpacing/>
        <w:jc w:val="both"/>
        <w:rPr>
          <w:sz w:val="24"/>
          <w:szCs w:val="24"/>
        </w:rPr>
      </w:pPr>
      <w:r>
        <w:rPr>
          <w:sz w:val="24"/>
          <w:szCs w:val="24"/>
        </w:rPr>
        <w:t xml:space="preserve">Организации, уполномоченные на эксплуатацию бесхозяйных сетей: </w:t>
      </w:r>
      <w:bookmarkEnd w:id="147"/>
      <w:bookmarkEnd w:id="148"/>
      <w:r>
        <w:rPr>
          <w:sz w:val="24"/>
          <w:szCs w:val="24"/>
        </w:rPr>
        <w:t>МУП «БКС» и ООО «Газпром трансгаз Югорск» Верхнеказымское ЛПУ МГ.</w:t>
      </w:r>
    </w:p>
    <w:p w14:paraId="2A54B270">
      <w:pPr>
        <w:spacing w:after="0" w:line="240" w:lineRule="auto"/>
        <w:contextualSpacing/>
        <w:jc w:val="both"/>
        <w:rPr>
          <w:sz w:val="24"/>
          <w:szCs w:val="24"/>
        </w:rPr>
      </w:pPr>
    </w:p>
    <w:p w14:paraId="0E9E7882">
      <w:pPr>
        <w:pStyle w:val="4"/>
        <w:spacing w:before="0" w:line="240" w:lineRule="auto"/>
        <w:ind w:left="0" w:firstLine="709"/>
        <w:contextualSpacing/>
        <w:rPr>
          <w:rFonts w:cs="Times New Roman"/>
          <w:b w:val="0"/>
          <w:sz w:val="24"/>
        </w:rPr>
      </w:pPr>
      <w:bookmarkStart w:id="149" w:name="_Toc524614770"/>
      <w:bookmarkStart w:id="150" w:name="_Toc524614986"/>
      <w:bookmarkStart w:id="151" w:name="_Toc182813899"/>
      <w:r>
        <w:rPr>
          <w:rFonts w:cs="Times New Roman"/>
          <w:b w:val="0"/>
          <w:sz w:val="24"/>
        </w:rPr>
        <w:t>Данные энергетических характеристик тепловых сетей (при их наличии)</w:t>
      </w:r>
      <w:bookmarkEnd w:id="149"/>
      <w:bookmarkEnd w:id="150"/>
      <w:bookmarkEnd w:id="151"/>
    </w:p>
    <w:p w14:paraId="1C77F530">
      <w:pPr>
        <w:spacing w:after="0" w:line="240" w:lineRule="auto"/>
        <w:contextualSpacing/>
        <w:jc w:val="both"/>
        <w:rPr>
          <w:sz w:val="24"/>
          <w:szCs w:val="24"/>
        </w:rPr>
      </w:pPr>
      <w:r>
        <w:rPr>
          <w:sz w:val="24"/>
          <w:szCs w:val="24"/>
        </w:rPr>
        <w:t>Данные энергетических характеристик тепловых сетей представлены в таблице 27.</w:t>
      </w:r>
    </w:p>
    <w:p w14:paraId="0017C846">
      <w:pPr>
        <w:pStyle w:val="43"/>
        <w:keepNext/>
        <w:spacing w:before="0" w:after="0" w:line="240" w:lineRule="auto"/>
        <w:contextualSpacing/>
        <w:rPr>
          <w:rFonts w:cs="Times New Roman"/>
          <w:b w:val="0"/>
          <w:sz w:val="24"/>
          <w:szCs w:val="24"/>
        </w:rPr>
      </w:pPr>
      <w:bookmarkStart w:id="152" w:name="_Toc77864654"/>
    </w:p>
    <w:p w14:paraId="65117977">
      <w:pPr>
        <w:widowControl w:val="0"/>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27</w:t>
      </w:r>
      <w:r>
        <w:rPr>
          <w:bCs/>
          <w:sz w:val="24"/>
          <w:szCs w:val="24"/>
        </w:rPr>
        <w:fldChar w:fldCharType="end"/>
      </w:r>
      <w:r>
        <w:rPr>
          <w:bCs/>
          <w:sz w:val="24"/>
          <w:szCs w:val="24"/>
        </w:rPr>
        <w:t xml:space="preserve"> – Технические характеристики сетей теплоснабжения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11"/>
        <w:gridCol w:w="1743"/>
        <w:gridCol w:w="1113"/>
        <w:gridCol w:w="872"/>
        <w:gridCol w:w="1687"/>
        <w:gridCol w:w="2268"/>
      </w:tblGrid>
      <w:tr w14:paraId="2D5D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7" w:hRule="atLeast"/>
        </w:trPr>
        <w:tc>
          <w:tcPr>
            <w:tcW w:w="1037" w:type="pct"/>
            <w:vMerge w:val="restart"/>
            <w:shd w:val="clear" w:color="auto" w:fill="auto"/>
            <w:vAlign w:val="center"/>
          </w:tcPr>
          <w:p w14:paraId="04B79F89">
            <w:pPr>
              <w:spacing w:after="0" w:line="240" w:lineRule="auto"/>
              <w:ind w:firstLine="0"/>
              <w:contextualSpacing/>
              <w:jc w:val="center"/>
              <w:rPr>
                <w:bCs/>
                <w:sz w:val="20"/>
                <w:szCs w:val="20"/>
              </w:rPr>
            </w:pPr>
            <w:r>
              <w:rPr>
                <w:bCs/>
                <w:sz w:val="20"/>
                <w:szCs w:val="20"/>
              </w:rPr>
              <w:t>Наименование источника тепловой энергии</w:t>
            </w:r>
          </w:p>
        </w:tc>
        <w:tc>
          <w:tcPr>
            <w:tcW w:w="899" w:type="pct"/>
            <w:vMerge w:val="restart"/>
            <w:shd w:val="clear" w:color="auto" w:fill="auto"/>
            <w:vAlign w:val="center"/>
          </w:tcPr>
          <w:p w14:paraId="4A4E9B2F">
            <w:pPr>
              <w:spacing w:after="0" w:line="240" w:lineRule="auto"/>
              <w:ind w:firstLine="0"/>
              <w:contextualSpacing/>
              <w:jc w:val="center"/>
              <w:rPr>
                <w:bCs/>
                <w:sz w:val="20"/>
                <w:szCs w:val="20"/>
              </w:rPr>
            </w:pPr>
            <w:r>
              <w:rPr>
                <w:bCs/>
                <w:sz w:val="20"/>
                <w:szCs w:val="20"/>
              </w:rPr>
              <w:t>Характеристики тепловых сетей</w:t>
            </w:r>
          </w:p>
        </w:tc>
        <w:tc>
          <w:tcPr>
            <w:tcW w:w="574" w:type="pct"/>
            <w:vMerge w:val="restart"/>
            <w:shd w:val="clear" w:color="auto" w:fill="auto"/>
            <w:vAlign w:val="center"/>
          </w:tcPr>
          <w:p w14:paraId="10293350">
            <w:pPr>
              <w:spacing w:after="0" w:line="240" w:lineRule="auto"/>
              <w:ind w:firstLine="0"/>
              <w:contextualSpacing/>
              <w:jc w:val="center"/>
              <w:rPr>
                <w:bCs/>
                <w:sz w:val="20"/>
                <w:szCs w:val="20"/>
              </w:rPr>
            </w:pPr>
            <w:r>
              <w:rPr>
                <w:bCs/>
                <w:sz w:val="20"/>
                <w:szCs w:val="20"/>
              </w:rPr>
              <w:t>Год ввода</w:t>
            </w:r>
          </w:p>
        </w:tc>
        <w:tc>
          <w:tcPr>
            <w:tcW w:w="450" w:type="pct"/>
            <w:vMerge w:val="restart"/>
            <w:shd w:val="clear" w:color="auto" w:fill="auto"/>
            <w:vAlign w:val="center"/>
          </w:tcPr>
          <w:p w14:paraId="46B36EC3">
            <w:pPr>
              <w:spacing w:after="0" w:line="240" w:lineRule="auto"/>
              <w:ind w:firstLine="0"/>
              <w:contextualSpacing/>
              <w:jc w:val="center"/>
              <w:rPr>
                <w:bCs/>
                <w:sz w:val="20"/>
                <w:szCs w:val="20"/>
              </w:rPr>
            </w:pPr>
            <w:r>
              <w:rPr>
                <w:bCs/>
                <w:sz w:val="20"/>
                <w:szCs w:val="20"/>
              </w:rPr>
              <w:t>Наличие ЦТП</w:t>
            </w:r>
          </w:p>
        </w:tc>
        <w:tc>
          <w:tcPr>
            <w:tcW w:w="870" w:type="pct"/>
            <w:vMerge w:val="restart"/>
            <w:shd w:val="clear" w:color="auto" w:fill="auto"/>
            <w:vAlign w:val="center"/>
          </w:tcPr>
          <w:p w14:paraId="2E4315FA">
            <w:pPr>
              <w:spacing w:after="0" w:line="240" w:lineRule="auto"/>
              <w:ind w:firstLine="0"/>
              <w:contextualSpacing/>
              <w:jc w:val="center"/>
              <w:rPr>
                <w:bCs/>
                <w:sz w:val="20"/>
                <w:szCs w:val="20"/>
              </w:rPr>
            </w:pPr>
            <w:r>
              <w:rPr>
                <w:bCs/>
                <w:sz w:val="20"/>
                <w:szCs w:val="20"/>
              </w:rPr>
              <w:t>Компенсирующие устройства</w:t>
            </w:r>
          </w:p>
        </w:tc>
        <w:tc>
          <w:tcPr>
            <w:tcW w:w="1170" w:type="pct"/>
            <w:vMerge w:val="restart"/>
            <w:shd w:val="clear" w:color="auto" w:fill="auto"/>
            <w:vAlign w:val="center"/>
          </w:tcPr>
          <w:p w14:paraId="50B0A9AD">
            <w:pPr>
              <w:spacing w:after="0" w:line="240" w:lineRule="auto"/>
              <w:ind w:firstLine="0"/>
              <w:contextualSpacing/>
              <w:jc w:val="center"/>
              <w:rPr>
                <w:bCs/>
                <w:sz w:val="20"/>
                <w:szCs w:val="20"/>
              </w:rPr>
            </w:pPr>
            <w:r>
              <w:rPr>
                <w:bCs/>
                <w:sz w:val="20"/>
                <w:szCs w:val="20"/>
              </w:rPr>
              <w:t>Качество диспетчеризации и эксплуатации</w:t>
            </w:r>
          </w:p>
        </w:tc>
      </w:tr>
      <w:tr w14:paraId="5746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7" w:hRule="atLeast"/>
        </w:trPr>
        <w:tc>
          <w:tcPr>
            <w:tcW w:w="1037" w:type="pct"/>
            <w:vMerge w:val="continue"/>
            <w:vAlign w:val="center"/>
          </w:tcPr>
          <w:p w14:paraId="3161A2F0">
            <w:pPr>
              <w:spacing w:after="0" w:line="240" w:lineRule="auto"/>
              <w:ind w:firstLine="0"/>
              <w:contextualSpacing/>
              <w:jc w:val="center"/>
              <w:rPr>
                <w:bCs/>
                <w:sz w:val="20"/>
                <w:szCs w:val="20"/>
              </w:rPr>
            </w:pPr>
          </w:p>
        </w:tc>
        <w:tc>
          <w:tcPr>
            <w:tcW w:w="899" w:type="pct"/>
            <w:vMerge w:val="continue"/>
            <w:vAlign w:val="center"/>
          </w:tcPr>
          <w:p w14:paraId="760A598A">
            <w:pPr>
              <w:spacing w:after="0" w:line="240" w:lineRule="auto"/>
              <w:ind w:firstLine="0"/>
              <w:contextualSpacing/>
              <w:jc w:val="center"/>
              <w:rPr>
                <w:bCs/>
                <w:sz w:val="20"/>
                <w:szCs w:val="20"/>
              </w:rPr>
            </w:pPr>
          </w:p>
        </w:tc>
        <w:tc>
          <w:tcPr>
            <w:tcW w:w="574" w:type="pct"/>
            <w:vMerge w:val="continue"/>
            <w:vAlign w:val="center"/>
          </w:tcPr>
          <w:p w14:paraId="007183F1">
            <w:pPr>
              <w:spacing w:after="0" w:line="240" w:lineRule="auto"/>
              <w:ind w:firstLine="0"/>
              <w:contextualSpacing/>
              <w:jc w:val="center"/>
              <w:rPr>
                <w:bCs/>
                <w:sz w:val="20"/>
                <w:szCs w:val="20"/>
              </w:rPr>
            </w:pPr>
          </w:p>
        </w:tc>
        <w:tc>
          <w:tcPr>
            <w:tcW w:w="450" w:type="pct"/>
            <w:vMerge w:val="continue"/>
            <w:vAlign w:val="center"/>
          </w:tcPr>
          <w:p w14:paraId="3BA28230">
            <w:pPr>
              <w:spacing w:after="0" w:line="240" w:lineRule="auto"/>
              <w:ind w:firstLine="0"/>
              <w:contextualSpacing/>
              <w:jc w:val="center"/>
              <w:rPr>
                <w:bCs/>
                <w:sz w:val="20"/>
                <w:szCs w:val="20"/>
              </w:rPr>
            </w:pPr>
          </w:p>
        </w:tc>
        <w:tc>
          <w:tcPr>
            <w:tcW w:w="870" w:type="pct"/>
            <w:vMerge w:val="continue"/>
            <w:vAlign w:val="center"/>
          </w:tcPr>
          <w:p w14:paraId="39B621F5">
            <w:pPr>
              <w:spacing w:after="0" w:line="240" w:lineRule="auto"/>
              <w:ind w:firstLine="0"/>
              <w:contextualSpacing/>
              <w:jc w:val="center"/>
              <w:rPr>
                <w:bCs/>
                <w:sz w:val="20"/>
                <w:szCs w:val="20"/>
              </w:rPr>
            </w:pPr>
          </w:p>
        </w:tc>
        <w:tc>
          <w:tcPr>
            <w:tcW w:w="1170" w:type="pct"/>
            <w:vMerge w:val="continue"/>
            <w:vAlign w:val="center"/>
          </w:tcPr>
          <w:p w14:paraId="78C4B8BB">
            <w:pPr>
              <w:spacing w:after="0" w:line="240" w:lineRule="auto"/>
              <w:ind w:firstLine="0"/>
              <w:contextualSpacing/>
              <w:jc w:val="center"/>
              <w:rPr>
                <w:bCs/>
                <w:sz w:val="20"/>
                <w:szCs w:val="20"/>
              </w:rPr>
            </w:pPr>
          </w:p>
        </w:tc>
      </w:tr>
      <w:tr w14:paraId="669C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 w:hRule="atLeast"/>
        </w:trPr>
        <w:tc>
          <w:tcPr>
            <w:tcW w:w="1037" w:type="pct"/>
            <w:shd w:val="clear" w:color="auto" w:fill="auto"/>
            <w:vAlign w:val="center"/>
          </w:tcPr>
          <w:p w14:paraId="24092798">
            <w:pPr>
              <w:spacing w:after="0" w:line="240" w:lineRule="auto"/>
              <w:ind w:firstLine="0"/>
              <w:contextualSpacing/>
              <w:jc w:val="center"/>
              <w:rPr>
                <w:sz w:val="20"/>
                <w:szCs w:val="20"/>
              </w:rPr>
            </w:pPr>
            <w:r>
              <w:rPr>
                <w:sz w:val="20"/>
                <w:szCs w:val="20"/>
              </w:rPr>
              <w:t>Котельная №2</w:t>
            </w:r>
          </w:p>
        </w:tc>
        <w:tc>
          <w:tcPr>
            <w:tcW w:w="899" w:type="pct"/>
            <w:shd w:val="clear" w:color="auto" w:fill="auto"/>
            <w:vAlign w:val="center"/>
          </w:tcPr>
          <w:p w14:paraId="16A8D284">
            <w:pPr>
              <w:spacing w:after="0" w:line="240" w:lineRule="auto"/>
              <w:ind w:firstLine="0"/>
              <w:contextualSpacing/>
              <w:jc w:val="center"/>
              <w:rPr>
                <w:sz w:val="20"/>
                <w:szCs w:val="20"/>
              </w:rPr>
            </w:pPr>
            <w:r>
              <w:rPr>
                <w:sz w:val="20"/>
                <w:szCs w:val="20"/>
              </w:rPr>
              <w:t>Четырехтрубные кольцевые, нерезервированные</w:t>
            </w:r>
          </w:p>
        </w:tc>
        <w:tc>
          <w:tcPr>
            <w:tcW w:w="574" w:type="pct"/>
            <w:shd w:val="clear" w:color="auto" w:fill="auto"/>
            <w:vAlign w:val="center"/>
          </w:tcPr>
          <w:p w14:paraId="0E6AE638">
            <w:pPr>
              <w:spacing w:after="0" w:line="240" w:lineRule="auto"/>
              <w:ind w:firstLine="0"/>
              <w:contextualSpacing/>
              <w:jc w:val="center"/>
              <w:rPr>
                <w:sz w:val="20"/>
                <w:szCs w:val="20"/>
              </w:rPr>
            </w:pPr>
            <w:r>
              <w:rPr>
                <w:sz w:val="20"/>
                <w:szCs w:val="20"/>
              </w:rPr>
              <w:t>1985 и раньше -100%</w:t>
            </w:r>
          </w:p>
        </w:tc>
        <w:tc>
          <w:tcPr>
            <w:tcW w:w="450" w:type="pct"/>
            <w:shd w:val="clear" w:color="auto" w:fill="auto"/>
            <w:vAlign w:val="center"/>
          </w:tcPr>
          <w:p w14:paraId="0BCFA24B">
            <w:pPr>
              <w:spacing w:after="0" w:line="240" w:lineRule="auto"/>
              <w:ind w:firstLine="0"/>
              <w:contextualSpacing/>
              <w:jc w:val="center"/>
              <w:rPr>
                <w:sz w:val="20"/>
                <w:szCs w:val="20"/>
              </w:rPr>
            </w:pPr>
            <w:r>
              <w:rPr>
                <w:sz w:val="20"/>
                <w:szCs w:val="20"/>
              </w:rPr>
              <w:t>нет</w:t>
            </w:r>
          </w:p>
        </w:tc>
        <w:tc>
          <w:tcPr>
            <w:tcW w:w="870" w:type="pct"/>
            <w:vMerge w:val="restart"/>
            <w:shd w:val="clear" w:color="auto" w:fill="auto"/>
            <w:vAlign w:val="center"/>
          </w:tcPr>
          <w:p w14:paraId="7E83901A">
            <w:pPr>
              <w:spacing w:after="0" w:line="240" w:lineRule="auto"/>
              <w:ind w:firstLine="0"/>
              <w:contextualSpacing/>
              <w:jc w:val="center"/>
              <w:rPr>
                <w:sz w:val="20"/>
                <w:szCs w:val="20"/>
              </w:rPr>
            </w:pPr>
            <w:r>
              <w:rPr>
                <w:sz w:val="20"/>
                <w:szCs w:val="20"/>
              </w:rPr>
              <w:t>Углы поворота трасс и П-образные компенсаторы</w:t>
            </w:r>
          </w:p>
        </w:tc>
        <w:tc>
          <w:tcPr>
            <w:tcW w:w="1170" w:type="pct"/>
            <w:vMerge w:val="restart"/>
            <w:shd w:val="clear" w:color="auto" w:fill="auto"/>
            <w:vAlign w:val="center"/>
          </w:tcPr>
          <w:p w14:paraId="566A42BE">
            <w:pPr>
              <w:spacing w:after="0" w:line="240" w:lineRule="auto"/>
              <w:ind w:firstLine="0"/>
              <w:contextualSpacing/>
              <w:jc w:val="center"/>
              <w:rPr>
                <w:sz w:val="20"/>
                <w:szCs w:val="20"/>
              </w:rPr>
            </w:pPr>
            <w:r>
              <w:rPr>
                <w:sz w:val="20"/>
                <w:szCs w:val="20"/>
              </w:rPr>
              <w:t>Диспетчерская служба отсутствует. Контроль за работой оборудования и сетей осуществляется в рабочее время техническим персоналом.</w:t>
            </w:r>
          </w:p>
        </w:tc>
      </w:tr>
      <w:tr w14:paraId="717E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037" w:type="pct"/>
            <w:shd w:val="clear" w:color="auto" w:fill="auto"/>
            <w:vAlign w:val="center"/>
          </w:tcPr>
          <w:p w14:paraId="07C2D5A4">
            <w:pPr>
              <w:spacing w:after="0" w:line="240" w:lineRule="auto"/>
              <w:ind w:firstLine="0"/>
              <w:contextualSpacing/>
              <w:jc w:val="center"/>
              <w:rPr>
                <w:sz w:val="20"/>
                <w:szCs w:val="20"/>
              </w:rPr>
            </w:pPr>
            <w:r>
              <w:rPr>
                <w:sz w:val="20"/>
                <w:szCs w:val="20"/>
              </w:rPr>
              <w:t>Котельная «2БВК»</w:t>
            </w:r>
          </w:p>
        </w:tc>
        <w:tc>
          <w:tcPr>
            <w:tcW w:w="899" w:type="pct"/>
            <w:vMerge w:val="restart"/>
            <w:shd w:val="clear" w:color="auto" w:fill="auto"/>
            <w:vAlign w:val="center"/>
          </w:tcPr>
          <w:p w14:paraId="54A8BB44">
            <w:pPr>
              <w:spacing w:after="0" w:line="240" w:lineRule="auto"/>
              <w:ind w:firstLine="0"/>
              <w:contextualSpacing/>
              <w:jc w:val="center"/>
              <w:rPr>
                <w:sz w:val="20"/>
                <w:szCs w:val="20"/>
              </w:rPr>
            </w:pPr>
            <w:r>
              <w:rPr>
                <w:sz w:val="20"/>
                <w:szCs w:val="20"/>
              </w:rPr>
              <w:t>Двух-четырехтрубные кольцевые, нерезервированные</w:t>
            </w:r>
          </w:p>
        </w:tc>
        <w:tc>
          <w:tcPr>
            <w:tcW w:w="574" w:type="pct"/>
            <w:vMerge w:val="restart"/>
            <w:shd w:val="clear" w:color="auto" w:fill="auto"/>
            <w:vAlign w:val="center"/>
          </w:tcPr>
          <w:p w14:paraId="7C1BCCB4">
            <w:pPr>
              <w:spacing w:after="0" w:line="240" w:lineRule="auto"/>
              <w:ind w:firstLine="0"/>
              <w:contextualSpacing/>
              <w:jc w:val="center"/>
              <w:rPr>
                <w:sz w:val="20"/>
                <w:szCs w:val="20"/>
              </w:rPr>
            </w:pPr>
            <w:r>
              <w:rPr>
                <w:sz w:val="20"/>
                <w:szCs w:val="20"/>
              </w:rPr>
              <w:t>2003 и позже - 5% 2002 и раньше - 95%</w:t>
            </w:r>
          </w:p>
        </w:tc>
        <w:tc>
          <w:tcPr>
            <w:tcW w:w="450" w:type="pct"/>
            <w:vMerge w:val="restart"/>
            <w:shd w:val="clear" w:color="auto" w:fill="auto"/>
            <w:vAlign w:val="center"/>
          </w:tcPr>
          <w:p w14:paraId="30B9120E">
            <w:pPr>
              <w:spacing w:after="0" w:line="240" w:lineRule="auto"/>
              <w:ind w:firstLine="0"/>
              <w:contextualSpacing/>
              <w:jc w:val="center"/>
              <w:rPr>
                <w:sz w:val="20"/>
                <w:szCs w:val="20"/>
              </w:rPr>
            </w:pPr>
            <w:r>
              <w:rPr>
                <w:sz w:val="20"/>
                <w:szCs w:val="20"/>
              </w:rPr>
              <w:t>нет</w:t>
            </w:r>
          </w:p>
        </w:tc>
        <w:tc>
          <w:tcPr>
            <w:tcW w:w="870" w:type="pct"/>
            <w:vMerge w:val="continue"/>
            <w:vAlign w:val="center"/>
          </w:tcPr>
          <w:p w14:paraId="4CE4D983">
            <w:pPr>
              <w:spacing w:after="0" w:line="240" w:lineRule="auto"/>
              <w:ind w:firstLine="0"/>
              <w:contextualSpacing/>
              <w:jc w:val="center"/>
              <w:rPr>
                <w:sz w:val="20"/>
                <w:szCs w:val="20"/>
              </w:rPr>
            </w:pPr>
          </w:p>
        </w:tc>
        <w:tc>
          <w:tcPr>
            <w:tcW w:w="1170" w:type="pct"/>
            <w:vMerge w:val="continue"/>
            <w:vAlign w:val="center"/>
          </w:tcPr>
          <w:p w14:paraId="7599069B">
            <w:pPr>
              <w:spacing w:after="0" w:line="240" w:lineRule="auto"/>
              <w:ind w:firstLine="0"/>
              <w:contextualSpacing/>
              <w:jc w:val="center"/>
              <w:rPr>
                <w:sz w:val="20"/>
                <w:szCs w:val="20"/>
              </w:rPr>
            </w:pPr>
          </w:p>
        </w:tc>
      </w:tr>
      <w:tr w14:paraId="0326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1037" w:type="pct"/>
            <w:shd w:val="clear" w:color="auto" w:fill="auto"/>
            <w:vAlign w:val="center"/>
          </w:tcPr>
          <w:p w14:paraId="28AE0A4E">
            <w:pPr>
              <w:spacing w:after="0" w:line="240" w:lineRule="auto"/>
              <w:ind w:firstLine="0"/>
              <w:contextualSpacing/>
              <w:jc w:val="center"/>
              <w:rPr>
                <w:sz w:val="20"/>
                <w:szCs w:val="20"/>
              </w:rPr>
            </w:pPr>
            <w:r>
              <w:rPr>
                <w:sz w:val="20"/>
                <w:szCs w:val="20"/>
              </w:rPr>
              <w:t>Котельная «Вирбекс»</w:t>
            </w:r>
          </w:p>
        </w:tc>
        <w:tc>
          <w:tcPr>
            <w:tcW w:w="899" w:type="pct"/>
            <w:vMerge w:val="continue"/>
            <w:vAlign w:val="center"/>
          </w:tcPr>
          <w:p w14:paraId="6622AB2F">
            <w:pPr>
              <w:spacing w:after="0" w:line="240" w:lineRule="auto"/>
              <w:ind w:firstLine="0"/>
              <w:contextualSpacing/>
              <w:jc w:val="center"/>
              <w:rPr>
                <w:sz w:val="20"/>
                <w:szCs w:val="20"/>
              </w:rPr>
            </w:pPr>
          </w:p>
        </w:tc>
        <w:tc>
          <w:tcPr>
            <w:tcW w:w="574" w:type="pct"/>
            <w:vMerge w:val="continue"/>
            <w:vAlign w:val="center"/>
          </w:tcPr>
          <w:p w14:paraId="48D876F1">
            <w:pPr>
              <w:spacing w:after="0" w:line="240" w:lineRule="auto"/>
              <w:ind w:firstLine="0"/>
              <w:contextualSpacing/>
              <w:jc w:val="center"/>
              <w:rPr>
                <w:sz w:val="20"/>
                <w:szCs w:val="20"/>
              </w:rPr>
            </w:pPr>
          </w:p>
        </w:tc>
        <w:tc>
          <w:tcPr>
            <w:tcW w:w="450" w:type="pct"/>
            <w:vMerge w:val="continue"/>
            <w:vAlign w:val="center"/>
          </w:tcPr>
          <w:p w14:paraId="1C46590E">
            <w:pPr>
              <w:spacing w:after="0" w:line="240" w:lineRule="auto"/>
              <w:ind w:firstLine="0"/>
              <w:contextualSpacing/>
              <w:jc w:val="center"/>
              <w:rPr>
                <w:sz w:val="20"/>
                <w:szCs w:val="20"/>
              </w:rPr>
            </w:pPr>
          </w:p>
        </w:tc>
        <w:tc>
          <w:tcPr>
            <w:tcW w:w="870" w:type="pct"/>
            <w:vMerge w:val="continue"/>
            <w:vAlign w:val="center"/>
          </w:tcPr>
          <w:p w14:paraId="3D269E82">
            <w:pPr>
              <w:spacing w:after="0" w:line="240" w:lineRule="auto"/>
              <w:ind w:firstLine="0"/>
              <w:contextualSpacing/>
              <w:jc w:val="center"/>
              <w:rPr>
                <w:sz w:val="20"/>
                <w:szCs w:val="20"/>
              </w:rPr>
            </w:pPr>
          </w:p>
        </w:tc>
        <w:tc>
          <w:tcPr>
            <w:tcW w:w="1170" w:type="pct"/>
            <w:vMerge w:val="continue"/>
            <w:vAlign w:val="center"/>
          </w:tcPr>
          <w:p w14:paraId="2BBFA6A7">
            <w:pPr>
              <w:spacing w:after="0" w:line="240" w:lineRule="auto"/>
              <w:ind w:firstLine="0"/>
              <w:contextualSpacing/>
              <w:jc w:val="center"/>
              <w:rPr>
                <w:sz w:val="20"/>
                <w:szCs w:val="20"/>
              </w:rPr>
            </w:pPr>
          </w:p>
        </w:tc>
      </w:tr>
      <w:tr w14:paraId="782B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trPr>
        <w:tc>
          <w:tcPr>
            <w:tcW w:w="1037" w:type="pct"/>
            <w:shd w:val="clear" w:color="auto" w:fill="auto"/>
            <w:vAlign w:val="center"/>
          </w:tcPr>
          <w:p w14:paraId="7535003D">
            <w:pPr>
              <w:spacing w:after="0" w:line="240" w:lineRule="auto"/>
              <w:ind w:firstLine="0"/>
              <w:contextualSpacing/>
              <w:jc w:val="center"/>
              <w:rPr>
                <w:sz w:val="20"/>
                <w:szCs w:val="20"/>
              </w:rPr>
            </w:pPr>
            <w:r>
              <w:rPr>
                <w:sz w:val="20"/>
                <w:szCs w:val="20"/>
              </w:rPr>
              <w:t>Теплоутилизационные установки КС «Верхнеказымская»</w:t>
            </w:r>
          </w:p>
        </w:tc>
        <w:tc>
          <w:tcPr>
            <w:tcW w:w="899" w:type="pct"/>
            <w:vMerge w:val="continue"/>
            <w:vAlign w:val="center"/>
          </w:tcPr>
          <w:p w14:paraId="2831D7F6">
            <w:pPr>
              <w:spacing w:after="0" w:line="240" w:lineRule="auto"/>
              <w:ind w:firstLine="0"/>
              <w:contextualSpacing/>
              <w:jc w:val="center"/>
              <w:rPr>
                <w:sz w:val="20"/>
                <w:szCs w:val="20"/>
              </w:rPr>
            </w:pPr>
          </w:p>
        </w:tc>
        <w:tc>
          <w:tcPr>
            <w:tcW w:w="574" w:type="pct"/>
            <w:vMerge w:val="continue"/>
            <w:vAlign w:val="center"/>
          </w:tcPr>
          <w:p w14:paraId="6C32C284">
            <w:pPr>
              <w:spacing w:after="0" w:line="240" w:lineRule="auto"/>
              <w:ind w:firstLine="0"/>
              <w:contextualSpacing/>
              <w:jc w:val="center"/>
              <w:rPr>
                <w:sz w:val="20"/>
                <w:szCs w:val="20"/>
              </w:rPr>
            </w:pPr>
          </w:p>
        </w:tc>
        <w:tc>
          <w:tcPr>
            <w:tcW w:w="450" w:type="pct"/>
            <w:vMerge w:val="continue"/>
            <w:vAlign w:val="center"/>
          </w:tcPr>
          <w:p w14:paraId="38EACE17">
            <w:pPr>
              <w:spacing w:after="0" w:line="240" w:lineRule="auto"/>
              <w:ind w:firstLine="0"/>
              <w:contextualSpacing/>
              <w:jc w:val="center"/>
              <w:rPr>
                <w:sz w:val="20"/>
                <w:szCs w:val="20"/>
              </w:rPr>
            </w:pPr>
          </w:p>
        </w:tc>
        <w:tc>
          <w:tcPr>
            <w:tcW w:w="870" w:type="pct"/>
            <w:vMerge w:val="continue"/>
            <w:vAlign w:val="center"/>
          </w:tcPr>
          <w:p w14:paraId="505EB1C6">
            <w:pPr>
              <w:spacing w:after="0" w:line="240" w:lineRule="auto"/>
              <w:ind w:firstLine="0"/>
              <w:contextualSpacing/>
              <w:jc w:val="center"/>
              <w:rPr>
                <w:sz w:val="20"/>
                <w:szCs w:val="20"/>
              </w:rPr>
            </w:pPr>
          </w:p>
        </w:tc>
        <w:tc>
          <w:tcPr>
            <w:tcW w:w="1170" w:type="pct"/>
            <w:vMerge w:val="continue"/>
            <w:vAlign w:val="center"/>
          </w:tcPr>
          <w:p w14:paraId="057F5C4F">
            <w:pPr>
              <w:spacing w:after="0" w:line="240" w:lineRule="auto"/>
              <w:ind w:firstLine="0"/>
              <w:contextualSpacing/>
              <w:jc w:val="center"/>
              <w:rPr>
                <w:sz w:val="20"/>
                <w:szCs w:val="20"/>
              </w:rPr>
            </w:pPr>
          </w:p>
        </w:tc>
      </w:tr>
    </w:tbl>
    <w:p w14:paraId="6756E925">
      <w:pPr>
        <w:pStyle w:val="43"/>
        <w:keepNext/>
        <w:spacing w:before="0" w:after="0" w:line="240" w:lineRule="auto"/>
        <w:contextualSpacing/>
        <w:rPr>
          <w:rFonts w:cs="Times New Roman"/>
          <w:b w:val="0"/>
          <w:sz w:val="24"/>
          <w:szCs w:val="24"/>
        </w:rPr>
      </w:pPr>
    </w:p>
    <w:bookmarkEnd w:id="152"/>
    <w:p w14:paraId="7A551C18">
      <w:pPr>
        <w:pStyle w:val="4"/>
        <w:keepNext/>
        <w:spacing w:before="0" w:line="240" w:lineRule="auto"/>
        <w:ind w:left="0" w:firstLine="709"/>
        <w:contextualSpacing/>
        <w:rPr>
          <w:rFonts w:cs="Times New Roman"/>
          <w:b w:val="0"/>
          <w:sz w:val="24"/>
        </w:rPr>
      </w:pPr>
      <w:bookmarkStart w:id="153" w:name="_Toc524614771"/>
      <w:bookmarkStart w:id="154" w:name="_Toc524614987"/>
      <w:bookmarkStart w:id="155" w:name="_Toc182813900"/>
      <w:r>
        <w:rPr>
          <w:rFonts w:cs="Times New Roman"/>
          <w:b w:val="0"/>
          <w:sz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53"/>
      <w:bookmarkEnd w:id="154"/>
      <w:bookmarkEnd w:id="155"/>
    </w:p>
    <w:p w14:paraId="2141D6A3">
      <w:pPr>
        <w:spacing w:after="0" w:line="240" w:lineRule="auto"/>
        <w:contextualSpacing/>
        <w:jc w:val="both"/>
        <w:rPr>
          <w:sz w:val="24"/>
          <w:szCs w:val="24"/>
        </w:rPr>
      </w:pPr>
      <w:r>
        <w:rPr>
          <w:sz w:val="24"/>
          <w:szCs w:val="24"/>
        </w:rPr>
        <w:t>При проведении инструментального обследования подтверждено соответствие фактических трассировок и состояние сетей теплоснабжения по схемам теплоснабжения с.п. Верхнеказымский, а также обновлены фактические показатели участков с максимальным износом трубопроводов.</w:t>
      </w:r>
    </w:p>
    <w:p w14:paraId="4455383C">
      <w:pPr>
        <w:spacing w:after="0" w:line="240" w:lineRule="auto"/>
        <w:contextualSpacing/>
        <w:jc w:val="both"/>
        <w:rPr>
          <w:sz w:val="24"/>
          <w:szCs w:val="24"/>
        </w:rPr>
      </w:pPr>
    </w:p>
    <w:p w14:paraId="2CFAE153">
      <w:pPr>
        <w:spacing w:after="0" w:line="240" w:lineRule="auto"/>
        <w:contextualSpacing/>
        <w:jc w:val="both"/>
        <w:rPr>
          <w:sz w:val="24"/>
          <w:szCs w:val="24"/>
        </w:rPr>
      </w:pPr>
    </w:p>
    <w:p w14:paraId="0071E17D">
      <w:pPr>
        <w:pStyle w:val="3"/>
        <w:keepNext/>
        <w:pageBreakBefore/>
        <w:spacing w:before="0" w:line="240" w:lineRule="auto"/>
        <w:ind w:left="0" w:firstLine="709"/>
        <w:contextualSpacing/>
        <w:rPr>
          <w:rFonts w:cs="Times New Roman"/>
          <w:b w:val="0"/>
          <w:sz w:val="24"/>
          <w:szCs w:val="24"/>
        </w:rPr>
      </w:pPr>
      <w:bookmarkStart w:id="156" w:name="_Toc524614988"/>
      <w:bookmarkStart w:id="157" w:name="_Toc182813901"/>
      <w:bookmarkStart w:id="158" w:name="_Toc524614772"/>
      <w:r>
        <w:rPr>
          <w:rFonts w:cs="Times New Roman"/>
          <w:b w:val="0"/>
          <w:sz w:val="24"/>
          <w:szCs w:val="24"/>
        </w:rPr>
        <w:t>Часть 4. Зоны действия источников тепловой энергии</w:t>
      </w:r>
      <w:bookmarkEnd w:id="156"/>
      <w:bookmarkEnd w:id="157"/>
      <w:bookmarkEnd w:id="158"/>
    </w:p>
    <w:p w14:paraId="6C51AB35">
      <w:pPr>
        <w:pStyle w:val="4"/>
        <w:spacing w:before="0" w:line="240" w:lineRule="auto"/>
        <w:ind w:left="0" w:firstLine="709"/>
        <w:contextualSpacing/>
        <w:rPr>
          <w:rFonts w:cs="Times New Roman"/>
          <w:b w:val="0"/>
          <w:sz w:val="24"/>
        </w:rPr>
      </w:pPr>
      <w:bookmarkStart w:id="159" w:name="_Toc182813902"/>
      <w:r>
        <w:rPr>
          <w:rFonts w:cs="Times New Roman"/>
          <w:b w:val="0"/>
          <w:sz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электрической и тепловой энергии</w:t>
      </w:r>
      <w:bookmarkEnd w:id="159"/>
    </w:p>
    <w:p w14:paraId="5F0C9FB8">
      <w:pPr>
        <w:spacing w:after="0" w:line="240" w:lineRule="auto"/>
        <w:contextualSpacing/>
        <w:jc w:val="both"/>
        <w:rPr>
          <w:sz w:val="24"/>
          <w:szCs w:val="24"/>
        </w:rPr>
      </w:pPr>
      <w:bookmarkStart w:id="160" w:name="_Hlk28338752"/>
      <w:r>
        <w:rPr>
          <w:sz w:val="24"/>
          <w:szCs w:val="24"/>
        </w:rPr>
        <w:t>На территории с.п. Верхнеказымский действуют две СЦТ – МУП «БКС» и ООО «Газпром трансгаз Югорск» Верхнеказымское ЛПУ МГ.</w:t>
      </w:r>
    </w:p>
    <w:p w14:paraId="545BF63C">
      <w:pPr>
        <w:spacing w:after="0" w:line="240" w:lineRule="auto"/>
        <w:contextualSpacing/>
        <w:jc w:val="both"/>
        <w:rPr>
          <w:sz w:val="24"/>
          <w:szCs w:val="24"/>
        </w:rPr>
      </w:pPr>
      <w:r>
        <w:rPr>
          <w:sz w:val="24"/>
          <w:szCs w:val="24"/>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14:paraId="11478880">
      <w:pPr>
        <w:spacing w:after="0" w:line="240" w:lineRule="auto"/>
        <w:contextualSpacing/>
        <w:jc w:val="both"/>
        <w:rPr>
          <w:sz w:val="24"/>
          <w:szCs w:val="24"/>
        </w:rPr>
      </w:pPr>
      <w:r>
        <w:rPr>
          <w:sz w:val="24"/>
          <w:szCs w:val="24"/>
        </w:rPr>
        <w:t>Зоной действия источника теплоснабжения является территория с.п. Верхнеказымский или ее часть, границы которой устанавливаются закрытыми секционирующими задвижками тепловой сети системы теплоснабжения.</w:t>
      </w:r>
    </w:p>
    <w:p w14:paraId="718638F5">
      <w:pPr>
        <w:spacing w:after="0" w:line="240" w:lineRule="auto"/>
        <w:jc w:val="both"/>
        <w:rPr>
          <w:rFonts w:eastAsia="Arial"/>
          <w:spacing w:val="-5"/>
          <w:sz w:val="24"/>
          <w:szCs w:val="24"/>
        </w:rPr>
      </w:pPr>
      <w:r>
        <w:rPr>
          <w:rFonts w:eastAsia="Arial"/>
          <w:spacing w:val="-5"/>
          <w:sz w:val="24"/>
          <w:szCs w:val="24"/>
        </w:rPr>
        <w:t>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МУП «БКС».</w:t>
      </w:r>
    </w:p>
    <w:p w14:paraId="19370EF3">
      <w:pPr>
        <w:spacing w:after="0" w:line="240" w:lineRule="auto"/>
        <w:jc w:val="both"/>
        <w:rPr>
          <w:rFonts w:eastAsia="Arial"/>
          <w:spacing w:val="-5"/>
          <w:sz w:val="24"/>
          <w:szCs w:val="24"/>
        </w:rPr>
      </w:pPr>
      <w:r>
        <w:rPr>
          <w:rFonts w:eastAsia="Arial"/>
          <w:spacing w:val="-5"/>
          <w:sz w:val="24"/>
          <w:szCs w:val="24"/>
        </w:rPr>
        <w:t>ООО «Газпром трансгаз Югорск» – 100-процентное дочернее общество ПАО «Газпром».</w:t>
      </w:r>
    </w:p>
    <w:p w14:paraId="1111731F">
      <w:pPr>
        <w:spacing w:after="0" w:line="240" w:lineRule="auto"/>
        <w:jc w:val="both"/>
        <w:rPr>
          <w:rFonts w:eastAsia="Arial"/>
          <w:spacing w:val="-5"/>
          <w:sz w:val="24"/>
          <w:szCs w:val="24"/>
        </w:rPr>
      </w:pPr>
      <w:r>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5538AFE2">
      <w:pPr>
        <w:spacing w:after="0" w:line="240" w:lineRule="auto"/>
        <w:jc w:val="both"/>
        <w:rPr>
          <w:rFonts w:eastAsia="Arial"/>
          <w:spacing w:val="-5"/>
          <w:sz w:val="24"/>
          <w:szCs w:val="24"/>
        </w:rPr>
      </w:pPr>
      <w:r>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3-х существующих котельных:</w:t>
      </w:r>
    </w:p>
    <w:p w14:paraId="7DB3129A">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«2БВК» Верхнеказымское ЛПУ МГ;</w:t>
      </w:r>
    </w:p>
    <w:p w14:paraId="60B071C6">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 2 МУП «БКС»;</w:t>
      </w:r>
    </w:p>
    <w:p w14:paraId="40D74EAA">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«Вирбекс» Верхнеказымское ЛПУ МГ.</w:t>
      </w:r>
    </w:p>
    <w:p w14:paraId="032F8E40">
      <w:pPr>
        <w:spacing w:after="0" w:line="240" w:lineRule="auto"/>
        <w:jc w:val="both"/>
        <w:rPr>
          <w:rFonts w:eastAsia="Arial"/>
          <w:spacing w:val="-5"/>
          <w:sz w:val="24"/>
          <w:szCs w:val="24"/>
        </w:rPr>
      </w:pPr>
    </w:p>
    <w:p w14:paraId="7E19669C">
      <w:pPr>
        <w:spacing w:after="0" w:line="240" w:lineRule="auto"/>
        <w:jc w:val="both"/>
        <w:rPr>
          <w:rFonts w:eastAsia="Arial"/>
          <w:spacing w:val="-5"/>
          <w:sz w:val="24"/>
          <w:szCs w:val="24"/>
        </w:rPr>
      </w:pPr>
      <w:r>
        <w:rPr>
          <w:rFonts w:eastAsia="Arial"/>
          <w:spacing w:val="-5"/>
          <w:sz w:val="24"/>
          <w:szCs w:val="24"/>
        </w:rPr>
        <w:t>Основным видом топлива для котельных является природный газ.</w:t>
      </w:r>
    </w:p>
    <w:p w14:paraId="6C987539">
      <w:pPr>
        <w:spacing w:after="0" w:line="240" w:lineRule="auto"/>
        <w:contextualSpacing/>
        <w:jc w:val="both"/>
        <w:rPr>
          <w:sz w:val="24"/>
          <w:szCs w:val="24"/>
        </w:rPr>
      </w:pPr>
      <w:r>
        <w:rPr>
          <w:sz w:val="24"/>
          <w:szCs w:val="24"/>
        </w:rPr>
        <w:t xml:space="preserve">Источники комбинированной выработки электрической и тепловой энергии на территории </w:t>
      </w:r>
      <w:r>
        <w:rPr>
          <w:rFonts w:eastAsia="Calibri"/>
          <w:iCs/>
          <w:sz w:val="24"/>
          <w:szCs w:val="24"/>
          <w:lang w:eastAsia="en-US"/>
        </w:rPr>
        <w:t xml:space="preserve">с.п. </w:t>
      </w:r>
      <w:r>
        <w:rPr>
          <w:rFonts w:eastAsia="Calibri"/>
          <w:sz w:val="24"/>
          <w:szCs w:val="24"/>
          <w:lang w:eastAsia="en-US"/>
        </w:rPr>
        <w:t>Верхнеказымский</w:t>
      </w:r>
      <w:r>
        <w:rPr>
          <w:sz w:val="24"/>
          <w:szCs w:val="24"/>
        </w:rPr>
        <w:t xml:space="preserve"> отсутствуют.</w:t>
      </w:r>
    </w:p>
    <w:p w14:paraId="01008FA4">
      <w:pPr>
        <w:widowControl w:val="0"/>
        <w:spacing w:after="0" w:line="240" w:lineRule="auto"/>
        <w:jc w:val="both"/>
        <w:rPr>
          <w:rFonts w:eastAsia="Calibri"/>
          <w:sz w:val="24"/>
          <w:szCs w:val="24"/>
          <w:lang w:eastAsia="en-US"/>
        </w:rPr>
      </w:pPr>
      <w:r>
        <w:rPr>
          <w:rFonts w:eastAsia="Calibri"/>
          <w:sz w:val="24"/>
          <w:szCs w:val="24"/>
          <w:lang w:eastAsia="en-US"/>
        </w:rPr>
        <w:t xml:space="preserve">Границы зоны действия работающих источников тепловой энергии на территории </w:t>
      </w:r>
      <w:r>
        <w:rPr>
          <w:rFonts w:eastAsia="Calibri"/>
          <w:iCs/>
          <w:sz w:val="24"/>
          <w:szCs w:val="24"/>
          <w:lang w:eastAsia="en-US"/>
        </w:rPr>
        <w:t xml:space="preserve">с.п. </w:t>
      </w:r>
      <w:r>
        <w:rPr>
          <w:rFonts w:eastAsia="Calibri"/>
          <w:sz w:val="24"/>
          <w:szCs w:val="24"/>
          <w:lang w:eastAsia="en-US"/>
        </w:rPr>
        <w:t>Верхнеказымский представлены на рисунках 10-12.</w:t>
      </w:r>
    </w:p>
    <w:p w14:paraId="4480A3C0">
      <w:pPr>
        <w:widowControl w:val="0"/>
        <w:spacing w:after="0" w:line="240" w:lineRule="auto"/>
        <w:ind w:firstLine="0"/>
        <w:contextualSpacing/>
        <w:jc w:val="both"/>
        <w:rPr>
          <w:rFonts w:eastAsia="Calibri"/>
          <w:sz w:val="24"/>
          <w:szCs w:val="24"/>
          <w:lang w:eastAsia="en-US"/>
        </w:rPr>
      </w:pPr>
    </w:p>
    <w:p w14:paraId="49BE5AA0">
      <w:pPr>
        <w:spacing w:after="0" w:line="240" w:lineRule="auto"/>
        <w:ind w:firstLine="0"/>
        <w:contextualSpacing/>
        <w:jc w:val="center"/>
        <w:rPr>
          <w:sz w:val="24"/>
          <w:szCs w:val="24"/>
        </w:rPr>
      </w:pPr>
      <w:r>
        <w:rPr>
          <w:sz w:val="24"/>
          <w:szCs w:val="24"/>
        </w:rPr>
        <w:drawing>
          <wp:inline distT="0" distB="0" distL="0" distR="0">
            <wp:extent cx="6115685" cy="35388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15685" cy="3538855"/>
                    </a:xfrm>
                    <a:prstGeom prst="rect">
                      <a:avLst/>
                    </a:prstGeom>
                    <a:noFill/>
                    <a:ln>
                      <a:noFill/>
                    </a:ln>
                  </pic:spPr>
                </pic:pic>
              </a:graphicData>
            </a:graphic>
          </wp:inline>
        </w:drawing>
      </w:r>
    </w:p>
    <w:p w14:paraId="0E8CBD37">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10</w:t>
      </w:r>
      <w:r>
        <w:rPr>
          <w:sz w:val="24"/>
          <w:szCs w:val="24"/>
        </w:rPr>
        <w:fldChar w:fldCharType="end"/>
      </w:r>
      <w:r>
        <w:rPr>
          <w:sz w:val="24"/>
          <w:szCs w:val="24"/>
        </w:rPr>
        <w:t xml:space="preserve"> – Зона действия котельной «2БВК»</w:t>
      </w:r>
    </w:p>
    <w:p w14:paraId="05273989">
      <w:pPr>
        <w:spacing w:after="0" w:line="240" w:lineRule="auto"/>
        <w:ind w:firstLine="0"/>
        <w:contextualSpacing/>
        <w:jc w:val="center"/>
        <w:rPr>
          <w:sz w:val="24"/>
          <w:szCs w:val="24"/>
        </w:rPr>
      </w:pPr>
    </w:p>
    <w:p w14:paraId="2D4DDC84">
      <w:pPr>
        <w:spacing w:after="0" w:line="240" w:lineRule="auto"/>
        <w:ind w:firstLine="0"/>
        <w:contextualSpacing/>
        <w:jc w:val="center"/>
        <w:rPr>
          <w:sz w:val="24"/>
          <w:szCs w:val="24"/>
        </w:rPr>
      </w:pPr>
      <w:r>
        <w:rPr>
          <w:sz w:val="24"/>
          <w:szCs w:val="24"/>
        </w:rPr>
        <w:drawing>
          <wp:inline distT="0" distB="0" distL="0" distR="0">
            <wp:extent cx="6114415" cy="30162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4415" cy="3016250"/>
                    </a:xfrm>
                    <a:prstGeom prst="rect">
                      <a:avLst/>
                    </a:prstGeom>
                    <a:noFill/>
                    <a:ln>
                      <a:noFill/>
                    </a:ln>
                  </pic:spPr>
                </pic:pic>
              </a:graphicData>
            </a:graphic>
          </wp:inline>
        </w:drawing>
      </w:r>
    </w:p>
    <w:p w14:paraId="4C957B0F">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11</w:t>
      </w:r>
      <w:r>
        <w:rPr>
          <w:sz w:val="24"/>
          <w:szCs w:val="24"/>
        </w:rPr>
        <w:fldChar w:fldCharType="end"/>
      </w:r>
      <w:r>
        <w:rPr>
          <w:sz w:val="24"/>
          <w:szCs w:val="24"/>
        </w:rPr>
        <w:t xml:space="preserve"> – Зона действия котельной №2 МУП «БКС»</w:t>
      </w:r>
    </w:p>
    <w:p w14:paraId="4D7DD003">
      <w:pPr>
        <w:spacing w:after="0" w:line="240" w:lineRule="auto"/>
        <w:ind w:firstLine="0"/>
        <w:contextualSpacing/>
        <w:jc w:val="center"/>
        <w:rPr>
          <w:sz w:val="24"/>
          <w:szCs w:val="24"/>
        </w:rPr>
      </w:pPr>
    </w:p>
    <w:p w14:paraId="5AA1A038">
      <w:pPr>
        <w:spacing w:after="0" w:line="240" w:lineRule="auto"/>
        <w:ind w:firstLine="0"/>
        <w:contextualSpacing/>
        <w:jc w:val="center"/>
        <w:rPr>
          <w:sz w:val="24"/>
          <w:szCs w:val="24"/>
        </w:rPr>
      </w:pPr>
      <w:r>
        <w:rPr>
          <w:sz w:val="24"/>
          <w:szCs w:val="24"/>
        </w:rPr>
        <w:drawing>
          <wp:inline distT="0" distB="0" distL="0" distR="0">
            <wp:extent cx="6114415" cy="341185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14415" cy="3411855"/>
                    </a:xfrm>
                    <a:prstGeom prst="rect">
                      <a:avLst/>
                    </a:prstGeom>
                    <a:noFill/>
                    <a:ln>
                      <a:noFill/>
                    </a:ln>
                  </pic:spPr>
                </pic:pic>
              </a:graphicData>
            </a:graphic>
          </wp:inline>
        </w:drawing>
      </w:r>
    </w:p>
    <w:p w14:paraId="72785B88">
      <w:pPr>
        <w:spacing w:after="0" w:line="240" w:lineRule="auto"/>
        <w:ind w:firstLine="0"/>
        <w:contextualSpacing/>
        <w:jc w:val="center"/>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12</w:t>
      </w:r>
      <w:r>
        <w:rPr>
          <w:sz w:val="24"/>
          <w:szCs w:val="24"/>
        </w:rPr>
        <w:fldChar w:fldCharType="end"/>
      </w:r>
      <w:r>
        <w:rPr>
          <w:sz w:val="24"/>
          <w:szCs w:val="24"/>
        </w:rPr>
        <w:t xml:space="preserve"> – Зона действия теплоутилизационных установок компрессорного цеха КЦ-78 компрессорной станции (КС) «Верхнеказымская»</w:t>
      </w:r>
    </w:p>
    <w:p w14:paraId="36E37201">
      <w:pPr>
        <w:pStyle w:val="58"/>
        <w:widowControl w:val="0"/>
        <w:spacing w:before="0" w:after="0" w:line="240" w:lineRule="auto"/>
        <w:ind w:firstLine="709"/>
        <w:contextualSpacing/>
        <w:rPr>
          <w:sz w:val="24"/>
          <w:szCs w:val="24"/>
          <w:lang w:val="ru-RU"/>
        </w:rPr>
      </w:pPr>
    </w:p>
    <w:p w14:paraId="7ABBC17F">
      <w:pPr>
        <w:pStyle w:val="58"/>
        <w:widowControl w:val="0"/>
        <w:spacing w:before="0" w:after="0" w:line="240" w:lineRule="auto"/>
        <w:ind w:firstLine="709"/>
        <w:contextualSpacing/>
        <w:rPr>
          <w:sz w:val="24"/>
          <w:szCs w:val="24"/>
          <w:lang w:val="ru-RU"/>
        </w:rPr>
        <w:sectPr>
          <w:pgSz w:w="11906" w:h="16838"/>
          <w:pgMar w:top="1134" w:right="567" w:bottom="1134" w:left="1701" w:header="708" w:footer="708" w:gutter="0"/>
          <w:cols w:space="708" w:num="1"/>
          <w:docGrid w:linePitch="360" w:charSpace="0"/>
        </w:sectPr>
      </w:pPr>
    </w:p>
    <w:bookmarkEnd w:id="160"/>
    <w:p w14:paraId="06C329B1">
      <w:pPr>
        <w:pStyle w:val="3"/>
        <w:keepNext/>
        <w:pageBreakBefore/>
        <w:widowControl w:val="0"/>
        <w:spacing w:before="0" w:line="240" w:lineRule="auto"/>
        <w:ind w:left="0" w:firstLine="709"/>
        <w:contextualSpacing/>
        <w:rPr>
          <w:rFonts w:cs="Times New Roman"/>
          <w:b w:val="0"/>
          <w:sz w:val="24"/>
          <w:szCs w:val="24"/>
        </w:rPr>
      </w:pPr>
      <w:bookmarkStart w:id="161" w:name="_Toc524614773"/>
      <w:bookmarkStart w:id="162" w:name="_Toc182813903"/>
      <w:bookmarkStart w:id="163" w:name="_Toc524614989"/>
      <w:r>
        <w:rPr>
          <w:rFonts w:cs="Times New Roman"/>
          <w:b w:val="0"/>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61"/>
      <w:bookmarkEnd w:id="162"/>
      <w:bookmarkEnd w:id="163"/>
    </w:p>
    <w:p w14:paraId="7E65927B">
      <w:pPr>
        <w:pStyle w:val="4"/>
        <w:spacing w:before="0" w:line="240" w:lineRule="auto"/>
        <w:ind w:left="0" w:firstLine="709"/>
        <w:contextualSpacing/>
        <w:rPr>
          <w:rFonts w:cs="Times New Roman"/>
          <w:b w:val="0"/>
          <w:sz w:val="24"/>
        </w:rPr>
      </w:pPr>
      <w:bookmarkStart w:id="164" w:name="_Toc15640806"/>
      <w:bookmarkStart w:id="165" w:name="_Toc182813904"/>
      <w:bookmarkStart w:id="166" w:name="_Hlk15651061"/>
      <w:r>
        <w:rPr>
          <w:rFonts w:cs="Times New Roman"/>
          <w:b w:val="0"/>
          <w:sz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64"/>
      <w:bookmarkEnd w:id="165"/>
    </w:p>
    <w:bookmarkEnd w:id="166"/>
    <w:p w14:paraId="7433D5DE">
      <w:pPr>
        <w:spacing w:after="0" w:line="240" w:lineRule="auto"/>
        <w:contextualSpacing/>
        <w:jc w:val="both"/>
        <w:rPr>
          <w:rFonts w:eastAsia="Calibri"/>
          <w:sz w:val="24"/>
          <w:szCs w:val="24"/>
          <w:lang w:eastAsia="en-US"/>
        </w:rPr>
      </w:pPr>
      <w:r>
        <w:rPr>
          <w:rFonts w:eastAsia="Calibri"/>
          <w:sz w:val="24"/>
          <w:szCs w:val="24"/>
          <w:lang w:eastAsia="en-US"/>
        </w:rPr>
        <w:t>Значение спроса на тепловую мощность в с.п. Верхнеказымский приведено в таблице 28.</w:t>
      </w:r>
    </w:p>
    <w:p w14:paraId="2A460412">
      <w:pPr>
        <w:spacing w:after="0" w:line="240" w:lineRule="auto"/>
        <w:ind w:firstLine="0"/>
        <w:contextualSpacing/>
        <w:jc w:val="both"/>
        <w:rPr>
          <w:rFonts w:eastAsia="Calibri"/>
          <w:sz w:val="24"/>
          <w:szCs w:val="24"/>
          <w:lang w:eastAsia="en-US"/>
        </w:rPr>
      </w:pPr>
    </w:p>
    <w:p w14:paraId="16FA8765">
      <w:pPr>
        <w:keepNext/>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28</w:t>
      </w:r>
      <w:r>
        <w:rPr>
          <w:bCs/>
          <w:sz w:val="24"/>
          <w:szCs w:val="24"/>
        </w:rPr>
        <w:fldChar w:fldCharType="end"/>
      </w:r>
      <w:r>
        <w:rPr>
          <w:bCs/>
          <w:sz w:val="24"/>
          <w:szCs w:val="24"/>
        </w:rPr>
        <w:t xml:space="preserve"> – </w:t>
      </w:r>
      <w:r>
        <w:rPr>
          <w:sz w:val="24"/>
          <w:szCs w:val="24"/>
        </w:rPr>
        <w:t>Значения тепловой мощности на собственные нужды котельных и располагаемой тепловой мощности нетто за 2023 год</w:t>
      </w:r>
    </w:p>
    <w:tbl>
      <w:tblPr>
        <w:tblStyle w:val="12"/>
        <w:tblW w:w="5000" w:type="pct"/>
        <w:tblInd w:w="-5" w:type="dxa"/>
        <w:tblLayout w:type="autofit"/>
        <w:tblCellMar>
          <w:top w:w="0" w:type="dxa"/>
          <w:left w:w="108" w:type="dxa"/>
          <w:bottom w:w="0" w:type="dxa"/>
          <w:right w:w="108" w:type="dxa"/>
        </w:tblCellMar>
      </w:tblPr>
      <w:tblGrid>
        <w:gridCol w:w="330"/>
        <w:gridCol w:w="1992"/>
        <w:gridCol w:w="1370"/>
        <w:gridCol w:w="1371"/>
        <w:gridCol w:w="1371"/>
        <w:gridCol w:w="1371"/>
        <w:gridCol w:w="1182"/>
        <w:gridCol w:w="1371"/>
        <w:gridCol w:w="1256"/>
        <w:gridCol w:w="1484"/>
        <w:gridCol w:w="1528"/>
      </w:tblGrid>
      <w:tr w14:paraId="5C3DAA6B">
        <w:tblPrEx>
          <w:tblCellMar>
            <w:top w:w="0" w:type="dxa"/>
            <w:left w:w="108" w:type="dxa"/>
            <w:bottom w:w="0" w:type="dxa"/>
            <w:right w:w="108" w:type="dxa"/>
          </w:tblCellMar>
        </w:tblPrEx>
        <w:trPr>
          <w:trHeight w:val="20" w:hRule="atLeast"/>
        </w:trPr>
        <w:tc>
          <w:tcPr>
            <w:tcW w:w="32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D3A4E60">
            <w:pPr>
              <w:spacing w:after="0" w:line="240" w:lineRule="auto"/>
              <w:ind w:firstLine="0"/>
              <w:jc w:val="center"/>
              <w:rPr>
                <w:color w:val="000000"/>
                <w:sz w:val="20"/>
                <w:szCs w:val="20"/>
              </w:rPr>
            </w:pPr>
            <w:r>
              <w:rPr>
                <w:color w:val="000000"/>
                <w:sz w:val="20"/>
                <w:szCs w:val="20"/>
              </w:rPr>
              <w:t>№ п/п</w:t>
            </w:r>
          </w:p>
        </w:tc>
        <w:tc>
          <w:tcPr>
            <w:tcW w:w="197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331701F">
            <w:pPr>
              <w:spacing w:after="0" w:line="240" w:lineRule="auto"/>
              <w:ind w:firstLine="0"/>
              <w:jc w:val="center"/>
              <w:rPr>
                <w:color w:val="000000"/>
                <w:sz w:val="20"/>
                <w:szCs w:val="20"/>
              </w:rPr>
            </w:pPr>
            <w:r>
              <w:rPr>
                <w:color w:val="000000"/>
                <w:sz w:val="20"/>
                <w:szCs w:val="20"/>
              </w:rPr>
              <w:t>Наименование и адрес котельной</w:t>
            </w:r>
          </w:p>
        </w:tc>
        <w:tc>
          <w:tcPr>
            <w:tcW w:w="1355"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9FAD396">
            <w:pPr>
              <w:spacing w:after="0" w:line="240" w:lineRule="auto"/>
              <w:ind w:firstLine="0"/>
              <w:jc w:val="center"/>
              <w:rPr>
                <w:color w:val="000000"/>
                <w:sz w:val="20"/>
                <w:szCs w:val="20"/>
              </w:rPr>
            </w:pPr>
            <w:r>
              <w:rPr>
                <w:color w:val="000000"/>
                <w:sz w:val="20"/>
                <w:szCs w:val="20"/>
              </w:rPr>
              <w:t>Установленная тепловая мощность,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22B547E">
            <w:pPr>
              <w:spacing w:after="0" w:line="240" w:lineRule="auto"/>
              <w:ind w:firstLine="0"/>
              <w:jc w:val="center"/>
              <w:rPr>
                <w:color w:val="000000"/>
                <w:sz w:val="20"/>
                <w:szCs w:val="20"/>
              </w:rPr>
            </w:pPr>
            <w:r>
              <w:rPr>
                <w:color w:val="000000"/>
                <w:sz w:val="20"/>
                <w:szCs w:val="20"/>
              </w:rPr>
              <w:t>Ограничения установленной тепловой мощности,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5FAE261">
            <w:pPr>
              <w:spacing w:after="0" w:line="240" w:lineRule="auto"/>
              <w:ind w:firstLine="0"/>
              <w:jc w:val="center"/>
              <w:rPr>
                <w:color w:val="000000"/>
                <w:sz w:val="20"/>
                <w:szCs w:val="20"/>
              </w:rPr>
            </w:pPr>
            <w:r>
              <w:rPr>
                <w:color w:val="000000"/>
                <w:sz w:val="20"/>
                <w:szCs w:val="20"/>
              </w:rPr>
              <w:t>Располагаемая тепловая мощность,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F703E4D">
            <w:pPr>
              <w:spacing w:after="0" w:line="240" w:lineRule="auto"/>
              <w:ind w:firstLine="0"/>
              <w:jc w:val="center"/>
              <w:rPr>
                <w:color w:val="000000"/>
                <w:sz w:val="20"/>
                <w:szCs w:val="20"/>
              </w:rPr>
            </w:pPr>
            <w:r>
              <w:rPr>
                <w:color w:val="000000"/>
                <w:sz w:val="20"/>
                <w:szCs w:val="20"/>
              </w:rPr>
              <w:t>Собственные нужды, Гкал/ч</w:t>
            </w:r>
          </w:p>
        </w:tc>
        <w:tc>
          <w:tcPr>
            <w:tcW w:w="116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1BAE55E">
            <w:pPr>
              <w:spacing w:after="0" w:line="240" w:lineRule="auto"/>
              <w:ind w:firstLine="0"/>
              <w:jc w:val="center"/>
              <w:rPr>
                <w:color w:val="000000"/>
                <w:sz w:val="20"/>
                <w:szCs w:val="20"/>
              </w:rPr>
            </w:pPr>
            <w:r>
              <w:rPr>
                <w:color w:val="000000"/>
                <w:sz w:val="20"/>
                <w:szCs w:val="20"/>
              </w:rPr>
              <w:t>Тепловая мощность нетто,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41FA101">
            <w:pPr>
              <w:spacing w:after="0" w:line="240" w:lineRule="auto"/>
              <w:ind w:firstLine="0"/>
              <w:jc w:val="center"/>
              <w:rPr>
                <w:color w:val="000000"/>
                <w:sz w:val="20"/>
                <w:szCs w:val="20"/>
              </w:rPr>
            </w:pPr>
            <w:r>
              <w:rPr>
                <w:color w:val="000000"/>
                <w:sz w:val="20"/>
                <w:szCs w:val="20"/>
              </w:rPr>
              <w:t>Тепловая нагрузка на коллекторах, Гкал/ч</w:t>
            </w:r>
          </w:p>
        </w:tc>
        <w:tc>
          <w:tcPr>
            <w:tcW w:w="1242"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AA25743">
            <w:pPr>
              <w:spacing w:after="0" w:line="240" w:lineRule="auto"/>
              <w:ind w:firstLine="0"/>
              <w:jc w:val="center"/>
              <w:rPr>
                <w:color w:val="000000"/>
                <w:sz w:val="20"/>
                <w:szCs w:val="20"/>
              </w:rPr>
            </w:pPr>
            <w:r>
              <w:rPr>
                <w:color w:val="000000"/>
                <w:sz w:val="20"/>
                <w:szCs w:val="20"/>
              </w:rPr>
              <w:t>Потери в тепловых сетях, Гкал/ч</w:t>
            </w:r>
          </w:p>
        </w:tc>
        <w:tc>
          <w:tcPr>
            <w:tcW w:w="146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5C7C3AC6">
            <w:pPr>
              <w:spacing w:after="0" w:line="240" w:lineRule="auto"/>
              <w:ind w:firstLine="0"/>
              <w:jc w:val="center"/>
              <w:rPr>
                <w:color w:val="000000"/>
                <w:sz w:val="20"/>
                <w:szCs w:val="20"/>
              </w:rPr>
            </w:pPr>
            <w:r>
              <w:rPr>
                <w:color w:val="000000"/>
                <w:sz w:val="20"/>
                <w:szCs w:val="20"/>
              </w:rPr>
              <w:t>Присоединенная тепловая нагрузка, Гкал/ч</w:t>
            </w:r>
          </w:p>
        </w:tc>
        <w:tc>
          <w:tcPr>
            <w:tcW w:w="151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7147CD6">
            <w:pPr>
              <w:spacing w:after="0" w:line="240" w:lineRule="auto"/>
              <w:ind w:firstLine="0"/>
              <w:jc w:val="center"/>
              <w:rPr>
                <w:color w:val="000000"/>
                <w:sz w:val="20"/>
                <w:szCs w:val="20"/>
              </w:rPr>
            </w:pPr>
            <w:r>
              <w:rPr>
                <w:color w:val="000000"/>
                <w:sz w:val="20"/>
                <w:szCs w:val="20"/>
              </w:rPr>
              <w:t>Резерв (+)/ дефицит (-) тепловой мощности в номинальном режиме, Гкал/ч</w:t>
            </w:r>
          </w:p>
        </w:tc>
      </w:tr>
      <w:tr w14:paraId="01254EEC">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5F4C747">
            <w:pPr>
              <w:spacing w:after="0" w:line="240" w:lineRule="auto"/>
              <w:ind w:firstLine="0"/>
              <w:jc w:val="center"/>
              <w:rPr>
                <w:color w:val="000000"/>
                <w:sz w:val="20"/>
                <w:szCs w:val="20"/>
              </w:rPr>
            </w:pPr>
            <w:r>
              <w:rPr>
                <w:color w:val="000000"/>
                <w:sz w:val="20"/>
                <w:szCs w:val="20"/>
              </w:rPr>
              <w:t>1</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1D7FF5A1">
            <w:pPr>
              <w:spacing w:after="0" w:line="240" w:lineRule="auto"/>
              <w:ind w:firstLine="0"/>
              <w:jc w:val="center"/>
              <w:rPr>
                <w:color w:val="000000"/>
                <w:sz w:val="20"/>
                <w:szCs w:val="20"/>
              </w:rPr>
            </w:pPr>
            <w:r>
              <w:rPr>
                <w:color w:val="000000"/>
                <w:sz w:val="20"/>
                <w:szCs w:val="20"/>
              </w:rPr>
              <w:t>Котельная №2 МУП «БКС»</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1640B3A">
            <w:pPr>
              <w:spacing w:after="0" w:line="240" w:lineRule="auto"/>
              <w:ind w:firstLine="0"/>
              <w:jc w:val="center"/>
              <w:rPr>
                <w:color w:val="000000"/>
                <w:sz w:val="20"/>
                <w:szCs w:val="20"/>
              </w:rPr>
            </w:pPr>
            <w:r>
              <w:rPr>
                <w:color w:val="000000"/>
                <w:sz w:val="20"/>
                <w:szCs w:val="20"/>
              </w:rPr>
              <w:t>6,02</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52360B7D">
            <w:pPr>
              <w:spacing w:after="0" w:line="240" w:lineRule="auto"/>
              <w:ind w:firstLine="0"/>
              <w:jc w:val="center"/>
              <w:rPr>
                <w:color w:val="000000"/>
                <w:sz w:val="20"/>
                <w:szCs w:val="20"/>
              </w:rPr>
            </w:pPr>
            <w:r>
              <w:rPr>
                <w:color w:val="000000"/>
                <w:sz w:val="20"/>
                <w:szCs w:val="20"/>
              </w:rPr>
              <w:t>0,08</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F1228D2">
            <w:pPr>
              <w:spacing w:after="0" w:line="240" w:lineRule="auto"/>
              <w:ind w:firstLine="0"/>
              <w:jc w:val="center"/>
              <w:rPr>
                <w:color w:val="000000"/>
                <w:sz w:val="20"/>
                <w:szCs w:val="20"/>
              </w:rPr>
            </w:pPr>
            <w:r>
              <w:rPr>
                <w:color w:val="000000"/>
                <w:sz w:val="20"/>
                <w:szCs w:val="20"/>
              </w:rPr>
              <w:t>5,94</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4854B518">
            <w:pPr>
              <w:spacing w:after="0" w:line="240" w:lineRule="auto"/>
              <w:ind w:firstLine="0"/>
              <w:jc w:val="center"/>
              <w:rPr>
                <w:color w:val="000000"/>
                <w:sz w:val="20"/>
                <w:szCs w:val="20"/>
              </w:rPr>
            </w:pPr>
            <w:r>
              <w:rPr>
                <w:color w:val="000000"/>
                <w:sz w:val="20"/>
                <w:szCs w:val="20"/>
                <w:lang w:val="en-US"/>
              </w:rPr>
              <w:t>0,13</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FDBF4F5">
            <w:pPr>
              <w:spacing w:after="0" w:line="240" w:lineRule="auto"/>
              <w:ind w:firstLine="0"/>
              <w:jc w:val="center"/>
              <w:rPr>
                <w:color w:val="000000"/>
                <w:sz w:val="20"/>
                <w:szCs w:val="20"/>
              </w:rPr>
            </w:pPr>
            <w:r>
              <w:rPr>
                <w:color w:val="000000"/>
                <w:sz w:val="20"/>
                <w:szCs w:val="20"/>
              </w:rPr>
              <w:t>5,81</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C789492">
            <w:pPr>
              <w:spacing w:after="0" w:line="240" w:lineRule="auto"/>
              <w:ind w:firstLine="0"/>
              <w:jc w:val="center"/>
              <w:rPr>
                <w:color w:val="000000"/>
                <w:sz w:val="20"/>
                <w:szCs w:val="20"/>
              </w:rPr>
            </w:pPr>
            <w:r>
              <w:rPr>
                <w:color w:val="000000"/>
                <w:sz w:val="20"/>
                <w:szCs w:val="20"/>
              </w:rPr>
              <w:t>0,72</w:t>
            </w: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320E75EA">
            <w:pPr>
              <w:spacing w:after="0" w:line="240" w:lineRule="auto"/>
              <w:ind w:firstLine="0"/>
              <w:jc w:val="center"/>
              <w:rPr>
                <w:color w:val="000000"/>
                <w:sz w:val="20"/>
                <w:szCs w:val="20"/>
              </w:rPr>
            </w:pPr>
            <w:r>
              <w:rPr>
                <w:color w:val="000000"/>
                <w:sz w:val="20"/>
                <w:szCs w:val="20"/>
              </w:rPr>
              <w:t>0,22</w:t>
            </w:r>
          </w:p>
        </w:tc>
        <w:tc>
          <w:tcPr>
            <w:tcW w:w="146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BD6B149">
            <w:pPr>
              <w:spacing w:after="0" w:line="240" w:lineRule="auto"/>
              <w:ind w:firstLine="0"/>
              <w:jc w:val="center"/>
              <w:rPr>
                <w:color w:val="000000"/>
                <w:sz w:val="20"/>
                <w:szCs w:val="20"/>
              </w:rPr>
            </w:pPr>
            <w:r>
              <w:rPr>
                <w:color w:val="000000"/>
                <w:sz w:val="20"/>
                <w:szCs w:val="20"/>
              </w:rPr>
              <w:t>0,5</w:t>
            </w:r>
          </w:p>
        </w:tc>
        <w:tc>
          <w:tcPr>
            <w:tcW w:w="1510" w:type="dxa"/>
            <w:tcBorders>
              <w:top w:val="nil"/>
              <w:left w:val="nil"/>
              <w:bottom w:val="single" w:color="auto" w:sz="4" w:space="0"/>
              <w:right w:val="single" w:color="auto" w:sz="4" w:space="0"/>
            </w:tcBorders>
            <w:shd w:val="clear" w:color="auto" w:fill="auto"/>
            <w:tcMar>
              <w:left w:w="28" w:type="dxa"/>
              <w:right w:w="28" w:type="dxa"/>
            </w:tcMar>
            <w:vAlign w:val="center"/>
          </w:tcPr>
          <w:p w14:paraId="41EC4922">
            <w:pPr>
              <w:spacing w:after="0" w:line="240" w:lineRule="auto"/>
              <w:ind w:firstLine="0"/>
              <w:jc w:val="center"/>
              <w:rPr>
                <w:color w:val="000000"/>
                <w:sz w:val="20"/>
                <w:szCs w:val="20"/>
              </w:rPr>
            </w:pPr>
            <w:r>
              <w:rPr>
                <w:color w:val="000000"/>
                <w:sz w:val="20"/>
                <w:szCs w:val="20"/>
              </w:rPr>
              <w:t>5,09</w:t>
            </w:r>
          </w:p>
        </w:tc>
      </w:tr>
      <w:tr w14:paraId="5AB04EF3">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3FD9859">
            <w:pPr>
              <w:spacing w:after="0" w:line="240" w:lineRule="auto"/>
              <w:ind w:firstLine="0"/>
              <w:jc w:val="center"/>
              <w:rPr>
                <w:color w:val="000000"/>
                <w:sz w:val="20"/>
                <w:szCs w:val="20"/>
              </w:rPr>
            </w:pPr>
            <w:r>
              <w:rPr>
                <w:color w:val="000000"/>
                <w:sz w:val="20"/>
                <w:szCs w:val="20"/>
              </w:rPr>
              <w:t>2</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7477BB8C">
            <w:pPr>
              <w:spacing w:after="0" w:line="240" w:lineRule="auto"/>
              <w:ind w:firstLine="0"/>
              <w:jc w:val="center"/>
              <w:rPr>
                <w:color w:val="000000"/>
                <w:sz w:val="20"/>
                <w:szCs w:val="20"/>
              </w:rPr>
            </w:pPr>
            <w:r>
              <w:rPr>
                <w:color w:val="000000"/>
                <w:sz w:val="20"/>
                <w:szCs w:val="20"/>
              </w:rPr>
              <w:t>Котельная «2БВК»</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E8B0CE3">
            <w:pPr>
              <w:spacing w:after="0" w:line="240" w:lineRule="auto"/>
              <w:ind w:firstLine="0"/>
              <w:jc w:val="center"/>
              <w:rPr>
                <w:color w:val="000000"/>
                <w:sz w:val="20"/>
                <w:szCs w:val="20"/>
              </w:rPr>
            </w:pPr>
            <w:r>
              <w:rPr>
                <w:color w:val="000000"/>
                <w:sz w:val="20"/>
                <w:szCs w:val="20"/>
              </w:rPr>
              <w:t>7,2</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6B028841">
            <w:pPr>
              <w:spacing w:after="0" w:line="240" w:lineRule="auto"/>
              <w:ind w:firstLine="0"/>
              <w:jc w:val="center"/>
              <w:rPr>
                <w:color w:val="000000"/>
                <w:sz w:val="20"/>
                <w:szCs w:val="20"/>
              </w:rPr>
            </w:pPr>
            <w:r>
              <w:rPr>
                <w:color w:val="000000"/>
                <w:sz w:val="20"/>
                <w:szCs w:val="20"/>
              </w:rPr>
              <w:t>5,7</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55C7EFF">
            <w:pPr>
              <w:spacing w:after="0" w:line="240" w:lineRule="auto"/>
              <w:ind w:firstLine="0"/>
              <w:jc w:val="center"/>
              <w:rPr>
                <w:color w:val="000000"/>
                <w:sz w:val="20"/>
                <w:szCs w:val="20"/>
              </w:rPr>
            </w:pPr>
            <w:r>
              <w:rPr>
                <w:color w:val="000000"/>
                <w:sz w:val="20"/>
                <w:szCs w:val="20"/>
              </w:rPr>
              <w:t>1,5</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34DC9F05">
            <w:pPr>
              <w:spacing w:after="0" w:line="240" w:lineRule="auto"/>
              <w:ind w:firstLine="0"/>
              <w:jc w:val="center"/>
              <w:rPr>
                <w:color w:val="000000"/>
                <w:sz w:val="20"/>
                <w:szCs w:val="20"/>
              </w:rPr>
            </w:pPr>
            <w:r>
              <w:rPr>
                <w:color w:val="000000"/>
                <w:sz w:val="20"/>
                <w:szCs w:val="20"/>
              </w:rPr>
              <w:t>0,02</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2EC180">
            <w:pPr>
              <w:spacing w:after="0" w:line="240" w:lineRule="auto"/>
              <w:ind w:firstLine="0"/>
              <w:jc w:val="center"/>
              <w:rPr>
                <w:color w:val="000000"/>
                <w:sz w:val="20"/>
                <w:szCs w:val="20"/>
              </w:rPr>
            </w:pPr>
            <w:r>
              <w:rPr>
                <w:color w:val="000000"/>
                <w:sz w:val="20"/>
                <w:szCs w:val="20"/>
              </w:rPr>
              <w:t>1,48</w:t>
            </w:r>
          </w:p>
        </w:tc>
        <w:tc>
          <w:tcPr>
            <w:tcW w:w="1356" w:type="dxa"/>
            <w:vMerge w:val="restart"/>
            <w:tcBorders>
              <w:top w:val="nil"/>
              <w:left w:val="single" w:color="auto" w:sz="4" w:space="0"/>
              <w:bottom w:val="single" w:color="000000" w:sz="4" w:space="0"/>
              <w:right w:val="single" w:color="auto" w:sz="4" w:space="0"/>
            </w:tcBorders>
            <w:shd w:val="clear" w:color="auto" w:fill="auto"/>
            <w:noWrap/>
            <w:tcMar>
              <w:left w:w="28" w:type="dxa"/>
              <w:right w:w="28" w:type="dxa"/>
            </w:tcMar>
            <w:vAlign w:val="center"/>
          </w:tcPr>
          <w:p w14:paraId="7F38C730">
            <w:pPr>
              <w:spacing w:after="0" w:line="240" w:lineRule="auto"/>
              <w:ind w:firstLine="0"/>
              <w:jc w:val="center"/>
              <w:rPr>
                <w:color w:val="000000"/>
                <w:sz w:val="20"/>
                <w:szCs w:val="20"/>
              </w:rPr>
            </w:pPr>
            <w:r>
              <w:rPr>
                <w:color w:val="000000"/>
                <w:sz w:val="20"/>
                <w:szCs w:val="20"/>
              </w:rPr>
              <w:t>2,3</w:t>
            </w: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641EAB2A">
            <w:pPr>
              <w:spacing w:after="0" w:line="240" w:lineRule="auto"/>
              <w:ind w:firstLine="0"/>
              <w:jc w:val="center"/>
              <w:rPr>
                <w:color w:val="000000"/>
                <w:sz w:val="20"/>
                <w:szCs w:val="20"/>
              </w:rPr>
            </w:pPr>
            <w:r>
              <w:rPr>
                <w:color w:val="000000"/>
                <w:sz w:val="20"/>
                <w:szCs w:val="20"/>
              </w:rPr>
              <w:t>0,12</w:t>
            </w:r>
          </w:p>
        </w:tc>
        <w:tc>
          <w:tcPr>
            <w:tcW w:w="1467" w:type="dxa"/>
            <w:vMerge w:val="restar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8523731">
            <w:pPr>
              <w:spacing w:after="0" w:line="240" w:lineRule="auto"/>
              <w:ind w:firstLine="0"/>
              <w:jc w:val="center"/>
              <w:rPr>
                <w:color w:val="000000"/>
                <w:sz w:val="20"/>
                <w:szCs w:val="20"/>
              </w:rPr>
            </w:pPr>
            <w:r>
              <w:rPr>
                <w:color w:val="000000"/>
                <w:sz w:val="20"/>
                <w:szCs w:val="20"/>
              </w:rPr>
              <w:t>1,68</w:t>
            </w:r>
          </w:p>
        </w:tc>
        <w:tc>
          <w:tcPr>
            <w:tcW w:w="1510"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FD3E6BB">
            <w:pPr>
              <w:spacing w:after="0" w:line="240" w:lineRule="auto"/>
              <w:ind w:firstLine="0"/>
              <w:jc w:val="center"/>
              <w:rPr>
                <w:color w:val="000000"/>
                <w:sz w:val="20"/>
                <w:szCs w:val="20"/>
              </w:rPr>
            </w:pPr>
            <w:r>
              <w:rPr>
                <w:color w:val="000000"/>
                <w:sz w:val="20"/>
                <w:szCs w:val="20"/>
              </w:rPr>
              <w:t>9,87</w:t>
            </w:r>
          </w:p>
        </w:tc>
      </w:tr>
      <w:tr w14:paraId="0A237FC5">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41747D3">
            <w:pPr>
              <w:spacing w:after="0" w:line="240" w:lineRule="auto"/>
              <w:ind w:firstLine="0"/>
              <w:jc w:val="center"/>
              <w:rPr>
                <w:color w:val="000000"/>
                <w:sz w:val="20"/>
                <w:szCs w:val="20"/>
              </w:rPr>
            </w:pPr>
            <w:r>
              <w:rPr>
                <w:color w:val="000000"/>
                <w:sz w:val="20"/>
                <w:szCs w:val="20"/>
              </w:rPr>
              <w:t>3</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204A87A5">
            <w:pPr>
              <w:spacing w:after="0" w:line="240" w:lineRule="auto"/>
              <w:ind w:firstLine="0"/>
              <w:jc w:val="center"/>
              <w:rPr>
                <w:color w:val="000000"/>
                <w:sz w:val="20"/>
                <w:szCs w:val="20"/>
              </w:rPr>
            </w:pPr>
            <w:r>
              <w:rPr>
                <w:color w:val="000000"/>
                <w:sz w:val="20"/>
                <w:szCs w:val="20"/>
              </w:rPr>
              <w:t>Котельная «Вирбекс»</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5557272">
            <w:pPr>
              <w:spacing w:after="0" w:line="240" w:lineRule="auto"/>
              <w:ind w:firstLine="0"/>
              <w:jc w:val="center"/>
              <w:rPr>
                <w:color w:val="000000"/>
                <w:sz w:val="20"/>
                <w:szCs w:val="20"/>
              </w:rPr>
            </w:pPr>
            <w:r>
              <w:rPr>
                <w:color w:val="000000"/>
                <w:sz w:val="20"/>
                <w:szCs w:val="20"/>
              </w:rPr>
              <w:t>2,8</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3A8663D5">
            <w:pPr>
              <w:spacing w:after="0" w:line="240" w:lineRule="auto"/>
              <w:ind w:firstLine="0"/>
              <w:jc w:val="center"/>
              <w:rPr>
                <w:color w:val="000000"/>
                <w:sz w:val="20"/>
                <w:szCs w:val="20"/>
              </w:rPr>
            </w:pPr>
            <w:r>
              <w:rPr>
                <w:color w:val="000000"/>
                <w:sz w:val="20"/>
                <w:szCs w:val="20"/>
              </w:rPr>
              <w:t>1,3</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436990C">
            <w:pPr>
              <w:spacing w:after="0" w:line="240" w:lineRule="auto"/>
              <w:ind w:firstLine="0"/>
              <w:jc w:val="center"/>
              <w:rPr>
                <w:color w:val="000000"/>
                <w:sz w:val="20"/>
                <w:szCs w:val="20"/>
              </w:rPr>
            </w:pPr>
            <w:r>
              <w:rPr>
                <w:color w:val="000000"/>
                <w:sz w:val="20"/>
                <w:szCs w:val="20"/>
              </w:rPr>
              <w:t>1,5</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63B47B97">
            <w:pPr>
              <w:spacing w:after="0" w:line="240" w:lineRule="auto"/>
              <w:ind w:firstLine="0"/>
              <w:jc w:val="center"/>
              <w:rPr>
                <w:color w:val="000000"/>
                <w:sz w:val="20"/>
                <w:szCs w:val="20"/>
              </w:rPr>
            </w:pPr>
            <w:r>
              <w:rPr>
                <w:color w:val="000000"/>
                <w:sz w:val="20"/>
                <w:szCs w:val="20"/>
              </w:rPr>
              <w:t>0,21</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2A5D32A">
            <w:pPr>
              <w:spacing w:after="0" w:line="240" w:lineRule="auto"/>
              <w:ind w:firstLine="0"/>
              <w:jc w:val="center"/>
              <w:rPr>
                <w:color w:val="000000"/>
                <w:sz w:val="20"/>
                <w:szCs w:val="20"/>
              </w:rPr>
            </w:pPr>
            <w:r>
              <w:rPr>
                <w:color w:val="000000"/>
                <w:sz w:val="20"/>
                <w:szCs w:val="20"/>
              </w:rPr>
              <w:t>1,29</w:t>
            </w:r>
          </w:p>
        </w:tc>
        <w:tc>
          <w:tcPr>
            <w:tcW w:w="1356" w:type="dxa"/>
            <w:vMerge w:val="continue"/>
            <w:tcBorders>
              <w:top w:val="nil"/>
              <w:left w:val="single" w:color="auto" w:sz="4" w:space="0"/>
              <w:bottom w:val="single" w:color="000000" w:sz="4" w:space="0"/>
              <w:right w:val="single" w:color="auto" w:sz="4" w:space="0"/>
            </w:tcBorders>
            <w:tcMar>
              <w:left w:w="28" w:type="dxa"/>
              <w:right w:w="28" w:type="dxa"/>
            </w:tcMar>
            <w:vAlign w:val="center"/>
          </w:tcPr>
          <w:p w14:paraId="3220131B">
            <w:pPr>
              <w:spacing w:after="0" w:line="240" w:lineRule="auto"/>
              <w:ind w:firstLine="0"/>
              <w:rPr>
                <w:color w:val="000000"/>
                <w:sz w:val="20"/>
                <w:szCs w:val="20"/>
              </w:rPr>
            </w:pP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477A0CB5">
            <w:pPr>
              <w:spacing w:after="0" w:line="240" w:lineRule="auto"/>
              <w:ind w:firstLine="0"/>
              <w:jc w:val="center"/>
              <w:rPr>
                <w:color w:val="000000"/>
                <w:sz w:val="20"/>
                <w:szCs w:val="20"/>
              </w:rPr>
            </w:pPr>
            <w:r>
              <w:rPr>
                <w:color w:val="000000"/>
                <w:sz w:val="20"/>
                <w:szCs w:val="20"/>
              </w:rPr>
              <w:t>0,12</w:t>
            </w:r>
          </w:p>
        </w:tc>
        <w:tc>
          <w:tcPr>
            <w:tcW w:w="1467"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65C4F960">
            <w:pPr>
              <w:spacing w:after="0" w:line="240" w:lineRule="auto"/>
              <w:ind w:firstLine="0"/>
              <w:rPr>
                <w:color w:val="000000"/>
                <w:sz w:val="20"/>
                <w:szCs w:val="20"/>
              </w:rPr>
            </w:pPr>
          </w:p>
        </w:tc>
        <w:tc>
          <w:tcPr>
            <w:tcW w:w="1510"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5CA00FB5">
            <w:pPr>
              <w:spacing w:after="0" w:line="240" w:lineRule="auto"/>
              <w:ind w:firstLine="0"/>
              <w:rPr>
                <w:color w:val="000000"/>
                <w:sz w:val="20"/>
                <w:szCs w:val="20"/>
              </w:rPr>
            </w:pPr>
          </w:p>
        </w:tc>
      </w:tr>
      <w:tr w14:paraId="57F662F0">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49651B6">
            <w:pPr>
              <w:spacing w:after="0" w:line="240" w:lineRule="auto"/>
              <w:ind w:firstLine="0"/>
              <w:jc w:val="center"/>
              <w:rPr>
                <w:color w:val="000000"/>
                <w:sz w:val="20"/>
                <w:szCs w:val="20"/>
              </w:rPr>
            </w:pPr>
            <w:r>
              <w:rPr>
                <w:color w:val="000000"/>
                <w:sz w:val="20"/>
                <w:szCs w:val="20"/>
              </w:rPr>
              <w:t>4</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2BC5E9FD">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BF12895">
            <w:pPr>
              <w:spacing w:after="0" w:line="240" w:lineRule="auto"/>
              <w:ind w:firstLine="0"/>
              <w:jc w:val="center"/>
              <w:rPr>
                <w:color w:val="000000"/>
                <w:sz w:val="20"/>
                <w:szCs w:val="20"/>
              </w:rPr>
            </w:pPr>
            <w:r>
              <w:rPr>
                <w:color w:val="000000"/>
                <w:sz w:val="20"/>
                <w:szCs w:val="20"/>
              </w:rPr>
              <w:t>37,72</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2646D02E">
            <w:pPr>
              <w:spacing w:after="0" w:line="240" w:lineRule="auto"/>
              <w:ind w:firstLine="0"/>
              <w:jc w:val="center"/>
              <w:rPr>
                <w:color w:val="000000"/>
                <w:sz w:val="20"/>
                <w:szCs w:val="20"/>
              </w:rPr>
            </w:pPr>
            <w:r>
              <w:rPr>
                <w:color w:val="000000"/>
                <w:sz w:val="20"/>
                <w:szCs w:val="20"/>
              </w:rPr>
              <w:t>28,32</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8D78563">
            <w:pPr>
              <w:spacing w:after="0" w:line="240" w:lineRule="auto"/>
              <w:ind w:firstLine="0"/>
              <w:jc w:val="center"/>
              <w:rPr>
                <w:color w:val="000000"/>
                <w:sz w:val="20"/>
                <w:szCs w:val="20"/>
              </w:rPr>
            </w:pPr>
            <w:r>
              <w:rPr>
                <w:color w:val="000000"/>
                <w:sz w:val="20"/>
                <w:szCs w:val="20"/>
              </w:rPr>
              <w:t>9,4</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786E91FF">
            <w:pPr>
              <w:spacing w:after="0" w:line="240" w:lineRule="auto"/>
              <w:ind w:firstLine="0"/>
              <w:jc w:val="center"/>
              <w:rPr>
                <w:color w:val="000000"/>
                <w:sz w:val="20"/>
                <w:szCs w:val="20"/>
              </w:rPr>
            </w:pPr>
            <w:r>
              <w:rPr>
                <w:color w:val="000000"/>
                <w:sz w:val="20"/>
                <w:szCs w:val="20"/>
              </w:rPr>
              <w:t>0</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411CED">
            <w:pPr>
              <w:spacing w:after="0" w:line="240" w:lineRule="auto"/>
              <w:ind w:firstLine="0"/>
              <w:jc w:val="center"/>
              <w:rPr>
                <w:color w:val="000000"/>
                <w:sz w:val="20"/>
                <w:szCs w:val="20"/>
              </w:rPr>
            </w:pPr>
            <w:r>
              <w:rPr>
                <w:color w:val="000000"/>
                <w:sz w:val="20"/>
                <w:szCs w:val="20"/>
              </w:rPr>
              <w:t>9,4</w:t>
            </w:r>
          </w:p>
        </w:tc>
        <w:tc>
          <w:tcPr>
            <w:tcW w:w="1356" w:type="dxa"/>
            <w:vMerge w:val="continue"/>
            <w:tcBorders>
              <w:top w:val="nil"/>
              <w:left w:val="single" w:color="auto" w:sz="4" w:space="0"/>
              <w:bottom w:val="single" w:color="000000" w:sz="4" w:space="0"/>
              <w:right w:val="single" w:color="auto" w:sz="4" w:space="0"/>
            </w:tcBorders>
            <w:tcMar>
              <w:left w:w="28" w:type="dxa"/>
              <w:right w:w="28" w:type="dxa"/>
            </w:tcMar>
            <w:vAlign w:val="center"/>
          </w:tcPr>
          <w:p w14:paraId="581837F6">
            <w:pPr>
              <w:spacing w:after="0" w:line="240" w:lineRule="auto"/>
              <w:ind w:firstLine="0"/>
              <w:rPr>
                <w:color w:val="000000"/>
                <w:sz w:val="20"/>
                <w:szCs w:val="20"/>
              </w:rPr>
            </w:pP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417D959C">
            <w:pPr>
              <w:spacing w:after="0" w:line="240" w:lineRule="auto"/>
              <w:ind w:firstLine="0"/>
              <w:jc w:val="center"/>
              <w:rPr>
                <w:color w:val="000000"/>
                <w:sz w:val="20"/>
                <w:szCs w:val="20"/>
              </w:rPr>
            </w:pPr>
            <w:r>
              <w:rPr>
                <w:color w:val="000000"/>
                <w:sz w:val="20"/>
                <w:szCs w:val="20"/>
              </w:rPr>
              <w:t>0,38</w:t>
            </w:r>
          </w:p>
        </w:tc>
        <w:tc>
          <w:tcPr>
            <w:tcW w:w="1467"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15C5146">
            <w:pPr>
              <w:spacing w:after="0" w:line="240" w:lineRule="auto"/>
              <w:ind w:firstLine="0"/>
              <w:rPr>
                <w:color w:val="000000"/>
                <w:sz w:val="20"/>
                <w:szCs w:val="20"/>
              </w:rPr>
            </w:pPr>
          </w:p>
        </w:tc>
        <w:tc>
          <w:tcPr>
            <w:tcW w:w="1510"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A280657">
            <w:pPr>
              <w:spacing w:after="0" w:line="240" w:lineRule="auto"/>
              <w:ind w:firstLine="0"/>
              <w:rPr>
                <w:color w:val="000000"/>
                <w:sz w:val="20"/>
                <w:szCs w:val="20"/>
              </w:rPr>
            </w:pPr>
          </w:p>
        </w:tc>
      </w:tr>
      <w:tr w14:paraId="6B58A942">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AC77B78">
            <w:pPr>
              <w:spacing w:after="0" w:line="240" w:lineRule="auto"/>
              <w:ind w:firstLine="0"/>
              <w:jc w:val="center"/>
              <w:rPr>
                <w:color w:val="000000"/>
                <w:sz w:val="20"/>
                <w:szCs w:val="20"/>
              </w:rPr>
            </w:pPr>
            <w:r>
              <w:rPr>
                <w:color w:val="000000"/>
                <w:sz w:val="20"/>
                <w:szCs w:val="20"/>
              </w:rPr>
              <w:t> </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370C80C6">
            <w:pPr>
              <w:spacing w:after="0" w:line="240" w:lineRule="auto"/>
              <w:ind w:firstLine="0"/>
              <w:jc w:val="center"/>
              <w:rPr>
                <w:color w:val="000000"/>
                <w:sz w:val="20"/>
                <w:szCs w:val="20"/>
              </w:rPr>
            </w:pPr>
            <w:r>
              <w:rPr>
                <w:color w:val="000000"/>
                <w:sz w:val="20"/>
                <w:szCs w:val="20"/>
              </w:rPr>
              <w:t>Итого по с.п. Верхнеказымский:</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94A83D2">
            <w:pPr>
              <w:spacing w:after="0" w:line="240" w:lineRule="auto"/>
              <w:ind w:firstLine="0"/>
              <w:jc w:val="center"/>
              <w:rPr>
                <w:color w:val="000000"/>
                <w:sz w:val="20"/>
                <w:szCs w:val="20"/>
              </w:rPr>
            </w:pPr>
            <w:r>
              <w:rPr>
                <w:color w:val="000000"/>
                <w:sz w:val="20"/>
                <w:szCs w:val="20"/>
              </w:rPr>
              <w:t>53,74</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3FC6AB">
            <w:pPr>
              <w:spacing w:after="0" w:line="240" w:lineRule="auto"/>
              <w:ind w:firstLine="0"/>
              <w:jc w:val="center"/>
              <w:rPr>
                <w:color w:val="000000"/>
                <w:sz w:val="20"/>
                <w:szCs w:val="20"/>
              </w:rPr>
            </w:pPr>
            <w:r>
              <w:rPr>
                <w:color w:val="000000"/>
                <w:sz w:val="20"/>
                <w:szCs w:val="20"/>
              </w:rPr>
              <w:t>35,4</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939F425">
            <w:pPr>
              <w:spacing w:after="0" w:line="240" w:lineRule="auto"/>
              <w:ind w:firstLine="0"/>
              <w:jc w:val="center"/>
              <w:rPr>
                <w:color w:val="000000"/>
                <w:sz w:val="20"/>
                <w:szCs w:val="20"/>
              </w:rPr>
            </w:pPr>
            <w:r>
              <w:rPr>
                <w:color w:val="000000"/>
                <w:sz w:val="20"/>
                <w:szCs w:val="20"/>
              </w:rPr>
              <w:t>18,34</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A114030">
            <w:pPr>
              <w:spacing w:after="0" w:line="240" w:lineRule="auto"/>
              <w:ind w:firstLine="0"/>
              <w:jc w:val="center"/>
              <w:rPr>
                <w:color w:val="000000"/>
                <w:sz w:val="20"/>
                <w:szCs w:val="20"/>
              </w:rPr>
            </w:pPr>
            <w:r>
              <w:rPr>
                <w:color w:val="000000"/>
                <w:sz w:val="20"/>
                <w:szCs w:val="20"/>
              </w:rPr>
              <w:t>0,27</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92767FA">
            <w:pPr>
              <w:spacing w:after="0" w:line="240" w:lineRule="auto"/>
              <w:ind w:firstLine="0"/>
              <w:jc w:val="center"/>
              <w:rPr>
                <w:color w:val="000000"/>
                <w:sz w:val="20"/>
                <w:szCs w:val="20"/>
              </w:rPr>
            </w:pPr>
            <w:r>
              <w:rPr>
                <w:color w:val="000000"/>
                <w:sz w:val="20"/>
                <w:szCs w:val="20"/>
              </w:rPr>
              <w:t>18,07</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D98859B">
            <w:pPr>
              <w:spacing w:after="0" w:line="240" w:lineRule="auto"/>
              <w:ind w:firstLine="0"/>
              <w:jc w:val="center"/>
              <w:rPr>
                <w:color w:val="000000"/>
                <w:sz w:val="20"/>
                <w:szCs w:val="20"/>
              </w:rPr>
            </w:pPr>
            <w:r>
              <w:rPr>
                <w:color w:val="000000"/>
                <w:sz w:val="20"/>
                <w:szCs w:val="20"/>
              </w:rPr>
              <w:t>3,02</w:t>
            </w:r>
          </w:p>
        </w:tc>
        <w:tc>
          <w:tcPr>
            <w:tcW w:w="1242"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FFFEC67">
            <w:pPr>
              <w:spacing w:after="0" w:line="240" w:lineRule="auto"/>
              <w:ind w:firstLine="0"/>
              <w:jc w:val="center"/>
              <w:rPr>
                <w:color w:val="000000"/>
                <w:sz w:val="20"/>
                <w:szCs w:val="20"/>
              </w:rPr>
            </w:pPr>
            <w:r>
              <w:rPr>
                <w:color w:val="000000"/>
                <w:sz w:val="20"/>
                <w:szCs w:val="20"/>
              </w:rPr>
              <w:t>0,8</w:t>
            </w:r>
          </w:p>
        </w:tc>
        <w:tc>
          <w:tcPr>
            <w:tcW w:w="146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8659A4">
            <w:pPr>
              <w:spacing w:after="0" w:line="240" w:lineRule="auto"/>
              <w:ind w:firstLine="0"/>
              <w:jc w:val="center"/>
              <w:rPr>
                <w:color w:val="000000"/>
                <w:sz w:val="20"/>
                <w:szCs w:val="20"/>
              </w:rPr>
            </w:pPr>
            <w:r>
              <w:rPr>
                <w:color w:val="000000"/>
                <w:sz w:val="20"/>
                <w:szCs w:val="20"/>
              </w:rPr>
              <w:t>2,18</w:t>
            </w:r>
          </w:p>
        </w:tc>
        <w:tc>
          <w:tcPr>
            <w:tcW w:w="15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490786C">
            <w:pPr>
              <w:spacing w:after="0" w:line="240" w:lineRule="auto"/>
              <w:ind w:firstLine="0"/>
              <w:jc w:val="center"/>
              <w:rPr>
                <w:color w:val="000000"/>
                <w:sz w:val="20"/>
                <w:szCs w:val="20"/>
              </w:rPr>
            </w:pPr>
            <w:r>
              <w:rPr>
                <w:color w:val="000000"/>
                <w:sz w:val="20"/>
                <w:szCs w:val="20"/>
              </w:rPr>
              <w:t>14,96</w:t>
            </w:r>
          </w:p>
        </w:tc>
      </w:tr>
    </w:tbl>
    <w:p w14:paraId="66A18C64">
      <w:pPr>
        <w:spacing w:after="0" w:line="240" w:lineRule="auto"/>
        <w:contextualSpacing/>
        <w:jc w:val="both"/>
        <w:rPr>
          <w:rFonts w:eastAsia="Calibri"/>
          <w:sz w:val="24"/>
          <w:szCs w:val="24"/>
          <w:lang w:eastAsia="en-US"/>
        </w:rPr>
      </w:pPr>
    </w:p>
    <w:p w14:paraId="234BAE50">
      <w:pPr>
        <w:spacing w:after="0" w:line="240" w:lineRule="auto"/>
        <w:contextualSpacing/>
        <w:jc w:val="both"/>
        <w:rPr>
          <w:rFonts w:eastAsia="Calibri"/>
          <w:sz w:val="24"/>
          <w:szCs w:val="24"/>
          <w:lang w:val="en-US" w:eastAsia="en-US"/>
        </w:rPr>
        <w:sectPr>
          <w:pgSz w:w="16838" w:h="11906" w:orient="landscape"/>
          <w:pgMar w:top="1701" w:right="1134" w:bottom="567" w:left="1134" w:header="708" w:footer="708" w:gutter="0"/>
          <w:cols w:space="708" w:num="1"/>
          <w:docGrid w:linePitch="381" w:charSpace="0"/>
        </w:sectPr>
      </w:pPr>
    </w:p>
    <w:p w14:paraId="781EE772">
      <w:pPr>
        <w:pStyle w:val="4"/>
        <w:spacing w:before="0" w:line="240" w:lineRule="auto"/>
        <w:ind w:left="0" w:firstLine="709"/>
        <w:contextualSpacing/>
        <w:rPr>
          <w:rFonts w:cs="Times New Roman"/>
          <w:b w:val="0"/>
          <w:sz w:val="24"/>
        </w:rPr>
      </w:pPr>
      <w:bookmarkStart w:id="167" w:name="_Toc524614775"/>
      <w:bookmarkStart w:id="168" w:name="_Toc524614991"/>
      <w:bookmarkStart w:id="169" w:name="_Toc182813905"/>
      <w:r>
        <w:rPr>
          <w:rFonts w:cs="Times New Roman"/>
          <w:b w:val="0"/>
          <w:sz w:val="24"/>
        </w:rPr>
        <w:t>Описание значений расчетных тепловых нагрузок на коллекторах источников тепловой энергии</w:t>
      </w:r>
      <w:bookmarkEnd w:id="167"/>
      <w:bookmarkEnd w:id="168"/>
      <w:bookmarkEnd w:id="169"/>
    </w:p>
    <w:p w14:paraId="78617C9C">
      <w:pPr>
        <w:spacing w:after="0" w:line="240" w:lineRule="auto"/>
        <w:contextualSpacing/>
        <w:jc w:val="both"/>
        <w:rPr>
          <w:sz w:val="24"/>
          <w:szCs w:val="24"/>
        </w:rPr>
      </w:pPr>
      <w:r>
        <w:rPr>
          <w:sz w:val="24"/>
          <w:szCs w:val="24"/>
        </w:rPr>
        <w:t>Расчетные тепловые нагрузки по источникам теплоснабжения представлены в таблице 29.</w:t>
      </w:r>
    </w:p>
    <w:p w14:paraId="2AB66FB8">
      <w:pPr>
        <w:spacing w:after="0" w:line="240" w:lineRule="auto"/>
        <w:ind w:firstLine="0"/>
        <w:contextualSpacing/>
        <w:jc w:val="both"/>
        <w:rPr>
          <w:rFonts w:eastAsia="Calibri"/>
          <w:sz w:val="24"/>
          <w:szCs w:val="24"/>
          <w:lang w:eastAsia="en-US"/>
        </w:rPr>
      </w:pPr>
    </w:p>
    <w:p w14:paraId="254D24BF">
      <w:pPr>
        <w:keepNext/>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29</w:t>
      </w:r>
      <w:r>
        <w:rPr>
          <w:bCs/>
          <w:sz w:val="24"/>
          <w:szCs w:val="24"/>
        </w:rPr>
        <w:fldChar w:fldCharType="end"/>
      </w:r>
      <w:r>
        <w:rPr>
          <w:bCs/>
          <w:sz w:val="24"/>
          <w:szCs w:val="24"/>
        </w:rPr>
        <w:t xml:space="preserve"> – </w:t>
      </w:r>
      <w:r>
        <w:rPr>
          <w:sz w:val="24"/>
          <w:szCs w:val="24"/>
        </w:rPr>
        <w:t>Расчетные тепловые нагрузки по источникам теплоснабжения</w:t>
      </w:r>
    </w:p>
    <w:tbl>
      <w:tblPr>
        <w:tblStyle w:val="12"/>
        <w:tblW w:w="4981" w:type="pct"/>
        <w:tblInd w:w="0" w:type="dxa"/>
        <w:tblLayout w:type="autofit"/>
        <w:tblCellMar>
          <w:top w:w="0" w:type="dxa"/>
          <w:left w:w="108" w:type="dxa"/>
          <w:bottom w:w="0" w:type="dxa"/>
          <w:right w:w="108" w:type="dxa"/>
        </w:tblCellMar>
      </w:tblPr>
      <w:tblGrid>
        <w:gridCol w:w="693"/>
        <w:gridCol w:w="3509"/>
        <w:gridCol w:w="2089"/>
        <w:gridCol w:w="1683"/>
        <w:gridCol w:w="1843"/>
      </w:tblGrid>
      <w:tr w14:paraId="4860F108">
        <w:tblPrEx>
          <w:tblCellMar>
            <w:top w:w="0" w:type="dxa"/>
            <w:left w:w="108" w:type="dxa"/>
            <w:bottom w:w="0" w:type="dxa"/>
            <w:right w:w="108" w:type="dxa"/>
          </w:tblCellMar>
        </w:tblPrEx>
        <w:trPr>
          <w:trHeight w:val="20" w:hRule="atLeast"/>
        </w:trPr>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14:paraId="42E6FA6B">
            <w:pPr>
              <w:spacing w:after="0" w:line="240" w:lineRule="auto"/>
              <w:ind w:firstLine="0"/>
              <w:contextualSpacing/>
              <w:jc w:val="center"/>
              <w:rPr>
                <w:color w:val="000000"/>
                <w:sz w:val="20"/>
                <w:szCs w:val="20"/>
              </w:rPr>
            </w:pPr>
            <w:r>
              <w:rPr>
                <w:color w:val="000000"/>
                <w:sz w:val="20"/>
                <w:szCs w:val="20"/>
              </w:rPr>
              <w:t>№ п/п</w:t>
            </w:r>
          </w:p>
        </w:tc>
        <w:tc>
          <w:tcPr>
            <w:tcW w:w="1787" w:type="pct"/>
            <w:tcBorders>
              <w:top w:val="single" w:color="auto" w:sz="4" w:space="0"/>
              <w:left w:val="nil"/>
              <w:bottom w:val="single" w:color="auto" w:sz="4" w:space="0"/>
              <w:right w:val="single" w:color="auto" w:sz="4" w:space="0"/>
            </w:tcBorders>
            <w:shd w:val="clear" w:color="auto" w:fill="auto"/>
            <w:vAlign w:val="center"/>
          </w:tcPr>
          <w:p w14:paraId="32F4155B">
            <w:pPr>
              <w:spacing w:after="0" w:line="240" w:lineRule="auto"/>
              <w:ind w:firstLine="0"/>
              <w:contextualSpacing/>
              <w:jc w:val="center"/>
              <w:rPr>
                <w:color w:val="000000"/>
                <w:sz w:val="20"/>
                <w:szCs w:val="20"/>
              </w:rPr>
            </w:pPr>
            <w:r>
              <w:rPr>
                <w:color w:val="000000"/>
                <w:sz w:val="20"/>
                <w:szCs w:val="20"/>
              </w:rPr>
              <w:t>Наименование и адрес котельной</w:t>
            </w:r>
          </w:p>
        </w:tc>
        <w:tc>
          <w:tcPr>
            <w:tcW w:w="1064" w:type="pct"/>
            <w:tcBorders>
              <w:top w:val="single" w:color="auto" w:sz="4" w:space="0"/>
              <w:left w:val="nil"/>
              <w:bottom w:val="single" w:color="auto" w:sz="4" w:space="0"/>
              <w:right w:val="single" w:color="auto" w:sz="4" w:space="0"/>
            </w:tcBorders>
            <w:shd w:val="clear" w:color="auto" w:fill="auto"/>
            <w:vAlign w:val="center"/>
          </w:tcPr>
          <w:p w14:paraId="674D5BFF">
            <w:pPr>
              <w:spacing w:after="0" w:line="240" w:lineRule="auto"/>
              <w:ind w:firstLine="0"/>
              <w:contextualSpacing/>
              <w:jc w:val="center"/>
              <w:rPr>
                <w:color w:val="000000"/>
                <w:sz w:val="20"/>
                <w:szCs w:val="20"/>
              </w:rPr>
            </w:pPr>
            <w:r>
              <w:rPr>
                <w:color w:val="000000"/>
                <w:sz w:val="20"/>
                <w:szCs w:val="20"/>
              </w:rPr>
              <w:t>Установленная мощность, Гкал/ч</w:t>
            </w:r>
          </w:p>
        </w:tc>
        <w:tc>
          <w:tcPr>
            <w:tcW w:w="857" w:type="pct"/>
            <w:tcBorders>
              <w:top w:val="single" w:color="auto" w:sz="4" w:space="0"/>
              <w:left w:val="nil"/>
              <w:bottom w:val="single" w:color="auto" w:sz="4" w:space="0"/>
              <w:right w:val="single" w:color="auto" w:sz="4" w:space="0"/>
            </w:tcBorders>
            <w:shd w:val="clear" w:color="auto" w:fill="auto"/>
            <w:vAlign w:val="center"/>
          </w:tcPr>
          <w:p w14:paraId="68D78D0B">
            <w:pPr>
              <w:spacing w:after="0" w:line="240" w:lineRule="auto"/>
              <w:ind w:firstLine="0"/>
              <w:contextualSpacing/>
              <w:jc w:val="center"/>
              <w:rPr>
                <w:color w:val="000000"/>
                <w:sz w:val="20"/>
                <w:szCs w:val="20"/>
              </w:rPr>
            </w:pPr>
            <w:r>
              <w:rPr>
                <w:color w:val="000000"/>
                <w:sz w:val="20"/>
                <w:szCs w:val="20"/>
              </w:rPr>
              <w:t>Присоединенная нагрузка, Гкал/ч</w:t>
            </w:r>
          </w:p>
        </w:tc>
        <w:tc>
          <w:tcPr>
            <w:tcW w:w="938" w:type="pct"/>
            <w:tcBorders>
              <w:top w:val="single" w:color="auto" w:sz="4" w:space="0"/>
              <w:left w:val="nil"/>
              <w:bottom w:val="single" w:color="auto" w:sz="4" w:space="0"/>
              <w:right w:val="single" w:color="auto" w:sz="4" w:space="0"/>
            </w:tcBorders>
            <w:shd w:val="clear" w:color="auto" w:fill="auto"/>
            <w:vAlign w:val="center"/>
          </w:tcPr>
          <w:p w14:paraId="2C522200">
            <w:pPr>
              <w:spacing w:after="0" w:line="240" w:lineRule="auto"/>
              <w:ind w:firstLine="0"/>
              <w:contextualSpacing/>
              <w:jc w:val="center"/>
              <w:rPr>
                <w:color w:val="000000"/>
                <w:sz w:val="20"/>
                <w:szCs w:val="20"/>
              </w:rPr>
            </w:pPr>
            <w:r>
              <w:rPr>
                <w:color w:val="000000"/>
                <w:sz w:val="20"/>
                <w:szCs w:val="20"/>
              </w:rPr>
              <w:t>Тепловая нагрузка на источнике, Гкал/ч</w:t>
            </w:r>
          </w:p>
        </w:tc>
      </w:tr>
      <w:tr w14:paraId="5F676DB5">
        <w:tblPrEx>
          <w:tblCellMar>
            <w:top w:w="0" w:type="dxa"/>
            <w:left w:w="108" w:type="dxa"/>
            <w:bottom w:w="0" w:type="dxa"/>
            <w:right w:w="108" w:type="dxa"/>
          </w:tblCellMar>
        </w:tblPrEx>
        <w:trPr>
          <w:trHeight w:val="20" w:hRule="atLeast"/>
        </w:trPr>
        <w:tc>
          <w:tcPr>
            <w:tcW w:w="353" w:type="pct"/>
            <w:tcBorders>
              <w:top w:val="nil"/>
              <w:left w:val="single" w:color="auto" w:sz="4" w:space="0"/>
              <w:bottom w:val="single" w:color="auto" w:sz="4" w:space="0"/>
              <w:right w:val="nil"/>
            </w:tcBorders>
            <w:shd w:val="clear" w:color="auto" w:fill="auto"/>
            <w:vAlign w:val="center"/>
          </w:tcPr>
          <w:p w14:paraId="2D32AFDE">
            <w:pPr>
              <w:spacing w:after="0" w:line="240" w:lineRule="auto"/>
              <w:ind w:firstLine="0"/>
              <w:contextualSpacing/>
              <w:jc w:val="center"/>
              <w:rPr>
                <w:color w:val="000000"/>
                <w:sz w:val="20"/>
                <w:szCs w:val="20"/>
              </w:rPr>
            </w:pPr>
            <w:r>
              <w:rPr>
                <w:color w:val="000000"/>
                <w:sz w:val="20"/>
                <w:szCs w:val="20"/>
              </w:rPr>
              <w:t>1</w:t>
            </w:r>
          </w:p>
        </w:tc>
        <w:tc>
          <w:tcPr>
            <w:tcW w:w="1787" w:type="pct"/>
            <w:tcBorders>
              <w:top w:val="nil"/>
              <w:left w:val="single" w:color="auto" w:sz="4" w:space="0"/>
              <w:bottom w:val="single" w:color="auto" w:sz="4" w:space="0"/>
              <w:right w:val="single" w:color="auto" w:sz="4" w:space="0"/>
            </w:tcBorders>
            <w:shd w:val="clear" w:color="auto" w:fill="auto"/>
            <w:vAlign w:val="center"/>
          </w:tcPr>
          <w:p w14:paraId="06888ED6">
            <w:pPr>
              <w:spacing w:after="0" w:line="240" w:lineRule="auto"/>
              <w:ind w:firstLine="0"/>
              <w:contextualSpacing/>
              <w:jc w:val="center"/>
              <w:rPr>
                <w:color w:val="000000"/>
                <w:sz w:val="20"/>
                <w:szCs w:val="20"/>
              </w:rPr>
            </w:pPr>
            <w:r>
              <w:rPr>
                <w:color w:val="000000"/>
                <w:sz w:val="20"/>
                <w:szCs w:val="20"/>
              </w:rPr>
              <w:t>Котельная №2 МУП «БКС»</w:t>
            </w:r>
          </w:p>
        </w:tc>
        <w:tc>
          <w:tcPr>
            <w:tcW w:w="1064" w:type="pct"/>
            <w:tcBorders>
              <w:top w:val="nil"/>
              <w:left w:val="nil"/>
              <w:bottom w:val="single" w:color="auto" w:sz="4" w:space="0"/>
              <w:right w:val="single" w:color="auto" w:sz="4" w:space="0"/>
            </w:tcBorders>
            <w:shd w:val="clear" w:color="auto" w:fill="auto"/>
            <w:noWrap/>
            <w:vAlign w:val="center"/>
          </w:tcPr>
          <w:p w14:paraId="44D16E38">
            <w:pPr>
              <w:spacing w:after="0" w:line="240" w:lineRule="auto"/>
              <w:ind w:firstLine="0"/>
              <w:contextualSpacing/>
              <w:jc w:val="center"/>
              <w:rPr>
                <w:color w:val="000000"/>
                <w:sz w:val="20"/>
                <w:szCs w:val="20"/>
              </w:rPr>
            </w:pPr>
            <w:r>
              <w:rPr>
                <w:color w:val="000000"/>
                <w:sz w:val="20"/>
                <w:szCs w:val="20"/>
              </w:rPr>
              <w:t>6,02</w:t>
            </w:r>
          </w:p>
        </w:tc>
        <w:tc>
          <w:tcPr>
            <w:tcW w:w="857" w:type="pct"/>
            <w:tcBorders>
              <w:top w:val="nil"/>
              <w:left w:val="nil"/>
              <w:bottom w:val="single" w:color="auto" w:sz="4" w:space="0"/>
              <w:right w:val="single" w:color="auto" w:sz="4" w:space="0"/>
            </w:tcBorders>
            <w:shd w:val="clear" w:color="auto" w:fill="auto"/>
            <w:noWrap/>
            <w:vAlign w:val="center"/>
          </w:tcPr>
          <w:p w14:paraId="28FDFB71">
            <w:pPr>
              <w:spacing w:after="0" w:line="240" w:lineRule="auto"/>
              <w:ind w:firstLine="0"/>
              <w:contextualSpacing/>
              <w:jc w:val="center"/>
              <w:rPr>
                <w:color w:val="000000"/>
                <w:sz w:val="20"/>
                <w:szCs w:val="20"/>
              </w:rPr>
            </w:pPr>
            <w:r>
              <w:rPr>
                <w:color w:val="000000"/>
                <w:sz w:val="20"/>
                <w:szCs w:val="20"/>
              </w:rPr>
              <w:t>0,5</w:t>
            </w:r>
          </w:p>
        </w:tc>
        <w:tc>
          <w:tcPr>
            <w:tcW w:w="938" w:type="pct"/>
            <w:tcBorders>
              <w:top w:val="nil"/>
              <w:left w:val="nil"/>
              <w:bottom w:val="single" w:color="auto" w:sz="4" w:space="0"/>
              <w:right w:val="single" w:color="auto" w:sz="4" w:space="0"/>
            </w:tcBorders>
            <w:shd w:val="clear" w:color="auto" w:fill="auto"/>
            <w:vAlign w:val="center"/>
          </w:tcPr>
          <w:p w14:paraId="20E11955">
            <w:pPr>
              <w:spacing w:after="0" w:line="240" w:lineRule="auto"/>
              <w:ind w:firstLine="0"/>
              <w:contextualSpacing/>
              <w:jc w:val="center"/>
              <w:rPr>
                <w:color w:val="000000"/>
                <w:sz w:val="20"/>
                <w:szCs w:val="20"/>
              </w:rPr>
            </w:pPr>
            <w:r>
              <w:rPr>
                <w:color w:val="000000"/>
                <w:sz w:val="20"/>
                <w:szCs w:val="20"/>
              </w:rPr>
              <w:t>0,72</w:t>
            </w:r>
          </w:p>
        </w:tc>
      </w:tr>
      <w:tr w14:paraId="1BF8C8CC">
        <w:tblPrEx>
          <w:tblCellMar>
            <w:top w:w="0" w:type="dxa"/>
            <w:left w:w="108" w:type="dxa"/>
            <w:bottom w:w="0" w:type="dxa"/>
            <w:right w:w="108" w:type="dxa"/>
          </w:tblCellMar>
        </w:tblPrEx>
        <w:trPr>
          <w:trHeight w:val="20" w:hRule="atLeast"/>
        </w:trPr>
        <w:tc>
          <w:tcPr>
            <w:tcW w:w="353" w:type="pct"/>
            <w:tcBorders>
              <w:top w:val="nil"/>
              <w:left w:val="single" w:color="auto" w:sz="4" w:space="0"/>
              <w:bottom w:val="single" w:color="auto" w:sz="4" w:space="0"/>
              <w:right w:val="nil"/>
            </w:tcBorders>
            <w:shd w:val="clear" w:color="auto" w:fill="auto"/>
            <w:vAlign w:val="center"/>
          </w:tcPr>
          <w:p w14:paraId="462D4DA3">
            <w:pPr>
              <w:spacing w:after="0" w:line="240" w:lineRule="auto"/>
              <w:ind w:firstLine="0"/>
              <w:contextualSpacing/>
              <w:jc w:val="center"/>
              <w:rPr>
                <w:color w:val="000000"/>
                <w:sz w:val="20"/>
                <w:szCs w:val="20"/>
              </w:rPr>
            </w:pPr>
            <w:r>
              <w:rPr>
                <w:color w:val="000000"/>
                <w:sz w:val="20"/>
                <w:szCs w:val="20"/>
              </w:rPr>
              <w:t>2</w:t>
            </w:r>
          </w:p>
        </w:tc>
        <w:tc>
          <w:tcPr>
            <w:tcW w:w="1787" w:type="pct"/>
            <w:tcBorders>
              <w:top w:val="nil"/>
              <w:left w:val="single" w:color="auto" w:sz="4" w:space="0"/>
              <w:bottom w:val="single" w:color="auto" w:sz="4" w:space="0"/>
              <w:right w:val="single" w:color="auto" w:sz="4" w:space="0"/>
            </w:tcBorders>
            <w:shd w:val="clear" w:color="auto" w:fill="auto"/>
            <w:vAlign w:val="center"/>
          </w:tcPr>
          <w:p w14:paraId="41BFA72D">
            <w:pPr>
              <w:spacing w:after="0" w:line="240" w:lineRule="auto"/>
              <w:ind w:firstLine="0"/>
              <w:contextualSpacing/>
              <w:jc w:val="center"/>
              <w:rPr>
                <w:color w:val="000000"/>
                <w:sz w:val="20"/>
                <w:szCs w:val="20"/>
              </w:rPr>
            </w:pPr>
            <w:r>
              <w:rPr>
                <w:color w:val="000000"/>
                <w:sz w:val="20"/>
                <w:szCs w:val="20"/>
              </w:rPr>
              <w:t>Котельная «2БВК»</w:t>
            </w:r>
          </w:p>
        </w:tc>
        <w:tc>
          <w:tcPr>
            <w:tcW w:w="1064" w:type="pct"/>
            <w:tcBorders>
              <w:top w:val="nil"/>
              <w:left w:val="nil"/>
              <w:bottom w:val="single" w:color="auto" w:sz="4" w:space="0"/>
              <w:right w:val="single" w:color="auto" w:sz="4" w:space="0"/>
            </w:tcBorders>
            <w:shd w:val="clear" w:color="auto" w:fill="auto"/>
            <w:noWrap/>
            <w:vAlign w:val="center"/>
          </w:tcPr>
          <w:p w14:paraId="62FCFCBE">
            <w:pPr>
              <w:spacing w:after="0" w:line="240" w:lineRule="auto"/>
              <w:ind w:firstLine="0"/>
              <w:contextualSpacing/>
              <w:jc w:val="center"/>
              <w:rPr>
                <w:color w:val="000000"/>
                <w:sz w:val="20"/>
                <w:szCs w:val="20"/>
              </w:rPr>
            </w:pPr>
            <w:r>
              <w:rPr>
                <w:color w:val="000000"/>
                <w:sz w:val="20"/>
                <w:szCs w:val="20"/>
              </w:rPr>
              <w:t>7,20</w:t>
            </w:r>
          </w:p>
        </w:tc>
        <w:tc>
          <w:tcPr>
            <w:tcW w:w="857" w:type="pct"/>
            <w:vMerge w:val="restart"/>
            <w:tcBorders>
              <w:top w:val="nil"/>
              <w:left w:val="nil"/>
              <w:right w:val="single" w:color="auto" w:sz="4" w:space="0"/>
            </w:tcBorders>
            <w:shd w:val="clear" w:color="auto" w:fill="auto"/>
            <w:noWrap/>
            <w:vAlign w:val="center"/>
          </w:tcPr>
          <w:p w14:paraId="3CBF0276">
            <w:pPr>
              <w:spacing w:after="0" w:line="240" w:lineRule="auto"/>
              <w:ind w:firstLine="0"/>
              <w:contextualSpacing/>
              <w:jc w:val="center"/>
              <w:rPr>
                <w:color w:val="000000"/>
                <w:sz w:val="20"/>
                <w:szCs w:val="20"/>
              </w:rPr>
            </w:pPr>
            <w:r>
              <w:rPr>
                <w:color w:val="000000"/>
                <w:sz w:val="20"/>
                <w:szCs w:val="20"/>
              </w:rPr>
              <w:t>1,68</w:t>
            </w:r>
          </w:p>
        </w:tc>
        <w:tc>
          <w:tcPr>
            <w:tcW w:w="938" w:type="pct"/>
            <w:vMerge w:val="restart"/>
            <w:tcBorders>
              <w:top w:val="nil"/>
              <w:left w:val="nil"/>
              <w:right w:val="single" w:color="auto" w:sz="4" w:space="0"/>
            </w:tcBorders>
            <w:shd w:val="clear" w:color="auto" w:fill="auto"/>
            <w:vAlign w:val="center"/>
          </w:tcPr>
          <w:p w14:paraId="40F06911">
            <w:pPr>
              <w:spacing w:after="0" w:line="240" w:lineRule="auto"/>
              <w:ind w:firstLine="0"/>
              <w:contextualSpacing/>
              <w:jc w:val="center"/>
              <w:rPr>
                <w:color w:val="000000"/>
                <w:sz w:val="20"/>
                <w:szCs w:val="20"/>
              </w:rPr>
            </w:pPr>
            <w:r>
              <w:rPr>
                <w:color w:val="000000"/>
                <w:sz w:val="20"/>
                <w:szCs w:val="20"/>
              </w:rPr>
              <w:t>2,30</w:t>
            </w:r>
          </w:p>
        </w:tc>
      </w:tr>
      <w:tr w14:paraId="19A02363">
        <w:tblPrEx>
          <w:tblCellMar>
            <w:top w:w="0" w:type="dxa"/>
            <w:left w:w="108" w:type="dxa"/>
            <w:bottom w:w="0" w:type="dxa"/>
            <w:right w:w="108" w:type="dxa"/>
          </w:tblCellMar>
        </w:tblPrEx>
        <w:trPr>
          <w:trHeight w:val="20" w:hRule="atLeast"/>
        </w:trPr>
        <w:tc>
          <w:tcPr>
            <w:tcW w:w="353" w:type="pct"/>
            <w:tcBorders>
              <w:top w:val="nil"/>
              <w:left w:val="single" w:color="auto" w:sz="4" w:space="0"/>
              <w:bottom w:val="single" w:color="auto" w:sz="4" w:space="0"/>
              <w:right w:val="nil"/>
            </w:tcBorders>
            <w:shd w:val="clear" w:color="auto" w:fill="auto"/>
            <w:vAlign w:val="center"/>
          </w:tcPr>
          <w:p w14:paraId="6DF92BF3">
            <w:pPr>
              <w:spacing w:after="0" w:line="240" w:lineRule="auto"/>
              <w:ind w:firstLine="0"/>
              <w:contextualSpacing/>
              <w:jc w:val="center"/>
              <w:rPr>
                <w:color w:val="000000"/>
                <w:sz w:val="20"/>
                <w:szCs w:val="20"/>
              </w:rPr>
            </w:pPr>
            <w:r>
              <w:rPr>
                <w:color w:val="000000"/>
                <w:sz w:val="20"/>
                <w:szCs w:val="20"/>
              </w:rPr>
              <w:t>3</w:t>
            </w:r>
          </w:p>
        </w:tc>
        <w:tc>
          <w:tcPr>
            <w:tcW w:w="1787" w:type="pct"/>
            <w:tcBorders>
              <w:top w:val="nil"/>
              <w:left w:val="single" w:color="auto" w:sz="4" w:space="0"/>
              <w:bottom w:val="single" w:color="auto" w:sz="4" w:space="0"/>
              <w:right w:val="single" w:color="auto" w:sz="4" w:space="0"/>
            </w:tcBorders>
            <w:shd w:val="clear" w:color="auto" w:fill="auto"/>
            <w:vAlign w:val="center"/>
          </w:tcPr>
          <w:p w14:paraId="0C08F1E8">
            <w:pPr>
              <w:spacing w:after="0" w:line="240" w:lineRule="auto"/>
              <w:ind w:firstLine="0"/>
              <w:contextualSpacing/>
              <w:jc w:val="center"/>
              <w:rPr>
                <w:color w:val="000000"/>
                <w:sz w:val="20"/>
                <w:szCs w:val="20"/>
              </w:rPr>
            </w:pPr>
            <w:r>
              <w:rPr>
                <w:color w:val="000000"/>
                <w:sz w:val="20"/>
                <w:szCs w:val="20"/>
              </w:rPr>
              <w:t>Котельная «Вирбекс»</w:t>
            </w:r>
          </w:p>
        </w:tc>
        <w:tc>
          <w:tcPr>
            <w:tcW w:w="1064" w:type="pct"/>
            <w:tcBorders>
              <w:top w:val="nil"/>
              <w:left w:val="nil"/>
              <w:bottom w:val="single" w:color="auto" w:sz="4" w:space="0"/>
              <w:right w:val="single" w:color="auto" w:sz="4" w:space="0"/>
            </w:tcBorders>
            <w:shd w:val="clear" w:color="auto" w:fill="auto"/>
            <w:noWrap/>
            <w:vAlign w:val="center"/>
          </w:tcPr>
          <w:p w14:paraId="0DA48393">
            <w:pPr>
              <w:spacing w:after="0" w:line="240" w:lineRule="auto"/>
              <w:ind w:firstLine="0"/>
              <w:contextualSpacing/>
              <w:jc w:val="center"/>
              <w:rPr>
                <w:color w:val="000000"/>
                <w:sz w:val="20"/>
                <w:szCs w:val="20"/>
              </w:rPr>
            </w:pPr>
            <w:r>
              <w:rPr>
                <w:color w:val="000000"/>
                <w:sz w:val="20"/>
                <w:szCs w:val="20"/>
              </w:rPr>
              <w:t>2,80</w:t>
            </w:r>
          </w:p>
        </w:tc>
        <w:tc>
          <w:tcPr>
            <w:tcW w:w="857" w:type="pct"/>
            <w:vMerge w:val="continue"/>
            <w:tcBorders>
              <w:left w:val="nil"/>
              <w:right w:val="single" w:color="auto" w:sz="4" w:space="0"/>
            </w:tcBorders>
            <w:shd w:val="clear" w:color="auto" w:fill="auto"/>
            <w:noWrap/>
            <w:vAlign w:val="center"/>
          </w:tcPr>
          <w:p w14:paraId="54C38D79">
            <w:pPr>
              <w:spacing w:after="0" w:line="240" w:lineRule="auto"/>
              <w:ind w:firstLine="0"/>
              <w:contextualSpacing/>
              <w:jc w:val="center"/>
              <w:rPr>
                <w:color w:val="000000"/>
                <w:sz w:val="20"/>
                <w:szCs w:val="20"/>
              </w:rPr>
            </w:pPr>
          </w:p>
        </w:tc>
        <w:tc>
          <w:tcPr>
            <w:tcW w:w="938" w:type="pct"/>
            <w:vMerge w:val="continue"/>
            <w:tcBorders>
              <w:left w:val="nil"/>
              <w:right w:val="single" w:color="auto" w:sz="4" w:space="0"/>
            </w:tcBorders>
            <w:shd w:val="clear" w:color="auto" w:fill="auto"/>
            <w:vAlign w:val="center"/>
          </w:tcPr>
          <w:p w14:paraId="72D85128">
            <w:pPr>
              <w:spacing w:after="0" w:line="240" w:lineRule="auto"/>
              <w:ind w:firstLine="0"/>
              <w:contextualSpacing/>
              <w:jc w:val="center"/>
              <w:rPr>
                <w:color w:val="000000"/>
                <w:sz w:val="20"/>
                <w:szCs w:val="20"/>
              </w:rPr>
            </w:pPr>
          </w:p>
        </w:tc>
      </w:tr>
      <w:tr w14:paraId="0556236C">
        <w:tblPrEx>
          <w:tblCellMar>
            <w:top w:w="0" w:type="dxa"/>
            <w:left w:w="108" w:type="dxa"/>
            <w:bottom w:w="0" w:type="dxa"/>
            <w:right w:w="108" w:type="dxa"/>
          </w:tblCellMar>
        </w:tblPrEx>
        <w:trPr>
          <w:trHeight w:val="20" w:hRule="atLeast"/>
        </w:trPr>
        <w:tc>
          <w:tcPr>
            <w:tcW w:w="353" w:type="pct"/>
            <w:tcBorders>
              <w:top w:val="nil"/>
              <w:left w:val="single" w:color="auto" w:sz="4" w:space="0"/>
              <w:bottom w:val="single" w:color="auto" w:sz="4" w:space="0"/>
              <w:right w:val="nil"/>
            </w:tcBorders>
            <w:shd w:val="clear" w:color="auto" w:fill="auto"/>
            <w:vAlign w:val="center"/>
          </w:tcPr>
          <w:p w14:paraId="7E770FA5">
            <w:pPr>
              <w:spacing w:after="0" w:line="240" w:lineRule="auto"/>
              <w:ind w:firstLine="0"/>
              <w:contextualSpacing/>
              <w:jc w:val="center"/>
              <w:rPr>
                <w:color w:val="000000"/>
                <w:sz w:val="20"/>
                <w:szCs w:val="20"/>
              </w:rPr>
            </w:pPr>
            <w:r>
              <w:rPr>
                <w:color w:val="000000"/>
                <w:sz w:val="20"/>
                <w:szCs w:val="20"/>
              </w:rPr>
              <w:t>4</w:t>
            </w:r>
          </w:p>
        </w:tc>
        <w:tc>
          <w:tcPr>
            <w:tcW w:w="1787" w:type="pct"/>
            <w:tcBorders>
              <w:top w:val="nil"/>
              <w:left w:val="single" w:color="auto" w:sz="4" w:space="0"/>
              <w:bottom w:val="single" w:color="auto" w:sz="4" w:space="0"/>
              <w:right w:val="single" w:color="auto" w:sz="4" w:space="0"/>
            </w:tcBorders>
            <w:shd w:val="clear" w:color="auto" w:fill="auto"/>
            <w:vAlign w:val="center"/>
          </w:tcPr>
          <w:p w14:paraId="6CA1BB4F">
            <w:pPr>
              <w:spacing w:after="0" w:line="240" w:lineRule="auto"/>
              <w:ind w:firstLine="0"/>
              <w:contextualSpacing/>
              <w:jc w:val="center"/>
              <w:rPr>
                <w:color w:val="000000"/>
                <w:sz w:val="20"/>
                <w:szCs w:val="20"/>
              </w:rPr>
            </w:pPr>
            <w:r>
              <w:rPr>
                <w:color w:val="000000"/>
                <w:sz w:val="20"/>
                <w:szCs w:val="20"/>
              </w:rPr>
              <w:t>Теплоутилизационные установки КС «Верхнеказымская»</w:t>
            </w:r>
          </w:p>
        </w:tc>
        <w:tc>
          <w:tcPr>
            <w:tcW w:w="1064" w:type="pct"/>
            <w:tcBorders>
              <w:top w:val="nil"/>
              <w:left w:val="nil"/>
              <w:bottom w:val="single" w:color="auto" w:sz="4" w:space="0"/>
              <w:right w:val="single" w:color="auto" w:sz="4" w:space="0"/>
            </w:tcBorders>
            <w:shd w:val="clear" w:color="auto" w:fill="auto"/>
            <w:noWrap/>
            <w:vAlign w:val="center"/>
          </w:tcPr>
          <w:p w14:paraId="1F40419C">
            <w:pPr>
              <w:spacing w:after="0" w:line="240" w:lineRule="auto"/>
              <w:ind w:firstLine="0"/>
              <w:contextualSpacing/>
              <w:jc w:val="center"/>
              <w:rPr>
                <w:color w:val="000000"/>
                <w:sz w:val="20"/>
                <w:szCs w:val="20"/>
              </w:rPr>
            </w:pPr>
            <w:r>
              <w:rPr>
                <w:color w:val="000000"/>
                <w:sz w:val="20"/>
                <w:szCs w:val="20"/>
              </w:rPr>
              <w:t>37,72</w:t>
            </w:r>
          </w:p>
        </w:tc>
        <w:tc>
          <w:tcPr>
            <w:tcW w:w="857" w:type="pct"/>
            <w:vMerge w:val="continue"/>
            <w:tcBorders>
              <w:left w:val="nil"/>
              <w:bottom w:val="single" w:color="auto" w:sz="4" w:space="0"/>
              <w:right w:val="single" w:color="auto" w:sz="4" w:space="0"/>
            </w:tcBorders>
            <w:shd w:val="clear" w:color="auto" w:fill="auto"/>
            <w:noWrap/>
            <w:vAlign w:val="center"/>
          </w:tcPr>
          <w:p w14:paraId="37B00AA2">
            <w:pPr>
              <w:spacing w:after="0" w:line="240" w:lineRule="auto"/>
              <w:ind w:firstLine="0"/>
              <w:contextualSpacing/>
              <w:jc w:val="center"/>
              <w:rPr>
                <w:color w:val="000000"/>
                <w:sz w:val="20"/>
                <w:szCs w:val="20"/>
              </w:rPr>
            </w:pPr>
          </w:p>
        </w:tc>
        <w:tc>
          <w:tcPr>
            <w:tcW w:w="938" w:type="pct"/>
            <w:vMerge w:val="continue"/>
            <w:tcBorders>
              <w:left w:val="nil"/>
              <w:bottom w:val="single" w:color="auto" w:sz="4" w:space="0"/>
              <w:right w:val="single" w:color="auto" w:sz="4" w:space="0"/>
            </w:tcBorders>
            <w:shd w:val="clear" w:color="auto" w:fill="auto"/>
            <w:vAlign w:val="center"/>
          </w:tcPr>
          <w:p w14:paraId="05D829FB">
            <w:pPr>
              <w:spacing w:after="0" w:line="240" w:lineRule="auto"/>
              <w:ind w:firstLine="0"/>
              <w:contextualSpacing/>
              <w:jc w:val="center"/>
              <w:rPr>
                <w:color w:val="000000"/>
                <w:sz w:val="20"/>
                <w:szCs w:val="20"/>
              </w:rPr>
            </w:pPr>
          </w:p>
        </w:tc>
      </w:tr>
      <w:tr w14:paraId="1A5C7F50">
        <w:tblPrEx>
          <w:tblCellMar>
            <w:top w:w="0" w:type="dxa"/>
            <w:left w:w="108" w:type="dxa"/>
            <w:bottom w:w="0" w:type="dxa"/>
            <w:right w:w="108" w:type="dxa"/>
          </w:tblCellMar>
        </w:tblPrEx>
        <w:trPr>
          <w:trHeight w:val="20" w:hRule="atLeast"/>
        </w:trPr>
        <w:tc>
          <w:tcPr>
            <w:tcW w:w="353" w:type="pct"/>
            <w:tcBorders>
              <w:top w:val="nil"/>
              <w:left w:val="single" w:color="auto" w:sz="4" w:space="0"/>
              <w:bottom w:val="single" w:color="auto" w:sz="4" w:space="0"/>
              <w:right w:val="single" w:color="auto" w:sz="4" w:space="0"/>
            </w:tcBorders>
            <w:shd w:val="clear" w:color="auto" w:fill="auto"/>
            <w:vAlign w:val="center"/>
          </w:tcPr>
          <w:p w14:paraId="472AA71B">
            <w:pPr>
              <w:spacing w:after="0" w:line="240" w:lineRule="auto"/>
              <w:ind w:firstLine="0"/>
              <w:contextualSpacing/>
              <w:jc w:val="center"/>
              <w:rPr>
                <w:color w:val="000000"/>
                <w:sz w:val="20"/>
                <w:szCs w:val="20"/>
              </w:rPr>
            </w:pPr>
            <w:r>
              <w:rPr>
                <w:color w:val="000000"/>
                <w:sz w:val="20"/>
                <w:szCs w:val="20"/>
              </w:rPr>
              <w:t> </w:t>
            </w:r>
          </w:p>
        </w:tc>
        <w:tc>
          <w:tcPr>
            <w:tcW w:w="1787" w:type="pct"/>
            <w:tcBorders>
              <w:top w:val="nil"/>
              <w:left w:val="nil"/>
              <w:bottom w:val="single" w:color="auto" w:sz="4" w:space="0"/>
              <w:right w:val="single" w:color="auto" w:sz="4" w:space="0"/>
            </w:tcBorders>
            <w:shd w:val="clear" w:color="auto" w:fill="auto"/>
            <w:vAlign w:val="center"/>
          </w:tcPr>
          <w:p w14:paraId="5CD2CED4">
            <w:pPr>
              <w:spacing w:after="0" w:line="240" w:lineRule="auto"/>
              <w:ind w:firstLine="0"/>
              <w:contextualSpacing/>
              <w:jc w:val="center"/>
              <w:rPr>
                <w:color w:val="000000"/>
                <w:sz w:val="20"/>
                <w:szCs w:val="20"/>
              </w:rPr>
            </w:pPr>
            <w:r>
              <w:rPr>
                <w:color w:val="000000"/>
                <w:sz w:val="20"/>
                <w:szCs w:val="20"/>
              </w:rPr>
              <w:t>Итого по с.п. Верхнеказымский:</w:t>
            </w:r>
          </w:p>
        </w:tc>
        <w:tc>
          <w:tcPr>
            <w:tcW w:w="1064" w:type="pct"/>
            <w:tcBorders>
              <w:top w:val="nil"/>
              <w:left w:val="nil"/>
              <w:bottom w:val="single" w:color="auto" w:sz="4" w:space="0"/>
              <w:right w:val="single" w:color="auto" w:sz="4" w:space="0"/>
            </w:tcBorders>
            <w:shd w:val="clear" w:color="auto" w:fill="auto"/>
            <w:noWrap/>
            <w:vAlign w:val="center"/>
          </w:tcPr>
          <w:p w14:paraId="79996173">
            <w:pPr>
              <w:spacing w:after="0" w:line="240" w:lineRule="auto"/>
              <w:ind w:firstLine="0"/>
              <w:contextualSpacing/>
              <w:jc w:val="center"/>
              <w:rPr>
                <w:color w:val="000000"/>
                <w:sz w:val="20"/>
                <w:szCs w:val="20"/>
              </w:rPr>
            </w:pPr>
            <w:r>
              <w:rPr>
                <w:color w:val="000000"/>
                <w:sz w:val="20"/>
                <w:szCs w:val="20"/>
              </w:rPr>
              <w:t>53,74</w:t>
            </w:r>
          </w:p>
        </w:tc>
        <w:tc>
          <w:tcPr>
            <w:tcW w:w="857" w:type="pct"/>
            <w:tcBorders>
              <w:top w:val="nil"/>
              <w:left w:val="nil"/>
              <w:bottom w:val="single" w:color="auto" w:sz="4" w:space="0"/>
              <w:right w:val="single" w:color="auto" w:sz="4" w:space="0"/>
            </w:tcBorders>
            <w:shd w:val="clear" w:color="auto" w:fill="auto"/>
            <w:noWrap/>
            <w:vAlign w:val="center"/>
          </w:tcPr>
          <w:p w14:paraId="27305C34">
            <w:pPr>
              <w:spacing w:after="0" w:line="240" w:lineRule="auto"/>
              <w:ind w:firstLine="0"/>
              <w:contextualSpacing/>
              <w:jc w:val="center"/>
              <w:rPr>
                <w:color w:val="000000"/>
                <w:sz w:val="20"/>
                <w:szCs w:val="20"/>
              </w:rPr>
            </w:pPr>
            <w:r>
              <w:rPr>
                <w:color w:val="000000"/>
                <w:sz w:val="20"/>
                <w:szCs w:val="20"/>
              </w:rPr>
              <w:t>2,18</w:t>
            </w:r>
          </w:p>
        </w:tc>
        <w:tc>
          <w:tcPr>
            <w:tcW w:w="938" w:type="pct"/>
            <w:tcBorders>
              <w:top w:val="nil"/>
              <w:left w:val="nil"/>
              <w:bottom w:val="single" w:color="auto" w:sz="4" w:space="0"/>
              <w:right w:val="single" w:color="auto" w:sz="4" w:space="0"/>
            </w:tcBorders>
            <w:shd w:val="clear" w:color="auto" w:fill="auto"/>
            <w:vAlign w:val="center"/>
          </w:tcPr>
          <w:p w14:paraId="3D70BA10">
            <w:pPr>
              <w:spacing w:after="0" w:line="240" w:lineRule="auto"/>
              <w:ind w:firstLine="0"/>
              <w:contextualSpacing/>
              <w:jc w:val="center"/>
              <w:rPr>
                <w:color w:val="000000"/>
                <w:sz w:val="20"/>
                <w:szCs w:val="20"/>
              </w:rPr>
            </w:pPr>
            <w:r>
              <w:rPr>
                <w:color w:val="000000"/>
                <w:sz w:val="20"/>
                <w:szCs w:val="20"/>
              </w:rPr>
              <w:t>3,02</w:t>
            </w:r>
          </w:p>
        </w:tc>
      </w:tr>
    </w:tbl>
    <w:p w14:paraId="6AD0D6E5">
      <w:pPr>
        <w:spacing w:after="0" w:line="240" w:lineRule="auto"/>
        <w:contextualSpacing/>
        <w:jc w:val="both"/>
        <w:rPr>
          <w:sz w:val="24"/>
          <w:szCs w:val="24"/>
        </w:rPr>
      </w:pPr>
    </w:p>
    <w:p w14:paraId="11BEF6D0">
      <w:pPr>
        <w:pStyle w:val="4"/>
        <w:spacing w:before="0" w:line="240" w:lineRule="auto"/>
        <w:ind w:left="0" w:firstLine="709"/>
        <w:contextualSpacing/>
        <w:rPr>
          <w:rFonts w:cs="Times New Roman"/>
          <w:b w:val="0"/>
          <w:sz w:val="24"/>
        </w:rPr>
      </w:pPr>
      <w:bookmarkStart w:id="170" w:name="_Toc524614992"/>
      <w:bookmarkStart w:id="171" w:name="_Toc524614776"/>
      <w:bookmarkStart w:id="172" w:name="_Toc182813906"/>
      <w:r>
        <w:rPr>
          <w:rFonts w:cs="Times New Roman"/>
          <w:b w:val="0"/>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70"/>
      <w:bookmarkEnd w:id="171"/>
      <w:bookmarkEnd w:id="172"/>
    </w:p>
    <w:p w14:paraId="2E0890EE">
      <w:pPr>
        <w:spacing w:after="0" w:line="240" w:lineRule="auto"/>
        <w:contextualSpacing/>
        <w:jc w:val="both"/>
        <w:rPr>
          <w:sz w:val="24"/>
          <w:szCs w:val="24"/>
        </w:rPr>
      </w:pPr>
      <w:r>
        <w:rPr>
          <w:sz w:val="24"/>
          <w:szCs w:val="24"/>
        </w:rPr>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пункта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32E4E6CA">
      <w:pPr>
        <w:spacing w:after="0" w:line="240" w:lineRule="auto"/>
        <w:contextualSpacing/>
        <w:jc w:val="both"/>
        <w:rPr>
          <w:sz w:val="24"/>
          <w:szCs w:val="24"/>
        </w:rPr>
      </w:pPr>
      <w:r>
        <w:rPr>
          <w:sz w:val="24"/>
          <w:szCs w:val="24"/>
        </w:rPr>
        <w:t>Случаи применения отопления жилых помещений в многоквартирных домах с использованием индивидуальных квартирных источников тепловой энергии в с.п. Верхнеказымский не зафиксированы. Теплоснабжающими организациями технические условия на установку индивидуальных квартирных источников тепловой энергии не выдавались.</w:t>
      </w:r>
    </w:p>
    <w:p w14:paraId="4252D5E4">
      <w:pPr>
        <w:spacing w:after="0" w:line="240" w:lineRule="auto"/>
        <w:contextualSpacing/>
        <w:jc w:val="both"/>
        <w:rPr>
          <w:sz w:val="24"/>
          <w:szCs w:val="24"/>
        </w:rPr>
      </w:pPr>
    </w:p>
    <w:p w14:paraId="03DA20DB">
      <w:pPr>
        <w:pStyle w:val="4"/>
        <w:spacing w:before="0" w:line="240" w:lineRule="auto"/>
        <w:ind w:left="0" w:firstLine="709"/>
        <w:contextualSpacing/>
        <w:rPr>
          <w:rFonts w:cs="Times New Roman"/>
          <w:b w:val="0"/>
          <w:sz w:val="24"/>
        </w:rPr>
      </w:pPr>
      <w:bookmarkStart w:id="173" w:name="_Toc182813907"/>
      <w:r>
        <w:rPr>
          <w:rFonts w:cs="Times New Roman"/>
          <w:b w:val="0"/>
          <w:sz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73"/>
    </w:p>
    <w:p w14:paraId="5F0FA7E8">
      <w:pPr>
        <w:spacing w:after="0" w:line="240" w:lineRule="auto"/>
        <w:contextualSpacing/>
        <w:jc w:val="both"/>
        <w:rPr>
          <w:rFonts w:eastAsia="Calibri"/>
          <w:sz w:val="24"/>
          <w:szCs w:val="24"/>
          <w:lang w:eastAsia="en-US"/>
        </w:rPr>
      </w:pPr>
      <w:r>
        <w:rPr>
          <w:sz w:val="24"/>
          <w:szCs w:val="24"/>
        </w:rPr>
        <w:t xml:space="preserve">Величины потребления тепловой энергии в расчетных элементах территориального деления за 2023 год </w:t>
      </w:r>
      <w:r>
        <w:rPr>
          <w:rFonts w:eastAsia="Calibri"/>
          <w:sz w:val="24"/>
          <w:szCs w:val="24"/>
          <w:lang w:eastAsia="en-US"/>
        </w:rPr>
        <w:t>представлены в таблицах 30-31.</w:t>
      </w:r>
    </w:p>
    <w:p w14:paraId="30FEAB2D">
      <w:pPr>
        <w:spacing w:after="0" w:line="240" w:lineRule="auto"/>
        <w:contextualSpacing/>
        <w:jc w:val="both"/>
        <w:rPr>
          <w:rFonts w:eastAsia="Calibri"/>
          <w:sz w:val="24"/>
          <w:szCs w:val="24"/>
          <w:lang w:eastAsia="en-US"/>
        </w:rPr>
      </w:pPr>
    </w:p>
    <w:p w14:paraId="1AF8CE07">
      <w:pPr>
        <w:pStyle w:val="43"/>
        <w:keepNext/>
        <w:spacing w:before="0" w:after="0" w:line="240" w:lineRule="auto"/>
        <w:ind w:firstLine="0"/>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30</w:t>
      </w:r>
      <w:r>
        <w:rPr>
          <w:rFonts w:cs="Times New Roman"/>
          <w:b w:val="0"/>
          <w:sz w:val="24"/>
          <w:szCs w:val="24"/>
        </w:rPr>
        <w:fldChar w:fldCharType="end"/>
      </w:r>
      <w:r>
        <w:rPr>
          <w:rFonts w:cs="Times New Roman"/>
          <w:b w:val="0"/>
          <w:sz w:val="24"/>
          <w:szCs w:val="24"/>
        </w:rPr>
        <w:t xml:space="preserve"> – Значения потребления тепловой энергии МУП «БКС», Гкал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5288"/>
      </w:tblGrid>
      <w:tr w14:paraId="15C8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center"/>
          </w:tcPr>
          <w:p w14:paraId="4E0CCCB3">
            <w:pPr>
              <w:spacing w:after="0" w:line="240" w:lineRule="auto"/>
              <w:ind w:firstLine="0"/>
              <w:contextualSpacing/>
              <w:jc w:val="center"/>
              <w:rPr>
                <w:bCs/>
                <w:color w:val="000000"/>
                <w:sz w:val="20"/>
                <w:szCs w:val="20"/>
              </w:rPr>
            </w:pPr>
            <w:r>
              <w:rPr>
                <w:bCs/>
                <w:color w:val="000000"/>
                <w:sz w:val="20"/>
                <w:szCs w:val="20"/>
              </w:rPr>
              <w:t>Значения</w:t>
            </w:r>
          </w:p>
        </w:tc>
        <w:tc>
          <w:tcPr>
            <w:tcW w:w="2683" w:type="pct"/>
            <w:shd w:val="clear" w:color="auto" w:fill="auto"/>
            <w:vAlign w:val="center"/>
          </w:tcPr>
          <w:p w14:paraId="7F738437">
            <w:pPr>
              <w:spacing w:after="0" w:line="240" w:lineRule="auto"/>
              <w:ind w:firstLine="0"/>
              <w:contextualSpacing/>
              <w:jc w:val="center"/>
              <w:rPr>
                <w:bCs/>
                <w:color w:val="000000"/>
                <w:sz w:val="20"/>
                <w:szCs w:val="20"/>
              </w:rPr>
            </w:pPr>
            <w:r>
              <w:rPr>
                <w:bCs/>
                <w:color w:val="000000"/>
                <w:sz w:val="20"/>
                <w:szCs w:val="20"/>
              </w:rPr>
              <w:t>с.п. Верхнеказымский - Котельная №2</w:t>
            </w:r>
          </w:p>
          <w:p w14:paraId="6A249569">
            <w:pPr>
              <w:spacing w:after="0" w:line="240" w:lineRule="auto"/>
              <w:ind w:firstLine="0"/>
              <w:contextualSpacing/>
              <w:jc w:val="center"/>
              <w:rPr>
                <w:bCs/>
                <w:color w:val="000000"/>
                <w:sz w:val="20"/>
                <w:szCs w:val="20"/>
              </w:rPr>
            </w:pPr>
            <w:r>
              <w:rPr>
                <w:bCs/>
                <w:color w:val="000000"/>
                <w:sz w:val="20"/>
                <w:szCs w:val="20"/>
              </w:rPr>
              <w:t>(ТС+ГВС)</w:t>
            </w:r>
          </w:p>
        </w:tc>
      </w:tr>
      <w:tr w14:paraId="4A49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vAlign w:val="bottom"/>
          </w:tcPr>
          <w:p w14:paraId="0BDFA106">
            <w:pPr>
              <w:spacing w:after="0" w:line="240" w:lineRule="auto"/>
              <w:ind w:firstLine="0"/>
              <w:contextualSpacing/>
              <w:rPr>
                <w:bCs/>
                <w:color w:val="000000"/>
                <w:sz w:val="20"/>
                <w:szCs w:val="20"/>
              </w:rPr>
            </w:pPr>
            <w:r>
              <w:rPr>
                <w:bCs/>
                <w:color w:val="000000"/>
                <w:sz w:val="20"/>
                <w:szCs w:val="20"/>
              </w:rPr>
              <w:t>Выработано тепловой энергии</w:t>
            </w:r>
          </w:p>
        </w:tc>
        <w:tc>
          <w:tcPr>
            <w:tcW w:w="2683" w:type="pct"/>
            <w:shd w:val="clear" w:color="auto" w:fill="auto"/>
            <w:noWrap/>
            <w:vAlign w:val="center"/>
          </w:tcPr>
          <w:p w14:paraId="28FE779E">
            <w:pPr>
              <w:spacing w:after="0" w:line="240" w:lineRule="auto"/>
              <w:ind w:firstLine="0"/>
              <w:contextualSpacing/>
              <w:jc w:val="center"/>
              <w:rPr>
                <w:bCs/>
                <w:sz w:val="20"/>
                <w:szCs w:val="20"/>
              </w:rPr>
            </w:pPr>
            <w:r>
              <w:rPr>
                <w:bCs/>
                <w:sz w:val="20"/>
                <w:szCs w:val="20"/>
              </w:rPr>
              <w:t>3217,822</w:t>
            </w:r>
          </w:p>
        </w:tc>
      </w:tr>
      <w:tr w14:paraId="0417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vAlign w:val="bottom"/>
          </w:tcPr>
          <w:p w14:paraId="3358F60A">
            <w:pPr>
              <w:spacing w:after="0" w:line="240" w:lineRule="auto"/>
              <w:ind w:firstLine="0"/>
              <w:contextualSpacing/>
              <w:rPr>
                <w:color w:val="000000"/>
                <w:sz w:val="20"/>
                <w:szCs w:val="20"/>
              </w:rPr>
            </w:pPr>
            <w:r>
              <w:rPr>
                <w:color w:val="000000"/>
                <w:sz w:val="20"/>
                <w:szCs w:val="20"/>
              </w:rPr>
              <w:t>Собственные нужды котельной</w:t>
            </w:r>
          </w:p>
        </w:tc>
        <w:tc>
          <w:tcPr>
            <w:tcW w:w="2683" w:type="pct"/>
            <w:shd w:val="clear" w:color="auto" w:fill="auto"/>
            <w:noWrap/>
            <w:vAlign w:val="center"/>
          </w:tcPr>
          <w:p w14:paraId="5B517EF2">
            <w:pPr>
              <w:spacing w:after="0" w:line="240" w:lineRule="auto"/>
              <w:ind w:firstLine="0"/>
              <w:contextualSpacing/>
              <w:jc w:val="center"/>
              <w:rPr>
                <w:sz w:val="20"/>
                <w:szCs w:val="20"/>
              </w:rPr>
            </w:pPr>
            <w:r>
              <w:rPr>
                <w:sz w:val="20"/>
                <w:szCs w:val="20"/>
              </w:rPr>
              <w:t>72,722</w:t>
            </w:r>
          </w:p>
        </w:tc>
      </w:tr>
      <w:tr w14:paraId="5072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31574B2B">
            <w:pPr>
              <w:spacing w:after="0" w:line="240" w:lineRule="auto"/>
              <w:ind w:firstLine="0"/>
              <w:contextualSpacing/>
              <w:rPr>
                <w:bCs/>
                <w:color w:val="000000"/>
                <w:sz w:val="20"/>
                <w:szCs w:val="20"/>
              </w:rPr>
            </w:pPr>
            <w:r>
              <w:rPr>
                <w:bCs/>
                <w:color w:val="000000"/>
                <w:sz w:val="20"/>
                <w:szCs w:val="20"/>
              </w:rPr>
              <w:t>Отпуск в сеть</w:t>
            </w:r>
          </w:p>
        </w:tc>
        <w:tc>
          <w:tcPr>
            <w:tcW w:w="2683" w:type="pct"/>
            <w:shd w:val="clear" w:color="auto" w:fill="auto"/>
            <w:noWrap/>
            <w:vAlign w:val="center"/>
          </w:tcPr>
          <w:p w14:paraId="01081BDE">
            <w:pPr>
              <w:spacing w:after="0" w:line="240" w:lineRule="auto"/>
              <w:ind w:firstLine="0"/>
              <w:contextualSpacing/>
              <w:jc w:val="center"/>
              <w:rPr>
                <w:bCs/>
                <w:sz w:val="20"/>
                <w:szCs w:val="20"/>
              </w:rPr>
            </w:pPr>
            <w:r>
              <w:rPr>
                <w:bCs/>
                <w:sz w:val="20"/>
                <w:szCs w:val="20"/>
              </w:rPr>
              <w:t>3145,100</w:t>
            </w:r>
          </w:p>
        </w:tc>
      </w:tr>
      <w:tr w14:paraId="3361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5CA9B6B0">
            <w:pPr>
              <w:spacing w:after="0" w:line="240" w:lineRule="auto"/>
              <w:ind w:firstLine="0"/>
              <w:contextualSpacing/>
              <w:rPr>
                <w:color w:val="000000"/>
                <w:sz w:val="20"/>
                <w:szCs w:val="20"/>
              </w:rPr>
            </w:pPr>
            <w:r>
              <w:rPr>
                <w:color w:val="000000"/>
                <w:sz w:val="20"/>
                <w:szCs w:val="20"/>
              </w:rPr>
              <w:t>Потери в сети</w:t>
            </w:r>
          </w:p>
        </w:tc>
        <w:tc>
          <w:tcPr>
            <w:tcW w:w="2683" w:type="pct"/>
            <w:shd w:val="clear" w:color="auto" w:fill="auto"/>
            <w:noWrap/>
            <w:vAlign w:val="center"/>
          </w:tcPr>
          <w:p w14:paraId="4F19F5D5">
            <w:pPr>
              <w:spacing w:after="0" w:line="240" w:lineRule="auto"/>
              <w:ind w:firstLine="0"/>
              <w:contextualSpacing/>
              <w:jc w:val="center"/>
              <w:rPr>
                <w:sz w:val="20"/>
                <w:szCs w:val="20"/>
              </w:rPr>
            </w:pPr>
            <w:r>
              <w:rPr>
                <w:sz w:val="20"/>
                <w:szCs w:val="20"/>
              </w:rPr>
              <w:t>846,825</w:t>
            </w:r>
          </w:p>
        </w:tc>
      </w:tr>
      <w:tr w14:paraId="0087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5F77F696">
            <w:pPr>
              <w:spacing w:after="0" w:line="240" w:lineRule="auto"/>
              <w:ind w:firstLine="0"/>
              <w:contextualSpacing/>
              <w:rPr>
                <w:bCs/>
                <w:color w:val="000000"/>
                <w:sz w:val="20"/>
                <w:szCs w:val="20"/>
              </w:rPr>
            </w:pPr>
            <w:r>
              <w:rPr>
                <w:bCs/>
                <w:color w:val="000000"/>
                <w:sz w:val="20"/>
                <w:szCs w:val="20"/>
              </w:rPr>
              <w:t>Полезный отпуск</w:t>
            </w:r>
          </w:p>
        </w:tc>
        <w:tc>
          <w:tcPr>
            <w:tcW w:w="2683" w:type="pct"/>
            <w:shd w:val="clear" w:color="auto" w:fill="auto"/>
            <w:noWrap/>
            <w:vAlign w:val="center"/>
          </w:tcPr>
          <w:p w14:paraId="0D67A6E3">
            <w:pPr>
              <w:spacing w:after="0" w:line="240" w:lineRule="auto"/>
              <w:ind w:firstLine="0"/>
              <w:contextualSpacing/>
              <w:jc w:val="center"/>
              <w:rPr>
                <w:bCs/>
                <w:color w:val="000000"/>
                <w:sz w:val="20"/>
                <w:szCs w:val="20"/>
              </w:rPr>
            </w:pPr>
            <w:r>
              <w:rPr>
                <w:bCs/>
                <w:color w:val="000000"/>
                <w:sz w:val="20"/>
                <w:szCs w:val="20"/>
              </w:rPr>
              <w:t>2298,275</w:t>
            </w:r>
          </w:p>
        </w:tc>
      </w:tr>
      <w:tr w14:paraId="6A61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25BD16E0">
            <w:pPr>
              <w:spacing w:after="0" w:line="240" w:lineRule="auto"/>
              <w:ind w:firstLine="0"/>
              <w:contextualSpacing/>
              <w:rPr>
                <w:bCs/>
                <w:color w:val="000000"/>
                <w:sz w:val="20"/>
                <w:szCs w:val="20"/>
              </w:rPr>
            </w:pPr>
            <w:r>
              <w:rPr>
                <w:bCs/>
                <w:color w:val="000000"/>
                <w:sz w:val="20"/>
                <w:szCs w:val="20"/>
              </w:rPr>
              <w:t>Реализовано потребителям, в т.ч.:</w:t>
            </w:r>
          </w:p>
        </w:tc>
        <w:tc>
          <w:tcPr>
            <w:tcW w:w="2683" w:type="pct"/>
            <w:shd w:val="clear" w:color="auto" w:fill="auto"/>
            <w:noWrap/>
            <w:vAlign w:val="center"/>
          </w:tcPr>
          <w:p w14:paraId="78CAD287">
            <w:pPr>
              <w:spacing w:after="0" w:line="240" w:lineRule="auto"/>
              <w:ind w:firstLine="0"/>
              <w:contextualSpacing/>
              <w:jc w:val="center"/>
              <w:rPr>
                <w:bCs/>
                <w:color w:val="000000"/>
                <w:sz w:val="20"/>
                <w:szCs w:val="20"/>
              </w:rPr>
            </w:pPr>
            <w:r>
              <w:rPr>
                <w:bCs/>
                <w:color w:val="000000"/>
                <w:sz w:val="20"/>
                <w:szCs w:val="20"/>
              </w:rPr>
              <w:t>2298,275</w:t>
            </w:r>
          </w:p>
        </w:tc>
      </w:tr>
      <w:tr w14:paraId="5719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1CECAFEA">
            <w:pPr>
              <w:spacing w:after="0" w:line="240" w:lineRule="auto"/>
              <w:ind w:firstLine="0"/>
              <w:contextualSpacing/>
              <w:rPr>
                <w:bCs/>
                <w:color w:val="000000"/>
                <w:sz w:val="20"/>
                <w:szCs w:val="20"/>
              </w:rPr>
            </w:pPr>
            <w:r>
              <w:rPr>
                <w:bCs/>
                <w:color w:val="000000"/>
                <w:sz w:val="20"/>
                <w:szCs w:val="20"/>
              </w:rPr>
              <w:t>Населению, в т.ч.:</w:t>
            </w:r>
          </w:p>
        </w:tc>
        <w:tc>
          <w:tcPr>
            <w:tcW w:w="2683" w:type="pct"/>
            <w:shd w:val="clear" w:color="auto" w:fill="auto"/>
            <w:noWrap/>
            <w:vAlign w:val="center"/>
          </w:tcPr>
          <w:p w14:paraId="2965E363">
            <w:pPr>
              <w:spacing w:after="0" w:line="240" w:lineRule="auto"/>
              <w:ind w:firstLine="0"/>
              <w:contextualSpacing/>
              <w:jc w:val="center"/>
              <w:rPr>
                <w:bCs/>
                <w:color w:val="000000"/>
                <w:sz w:val="20"/>
                <w:szCs w:val="20"/>
              </w:rPr>
            </w:pPr>
            <w:r>
              <w:rPr>
                <w:bCs/>
                <w:color w:val="000000"/>
                <w:sz w:val="20"/>
                <w:szCs w:val="20"/>
              </w:rPr>
              <w:t>1193,868</w:t>
            </w:r>
          </w:p>
        </w:tc>
      </w:tr>
      <w:tr w14:paraId="0903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46F6B54E">
            <w:pPr>
              <w:spacing w:after="0" w:line="240" w:lineRule="auto"/>
              <w:ind w:firstLine="0"/>
              <w:contextualSpacing/>
              <w:jc w:val="right"/>
              <w:rPr>
                <w:sz w:val="20"/>
                <w:szCs w:val="20"/>
              </w:rPr>
            </w:pPr>
            <w:r>
              <w:rPr>
                <w:sz w:val="20"/>
                <w:szCs w:val="20"/>
              </w:rPr>
              <w:t>Население</w:t>
            </w:r>
          </w:p>
        </w:tc>
        <w:tc>
          <w:tcPr>
            <w:tcW w:w="2683" w:type="pct"/>
            <w:shd w:val="clear" w:color="auto" w:fill="auto"/>
            <w:noWrap/>
            <w:vAlign w:val="center"/>
          </w:tcPr>
          <w:p w14:paraId="67924A6F">
            <w:pPr>
              <w:spacing w:after="0" w:line="240" w:lineRule="auto"/>
              <w:ind w:firstLine="0"/>
              <w:contextualSpacing/>
              <w:jc w:val="center"/>
              <w:rPr>
                <w:sz w:val="20"/>
                <w:szCs w:val="20"/>
              </w:rPr>
            </w:pPr>
            <w:r>
              <w:rPr>
                <w:sz w:val="20"/>
                <w:szCs w:val="20"/>
              </w:rPr>
              <w:t>264,012</w:t>
            </w:r>
          </w:p>
        </w:tc>
      </w:tr>
      <w:tr w14:paraId="13EF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339DB2A9">
            <w:pPr>
              <w:spacing w:after="0" w:line="240" w:lineRule="auto"/>
              <w:ind w:firstLine="0"/>
              <w:contextualSpacing/>
              <w:jc w:val="right"/>
              <w:rPr>
                <w:sz w:val="20"/>
                <w:szCs w:val="20"/>
              </w:rPr>
            </w:pPr>
            <w:r>
              <w:rPr>
                <w:sz w:val="20"/>
                <w:szCs w:val="20"/>
              </w:rPr>
              <w:t>Население (ТСЖ)</w:t>
            </w:r>
          </w:p>
        </w:tc>
        <w:tc>
          <w:tcPr>
            <w:tcW w:w="2683" w:type="pct"/>
            <w:shd w:val="clear" w:color="auto" w:fill="auto"/>
            <w:noWrap/>
            <w:vAlign w:val="center"/>
          </w:tcPr>
          <w:p w14:paraId="45A7BE7B">
            <w:pPr>
              <w:spacing w:after="0" w:line="240" w:lineRule="auto"/>
              <w:ind w:firstLine="0"/>
              <w:contextualSpacing/>
              <w:jc w:val="center"/>
              <w:rPr>
                <w:sz w:val="20"/>
                <w:szCs w:val="20"/>
              </w:rPr>
            </w:pPr>
            <w:r>
              <w:rPr>
                <w:sz w:val="20"/>
                <w:szCs w:val="20"/>
              </w:rPr>
              <w:t>0,000</w:t>
            </w:r>
          </w:p>
        </w:tc>
      </w:tr>
      <w:tr w14:paraId="468A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75438C58">
            <w:pPr>
              <w:spacing w:after="0" w:line="240" w:lineRule="auto"/>
              <w:ind w:firstLine="0"/>
              <w:contextualSpacing/>
              <w:jc w:val="right"/>
              <w:rPr>
                <w:sz w:val="20"/>
                <w:szCs w:val="20"/>
              </w:rPr>
            </w:pPr>
            <w:r>
              <w:rPr>
                <w:sz w:val="20"/>
                <w:szCs w:val="20"/>
              </w:rPr>
              <w:t>Население (УК)</w:t>
            </w:r>
          </w:p>
        </w:tc>
        <w:tc>
          <w:tcPr>
            <w:tcW w:w="2683" w:type="pct"/>
            <w:shd w:val="clear" w:color="auto" w:fill="auto"/>
            <w:noWrap/>
            <w:vAlign w:val="center"/>
          </w:tcPr>
          <w:p w14:paraId="3C195A9C">
            <w:pPr>
              <w:spacing w:after="0" w:line="240" w:lineRule="auto"/>
              <w:ind w:firstLine="0"/>
              <w:contextualSpacing/>
              <w:jc w:val="center"/>
              <w:rPr>
                <w:sz w:val="20"/>
                <w:szCs w:val="20"/>
              </w:rPr>
            </w:pPr>
            <w:r>
              <w:rPr>
                <w:sz w:val="20"/>
                <w:szCs w:val="20"/>
              </w:rPr>
              <w:t>929,856</w:t>
            </w:r>
          </w:p>
        </w:tc>
      </w:tr>
      <w:tr w14:paraId="546C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310A7A45">
            <w:pPr>
              <w:spacing w:after="0" w:line="240" w:lineRule="auto"/>
              <w:ind w:firstLine="0"/>
              <w:contextualSpacing/>
              <w:rPr>
                <w:bCs/>
                <w:color w:val="000000"/>
                <w:sz w:val="20"/>
                <w:szCs w:val="20"/>
              </w:rPr>
            </w:pPr>
            <w:r>
              <w:rPr>
                <w:bCs/>
                <w:color w:val="000000"/>
                <w:sz w:val="20"/>
                <w:szCs w:val="20"/>
              </w:rPr>
              <w:t>Бюджетники</w:t>
            </w:r>
          </w:p>
        </w:tc>
        <w:tc>
          <w:tcPr>
            <w:tcW w:w="2683" w:type="pct"/>
            <w:shd w:val="clear" w:color="auto" w:fill="auto"/>
            <w:noWrap/>
            <w:vAlign w:val="center"/>
          </w:tcPr>
          <w:p w14:paraId="47812094">
            <w:pPr>
              <w:spacing w:after="0" w:line="240" w:lineRule="auto"/>
              <w:ind w:firstLine="0"/>
              <w:contextualSpacing/>
              <w:jc w:val="center"/>
              <w:rPr>
                <w:bCs/>
                <w:color w:val="000000"/>
                <w:sz w:val="20"/>
                <w:szCs w:val="20"/>
              </w:rPr>
            </w:pPr>
            <w:r>
              <w:rPr>
                <w:bCs/>
                <w:color w:val="000000"/>
                <w:sz w:val="20"/>
                <w:szCs w:val="20"/>
              </w:rPr>
              <w:t>772,856</w:t>
            </w:r>
          </w:p>
        </w:tc>
      </w:tr>
      <w:tr w14:paraId="5E4A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32E1B375">
            <w:pPr>
              <w:spacing w:after="0" w:line="240" w:lineRule="auto"/>
              <w:ind w:firstLine="0"/>
              <w:contextualSpacing/>
              <w:rPr>
                <w:bCs/>
                <w:color w:val="000000"/>
                <w:sz w:val="20"/>
                <w:szCs w:val="20"/>
              </w:rPr>
            </w:pPr>
            <w:r>
              <w:rPr>
                <w:bCs/>
                <w:color w:val="000000"/>
                <w:sz w:val="20"/>
                <w:szCs w:val="20"/>
              </w:rPr>
              <w:t>Производственные</w:t>
            </w:r>
          </w:p>
        </w:tc>
        <w:tc>
          <w:tcPr>
            <w:tcW w:w="2683" w:type="pct"/>
            <w:shd w:val="clear" w:color="auto" w:fill="auto"/>
            <w:noWrap/>
            <w:vAlign w:val="center"/>
          </w:tcPr>
          <w:p w14:paraId="281A6A45">
            <w:pPr>
              <w:spacing w:after="0" w:line="240" w:lineRule="auto"/>
              <w:ind w:firstLine="0"/>
              <w:contextualSpacing/>
              <w:jc w:val="center"/>
              <w:rPr>
                <w:bCs/>
                <w:color w:val="000000"/>
                <w:sz w:val="20"/>
                <w:szCs w:val="20"/>
              </w:rPr>
            </w:pPr>
            <w:r>
              <w:rPr>
                <w:bCs/>
                <w:color w:val="000000"/>
                <w:sz w:val="20"/>
                <w:szCs w:val="20"/>
              </w:rPr>
              <w:t>119,801</w:t>
            </w:r>
          </w:p>
        </w:tc>
      </w:tr>
      <w:tr w14:paraId="593A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214EE02F">
            <w:pPr>
              <w:spacing w:after="0" w:line="240" w:lineRule="auto"/>
              <w:ind w:firstLine="0"/>
              <w:contextualSpacing/>
              <w:rPr>
                <w:bCs/>
                <w:color w:val="000000"/>
                <w:sz w:val="20"/>
                <w:szCs w:val="20"/>
              </w:rPr>
            </w:pPr>
            <w:r>
              <w:rPr>
                <w:bCs/>
                <w:color w:val="000000"/>
                <w:sz w:val="20"/>
                <w:szCs w:val="20"/>
              </w:rPr>
              <w:t>Прочие</w:t>
            </w:r>
          </w:p>
        </w:tc>
        <w:tc>
          <w:tcPr>
            <w:tcW w:w="2683" w:type="pct"/>
            <w:shd w:val="clear" w:color="auto" w:fill="auto"/>
            <w:noWrap/>
            <w:vAlign w:val="center"/>
          </w:tcPr>
          <w:p w14:paraId="20268B78">
            <w:pPr>
              <w:spacing w:after="0" w:line="240" w:lineRule="auto"/>
              <w:ind w:firstLine="0"/>
              <w:contextualSpacing/>
              <w:jc w:val="center"/>
              <w:rPr>
                <w:bCs/>
                <w:color w:val="000000"/>
                <w:sz w:val="20"/>
                <w:szCs w:val="20"/>
              </w:rPr>
            </w:pPr>
            <w:r>
              <w:rPr>
                <w:bCs/>
                <w:color w:val="000000"/>
                <w:sz w:val="20"/>
                <w:szCs w:val="20"/>
              </w:rPr>
              <w:t>211,750</w:t>
            </w:r>
          </w:p>
        </w:tc>
      </w:tr>
    </w:tbl>
    <w:p w14:paraId="361851DC">
      <w:pPr>
        <w:spacing w:after="0" w:line="240" w:lineRule="auto"/>
        <w:contextualSpacing/>
        <w:jc w:val="both"/>
        <w:rPr>
          <w:rFonts w:eastAsia="Calibri"/>
          <w:sz w:val="24"/>
          <w:szCs w:val="24"/>
          <w:lang w:eastAsia="en-US"/>
        </w:rPr>
      </w:pPr>
    </w:p>
    <w:p w14:paraId="01092E68">
      <w:pPr>
        <w:pStyle w:val="43"/>
        <w:keepNext/>
        <w:spacing w:before="0" w:after="0" w:line="240" w:lineRule="auto"/>
        <w:ind w:firstLine="0"/>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31</w:t>
      </w:r>
      <w:r>
        <w:rPr>
          <w:rFonts w:cs="Times New Roman"/>
          <w:b w:val="0"/>
          <w:sz w:val="24"/>
          <w:szCs w:val="24"/>
        </w:rPr>
        <w:fldChar w:fldCharType="end"/>
      </w:r>
      <w:r>
        <w:rPr>
          <w:rFonts w:cs="Times New Roman"/>
          <w:b w:val="0"/>
          <w:sz w:val="24"/>
          <w:szCs w:val="24"/>
        </w:rPr>
        <w:t xml:space="preserve"> – Значения потребления тепловой энергии ООО «Газпром трансгаз Югорск» Верхнеказымское ЛПУ МГ, Гкал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5288"/>
      </w:tblGrid>
      <w:tr w14:paraId="2B23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center"/>
          </w:tcPr>
          <w:p w14:paraId="17004C71">
            <w:pPr>
              <w:spacing w:after="0" w:line="240" w:lineRule="auto"/>
              <w:ind w:firstLine="0"/>
              <w:contextualSpacing/>
              <w:jc w:val="center"/>
              <w:rPr>
                <w:bCs/>
                <w:color w:val="000000"/>
                <w:sz w:val="20"/>
                <w:szCs w:val="20"/>
              </w:rPr>
            </w:pPr>
            <w:r>
              <w:rPr>
                <w:bCs/>
                <w:color w:val="000000"/>
                <w:sz w:val="20"/>
                <w:szCs w:val="20"/>
              </w:rPr>
              <w:t>Значения</w:t>
            </w:r>
          </w:p>
        </w:tc>
        <w:tc>
          <w:tcPr>
            <w:tcW w:w="2683" w:type="pct"/>
            <w:shd w:val="clear" w:color="auto" w:fill="auto"/>
            <w:vAlign w:val="center"/>
          </w:tcPr>
          <w:p w14:paraId="655B2A8D">
            <w:pPr>
              <w:spacing w:after="0" w:line="240" w:lineRule="auto"/>
              <w:ind w:firstLine="0"/>
              <w:contextualSpacing/>
              <w:jc w:val="center"/>
              <w:rPr>
                <w:bCs/>
                <w:color w:val="000000"/>
                <w:sz w:val="20"/>
                <w:szCs w:val="20"/>
              </w:rPr>
            </w:pPr>
            <w:r>
              <w:rPr>
                <w:bCs/>
                <w:color w:val="000000"/>
                <w:sz w:val="20"/>
                <w:szCs w:val="20"/>
              </w:rPr>
              <w:t>Котельные ООО «Газпром трансгаз Югорск» Верхнеказымское ЛПУ МГ</w:t>
            </w:r>
          </w:p>
        </w:tc>
      </w:tr>
      <w:tr w14:paraId="328E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vAlign w:val="bottom"/>
          </w:tcPr>
          <w:p w14:paraId="0C0DC8AD">
            <w:pPr>
              <w:spacing w:after="0" w:line="240" w:lineRule="auto"/>
              <w:ind w:firstLine="0"/>
              <w:contextualSpacing/>
              <w:rPr>
                <w:bCs/>
                <w:color w:val="000000"/>
                <w:sz w:val="20"/>
                <w:szCs w:val="20"/>
              </w:rPr>
            </w:pPr>
            <w:r>
              <w:rPr>
                <w:bCs/>
                <w:color w:val="000000"/>
                <w:sz w:val="20"/>
                <w:szCs w:val="20"/>
              </w:rPr>
              <w:t>Выработано тепловой энергии</w:t>
            </w:r>
          </w:p>
        </w:tc>
        <w:tc>
          <w:tcPr>
            <w:tcW w:w="2683" w:type="pct"/>
            <w:shd w:val="clear" w:color="auto" w:fill="auto"/>
            <w:noWrap/>
            <w:vAlign w:val="center"/>
          </w:tcPr>
          <w:p w14:paraId="2F9A7EBB">
            <w:pPr>
              <w:spacing w:after="0" w:line="240" w:lineRule="auto"/>
              <w:ind w:firstLine="0"/>
              <w:contextualSpacing/>
              <w:jc w:val="center"/>
              <w:rPr>
                <w:bCs/>
                <w:sz w:val="20"/>
                <w:szCs w:val="20"/>
              </w:rPr>
            </w:pPr>
            <w:r>
              <w:rPr>
                <w:bCs/>
                <w:sz w:val="20"/>
                <w:szCs w:val="20"/>
              </w:rPr>
              <w:t>18022,5</w:t>
            </w:r>
          </w:p>
        </w:tc>
      </w:tr>
      <w:tr w14:paraId="361A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17" w:type="pct"/>
            <w:shd w:val="clear" w:color="auto" w:fill="auto"/>
            <w:noWrap/>
            <w:vAlign w:val="bottom"/>
          </w:tcPr>
          <w:p w14:paraId="748940EE">
            <w:pPr>
              <w:spacing w:after="0" w:line="240" w:lineRule="auto"/>
              <w:ind w:firstLine="0"/>
              <w:contextualSpacing/>
              <w:rPr>
                <w:bCs/>
                <w:color w:val="000000"/>
                <w:sz w:val="20"/>
                <w:szCs w:val="20"/>
              </w:rPr>
            </w:pPr>
            <w:r>
              <w:rPr>
                <w:bCs/>
                <w:color w:val="000000"/>
                <w:sz w:val="20"/>
                <w:szCs w:val="20"/>
              </w:rPr>
              <w:t>Отпуск в сеть</w:t>
            </w:r>
          </w:p>
        </w:tc>
        <w:tc>
          <w:tcPr>
            <w:tcW w:w="2683" w:type="pct"/>
            <w:shd w:val="clear" w:color="auto" w:fill="auto"/>
            <w:noWrap/>
            <w:vAlign w:val="center"/>
          </w:tcPr>
          <w:p w14:paraId="11F6FF3C">
            <w:pPr>
              <w:spacing w:after="0" w:line="240" w:lineRule="auto"/>
              <w:ind w:firstLine="0"/>
              <w:contextualSpacing/>
              <w:jc w:val="center"/>
              <w:rPr>
                <w:bCs/>
                <w:sz w:val="20"/>
                <w:szCs w:val="20"/>
              </w:rPr>
            </w:pPr>
            <w:r>
              <w:rPr>
                <w:bCs/>
                <w:sz w:val="20"/>
                <w:szCs w:val="20"/>
              </w:rPr>
              <w:t>12565,7</w:t>
            </w:r>
          </w:p>
        </w:tc>
      </w:tr>
    </w:tbl>
    <w:p w14:paraId="1ABDE6DE">
      <w:pPr>
        <w:spacing w:after="0" w:line="240" w:lineRule="auto"/>
        <w:contextualSpacing/>
        <w:jc w:val="both"/>
        <w:rPr>
          <w:sz w:val="24"/>
          <w:szCs w:val="24"/>
        </w:rPr>
      </w:pPr>
    </w:p>
    <w:p w14:paraId="5760C630">
      <w:pPr>
        <w:pStyle w:val="4"/>
        <w:keepNext/>
        <w:spacing w:before="0" w:line="240" w:lineRule="auto"/>
        <w:ind w:left="0" w:firstLine="709"/>
        <w:contextualSpacing/>
        <w:rPr>
          <w:rFonts w:cs="Times New Roman"/>
          <w:b w:val="0"/>
          <w:sz w:val="24"/>
        </w:rPr>
      </w:pPr>
      <w:bookmarkStart w:id="174" w:name="_Toc524614995"/>
      <w:bookmarkStart w:id="175" w:name="_Toc524614779"/>
      <w:bookmarkStart w:id="176" w:name="_Toc182813908"/>
      <w:r>
        <w:rPr>
          <w:rFonts w:cs="Times New Roman"/>
          <w:b w:val="0"/>
          <w:sz w:val="24"/>
        </w:rPr>
        <w:t>Описание существующих нормативов потребления тепловой энергии для населения на отопление и горячее водоснабжение</w:t>
      </w:r>
      <w:bookmarkEnd w:id="174"/>
      <w:bookmarkEnd w:id="175"/>
      <w:bookmarkEnd w:id="176"/>
    </w:p>
    <w:p w14:paraId="636488AE">
      <w:pPr>
        <w:spacing w:after="0" w:line="240" w:lineRule="auto"/>
        <w:contextualSpacing/>
        <w:jc w:val="both"/>
        <w:rPr>
          <w:sz w:val="24"/>
          <w:szCs w:val="24"/>
        </w:rPr>
      </w:pPr>
      <w:r>
        <w:rPr>
          <w:sz w:val="24"/>
          <w:szCs w:val="24"/>
        </w:rPr>
        <w:t>Нормативы установлены в соответствии со статьёй 157 Жилищного кодекса Российской Федерации, постановлениями Правительства Российской Федерации от 06.05.2011 N 354 «О предоставлении коммунальных услуг собственникам и пользователям помещений в многоквартирных домах и жилых домов», от 23.05.2006 N 306 «Об утверждении правил установления и определения нормативов потребления коммунальных услуг», постановлением Правительства Ханты-Мансийского автономного округа - Югры от 06.12.2013 N 536-п «Об установлении порядка расчёта платы за коммунальную услугу по отоплению в многоквартирных домах и жилых домах» и на основании Положения о Департаменте жилищно-коммунального комплекса и энергетики Ханты-Мансийского автономного округа – Югры, утверждённого постановлением Губернатора Ханты-Мансийского автономного округа - Югры от 22.12.2012 N 164.</w:t>
      </w:r>
    </w:p>
    <w:p w14:paraId="2B78E573">
      <w:pPr>
        <w:spacing w:after="0" w:line="240" w:lineRule="auto"/>
        <w:contextualSpacing/>
        <w:jc w:val="both"/>
        <w:rPr>
          <w:sz w:val="24"/>
          <w:szCs w:val="24"/>
        </w:rPr>
      </w:pPr>
      <w:r>
        <w:rPr>
          <w:sz w:val="24"/>
          <w:szCs w:val="24"/>
        </w:rPr>
        <w:t>Нормативы потребления коммунальных услуг по отоплению потребителями в жилых и нежилых помещениях в многоквартирных домах или жилых домах с.п. Верхнеказымский утверждены приказом Департамента жилищно-коммунального комплекса и энергетики Ханты-Мансийского автономного округа – Югры от 22 декабря 2017 года N 11-нп (с изменениями на 18 июля 2024 года).</w:t>
      </w:r>
    </w:p>
    <w:p w14:paraId="760AB097">
      <w:pPr>
        <w:spacing w:after="0" w:line="240" w:lineRule="auto"/>
        <w:contextualSpacing/>
        <w:jc w:val="both"/>
        <w:rPr>
          <w:sz w:val="24"/>
          <w:szCs w:val="24"/>
        </w:rPr>
      </w:pPr>
      <w:r>
        <w:rPr>
          <w:sz w:val="24"/>
          <w:szCs w:val="24"/>
        </w:rPr>
        <w:t>Нормативы потребления коммунальных услуг по горячему водоснабжению потребителями в жилых и нежилых помещениях в многоквартирных домах или жилых домах с.п. Верхнеказымский утверждены приказом департамента жилищно-коммунального комплекса и энергетики Ханты-Мансийского автономного округа – Югры от 25.12.2017 № 12-нп (с изменениями на 10 июля 2020 года).</w:t>
      </w:r>
    </w:p>
    <w:p w14:paraId="3FA5ABEC">
      <w:pPr>
        <w:spacing w:after="0" w:line="240" w:lineRule="auto"/>
        <w:contextualSpacing/>
        <w:jc w:val="both"/>
        <w:rPr>
          <w:sz w:val="24"/>
          <w:szCs w:val="24"/>
        </w:rPr>
      </w:pPr>
      <w:r>
        <w:rPr>
          <w:sz w:val="24"/>
          <w:szCs w:val="24"/>
        </w:rPr>
        <w:t>Норматив потребления коммунальных услуг по отоплению для жилых зданий в с.п. Верхнеказымский установлен в размере 0,03 Гкал/м</w:t>
      </w:r>
      <w:r>
        <w:rPr>
          <w:sz w:val="24"/>
          <w:szCs w:val="24"/>
          <w:vertAlign w:val="superscript"/>
        </w:rPr>
        <w:t>2</w:t>
      </w:r>
      <w:r>
        <w:rPr>
          <w:sz w:val="24"/>
          <w:szCs w:val="24"/>
        </w:rPr>
        <w:t xml:space="preserve"> общей площади в месяц.</w:t>
      </w:r>
    </w:p>
    <w:p w14:paraId="5FA7CC5E">
      <w:pPr>
        <w:spacing w:after="0" w:line="240" w:lineRule="auto"/>
        <w:contextualSpacing/>
        <w:jc w:val="both"/>
        <w:rPr>
          <w:sz w:val="24"/>
          <w:szCs w:val="24"/>
        </w:rPr>
      </w:pPr>
      <w:r>
        <w:rPr>
          <w:sz w:val="24"/>
          <w:szCs w:val="24"/>
        </w:rPr>
        <w:t>Норматив потребления коммунальных услуг по горячему водоснабжению для населения в с.п. Верхнеказымский установлен в размере 3,2 м</w:t>
      </w:r>
      <w:r>
        <w:rPr>
          <w:sz w:val="24"/>
          <w:szCs w:val="24"/>
          <w:vertAlign w:val="superscript"/>
        </w:rPr>
        <w:t>3</w:t>
      </w:r>
      <w:r>
        <w:rPr>
          <w:sz w:val="24"/>
          <w:szCs w:val="24"/>
        </w:rPr>
        <w:t xml:space="preserve"> на человека в месяц.</w:t>
      </w:r>
    </w:p>
    <w:p w14:paraId="5D052A86">
      <w:pPr>
        <w:spacing w:after="0" w:line="240" w:lineRule="auto"/>
        <w:contextualSpacing/>
        <w:jc w:val="both"/>
        <w:rPr>
          <w:sz w:val="24"/>
          <w:szCs w:val="24"/>
        </w:rPr>
      </w:pPr>
      <w:r>
        <w:rPr>
          <w:sz w:val="24"/>
          <w:szCs w:val="24"/>
        </w:rPr>
        <w:t>В таблице 32 представлены нормативы потребления коммунальных услуг по отоплению. Нормативы потребления тепловой энергии для населения на отопление представлены в таблице 33.</w:t>
      </w:r>
    </w:p>
    <w:p w14:paraId="210AED5D">
      <w:pPr>
        <w:spacing w:after="0" w:line="240" w:lineRule="auto"/>
        <w:ind w:firstLine="0"/>
        <w:contextualSpacing/>
        <w:jc w:val="both"/>
        <w:rPr>
          <w:sz w:val="24"/>
          <w:szCs w:val="24"/>
        </w:rPr>
      </w:pPr>
    </w:p>
    <w:p w14:paraId="74157E53">
      <w:pPr>
        <w:pStyle w:val="43"/>
        <w:keepNext/>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32</w:t>
      </w:r>
      <w:r>
        <w:rPr>
          <w:rFonts w:cs="Times New Roman"/>
          <w:b w:val="0"/>
          <w:sz w:val="24"/>
          <w:szCs w:val="24"/>
        </w:rPr>
        <w:fldChar w:fldCharType="end"/>
      </w:r>
      <w:r>
        <w:rPr>
          <w:rFonts w:cs="Times New Roman"/>
          <w:b w:val="0"/>
          <w:sz w:val="24"/>
          <w:szCs w:val="24"/>
        </w:rPr>
        <w:t xml:space="preserve"> – Нормативы потребления коммунальных услуг по отоплению</w:t>
      </w:r>
    </w:p>
    <w:tbl>
      <w:tblPr>
        <w:tblStyle w:val="12"/>
        <w:tblW w:w="0" w:type="auto"/>
        <w:tblInd w:w="0" w:type="dxa"/>
        <w:shd w:val="clear" w:color="auto" w:fill="FFFFFF"/>
        <w:tblLayout w:type="autofit"/>
        <w:tblCellMar>
          <w:top w:w="0" w:type="dxa"/>
          <w:left w:w="0" w:type="dxa"/>
          <w:bottom w:w="0" w:type="dxa"/>
          <w:right w:w="0" w:type="dxa"/>
        </w:tblCellMar>
      </w:tblPr>
      <w:tblGrid>
        <w:gridCol w:w="2153"/>
        <w:gridCol w:w="2141"/>
        <w:gridCol w:w="2739"/>
        <w:gridCol w:w="2589"/>
      </w:tblGrid>
      <w:tr w14:paraId="251C6E75">
        <w:tblPrEx>
          <w:shd w:val="clear" w:color="auto" w:fill="FFFFFF"/>
          <w:tblCellMar>
            <w:top w:w="0" w:type="dxa"/>
            <w:left w:w="0" w:type="dxa"/>
            <w:bottom w:w="0" w:type="dxa"/>
            <w:right w:w="0" w:type="dxa"/>
          </w:tblCellMar>
        </w:tblPrEx>
        <w:tc>
          <w:tcPr>
            <w:tcW w:w="2153" w:type="dxa"/>
            <w:vMerge w:val="restart"/>
            <w:tcBorders>
              <w:top w:val="single" w:color="000000" w:sz="6" w:space="0"/>
              <w:left w:val="single" w:color="000000" w:sz="6" w:space="0"/>
              <w:right w:val="single" w:color="000000" w:sz="6" w:space="0"/>
            </w:tcBorders>
            <w:shd w:val="clear" w:color="auto" w:fill="auto"/>
            <w:tcMar>
              <w:top w:w="0" w:type="dxa"/>
              <w:left w:w="149" w:type="dxa"/>
              <w:bottom w:w="0" w:type="dxa"/>
              <w:right w:w="149" w:type="dxa"/>
            </w:tcMar>
          </w:tcPr>
          <w:p w14:paraId="15CB5169">
            <w:pPr>
              <w:spacing w:after="0" w:line="240" w:lineRule="auto"/>
              <w:ind w:firstLine="0"/>
              <w:jc w:val="center"/>
              <w:textAlignment w:val="baseline"/>
              <w:rPr>
                <w:sz w:val="20"/>
                <w:szCs w:val="20"/>
              </w:rPr>
            </w:pPr>
            <w:r>
              <w:rPr>
                <w:sz w:val="20"/>
                <w:szCs w:val="20"/>
              </w:rPr>
              <w:t>Категория многоквартирного (жилого) дома</w:t>
            </w:r>
          </w:p>
        </w:tc>
        <w:tc>
          <w:tcPr>
            <w:tcW w:w="7469"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2B956AB0">
            <w:pPr>
              <w:spacing w:after="0" w:line="240" w:lineRule="auto"/>
              <w:ind w:firstLine="0"/>
              <w:jc w:val="center"/>
              <w:textAlignment w:val="baseline"/>
              <w:rPr>
                <w:sz w:val="20"/>
                <w:szCs w:val="20"/>
              </w:rPr>
            </w:pPr>
            <w:r>
              <w:rPr>
                <w:sz w:val="20"/>
                <w:szCs w:val="20"/>
              </w:rPr>
              <w:t>Норматив потребления (Гкал на 1 кв. метр общей площади жилого помещения в месяц)</w:t>
            </w:r>
          </w:p>
        </w:tc>
      </w:tr>
      <w:tr w14:paraId="062FD77B">
        <w:tblPrEx>
          <w:shd w:val="clear" w:color="auto" w:fill="FFFFFF"/>
          <w:tblCellMar>
            <w:top w:w="0" w:type="dxa"/>
            <w:left w:w="0" w:type="dxa"/>
            <w:bottom w:w="0" w:type="dxa"/>
            <w:right w:w="0" w:type="dxa"/>
          </w:tblCellMar>
        </w:tblPrEx>
        <w:tc>
          <w:tcPr>
            <w:tcW w:w="2153" w:type="dxa"/>
            <w:vMerge w:val="continue"/>
            <w:tcBorders>
              <w:left w:val="single" w:color="000000" w:sz="6" w:space="0"/>
              <w:bottom w:val="nil"/>
              <w:right w:val="single" w:color="000000" w:sz="6" w:space="0"/>
            </w:tcBorders>
            <w:shd w:val="clear" w:color="auto" w:fill="auto"/>
            <w:tcMar>
              <w:top w:w="0" w:type="dxa"/>
              <w:left w:w="149" w:type="dxa"/>
              <w:bottom w:w="0" w:type="dxa"/>
              <w:right w:w="149" w:type="dxa"/>
            </w:tcMar>
          </w:tcPr>
          <w:p w14:paraId="245A5354">
            <w:pPr>
              <w:spacing w:after="0" w:line="240" w:lineRule="auto"/>
              <w:ind w:firstLine="0"/>
              <w:rPr>
                <w:sz w:val="20"/>
                <w:szCs w:val="20"/>
              </w:rPr>
            </w:pP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29FEDF0">
            <w:pPr>
              <w:spacing w:after="0" w:line="240" w:lineRule="auto"/>
              <w:ind w:firstLine="0"/>
              <w:jc w:val="center"/>
              <w:textAlignment w:val="baseline"/>
              <w:rPr>
                <w:sz w:val="20"/>
                <w:szCs w:val="20"/>
              </w:rPr>
            </w:pPr>
            <w:r>
              <w:rPr>
                <w:sz w:val="20"/>
                <w:szCs w:val="20"/>
              </w:rPr>
              <w:t>многоквартирные и жилые дома со стенами из камня, кирпича</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64BC13DC">
            <w:pPr>
              <w:spacing w:after="0" w:line="240" w:lineRule="auto"/>
              <w:ind w:firstLine="0"/>
              <w:jc w:val="center"/>
              <w:textAlignment w:val="baseline"/>
              <w:rPr>
                <w:sz w:val="20"/>
                <w:szCs w:val="20"/>
              </w:rPr>
            </w:pPr>
            <w:r>
              <w:rPr>
                <w:sz w:val="20"/>
                <w:szCs w:val="20"/>
              </w:rPr>
              <w:t>многоквартирные и жилые дома со стенами из панелей, блоков</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392E46A">
            <w:pPr>
              <w:spacing w:after="0" w:line="240" w:lineRule="auto"/>
              <w:ind w:firstLine="0"/>
              <w:jc w:val="center"/>
              <w:textAlignment w:val="baseline"/>
              <w:rPr>
                <w:sz w:val="20"/>
                <w:szCs w:val="20"/>
              </w:rPr>
            </w:pPr>
            <w:r>
              <w:rPr>
                <w:sz w:val="20"/>
                <w:szCs w:val="20"/>
              </w:rPr>
              <w:t>многоквартирные и жилые дома со стенами из дерева, смешанных и других материалов</w:t>
            </w:r>
          </w:p>
        </w:tc>
      </w:tr>
      <w:tr w14:paraId="6F846B44">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647A118">
            <w:pPr>
              <w:spacing w:after="0" w:line="240" w:lineRule="auto"/>
              <w:ind w:firstLine="0"/>
              <w:jc w:val="center"/>
              <w:textAlignment w:val="baseline"/>
              <w:rPr>
                <w:sz w:val="20"/>
                <w:szCs w:val="20"/>
              </w:rPr>
            </w:pPr>
            <w:r>
              <w:rPr>
                <w:sz w:val="20"/>
                <w:szCs w:val="20"/>
              </w:rPr>
              <w:t>Этажность</w:t>
            </w:r>
          </w:p>
        </w:tc>
        <w:tc>
          <w:tcPr>
            <w:tcW w:w="7469"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9B543BB">
            <w:pPr>
              <w:spacing w:after="0" w:line="240" w:lineRule="auto"/>
              <w:ind w:firstLine="0"/>
              <w:jc w:val="center"/>
              <w:textAlignment w:val="baseline"/>
              <w:rPr>
                <w:sz w:val="20"/>
                <w:szCs w:val="20"/>
              </w:rPr>
            </w:pPr>
            <w:r>
              <w:rPr>
                <w:sz w:val="20"/>
                <w:szCs w:val="20"/>
              </w:rPr>
              <w:t>многоквартирные и жилые дома до 1999 года постройки включительно</w:t>
            </w:r>
          </w:p>
        </w:tc>
      </w:tr>
      <w:tr w14:paraId="67E93148">
        <w:tblPrEx>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4F76A3A">
            <w:pPr>
              <w:spacing w:after="0" w:line="240" w:lineRule="auto"/>
              <w:ind w:firstLine="0"/>
              <w:textAlignment w:val="baseline"/>
              <w:rPr>
                <w:sz w:val="20"/>
                <w:szCs w:val="20"/>
              </w:rPr>
            </w:pPr>
            <w:r>
              <w:rPr>
                <w:sz w:val="20"/>
                <w:szCs w:val="20"/>
              </w:rPr>
              <w:t>1</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1457209A">
            <w:pPr>
              <w:spacing w:after="0" w:line="240" w:lineRule="auto"/>
              <w:ind w:firstLine="0"/>
              <w:jc w:val="center"/>
              <w:textAlignment w:val="baseline"/>
              <w:rPr>
                <w:sz w:val="20"/>
                <w:szCs w:val="20"/>
              </w:rPr>
            </w:pPr>
            <w:r>
              <w:rPr>
                <w:sz w:val="20"/>
                <w:szCs w:val="20"/>
              </w:rPr>
              <w:t>0,0545</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DED3084">
            <w:pPr>
              <w:spacing w:after="0" w:line="240" w:lineRule="auto"/>
              <w:ind w:firstLine="0"/>
              <w:jc w:val="center"/>
              <w:textAlignment w:val="baseline"/>
              <w:rPr>
                <w:sz w:val="20"/>
                <w:szCs w:val="20"/>
              </w:rPr>
            </w:pPr>
            <w:r>
              <w:rPr>
                <w:sz w:val="20"/>
                <w:szCs w:val="20"/>
              </w:rPr>
              <w:t>0,0546</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05EA9DC">
            <w:pPr>
              <w:spacing w:after="0" w:line="240" w:lineRule="auto"/>
              <w:ind w:firstLine="0"/>
              <w:jc w:val="center"/>
              <w:textAlignment w:val="baseline"/>
              <w:rPr>
                <w:sz w:val="20"/>
                <w:szCs w:val="20"/>
              </w:rPr>
            </w:pPr>
            <w:r>
              <w:rPr>
                <w:sz w:val="20"/>
                <w:szCs w:val="20"/>
              </w:rPr>
              <w:t>0,0546</w:t>
            </w:r>
          </w:p>
        </w:tc>
      </w:tr>
      <w:tr w14:paraId="1286324C">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5931DA7">
            <w:pPr>
              <w:spacing w:after="0" w:line="240" w:lineRule="auto"/>
              <w:ind w:firstLine="0"/>
              <w:textAlignment w:val="baseline"/>
              <w:rPr>
                <w:sz w:val="20"/>
                <w:szCs w:val="20"/>
              </w:rPr>
            </w:pPr>
            <w:r>
              <w:rPr>
                <w:sz w:val="20"/>
                <w:szCs w:val="20"/>
              </w:rPr>
              <w:t>2</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297B9A3B">
            <w:pPr>
              <w:spacing w:after="0" w:line="240" w:lineRule="auto"/>
              <w:ind w:firstLine="0"/>
              <w:jc w:val="center"/>
              <w:textAlignment w:val="baseline"/>
              <w:rPr>
                <w:sz w:val="20"/>
                <w:szCs w:val="20"/>
              </w:rPr>
            </w:pPr>
            <w:r>
              <w:rPr>
                <w:sz w:val="20"/>
                <w:szCs w:val="20"/>
              </w:rPr>
              <w:t>0,0530</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149D9F60">
            <w:pPr>
              <w:spacing w:after="0" w:line="240" w:lineRule="auto"/>
              <w:ind w:firstLine="0"/>
              <w:jc w:val="center"/>
              <w:textAlignment w:val="baseline"/>
              <w:rPr>
                <w:sz w:val="20"/>
                <w:szCs w:val="20"/>
              </w:rPr>
            </w:pPr>
            <w:r>
              <w:rPr>
                <w:sz w:val="20"/>
                <w:szCs w:val="20"/>
              </w:rPr>
              <w:t>0,0532</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6884025C">
            <w:pPr>
              <w:spacing w:after="0" w:line="240" w:lineRule="auto"/>
              <w:ind w:firstLine="0"/>
              <w:jc w:val="center"/>
              <w:textAlignment w:val="baseline"/>
              <w:rPr>
                <w:sz w:val="20"/>
                <w:szCs w:val="20"/>
              </w:rPr>
            </w:pPr>
            <w:r>
              <w:rPr>
                <w:sz w:val="20"/>
                <w:szCs w:val="20"/>
              </w:rPr>
              <w:t>0,0532</w:t>
            </w:r>
          </w:p>
        </w:tc>
      </w:tr>
      <w:tr w14:paraId="40F7CDD5">
        <w:tblPrEx>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464D07D1">
            <w:pPr>
              <w:spacing w:after="0" w:line="240" w:lineRule="auto"/>
              <w:ind w:firstLine="0"/>
              <w:textAlignment w:val="baseline"/>
              <w:rPr>
                <w:sz w:val="20"/>
                <w:szCs w:val="20"/>
              </w:rPr>
            </w:pPr>
            <w:r>
              <w:rPr>
                <w:sz w:val="20"/>
                <w:szCs w:val="20"/>
              </w:rPr>
              <w:t>3 - 4</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3959C47">
            <w:pPr>
              <w:spacing w:after="0" w:line="240" w:lineRule="auto"/>
              <w:ind w:firstLine="0"/>
              <w:jc w:val="center"/>
              <w:textAlignment w:val="baseline"/>
              <w:rPr>
                <w:sz w:val="20"/>
                <w:szCs w:val="20"/>
              </w:rPr>
            </w:pPr>
            <w:r>
              <w:rPr>
                <w:sz w:val="20"/>
                <w:szCs w:val="20"/>
              </w:rPr>
              <w:t>0,0328</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DC8600E">
            <w:pPr>
              <w:spacing w:after="0" w:line="240" w:lineRule="auto"/>
              <w:ind w:firstLine="0"/>
              <w:jc w:val="center"/>
              <w:textAlignment w:val="baseline"/>
              <w:rPr>
                <w:sz w:val="20"/>
                <w:szCs w:val="20"/>
              </w:rPr>
            </w:pPr>
            <w:r>
              <w:rPr>
                <w:sz w:val="20"/>
                <w:szCs w:val="20"/>
              </w:rPr>
              <w:t>0,0328</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68AC4454">
            <w:pPr>
              <w:spacing w:after="0" w:line="240" w:lineRule="auto"/>
              <w:ind w:firstLine="0"/>
              <w:jc w:val="center"/>
              <w:textAlignment w:val="baseline"/>
              <w:rPr>
                <w:sz w:val="20"/>
                <w:szCs w:val="20"/>
              </w:rPr>
            </w:pPr>
            <w:r>
              <w:rPr>
                <w:sz w:val="20"/>
                <w:szCs w:val="20"/>
              </w:rPr>
              <w:t>0,0348</w:t>
            </w:r>
          </w:p>
        </w:tc>
      </w:tr>
      <w:tr w14:paraId="4237E9C0">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B030EAE">
            <w:pPr>
              <w:spacing w:after="0" w:line="240" w:lineRule="auto"/>
              <w:ind w:firstLine="0"/>
              <w:textAlignment w:val="baseline"/>
              <w:rPr>
                <w:sz w:val="20"/>
                <w:szCs w:val="20"/>
              </w:rPr>
            </w:pPr>
            <w:r>
              <w:rPr>
                <w:sz w:val="20"/>
                <w:szCs w:val="20"/>
              </w:rPr>
              <w:t>5 - 9</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A617AB4">
            <w:pPr>
              <w:spacing w:after="0" w:line="240" w:lineRule="auto"/>
              <w:ind w:firstLine="0"/>
              <w:jc w:val="center"/>
              <w:textAlignment w:val="baseline"/>
              <w:rPr>
                <w:sz w:val="20"/>
                <w:szCs w:val="20"/>
              </w:rPr>
            </w:pPr>
            <w:r>
              <w:rPr>
                <w:sz w:val="20"/>
                <w:szCs w:val="20"/>
              </w:rPr>
              <w:t>0,0294</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B1B1F22">
            <w:pPr>
              <w:spacing w:after="0" w:line="240" w:lineRule="auto"/>
              <w:ind w:firstLine="0"/>
              <w:jc w:val="center"/>
              <w:textAlignment w:val="baseline"/>
              <w:rPr>
                <w:sz w:val="20"/>
                <w:szCs w:val="20"/>
              </w:rPr>
            </w:pPr>
            <w:r>
              <w:rPr>
                <w:sz w:val="20"/>
                <w:szCs w:val="20"/>
              </w:rPr>
              <w:t>0,0287</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4260309">
            <w:pPr>
              <w:spacing w:after="0" w:line="240" w:lineRule="auto"/>
              <w:ind w:firstLine="0"/>
              <w:jc w:val="center"/>
              <w:textAlignment w:val="baseline"/>
              <w:rPr>
                <w:sz w:val="20"/>
                <w:szCs w:val="20"/>
              </w:rPr>
            </w:pPr>
            <w:r>
              <w:rPr>
                <w:sz w:val="20"/>
                <w:szCs w:val="20"/>
              </w:rPr>
              <w:t>-</w:t>
            </w:r>
          </w:p>
        </w:tc>
      </w:tr>
      <w:tr w14:paraId="4B9E4778">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E2AEBE6">
            <w:pPr>
              <w:spacing w:after="0" w:line="240" w:lineRule="auto"/>
              <w:ind w:firstLine="0"/>
              <w:jc w:val="center"/>
              <w:textAlignment w:val="baseline"/>
              <w:rPr>
                <w:sz w:val="20"/>
                <w:szCs w:val="20"/>
              </w:rPr>
            </w:pPr>
            <w:r>
              <w:rPr>
                <w:sz w:val="20"/>
                <w:szCs w:val="20"/>
              </w:rPr>
              <w:t>Этажность</w:t>
            </w:r>
          </w:p>
        </w:tc>
        <w:tc>
          <w:tcPr>
            <w:tcW w:w="7469"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F4ED235">
            <w:pPr>
              <w:spacing w:after="0" w:line="240" w:lineRule="auto"/>
              <w:ind w:firstLine="0"/>
              <w:jc w:val="center"/>
              <w:textAlignment w:val="baseline"/>
              <w:rPr>
                <w:sz w:val="20"/>
                <w:szCs w:val="20"/>
              </w:rPr>
            </w:pPr>
            <w:r>
              <w:rPr>
                <w:sz w:val="20"/>
                <w:szCs w:val="20"/>
              </w:rPr>
              <w:t>многоквартирные и жилые дома после 1999 года постройки</w:t>
            </w:r>
          </w:p>
        </w:tc>
      </w:tr>
      <w:tr w14:paraId="7638EDBC">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699F2276">
            <w:pPr>
              <w:spacing w:after="0" w:line="240" w:lineRule="auto"/>
              <w:ind w:firstLine="0"/>
              <w:textAlignment w:val="baseline"/>
              <w:rPr>
                <w:sz w:val="20"/>
                <w:szCs w:val="20"/>
              </w:rPr>
            </w:pPr>
            <w:r>
              <w:rPr>
                <w:sz w:val="20"/>
                <w:szCs w:val="20"/>
              </w:rPr>
              <w:t>1</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76487042">
            <w:pPr>
              <w:spacing w:after="0" w:line="240" w:lineRule="auto"/>
              <w:ind w:firstLine="0"/>
              <w:jc w:val="center"/>
              <w:textAlignment w:val="baseline"/>
              <w:rPr>
                <w:sz w:val="20"/>
                <w:szCs w:val="20"/>
              </w:rPr>
            </w:pPr>
            <w:r>
              <w:rPr>
                <w:sz w:val="20"/>
                <w:szCs w:val="20"/>
              </w:rPr>
              <w:t>0,0260</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989EAE0">
            <w:pPr>
              <w:spacing w:after="0" w:line="240" w:lineRule="auto"/>
              <w:ind w:firstLine="0"/>
              <w:jc w:val="center"/>
              <w:textAlignment w:val="baseline"/>
              <w:rPr>
                <w:sz w:val="20"/>
                <w:szCs w:val="20"/>
              </w:rPr>
            </w:pPr>
            <w:r>
              <w:rPr>
                <w:sz w:val="20"/>
                <w:szCs w:val="20"/>
              </w:rPr>
              <w:t>0,0273</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EC36A7C">
            <w:pPr>
              <w:spacing w:after="0" w:line="240" w:lineRule="auto"/>
              <w:ind w:firstLine="0"/>
              <w:jc w:val="center"/>
              <w:textAlignment w:val="baseline"/>
              <w:rPr>
                <w:sz w:val="20"/>
                <w:szCs w:val="20"/>
              </w:rPr>
            </w:pPr>
            <w:r>
              <w:rPr>
                <w:sz w:val="20"/>
                <w:szCs w:val="20"/>
              </w:rPr>
              <w:t>0,0286</w:t>
            </w:r>
          </w:p>
        </w:tc>
      </w:tr>
      <w:tr w14:paraId="3AD0DE28">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6149AFE0">
            <w:pPr>
              <w:spacing w:after="0" w:line="240" w:lineRule="auto"/>
              <w:ind w:firstLine="0"/>
              <w:textAlignment w:val="baseline"/>
              <w:rPr>
                <w:sz w:val="20"/>
                <w:szCs w:val="20"/>
              </w:rPr>
            </w:pPr>
            <w:r>
              <w:rPr>
                <w:sz w:val="20"/>
                <w:szCs w:val="20"/>
              </w:rPr>
              <w:t>2</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6845F10">
            <w:pPr>
              <w:spacing w:after="0" w:line="240" w:lineRule="auto"/>
              <w:ind w:firstLine="0"/>
              <w:jc w:val="center"/>
              <w:textAlignment w:val="baseline"/>
              <w:rPr>
                <w:sz w:val="20"/>
                <w:szCs w:val="20"/>
              </w:rPr>
            </w:pPr>
            <w:r>
              <w:rPr>
                <w:sz w:val="20"/>
                <w:szCs w:val="20"/>
              </w:rPr>
              <w:t>0,0259</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296FAFDC">
            <w:pPr>
              <w:spacing w:after="0" w:line="240" w:lineRule="auto"/>
              <w:ind w:firstLine="0"/>
              <w:jc w:val="center"/>
              <w:textAlignment w:val="baseline"/>
              <w:rPr>
                <w:sz w:val="20"/>
                <w:szCs w:val="20"/>
              </w:rPr>
            </w:pPr>
            <w:r>
              <w:rPr>
                <w:sz w:val="20"/>
                <w:szCs w:val="20"/>
              </w:rPr>
              <w:t>0,0272</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3725164">
            <w:pPr>
              <w:spacing w:after="0" w:line="240" w:lineRule="auto"/>
              <w:ind w:firstLine="0"/>
              <w:jc w:val="center"/>
              <w:textAlignment w:val="baseline"/>
              <w:rPr>
                <w:sz w:val="20"/>
                <w:szCs w:val="20"/>
              </w:rPr>
            </w:pPr>
            <w:r>
              <w:rPr>
                <w:sz w:val="20"/>
                <w:szCs w:val="20"/>
              </w:rPr>
              <w:t>0,0286</w:t>
            </w:r>
          </w:p>
        </w:tc>
      </w:tr>
      <w:tr w14:paraId="611104ED">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45946EB">
            <w:pPr>
              <w:spacing w:after="0" w:line="240" w:lineRule="auto"/>
              <w:ind w:firstLine="0"/>
              <w:textAlignment w:val="baseline"/>
              <w:rPr>
                <w:sz w:val="20"/>
                <w:szCs w:val="20"/>
              </w:rPr>
            </w:pPr>
            <w:r>
              <w:rPr>
                <w:sz w:val="20"/>
                <w:szCs w:val="20"/>
              </w:rPr>
              <w:t>3</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2396C9CB">
            <w:pPr>
              <w:spacing w:after="0" w:line="240" w:lineRule="auto"/>
              <w:ind w:firstLine="0"/>
              <w:jc w:val="center"/>
              <w:textAlignment w:val="baseline"/>
              <w:rPr>
                <w:sz w:val="20"/>
                <w:szCs w:val="20"/>
              </w:rPr>
            </w:pPr>
            <w:r>
              <w:rPr>
                <w:sz w:val="20"/>
                <w:szCs w:val="20"/>
              </w:rPr>
              <w:t>0,0270</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35EDB2C8">
            <w:pPr>
              <w:spacing w:after="0" w:line="240" w:lineRule="auto"/>
              <w:ind w:firstLine="0"/>
              <w:jc w:val="center"/>
              <w:textAlignment w:val="baseline"/>
              <w:rPr>
                <w:sz w:val="20"/>
                <w:szCs w:val="20"/>
              </w:rPr>
            </w:pPr>
            <w:r>
              <w:rPr>
                <w:sz w:val="20"/>
                <w:szCs w:val="20"/>
              </w:rPr>
              <w:t>0,0274</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2B07B1D">
            <w:pPr>
              <w:spacing w:after="0" w:line="240" w:lineRule="auto"/>
              <w:ind w:firstLine="0"/>
              <w:jc w:val="center"/>
              <w:textAlignment w:val="baseline"/>
              <w:rPr>
                <w:sz w:val="20"/>
                <w:szCs w:val="20"/>
              </w:rPr>
            </w:pPr>
            <w:r>
              <w:rPr>
                <w:sz w:val="20"/>
                <w:szCs w:val="20"/>
              </w:rPr>
              <w:t>0,0278</w:t>
            </w:r>
          </w:p>
        </w:tc>
      </w:tr>
      <w:tr w14:paraId="5D242000">
        <w:tblPrEx>
          <w:shd w:val="clear" w:color="auto" w:fill="FFFFFF"/>
          <w:tblCellMar>
            <w:top w:w="0" w:type="dxa"/>
            <w:left w:w="0" w:type="dxa"/>
            <w:bottom w:w="0" w:type="dxa"/>
            <w:right w:w="0" w:type="dxa"/>
          </w:tblCellMar>
        </w:tblPrEx>
        <w:tc>
          <w:tcPr>
            <w:tcW w:w="215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5B02FB72">
            <w:pPr>
              <w:spacing w:after="0" w:line="240" w:lineRule="auto"/>
              <w:ind w:firstLine="0"/>
              <w:textAlignment w:val="baseline"/>
              <w:rPr>
                <w:sz w:val="20"/>
                <w:szCs w:val="20"/>
              </w:rPr>
            </w:pPr>
            <w:r>
              <w:rPr>
                <w:sz w:val="20"/>
                <w:szCs w:val="20"/>
              </w:rPr>
              <w:t>4 - 5</w:t>
            </w:r>
          </w:p>
        </w:tc>
        <w:tc>
          <w:tcPr>
            <w:tcW w:w="2141"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5181780">
            <w:pPr>
              <w:spacing w:after="0" w:line="240" w:lineRule="auto"/>
              <w:ind w:firstLine="0"/>
              <w:jc w:val="center"/>
              <w:textAlignment w:val="baseline"/>
              <w:rPr>
                <w:sz w:val="20"/>
                <w:szCs w:val="20"/>
              </w:rPr>
            </w:pPr>
            <w:r>
              <w:rPr>
                <w:sz w:val="20"/>
                <w:szCs w:val="20"/>
              </w:rPr>
              <w:t>0,0221</w:t>
            </w:r>
          </w:p>
        </w:tc>
        <w:tc>
          <w:tcPr>
            <w:tcW w:w="273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6CE06D17">
            <w:pPr>
              <w:spacing w:after="0" w:line="240" w:lineRule="auto"/>
              <w:ind w:firstLine="0"/>
              <w:jc w:val="center"/>
              <w:textAlignment w:val="baseline"/>
              <w:rPr>
                <w:sz w:val="20"/>
                <w:szCs w:val="20"/>
              </w:rPr>
            </w:pPr>
            <w:r>
              <w:rPr>
                <w:sz w:val="20"/>
                <w:szCs w:val="20"/>
              </w:rPr>
              <w:t>0,0229</w:t>
            </w:r>
          </w:p>
        </w:tc>
        <w:tc>
          <w:tcPr>
            <w:tcW w:w="258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A9F457D">
            <w:pPr>
              <w:spacing w:after="0" w:line="240" w:lineRule="auto"/>
              <w:ind w:firstLine="0"/>
              <w:jc w:val="center"/>
              <w:textAlignment w:val="baseline"/>
              <w:rPr>
                <w:sz w:val="20"/>
                <w:szCs w:val="20"/>
              </w:rPr>
            </w:pPr>
            <w:r>
              <w:rPr>
                <w:sz w:val="20"/>
                <w:szCs w:val="20"/>
              </w:rPr>
              <w:t>-</w:t>
            </w:r>
          </w:p>
        </w:tc>
      </w:tr>
    </w:tbl>
    <w:p w14:paraId="6B28513C">
      <w:pPr>
        <w:pStyle w:val="43"/>
        <w:keepNext/>
        <w:spacing w:before="0" w:after="0" w:line="240" w:lineRule="auto"/>
        <w:ind w:firstLine="0"/>
        <w:contextualSpacing/>
        <w:rPr>
          <w:rFonts w:cs="Times New Roman"/>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33</w:t>
      </w:r>
      <w:r>
        <w:rPr>
          <w:rFonts w:cs="Times New Roman"/>
          <w:b w:val="0"/>
          <w:sz w:val="24"/>
          <w:szCs w:val="24"/>
        </w:rPr>
        <w:fldChar w:fldCharType="end"/>
      </w:r>
      <w:r>
        <w:rPr>
          <w:rFonts w:cs="Times New Roman"/>
          <w:b w:val="0"/>
          <w:sz w:val="24"/>
          <w:szCs w:val="24"/>
        </w:rPr>
        <w:t xml:space="preserve"> – Нормативы потребления тепловой энергии для населения на отопление</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94"/>
        <w:gridCol w:w="1669"/>
        <w:gridCol w:w="1931"/>
      </w:tblGrid>
      <w:tr w14:paraId="1872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3143" w:type="pct"/>
            <w:shd w:val="clear" w:color="auto" w:fill="auto"/>
            <w:vAlign w:val="center"/>
          </w:tcPr>
          <w:p w14:paraId="0FD5D08B">
            <w:pPr>
              <w:spacing w:after="0" w:line="240" w:lineRule="auto"/>
              <w:ind w:firstLine="0"/>
              <w:contextualSpacing/>
              <w:jc w:val="center"/>
              <w:rPr>
                <w:sz w:val="20"/>
                <w:szCs w:val="18"/>
              </w:rPr>
            </w:pPr>
            <w:r>
              <w:rPr>
                <w:sz w:val="20"/>
                <w:szCs w:val="18"/>
              </w:rPr>
              <w:t>Наименование услуг</w:t>
            </w:r>
          </w:p>
        </w:tc>
        <w:tc>
          <w:tcPr>
            <w:tcW w:w="861" w:type="pct"/>
            <w:shd w:val="clear" w:color="auto" w:fill="auto"/>
            <w:vAlign w:val="center"/>
          </w:tcPr>
          <w:p w14:paraId="4C76DD7E">
            <w:pPr>
              <w:spacing w:after="0" w:line="240" w:lineRule="auto"/>
              <w:ind w:firstLine="0"/>
              <w:contextualSpacing/>
              <w:jc w:val="center"/>
              <w:rPr>
                <w:sz w:val="20"/>
                <w:szCs w:val="18"/>
              </w:rPr>
            </w:pPr>
            <w:r>
              <w:rPr>
                <w:sz w:val="20"/>
                <w:szCs w:val="18"/>
              </w:rPr>
              <w:t>Единица измерения</w:t>
            </w:r>
          </w:p>
        </w:tc>
        <w:tc>
          <w:tcPr>
            <w:tcW w:w="996" w:type="pct"/>
            <w:shd w:val="clear" w:color="auto" w:fill="auto"/>
            <w:vAlign w:val="center"/>
          </w:tcPr>
          <w:p w14:paraId="118B8C80">
            <w:pPr>
              <w:spacing w:after="0" w:line="240" w:lineRule="auto"/>
              <w:ind w:firstLine="0"/>
              <w:contextualSpacing/>
              <w:jc w:val="center"/>
              <w:rPr>
                <w:sz w:val="20"/>
                <w:szCs w:val="18"/>
              </w:rPr>
            </w:pPr>
            <w:r>
              <w:rPr>
                <w:sz w:val="20"/>
                <w:szCs w:val="18"/>
              </w:rPr>
              <w:t>Норматив потребления в месяц</w:t>
            </w:r>
          </w:p>
        </w:tc>
      </w:tr>
      <w:tr w14:paraId="576E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43" w:type="pct"/>
            <w:shd w:val="clear" w:color="auto" w:fill="auto"/>
            <w:vAlign w:val="center"/>
          </w:tcPr>
          <w:p w14:paraId="2E2CD7CD">
            <w:pPr>
              <w:spacing w:after="0" w:line="240" w:lineRule="auto"/>
              <w:ind w:firstLine="0"/>
              <w:contextualSpacing/>
              <w:jc w:val="both"/>
              <w:rPr>
                <w:sz w:val="20"/>
                <w:szCs w:val="18"/>
              </w:rPr>
            </w:pPr>
            <w:r>
              <w:rPr>
                <w:sz w:val="20"/>
                <w:szCs w:val="18"/>
              </w:rPr>
              <w:t>1. В жилом фонде и общежитиях при закрытой системе теплоснабжения</w:t>
            </w:r>
          </w:p>
        </w:tc>
        <w:tc>
          <w:tcPr>
            <w:tcW w:w="861" w:type="pct"/>
            <w:shd w:val="clear" w:color="auto" w:fill="auto"/>
            <w:vAlign w:val="center"/>
          </w:tcPr>
          <w:p w14:paraId="1F58CD65">
            <w:pPr>
              <w:spacing w:after="0" w:line="240" w:lineRule="auto"/>
              <w:ind w:firstLine="0"/>
              <w:contextualSpacing/>
              <w:jc w:val="center"/>
              <w:rPr>
                <w:sz w:val="20"/>
                <w:szCs w:val="18"/>
              </w:rPr>
            </w:pPr>
            <w:r>
              <w:rPr>
                <w:sz w:val="20"/>
                <w:szCs w:val="18"/>
              </w:rPr>
              <w:t>Гкал/м</w:t>
            </w:r>
            <w:r>
              <w:rPr>
                <w:sz w:val="20"/>
                <w:szCs w:val="18"/>
                <w:vertAlign w:val="superscript"/>
              </w:rPr>
              <w:t>2</w:t>
            </w:r>
          </w:p>
        </w:tc>
        <w:tc>
          <w:tcPr>
            <w:tcW w:w="996" w:type="pct"/>
            <w:shd w:val="clear" w:color="auto" w:fill="auto"/>
            <w:vAlign w:val="center"/>
          </w:tcPr>
          <w:p w14:paraId="18AAB1BD">
            <w:pPr>
              <w:spacing w:after="0" w:line="240" w:lineRule="auto"/>
              <w:ind w:firstLine="0"/>
              <w:contextualSpacing/>
              <w:jc w:val="center"/>
              <w:rPr>
                <w:sz w:val="20"/>
                <w:szCs w:val="18"/>
              </w:rPr>
            </w:pPr>
            <w:r>
              <w:rPr>
                <w:sz w:val="20"/>
                <w:szCs w:val="18"/>
              </w:rPr>
              <w:t>0,024</w:t>
            </w:r>
          </w:p>
        </w:tc>
      </w:tr>
      <w:tr w14:paraId="3D58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7" w:hRule="atLeast"/>
        </w:trPr>
        <w:tc>
          <w:tcPr>
            <w:tcW w:w="3143" w:type="pct"/>
            <w:vMerge w:val="restart"/>
            <w:shd w:val="clear" w:color="auto" w:fill="auto"/>
            <w:vAlign w:val="center"/>
          </w:tcPr>
          <w:p w14:paraId="48E70618">
            <w:pPr>
              <w:spacing w:after="0" w:line="240" w:lineRule="auto"/>
              <w:ind w:firstLine="0"/>
              <w:contextualSpacing/>
              <w:jc w:val="both"/>
              <w:rPr>
                <w:sz w:val="20"/>
                <w:szCs w:val="18"/>
              </w:rPr>
            </w:pPr>
            <w:r>
              <w:rPr>
                <w:sz w:val="20"/>
                <w:szCs w:val="18"/>
              </w:rPr>
              <w:t>2. В жилом фонде и общежитиях при отборе воды непосредственно из тепловой сети (при отсутствии горячего водоснабжения)</w:t>
            </w:r>
          </w:p>
        </w:tc>
        <w:tc>
          <w:tcPr>
            <w:tcW w:w="861" w:type="pct"/>
            <w:vMerge w:val="restart"/>
            <w:shd w:val="clear" w:color="auto" w:fill="auto"/>
            <w:vAlign w:val="center"/>
          </w:tcPr>
          <w:p w14:paraId="5E2AB06B">
            <w:pPr>
              <w:spacing w:after="0" w:line="240" w:lineRule="auto"/>
              <w:ind w:firstLine="0"/>
              <w:contextualSpacing/>
              <w:jc w:val="center"/>
              <w:rPr>
                <w:sz w:val="20"/>
                <w:szCs w:val="18"/>
              </w:rPr>
            </w:pPr>
            <w:r>
              <w:rPr>
                <w:sz w:val="20"/>
                <w:szCs w:val="18"/>
              </w:rPr>
              <w:t>Гкал/м</w:t>
            </w:r>
            <w:r>
              <w:rPr>
                <w:sz w:val="20"/>
                <w:szCs w:val="18"/>
                <w:vertAlign w:val="superscript"/>
              </w:rPr>
              <w:t>2</w:t>
            </w:r>
          </w:p>
        </w:tc>
        <w:tc>
          <w:tcPr>
            <w:tcW w:w="996" w:type="pct"/>
            <w:vMerge w:val="restart"/>
            <w:shd w:val="clear" w:color="auto" w:fill="auto"/>
            <w:vAlign w:val="center"/>
          </w:tcPr>
          <w:p w14:paraId="18CF50C1">
            <w:pPr>
              <w:spacing w:after="0" w:line="240" w:lineRule="auto"/>
              <w:ind w:firstLine="0"/>
              <w:contextualSpacing/>
              <w:jc w:val="center"/>
              <w:rPr>
                <w:sz w:val="20"/>
                <w:szCs w:val="18"/>
              </w:rPr>
            </w:pPr>
            <w:r>
              <w:rPr>
                <w:sz w:val="20"/>
                <w:szCs w:val="18"/>
              </w:rPr>
              <w:t>0,03</w:t>
            </w:r>
          </w:p>
        </w:tc>
      </w:tr>
      <w:tr w14:paraId="617D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7" w:hRule="atLeast"/>
        </w:trPr>
        <w:tc>
          <w:tcPr>
            <w:tcW w:w="3143" w:type="pct"/>
            <w:vMerge w:val="continue"/>
            <w:vAlign w:val="center"/>
          </w:tcPr>
          <w:p w14:paraId="1C38CA83">
            <w:pPr>
              <w:spacing w:after="0" w:line="240" w:lineRule="auto"/>
              <w:ind w:firstLine="0"/>
              <w:contextualSpacing/>
              <w:rPr>
                <w:sz w:val="20"/>
                <w:szCs w:val="18"/>
              </w:rPr>
            </w:pPr>
          </w:p>
        </w:tc>
        <w:tc>
          <w:tcPr>
            <w:tcW w:w="861" w:type="pct"/>
            <w:vMerge w:val="continue"/>
            <w:vAlign w:val="center"/>
          </w:tcPr>
          <w:p w14:paraId="4BD829D5">
            <w:pPr>
              <w:spacing w:after="0" w:line="240" w:lineRule="auto"/>
              <w:ind w:firstLine="0"/>
              <w:contextualSpacing/>
              <w:rPr>
                <w:sz w:val="20"/>
                <w:szCs w:val="18"/>
              </w:rPr>
            </w:pPr>
          </w:p>
        </w:tc>
        <w:tc>
          <w:tcPr>
            <w:tcW w:w="996" w:type="pct"/>
            <w:vMerge w:val="continue"/>
            <w:vAlign w:val="center"/>
          </w:tcPr>
          <w:p w14:paraId="52A81E47">
            <w:pPr>
              <w:spacing w:after="0" w:line="240" w:lineRule="auto"/>
              <w:ind w:firstLine="0"/>
              <w:contextualSpacing/>
              <w:rPr>
                <w:sz w:val="20"/>
                <w:szCs w:val="18"/>
              </w:rPr>
            </w:pPr>
          </w:p>
        </w:tc>
      </w:tr>
      <w:tr w14:paraId="1A42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trPr>
        <w:tc>
          <w:tcPr>
            <w:tcW w:w="3143" w:type="pct"/>
            <w:shd w:val="clear" w:color="auto" w:fill="auto"/>
            <w:vAlign w:val="center"/>
          </w:tcPr>
          <w:p w14:paraId="106329C8">
            <w:pPr>
              <w:spacing w:after="0" w:line="240" w:lineRule="auto"/>
              <w:ind w:firstLine="0"/>
              <w:contextualSpacing/>
              <w:jc w:val="both"/>
              <w:rPr>
                <w:sz w:val="20"/>
                <w:szCs w:val="18"/>
              </w:rPr>
            </w:pPr>
            <w:r>
              <w:rPr>
                <w:sz w:val="20"/>
                <w:szCs w:val="18"/>
              </w:rPr>
              <w:t>3. Для зданий облегчённого (барачного) типа, брусчатых и сборно-щитовых домов при закрытой системе теплоснабжения</w:t>
            </w:r>
          </w:p>
        </w:tc>
        <w:tc>
          <w:tcPr>
            <w:tcW w:w="861" w:type="pct"/>
            <w:shd w:val="clear" w:color="auto" w:fill="auto"/>
            <w:vAlign w:val="center"/>
          </w:tcPr>
          <w:p w14:paraId="7CFBF0A2">
            <w:pPr>
              <w:spacing w:after="0" w:line="240" w:lineRule="auto"/>
              <w:ind w:firstLine="0"/>
              <w:contextualSpacing/>
              <w:jc w:val="center"/>
              <w:rPr>
                <w:sz w:val="20"/>
                <w:szCs w:val="18"/>
              </w:rPr>
            </w:pPr>
            <w:r>
              <w:rPr>
                <w:sz w:val="20"/>
                <w:szCs w:val="18"/>
              </w:rPr>
              <w:t>Гкал/м</w:t>
            </w:r>
            <w:r>
              <w:rPr>
                <w:sz w:val="20"/>
                <w:szCs w:val="18"/>
                <w:vertAlign w:val="superscript"/>
              </w:rPr>
              <w:t>2</w:t>
            </w:r>
          </w:p>
        </w:tc>
        <w:tc>
          <w:tcPr>
            <w:tcW w:w="996" w:type="pct"/>
            <w:shd w:val="clear" w:color="auto" w:fill="auto"/>
            <w:vAlign w:val="center"/>
          </w:tcPr>
          <w:p w14:paraId="4E089CCE">
            <w:pPr>
              <w:spacing w:after="0" w:line="240" w:lineRule="auto"/>
              <w:ind w:firstLine="0"/>
              <w:contextualSpacing/>
              <w:jc w:val="center"/>
              <w:rPr>
                <w:sz w:val="20"/>
                <w:szCs w:val="18"/>
              </w:rPr>
            </w:pPr>
            <w:r>
              <w:rPr>
                <w:sz w:val="20"/>
                <w:szCs w:val="18"/>
              </w:rPr>
              <w:t>0,04</w:t>
            </w:r>
          </w:p>
        </w:tc>
      </w:tr>
      <w:tr w14:paraId="299F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43" w:type="pct"/>
            <w:vAlign w:val="center"/>
          </w:tcPr>
          <w:p w14:paraId="4BA0F6B5">
            <w:pPr>
              <w:spacing w:after="0" w:line="240" w:lineRule="auto"/>
              <w:ind w:firstLine="0"/>
              <w:contextualSpacing/>
              <w:rPr>
                <w:sz w:val="20"/>
                <w:szCs w:val="18"/>
              </w:rPr>
            </w:pPr>
            <w:r>
              <w:rPr>
                <w:sz w:val="20"/>
                <w:szCs w:val="18"/>
              </w:rPr>
              <w:t>4 Для зданий облегчённого (барачного) типа, брусчатых и сборно-щитовых при отборе воды непосредственно из тепловой сети (при отсутствии горячего водоснабжения)</w:t>
            </w:r>
          </w:p>
        </w:tc>
        <w:tc>
          <w:tcPr>
            <w:tcW w:w="861" w:type="pct"/>
            <w:vAlign w:val="center"/>
          </w:tcPr>
          <w:p w14:paraId="5D9CA1BD">
            <w:pPr>
              <w:spacing w:after="0" w:line="240" w:lineRule="auto"/>
              <w:ind w:firstLine="0"/>
              <w:contextualSpacing/>
              <w:jc w:val="center"/>
              <w:rPr>
                <w:sz w:val="20"/>
                <w:szCs w:val="18"/>
              </w:rPr>
            </w:pPr>
            <w:r>
              <w:rPr>
                <w:sz w:val="20"/>
                <w:szCs w:val="18"/>
              </w:rPr>
              <w:t>Гкал/м</w:t>
            </w:r>
            <w:r>
              <w:rPr>
                <w:sz w:val="20"/>
                <w:szCs w:val="18"/>
                <w:vertAlign w:val="superscript"/>
              </w:rPr>
              <w:t xml:space="preserve">2 </w:t>
            </w:r>
            <w:r>
              <w:rPr>
                <w:sz w:val="20"/>
                <w:szCs w:val="18"/>
              </w:rPr>
              <w:t>на 1 чел.</w:t>
            </w:r>
          </w:p>
        </w:tc>
        <w:tc>
          <w:tcPr>
            <w:tcW w:w="996" w:type="pct"/>
            <w:vAlign w:val="center"/>
          </w:tcPr>
          <w:p w14:paraId="00AEC058">
            <w:pPr>
              <w:spacing w:after="0" w:line="240" w:lineRule="auto"/>
              <w:ind w:firstLine="0"/>
              <w:contextualSpacing/>
              <w:jc w:val="center"/>
              <w:rPr>
                <w:sz w:val="20"/>
                <w:szCs w:val="18"/>
              </w:rPr>
            </w:pPr>
            <w:r>
              <w:rPr>
                <w:sz w:val="20"/>
                <w:szCs w:val="18"/>
              </w:rPr>
              <w:t>0,05</w:t>
            </w:r>
          </w:p>
        </w:tc>
      </w:tr>
    </w:tbl>
    <w:p w14:paraId="4753CD2F">
      <w:pPr>
        <w:spacing w:after="0" w:line="240" w:lineRule="auto"/>
        <w:ind w:firstLine="0"/>
        <w:contextualSpacing/>
        <w:jc w:val="both"/>
        <w:rPr>
          <w:sz w:val="24"/>
          <w:szCs w:val="24"/>
        </w:rPr>
      </w:pPr>
    </w:p>
    <w:p w14:paraId="37637F17">
      <w:pPr>
        <w:spacing w:after="0" w:line="240" w:lineRule="auto"/>
        <w:contextualSpacing/>
        <w:jc w:val="both"/>
        <w:rPr>
          <w:sz w:val="24"/>
          <w:szCs w:val="24"/>
        </w:rPr>
      </w:pPr>
      <w:r>
        <w:rPr>
          <w:sz w:val="24"/>
          <w:szCs w:val="24"/>
        </w:rPr>
        <w:t>Информация о нормативах потребления коммунальных услуг по отоплению на территории с.п. Верхнеказымский приведена в таблице 34. В таблице 35 представлены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5664092B">
      <w:pPr>
        <w:spacing w:after="0" w:line="240" w:lineRule="auto"/>
        <w:ind w:firstLine="0"/>
        <w:contextualSpacing/>
        <w:jc w:val="both"/>
        <w:rPr>
          <w:sz w:val="24"/>
          <w:szCs w:val="24"/>
        </w:rPr>
      </w:pPr>
    </w:p>
    <w:p w14:paraId="21C3E5ED">
      <w:pPr>
        <w:pStyle w:val="43"/>
        <w:keepNext/>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34</w:t>
      </w:r>
      <w:r>
        <w:rPr>
          <w:rFonts w:cs="Times New Roman"/>
          <w:b w:val="0"/>
          <w:sz w:val="24"/>
          <w:szCs w:val="24"/>
        </w:rPr>
        <w:fldChar w:fldCharType="end"/>
      </w:r>
      <w:r>
        <w:rPr>
          <w:rFonts w:cs="Times New Roman"/>
          <w:b w:val="0"/>
          <w:sz w:val="24"/>
          <w:szCs w:val="24"/>
        </w:rPr>
        <w:t xml:space="preserve"> – Нормативах потребления коммунальных услуг по отоплению на территории с.п. Верхнеказымский</w:t>
      </w:r>
    </w:p>
    <w:tbl>
      <w:tblPr>
        <w:tblStyle w:val="12"/>
        <w:tblW w:w="5000" w:type="pct"/>
        <w:tblInd w:w="0" w:type="dxa"/>
        <w:tblLayout w:type="autofit"/>
        <w:tblCellMar>
          <w:top w:w="0" w:type="dxa"/>
          <w:left w:w="28" w:type="dxa"/>
          <w:bottom w:w="0" w:type="dxa"/>
          <w:right w:w="28" w:type="dxa"/>
        </w:tblCellMar>
      </w:tblPr>
      <w:tblGrid>
        <w:gridCol w:w="1394"/>
        <w:gridCol w:w="4151"/>
        <w:gridCol w:w="4149"/>
      </w:tblGrid>
      <w:tr w14:paraId="76E924AF">
        <w:tblPrEx>
          <w:tblCellMar>
            <w:top w:w="0" w:type="dxa"/>
            <w:left w:w="28" w:type="dxa"/>
            <w:bottom w:w="0" w:type="dxa"/>
            <w:right w:w="28" w:type="dxa"/>
          </w:tblCellMar>
        </w:tblPrEx>
        <w:trPr>
          <w:cantSplit/>
          <w:trHeight w:val="20" w:hRule="atLeast"/>
          <w:tblHeader/>
        </w:trPr>
        <w:tc>
          <w:tcPr>
            <w:tcW w:w="719" w:type="pct"/>
            <w:vMerge w:val="restar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38FB03FC">
            <w:pPr>
              <w:pStyle w:val="522"/>
              <w:contextualSpacing/>
            </w:pPr>
            <w:r>
              <w:t>Категории жилых домов</w:t>
            </w:r>
          </w:p>
        </w:tc>
        <w:tc>
          <w:tcPr>
            <w:tcW w:w="2141"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26015097">
            <w:pPr>
              <w:pStyle w:val="522"/>
              <w:contextualSpacing/>
            </w:pPr>
            <w:r>
              <w:t xml:space="preserve">Постройки до 1999 года </w:t>
            </w:r>
          </w:p>
          <w:p w14:paraId="20BEA7B1">
            <w:pPr>
              <w:pStyle w:val="522"/>
              <w:contextualSpacing/>
            </w:pPr>
            <w:r>
              <w:t>включительно</w:t>
            </w:r>
          </w:p>
        </w:tc>
        <w:tc>
          <w:tcPr>
            <w:tcW w:w="2140"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6BD0865E">
            <w:pPr>
              <w:pStyle w:val="522"/>
              <w:contextualSpacing/>
            </w:pPr>
            <w:r>
              <w:t>Постройки после 1999 года</w:t>
            </w:r>
          </w:p>
        </w:tc>
      </w:tr>
      <w:tr w14:paraId="0A438364">
        <w:tblPrEx>
          <w:tblCellMar>
            <w:top w:w="0" w:type="dxa"/>
            <w:left w:w="28" w:type="dxa"/>
            <w:bottom w:w="0" w:type="dxa"/>
            <w:right w:w="28" w:type="dxa"/>
          </w:tblCellMar>
        </w:tblPrEx>
        <w:trPr>
          <w:cantSplit/>
          <w:trHeight w:val="20" w:hRule="atLeast"/>
          <w:tblHeader/>
        </w:trPr>
        <w:tc>
          <w:tcPr>
            <w:tcW w:w="719"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A12520E">
            <w:pPr>
              <w:pStyle w:val="522"/>
              <w:contextualSpacing/>
            </w:pPr>
          </w:p>
        </w:tc>
        <w:tc>
          <w:tcPr>
            <w:tcW w:w="2141"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2BE11986">
            <w:pPr>
              <w:pStyle w:val="522"/>
              <w:contextualSpacing/>
            </w:pPr>
            <w:r>
              <w:t>Для жилых и нежилых помещений, Гкал на 1 м</w:t>
            </w:r>
            <w:r>
              <w:rPr>
                <w:vertAlign w:val="superscript"/>
              </w:rPr>
              <w:t>2</w:t>
            </w:r>
            <w:r>
              <w:t xml:space="preserve"> общей площади всех помещений в многоквартирном доме или жилом доме в месяц</w:t>
            </w:r>
          </w:p>
        </w:tc>
        <w:tc>
          <w:tcPr>
            <w:tcW w:w="2140"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685E389C">
            <w:pPr>
              <w:pStyle w:val="522"/>
              <w:contextualSpacing/>
            </w:pPr>
            <w:r>
              <w:t>Для жилых и нежилых помещений, Гкал на 1 м</w:t>
            </w:r>
            <w:r>
              <w:rPr>
                <w:vertAlign w:val="superscript"/>
              </w:rPr>
              <w:t>2</w:t>
            </w:r>
            <w:r>
              <w:t xml:space="preserve"> общей площади всех помещений в многоквартирном доме или жилом доме в месяц</w:t>
            </w:r>
          </w:p>
        </w:tc>
      </w:tr>
      <w:tr w14:paraId="19161106">
        <w:tblPrEx>
          <w:tblCellMar>
            <w:top w:w="0" w:type="dxa"/>
            <w:left w:w="28" w:type="dxa"/>
            <w:bottom w:w="0" w:type="dxa"/>
            <w:right w:w="28" w:type="dxa"/>
          </w:tblCellMar>
        </w:tblPrEx>
        <w:trPr>
          <w:cantSplit/>
          <w:trHeight w:val="20" w:hRule="atLeast"/>
          <w:tblHeader/>
        </w:trPr>
        <w:tc>
          <w:tcPr>
            <w:tcW w:w="719"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5A0A7F44">
            <w:pPr>
              <w:pStyle w:val="522"/>
              <w:contextualSpacing/>
            </w:pPr>
            <w:r>
              <w:t>1-этажные жилые дома</w:t>
            </w:r>
          </w:p>
        </w:tc>
        <w:tc>
          <w:tcPr>
            <w:tcW w:w="2141"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06575104">
            <w:pPr>
              <w:pStyle w:val="522"/>
              <w:contextualSpacing/>
            </w:pPr>
            <w:r>
              <w:t>0,0436</w:t>
            </w:r>
          </w:p>
        </w:tc>
        <w:tc>
          <w:tcPr>
            <w:tcW w:w="2140" w:type="pct"/>
            <w:tcBorders>
              <w:top w:val="single" w:color="auto" w:sz="4" w:space="0"/>
              <w:left w:val="single" w:color="auto" w:sz="4" w:space="0"/>
              <w:bottom w:val="single" w:color="auto" w:sz="4" w:space="0"/>
              <w:right w:val="single" w:color="auto" w:sz="4" w:space="0"/>
            </w:tcBorders>
            <w:tcMar>
              <w:top w:w="62" w:type="dxa"/>
              <w:left w:w="28" w:type="dxa"/>
              <w:bottom w:w="102" w:type="dxa"/>
              <w:right w:w="28" w:type="dxa"/>
            </w:tcMar>
            <w:vAlign w:val="center"/>
          </w:tcPr>
          <w:p w14:paraId="07698243">
            <w:pPr>
              <w:pStyle w:val="522"/>
              <w:contextualSpacing/>
            </w:pPr>
            <w:r>
              <w:t>0,0194</w:t>
            </w:r>
          </w:p>
        </w:tc>
      </w:tr>
    </w:tbl>
    <w:p w14:paraId="77042454">
      <w:pPr>
        <w:spacing w:after="0" w:line="240" w:lineRule="auto"/>
        <w:ind w:firstLine="0"/>
        <w:contextualSpacing/>
        <w:jc w:val="both"/>
        <w:rPr>
          <w:sz w:val="24"/>
          <w:szCs w:val="24"/>
        </w:rPr>
      </w:pPr>
    </w:p>
    <w:p w14:paraId="1A029AC5">
      <w:pPr>
        <w:pStyle w:val="43"/>
        <w:keepNext/>
        <w:keepLines/>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35</w:t>
      </w:r>
      <w:r>
        <w:rPr>
          <w:rFonts w:cs="Times New Roman"/>
          <w:b w:val="0"/>
          <w:sz w:val="24"/>
          <w:szCs w:val="24"/>
        </w:rPr>
        <w:fldChar w:fldCharType="end"/>
      </w:r>
      <w:r>
        <w:rPr>
          <w:rFonts w:cs="Times New Roman"/>
          <w:b w:val="0"/>
          <w:sz w:val="24"/>
          <w:szCs w:val="24"/>
        </w:rPr>
        <w:t xml:space="preserve"> –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6"/>
        <w:gridCol w:w="2063"/>
        <w:gridCol w:w="1144"/>
        <w:gridCol w:w="2073"/>
        <w:gridCol w:w="1939"/>
        <w:gridCol w:w="1859"/>
      </w:tblGrid>
      <w:tr w14:paraId="09F1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blHeader/>
        </w:trPr>
        <w:tc>
          <w:tcPr>
            <w:tcW w:w="318" w:type="pct"/>
            <w:shd w:val="clear" w:color="auto" w:fill="auto"/>
            <w:vAlign w:val="center"/>
          </w:tcPr>
          <w:p w14:paraId="78E2CE7C">
            <w:pPr>
              <w:spacing w:after="0" w:line="240" w:lineRule="auto"/>
              <w:ind w:firstLine="0"/>
              <w:contextualSpacing/>
              <w:jc w:val="center"/>
              <w:rPr>
                <w:color w:val="000000"/>
                <w:sz w:val="20"/>
                <w:szCs w:val="20"/>
              </w:rPr>
            </w:pPr>
            <w:r>
              <w:rPr>
                <w:color w:val="000000"/>
                <w:sz w:val="20"/>
                <w:szCs w:val="20"/>
              </w:rPr>
              <w:t>№ п/п</w:t>
            </w:r>
          </w:p>
        </w:tc>
        <w:tc>
          <w:tcPr>
            <w:tcW w:w="1064" w:type="pct"/>
            <w:shd w:val="clear" w:color="auto" w:fill="auto"/>
            <w:vAlign w:val="center"/>
          </w:tcPr>
          <w:p w14:paraId="5FF7FDCA">
            <w:pPr>
              <w:spacing w:after="0" w:line="240" w:lineRule="auto"/>
              <w:ind w:firstLine="0"/>
              <w:contextualSpacing/>
              <w:jc w:val="center"/>
              <w:rPr>
                <w:color w:val="000000"/>
                <w:sz w:val="20"/>
                <w:szCs w:val="20"/>
              </w:rPr>
            </w:pPr>
            <w:r>
              <w:rPr>
                <w:color w:val="000000"/>
                <w:sz w:val="20"/>
                <w:szCs w:val="20"/>
              </w:rPr>
              <w:t>Категории жилищного фонда</w:t>
            </w:r>
          </w:p>
        </w:tc>
        <w:tc>
          <w:tcPr>
            <w:tcW w:w="590" w:type="pct"/>
            <w:shd w:val="clear" w:color="auto" w:fill="auto"/>
            <w:vAlign w:val="center"/>
          </w:tcPr>
          <w:p w14:paraId="20F69FB0">
            <w:pPr>
              <w:spacing w:after="0" w:line="240" w:lineRule="auto"/>
              <w:ind w:firstLine="0"/>
              <w:contextualSpacing/>
              <w:jc w:val="center"/>
              <w:rPr>
                <w:color w:val="000000"/>
                <w:sz w:val="20"/>
                <w:szCs w:val="20"/>
              </w:rPr>
            </w:pPr>
            <w:r>
              <w:rPr>
                <w:color w:val="000000"/>
                <w:sz w:val="20"/>
                <w:szCs w:val="20"/>
              </w:rPr>
              <w:t>Этажность</w:t>
            </w:r>
          </w:p>
        </w:tc>
        <w:tc>
          <w:tcPr>
            <w:tcW w:w="1069" w:type="pct"/>
            <w:shd w:val="clear" w:color="auto" w:fill="auto"/>
            <w:vAlign w:val="center"/>
          </w:tcPr>
          <w:p w14:paraId="6236504F">
            <w:pPr>
              <w:spacing w:after="0" w:line="240" w:lineRule="auto"/>
              <w:ind w:firstLine="0"/>
              <w:contextualSpacing/>
              <w:jc w:val="center"/>
              <w:rPr>
                <w:color w:val="000000"/>
                <w:sz w:val="20"/>
                <w:szCs w:val="20"/>
              </w:rPr>
            </w:pPr>
            <w:r>
              <w:rPr>
                <w:color w:val="000000"/>
                <w:sz w:val="20"/>
                <w:szCs w:val="20"/>
              </w:rPr>
              <w:t>Норматив потребления холодной воды в целях содержания общего имущества в многоквартирном доме</w:t>
            </w:r>
          </w:p>
        </w:tc>
        <w:tc>
          <w:tcPr>
            <w:tcW w:w="1000" w:type="pct"/>
            <w:shd w:val="clear" w:color="auto" w:fill="auto"/>
            <w:vAlign w:val="center"/>
          </w:tcPr>
          <w:p w14:paraId="3FB6CB40">
            <w:pPr>
              <w:spacing w:after="0" w:line="240" w:lineRule="auto"/>
              <w:ind w:firstLine="0"/>
              <w:contextualSpacing/>
              <w:jc w:val="center"/>
              <w:rPr>
                <w:color w:val="000000"/>
                <w:sz w:val="20"/>
                <w:szCs w:val="20"/>
              </w:rPr>
            </w:pPr>
            <w:r>
              <w:rPr>
                <w:color w:val="000000"/>
                <w:sz w:val="20"/>
                <w:szCs w:val="20"/>
              </w:rPr>
              <w:t>Норматив потребления горячей воды в целях содержания общего имущества в многоквартирном доме</w:t>
            </w:r>
          </w:p>
        </w:tc>
        <w:tc>
          <w:tcPr>
            <w:tcW w:w="959" w:type="pct"/>
            <w:shd w:val="clear" w:color="auto" w:fill="auto"/>
            <w:vAlign w:val="center"/>
          </w:tcPr>
          <w:p w14:paraId="50564858">
            <w:pPr>
              <w:spacing w:after="0" w:line="240" w:lineRule="auto"/>
              <w:ind w:firstLine="0"/>
              <w:contextualSpacing/>
              <w:jc w:val="center"/>
              <w:rPr>
                <w:color w:val="000000"/>
                <w:sz w:val="20"/>
                <w:szCs w:val="20"/>
              </w:rPr>
            </w:pPr>
            <w:r>
              <w:rPr>
                <w:color w:val="000000"/>
                <w:sz w:val="20"/>
                <w:szCs w:val="20"/>
              </w:rPr>
              <w:t>Норматив отведения сточных вод целях содержания общего имущества в многоквартирных домах</w:t>
            </w:r>
          </w:p>
        </w:tc>
      </w:tr>
      <w:tr w14:paraId="64CF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restart"/>
            <w:shd w:val="clear" w:color="auto" w:fill="auto"/>
            <w:vAlign w:val="center"/>
          </w:tcPr>
          <w:p w14:paraId="5EA9803C">
            <w:pPr>
              <w:spacing w:after="0" w:line="240" w:lineRule="auto"/>
              <w:ind w:firstLine="0"/>
              <w:contextualSpacing/>
              <w:jc w:val="center"/>
              <w:rPr>
                <w:color w:val="000000"/>
                <w:sz w:val="20"/>
                <w:szCs w:val="20"/>
              </w:rPr>
            </w:pPr>
            <w:r>
              <w:rPr>
                <w:color w:val="000000"/>
                <w:sz w:val="20"/>
                <w:szCs w:val="20"/>
              </w:rPr>
              <w:t>1.</w:t>
            </w:r>
          </w:p>
        </w:tc>
        <w:tc>
          <w:tcPr>
            <w:tcW w:w="1064" w:type="pct"/>
            <w:vMerge w:val="restart"/>
            <w:shd w:val="clear" w:color="auto" w:fill="auto"/>
            <w:vAlign w:val="center"/>
          </w:tcPr>
          <w:p w14:paraId="3925D097">
            <w:pPr>
              <w:spacing w:after="0" w:line="240" w:lineRule="auto"/>
              <w:ind w:firstLine="0"/>
              <w:contextualSpacing/>
              <w:rPr>
                <w:color w:val="000000"/>
                <w:sz w:val="20"/>
                <w:szCs w:val="20"/>
              </w:rPr>
            </w:pPr>
            <w:r>
              <w:rPr>
                <w:color w:val="000000"/>
                <w:sz w:val="20"/>
                <w:szCs w:val="20"/>
              </w:rPr>
              <w:t>Многоквартирные дома с централизованным холодным и горячим водоснабжением, водоотведением</w:t>
            </w:r>
          </w:p>
        </w:tc>
        <w:tc>
          <w:tcPr>
            <w:tcW w:w="590" w:type="pct"/>
            <w:shd w:val="clear" w:color="auto" w:fill="auto"/>
            <w:vAlign w:val="center"/>
          </w:tcPr>
          <w:p w14:paraId="54C6FFC3">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00C52F36">
            <w:pPr>
              <w:spacing w:after="0" w:line="240" w:lineRule="auto"/>
              <w:ind w:firstLine="0"/>
              <w:contextualSpacing/>
              <w:jc w:val="center"/>
              <w:rPr>
                <w:color w:val="000000"/>
                <w:sz w:val="20"/>
                <w:szCs w:val="20"/>
              </w:rPr>
            </w:pPr>
            <w:r>
              <w:rPr>
                <w:color w:val="000000"/>
                <w:sz w:val="20"/>
                <w:szCs w:val="20"/>
              </w:rPr>
              <w:t>0,032</w:t>
            </w:r>
          </w:p>
        </w:tc>
        <w:tc>
          <w:tcPr>
            <w:tcW w:w="1000" w:type="pct"/>
            <w:shd w:val="clear" w:color="auto" w:fill="auto"/>
            <w:vAlign w:val="center"/>
          </w:tcPr>
          <w:p w14:paraId="1EF484ED">
            <w:pPr>
              <w:spacing w:after="0" w:line="240" w:lineRule="auto"/>
              <w:ind w:firstLine="0"/>
              <w:contextualSpacing/>
              <w:jc w:val="center"/>
              <w:rPr>
                <w:color w:val="000000"/>
                <w:sz w:val="20"/>
                <w:szCs w:val="20"/>
              </w:rPr>
            </w:pPr>
            <w:r>
              <w:rPr>
                <w:color w:val="000000"/>
                <w:sz w:val="20"/>
                <w:szCs w:val="20"/>
              </w:rPr>
              <w:t>0,032</w:t>
            </w:r>
          </w:p>
        </w:tc>
        <w:tc>
          <w:tcPr>
            <w:tcW w:w="959" w:type="pct"/>
            <w:shd w:val="clear" w:color="auto" w:fill="auto"/>
            <w:vAlign w:val="center"/>
          </w:tcPr>
          <w:p w14:paraId="32F6C7C2">
            <w:pPr>
              <w:spacing w:after="0" w:line="240" w:lineRule="auto"/>
              <w:ind w:firstLine="0"/>
              <w:contextualSpacing/>
              <w:jc w:val="center"/>
              <w:rPr>
                <w:color w:val="000000"/>
                <w:sz w:val="20"/>
                <w:szCs w:val="20"/>
              </w:rPr>
            </w:pPr>
            <w:r>
              <w:rPr>
                <w:color w:val="000000"/>
                <w:sz w:val="20"/>
                <w:szCs w:val="20"/>
              </w:rPr>
              <w:t>0,064</w:t>
            </w:r>
          </w:p>
        </w:tc>
      </w:tr>
      <w:tr w14:paraId="0667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5FCEF8E7">
            <w:pPr>
              <w:spacing w:after="0" w:line="240" w:lineRule="auto"/>
              <w:ind w:firstLine="0"/>
              <w:contextualSpacing/>
              <w:rPr>
                <w:color w:val="000000"/>
                <w:sz w:val="20"/>
                <w:szCs w:val="20"/>
              </w:rPr>
            </w:pPr>
          </w:p>
        </w:tc>
        <w:tc>
          <w:tcPr>
            <w:tcW w:w="1064" w:type="pct"/>
            <w:vMerge w:val="continue"/>
            <w:vAlign w:val="center"/>
          </w:tcPr>
          <w:p w14:paraId="356522CC">
            <w:pPr>
              <w:spacing w:after="0" w:line="240" w:lineRule="auto"/>
              <w:ind w:firstLine="0"/>
              <w:contextualSpacing/>
              <w:rPr>
                <w:color w:val="000000"/>
                <w:sz w:val="20"/>
                <w:szCs w:val="20"/>
              </w:rPr>
            </w:pPr>
          </w:p>
        </w:tc>
        <w:tc>
          <w:tcPr>
            <w:tcW w:w="590" w:type="pct"/>
            <w:shd w:val="clear" w:color="auto" w:fill="auto"/>
            <w:vAlign w:val="center"/>
          </w:tcPr>
          <w:p w14:paraId="415FC664">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7F4C5143">
            <w:pPr>
              <w:spacing w:after="0" w:line="240" w:lineRule="auto"/>
              <w:ind w:firstLine="0"/>
              <w:contextualSpacing/>
              <w:jc w:val="center"/>
              <w:rPr>
                <w:color w:val="000000"/>
                <w:sz w:val="20"/>
                <w:szCs w:val="20"/>
              </w:rPr>
            </w:pPr>
            <w:r>
              <w:rPr>
                <w:color w:val="000000"/>
                <w:sz w:val="20"/>
                <w:szCs w:val="20"/>
              </w:rPr>
              <w:t>0,026</w:t>
            </w:r>
          </w:p>
        </w:tc>
        <w:tc>
          <w:tcPr>
            <w:tcW w:w="1000" w:type="pct"/>
            <w:shd w:val="clear" w:color="auto" w:fill="auto"/>
            <w:vAlign w:val="center"/>
          </w:tcPr>
          <w:p w14:paraId="4E496A3D">
            <w:pPr>
              <w:spacing w:after="0" w:line="240" w:lineRule="auto"/>
              <w:ind w:firstLine="0"/>
              <w:contextualSpacing/>
              <w:jc w:val="center"/>
              <w:rPr>
                <w:color w:val="000000"/>
                <w:sz w:val="20"/>
                <w:szCs w:val="20"/>
              </w:rPr>
            </w:pPr>
            <w:r>
              <w:rPr>
                <w:color w:val="000000"/>
                <w:sz w:val="20"/>
                <w:szCs w:val="20"/>
              </w:rPr>
              <w:t>0,026</w:t>
            </w:r>
          </w:p>
        </w:tc>
        <w:tc>
          <w:tcPr>
            <w:tcW w:w="959" w:type="pct"/>
            <w:shd w:val="clear" w:color="auto" w:fill="auto"/>
            <w:vAlign w:val="center"/>
          </w:tcPr>
          <w:p w14:paraId="6E82C30B">
            <w:pPr>
              <w:spacing w:after="0" w:line="240" w:lineRule="auto"/>
              <w:ind w:firstLine="0"/>
              <w:contextualSpacing/>
              <w:jc w:val="center"/>
              <w:rPr>
                <w:color w:val="000000"/>
                <w:sz w:val="20"/>
                <w:szCs w:val="20"/>
              </w:rPr>
            </w:pPr>
            <w:r>
              <w:rPr>
                <w:color w:val="000000"/>
                <w:sz w:val="20"/>
                <w:szCs w:val="20"/>
              </w:rPr>
              <w:t>0,052</w:t>
            </w:r>
          </w:p>
        </w:tc>
      </w:tr>
      <w:tr w14:paraId="01A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14C732D8">
            <w:pPr>
              <w:spacing w:after="0" w:line="240" w:lineRule="auto"/>
              <w:ind w:firstLine="0"/>
              <w:contextualSpacing/>
              <w:rPr>
                <w:color w:val="000000"/>
                <w:sz w:val="20"/>
                <w:szCs w:val="20"/>
              </w:rPr>
            </w:pPr>
          </w:p>
        </w:tc>
        <w:tc>
          <w:tcPr>
            <w:tcW w:w="1064" w:type="pct"/>
            <w:vMerge w:val="continue"/>
            <w:vAlign w:val="center"/>
          </w:tcPr>
          <w:p w14:paraId="07B7CB81">
            <w:pPr>
              <w:spacing w:after="0" w:line="240" w:lineRule="auto"/>
              <w:ind w:firstLine="0"/>
              <w:contextualSpacing/>
              <w:rPr>
                <w:color w:val="000000"/>
                <w:sz w:val="20"/>
                <w:szCs w:val="20"/>
              </w:rPr>
            </w:pPr>
          </w:p>
        </w:tc>
        <w:tc>
          <w:tcPr>
            <w:tcW w:w="590" w:type="pct"/>
            <w:shd w:val="clear" w:color="auto" w:fill="auto"/>
            <w:vAlign w:val="center"/>
          </w:tcPr>
          <w:p w14:paraId="01D96634">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2123C273">
            <w:pPr>
              <w:spacing w:after="0" w:line="240" w:lineRule="auto"/>
              <w:ind w:firstLine="0"/>
              <w:contextualSpacing/>
              <w:jc w:val="center"/>
              <w:rPr>
                <w:color w:val="000000"/>
                <w:sz w:val="20"/>
                <w:szCs w:val="20"/>
              </w:rPr>
            </w:pPr>
            <w:r>
              <w:rPr>
                <w:color w:val="000000"/>
                <w:sz w:val="20"/>
                <w:szCs w:val="20"/>
              </w:rPr>
              <w:t>0,022</w:t>
            </w:r>
          </w:p>
        </w:tc>
        <w:tc>
          <w:tcPr>
            <w:tcW w:w="1000" w:type="pct"/>
            <w:shd w:val="clear" w:color="auto" w:fill="auto"/>
            <w:vAlign w:val="center"/>
          </w:tcPr>
          <w:p w14:paraId="2162CFE2">
            <w:pPr>
              <w:spacing w:after="0" w:line="240" w:lineRule="auto"/>
              <w:ind w:firstLine="0"/>
              <w:contextualSpacing/>
              <w:jc w:val="center"/>
              <w:rPr>
                <w:color w:val="000000"/>
                <w:sz w:val="20"/>
                <w:szCs w:val="20"/>
              </w:rPr>
            </w:pPr>
            <w:r>
              <w:rPr>
                <w:color w:val="000000"/>
                <w:sz w:val="20"/>
                <w:szCs w:val="20"/>
              </w:rPr>
              <w:t>0,022</w:t>
            </w:r>
          </w:p>
        </w:tc>
        <w:tc>
          <w:tcPr>
            <w:tcW w:w="959" w:type="pct"/>
            <w:shd w:val="clear" w:color="auto" w:fill="auto"/>
            <w:vAlign w:val="center"/>
          </w:tcPr>
          <w:p w14:paraId="77667CF6">
            <w:pPr>
              <w:spacing w:after="0" w:line="240" w:lineRule="auto"/>
              <w:ind w:firstLine="0"/>
              <w:contextualSpacing/>
              <w:jc w:val="center"/>
              <w:rPr>
                <w:color w:val="000000"/>
                <w:sz w:val="20"/>
                <w:szCs w:val="20"/>
              </w:rPr>
            </w:pPr>
            <w:r>
              <w:rPr>
                <w:color w:val="000000"/>
                <w:sz w:val="20"/>
                <w:szCs w:val="20"/>
              </w:rPr>
              <w:t>0,044</w:t>
            </w:r>
          </w:p>
        </w:tc>
      </w:tr>
      <w:tr w14:paraId="3FE6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4E637E72">
            <w:pPr>
              <w:spacing w:after="0" w:line="240" w:lineRule="auto"/>
              <w:ind w:firstLine="0"/>
              <w:contextualSpacing/>
              <w:rPr>
                <w:color w:val="000000"/>
                <w:sz w:val="20"/>
                <w:szCs w:val="20"/>
              </w:rPr>
            </w:pPr>
          </w:p>
        </w:tc>
        <w:tc>
          <w:tcPr>
            <w:tcW w:w="1064" w:type="pct"/>
            <w:vMerge w:val="continue"/>
            <w:vAlign w:val="center"/>
          </w:tcPr>
          <w:p w14:paraId="7E46F432">
            <w:pPr>
              <w:spacing w:after="0" w:line="240" w:lineRule="auto"/>
              <w:ind w:firstLine="0"/>
              <w:contextualSpacing/>
              <w:rPr>
                <w:color w:val="000000"/>
                <w:sz w:val="20"/>
                <w:szCs w:val="20"/>
              </w:rPr>
            </w:pPr>
          </w:p>
        </w:tc>
        <w:tc>
          <w:tcPr>
            <w:tcW w:w="590" w:type="pct"/>
            <w:shd w:val="clear" w:color="auto" w:fill="auto"/>
            <w:vAlign w:val="center"/>
          </w:tcPr>
          <w:p w14:paraId="388342F5">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2BD065FE">
            <w:pPr>
              <w:spacing w:after="0" w:line="240" w:lineRule="auto"/>
              <w:ind w:firstLine="0"/>
              <w:contextualSpacing/>
              <w:jc w:val="center"/>
              <w:rPr>
                <w:color w:val="000000"/>
                <w:sz w:val="20"/>
                <w:szCs w:val="20"/>
              </w:rPr>
            </w:pPr>
            <w:r>
              <w:rPr>
                <w:color w:val="000000"/>
                <w:sz w:val="20"/>
                <w:szCs w:val="20"/>
              </w:rPr>
              <w:t>0,016</w:t>
            </w:r>
          </w:p>
        </w:tc>
        <w:tc>
          <w:tcPr>
            <w:tcW w:w="1000" w:type="pct"/>
            <w:shd w:val="clear" w:color="auto" w:fill="auto"/>
            <w:vAlign w:val="center"/>
          </w:tcPr>
          <w:p w14:paraId="55C6FDEA">
            <w:pPr>
              <w:spacing w:after="0" w:line="240" w:lineRule="auto"/>
              <w:ind w:firstLine="0"/>
              <w:contextualSpacing/>
              <w:jc w:val="center"/>
              <w:rPr>
                <w:color w:val="000000"/>
                <w:sz w:val="20"/>
                <w:szCs w:val="20"/>
              </w:rPr>
            </w:pPr>
            <w:r>
              <w:rPr>
                <w:color w:val="000000"/>
                <w:sz w:val="20"/>
                <w:szCs w:val="20"/>
              </w:rPr>
              <w:t>0,016</w:t>
            </w:r>
          </w:p>
        </w:tc>
        <w:tc>
          <w:tcPr>
            <w:tcW w:w="959" w:type="pct"/>
            <w:shd w:val="clear" w:color="auto" w:fill="auto"/>
            <w:vAlign w:val="center"/>
          </w:tcPr>
          <w:p w14:paraId="058D5777">
            <w:pPr>
              <w:spacing w:after="0" w:line="240" w:lineRule="auto"/>
              <w:ind w:firstLine="0"/>
              <w:contextualSpacing/>
              <w:jc w:val="center"/>
              <w:rPr>
                <w:color w:val="000000"/>
                <w:sz w:val="20"/>
                <w:szCs w:val="20"/>
              </w:rPr>
            </w:pPr>
            <w:r>
              <w:rPr>
                <w:color w:val="000000"/>
                <w:sz w:val="20"/>
                <w:szCs w:val="20"/>
              </w:rPr>
              <w:t>0,032</w:t>
            </w:r>
          </w:p>
        </w:tc>
      </w:tr>
      <w:tr w14:paraId="5F09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restart"/>
            <w:shd w:val="clear" w:color="auto" w:fill="auto"/>
            <w:vAlign w:val="center"/>
          </w:tcPr>
          <w:p w14:paraId="1B412285">
            <w:pPr>
              <w:spacing w:after="0" w:line="240" w:lineRule="auto"/>
              <w:ind w:firstLine="0"/>
              <w:contextualSpacing/>
              <w:jc w:val="center"/>
              <w:rPr>
                <w:color w:val="000000"/>
                <w:sz w:val="20"/>
                <w:szCs w:val="20"/>
              </w:rPr>
            </w:pPr>
            <w:r>
              <w:rPr>
                <w:color w:val="000000"/>
                <w:sz w:val="20"/>
                <w:szCs w:val="20"/>
              </w:rPr>
              <w:t>2.</w:t>
            </w:r>
          </w:p>
        </w:tc>
        <w:tc>
          <w:tcPr>
            <w:tcW w:w="1064" w:type="pct"/>
            <w:vMerge w:val="restart"/>
            <w:shd w:val="clear" w:color="auto" w:fill="auto"/>
            <w:vAlign w:val="center"/>
          </w:tcPr>
          <w:p w14:paraId="6836ECF9">
            <w:pPr>
              <w:spacing w:after="0" w:line="240" w:lineRule="auto"/>
              <w:ind w:firstLine="0"/>
              <w:contextualSpacing/>
              <w:rPr>
                <w:color w:val="000000"/>
                <w:sz w:val="20"/>
                <w:szCs w:val="20"/>
              </w:rPr>
            </w:pPr>
            <w:r>
              <w:rPr>
                <w:color w:val="000000"/>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590" w:type="pct"/>
            <w:shd w:val="clear" w:color="auto" w:fill="auto"/>
            <w:vAlign w:val="center"/>
          </w:tcPr>
          <w:p w14:paraId="53F9DA5C">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1E1D2ABB">
            <w:pPr>
              <w:spacing w:after="0" w:line="240" w:lineRule="auto"/>
              <w:ind w:firstLine="0"/>
              <w:contextualSpacing/>
              <w:jc w:val="center"/>
              <w:rPr>
                <w:color w:val="000000"/>
                <w:sz w:val="20"/>
                <w:szCs w:val="20"/>
              </w:rPr>
            </w:pPr>
            <w:r>
              <w:rPr>
                <w:color w:val="000000"/>
                <w:sz w:val="20"/>
                <w:szCs w:val="20"/>
              </w:rPr>
              <w:t>0,036</w:t>
            </w:r>
          </w:p>
        </w:tc>
        <w:tc>
          <w:tcPr>
            <w:tcW w:w="1000" w:type="pct"/>
            <w:shd w:val="clear" w:color="auto" w:fill="auto"/>
            <w:vAlign w:val="center"/>
          </w:tcPr>
          <w:p w14:paraId="4FCBB1B4">
            <w:pPr>
              <w:spacing w:after="0" w:line="240" w:lineRule="auto"/>
              <w:ind w:firstLine="0"/>
              <w:contextualSpacing/>
              <w:jc w:val="center"/>
              <w:rPr>
                <w:color w:val="000000"/>
                <w:sz w:val="20"/>
                <w:szCs w:val="20"/>
              </w:rPr>
            </w:pPr>
            <w:r>
              <w:rPr>
                <w:color w:val="000000"/>
                <w:sz w:val="20"/>
                <w:szCs w:val="20"/>
              </w:rPr>
              <w:t>0,036</w:t>
            </w:r>
          </w:p>
        </w:tc>
        <w:tc>
          <w:tcPr>
            <w:tcW w:w="959" w:type="pct"/>
            <w:shd w:val="clear" w:color="auto" w:fill="auto"/>
            <w:vAlign w:val="center"/>
          </w:tcPr>
          <w:p w14:paraId="293A6991">
            <w:pPr>
              <w:spacing w:after="0" w:line="240" w:lineRule="auto"/>
              <w:ind w:firstLine="0"/>
              <w:contextualSpacing/>
              <w:jc w:val="center"/>
              <w:rPr>
                <w:color w:val="000000"/>
                <w:sz w:val="20"/>
                <w:szCs w:val="20"/>
              </w:rPr>
            </w:pPr>
            <w:r>
              <w:rPr>
                <w:color w:val="000000"/>
                <w:sz w:val="20"/>
                <w:szCs w:val="20"/>
              </w:rPr>
              <w:t>0,072</w:t>
            </w:r>
          </w:p>
        </w:tc>
      </w:tr>
      <w:tr w14:paraId="4FF5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382D9ACF">
            <w:pPr>
              <w:spacing w:after="0" w:line="240" w:lineRule="auto"/>
              <w:ind w:firstLine="0"/>
              <w:contextualSpacing/>
              <w:rPr>
                <w:color w:val="000000"/>
                <w:sz w:val="20"/>
                <w:szCs w:val="20"/>
              </w:rPr>
            </w:pPr>
          </w:p>
        </w:tc>
        <w:tc>
          <w:tcPr>
            <w:tcW w:w="1064" w:type="pct"/>
            <w:vMerge w:val="continue"/>
            <w:vAlign w:val="center"/>
          </w:tcPr>
          <w:p w14:paraId="160C8F42">
            <w:pPr>
              <w:spacing w:after="0" w:line="240" w:lineRule="auto"/>
              <w:ind w:firstLine="0"/>
              <w:contextualSpacing/>
              <w:rPr>
                <w:color w:val="000000"/>
                <w:sz w:val="20"/>
                <w:szCs w:val="20"/>
              </w:rPr>
            </w:pPr>
          </w:p>
        </w:tc>
        <w:tc>
          <w:tcPr>
            <w:tcW w:w="590" w:type="pct"/>
            <w:shd w:val="clear" w:color="auto" w:fill="auto"/>
            <w:vAlign w:val="center"/>
          </w:tcPr>
          <w:p w14:paraId="6B3E4480">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7AFD2EDA">
            <w:pPr>
              <w:spacing w:after="0" w:line="240" w:lineRule="auto"/>
              <w:ind w:firstLine="0"/>
              <w:contextualSpacing/>
              <w:jc w:val="center"/>
              <w:rPr>
                <w:color w:val="000000"/>
                <w:sz w:val="20"/>
                <w:szCs w:val="20"/>
              </w:rPr>
            </w:pPr>
            <w:r>
              <w:rPr>
                <w:color w:val="000000"/>
                <w:sz w:val="20"/>
                <w:szCs w:val="20"/>
              </w:rPr>
              <w:t>0,024</w:t>
            </w:r>
          </w:p>
        </w:tc>
        <w:tc>
          <w:tcPr>
            <w:tcW w:w="1000" w:type="pct"/>
            <w:shd w:val="clear" w:color="auto" w:fill="auto"/>
            <w:vAlign w:val="center"/>
          </w:tcPr>
          <w:p w14:paraId="6A4F028E">
            <w:pPr>
              <w:spacing w:after="0" w:line="240" w:lineRule="auto"/>
              <w:ind w:firstLine="0"/>
              <w:contextualSpacing/>
              <w:jc w:val="center"/>
              <w:rPr>
                <w:color w:val="000000"/>
                <w:sz w:val="20"/>
                <w:szCs w:val="20"/>
              </w:rPr>
            </w:pPr>
            <w:r>
              <w:rPr>
                <w:color w:val="000000"/>
                <w:sz w:val="20"/>
                <w:szCs w:val="20"/>
              </w:rPr>
              <w:t>0,024</w:t>
            </w:r>
          </w:p>
        </w:tc>
        <w:tc>
          <w:tcPr>
            <w:tcW w:w="959" w:type="pct"/>
            <w:shd w:val="clear" w:color="auto" w:fill="auto"/>
            <w:vAlign w:val="center"/>
          </w:tcPr>
          <w:p w14:paraId="7F03D792">
            <w:pPr>
              <w:spacing w:after="0" w:line="240" w:lineRule="auto"/>
              <w:ind w:firstLine="0"/>
              <w:contextualSpacing/>
              <w:jc w:val="center"/>
              <w:rPr>
                <w:color w:val="000000"/>
                <w:sz w:val="20"/>
                <w:szCs w:val="20"/>
              </w:rPr>
            </w:pPr>
            <w:r>
              <w:rPr>
                <w:color w:val="000000"/>
                <w:sz w:val="20"/>
                <w:szCs w:val="20"/>
              </w:rPr>
              <w:t>0,048</w:t>
            </w:r>
          </w:p>
        </w:tc>
      </w:tr>
      <w:tr w14:paraId="7974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48EEE8EB">
            <w:pPr>
              <w:spacing w:after="0" w:line="240" w:lineRule="auto"/>
              <w:ind w:firstLine="0"/>
              <w:contextualSpacing/>
              <w:rPr>
                <w:color w:val="000000"/>
                <w:sz w:val="20"/>
                <w:szCs w:val="20"/>
              </w:rPr>
            </w:pPr>
          </w:p>
        </w:tc>
        <w:tc>
          <w:tcPr>
            <w:tcW w:w="1064" w:type="pct"/>
            <w:vMerge w:val="continue"/>
            <w:vAlign w:val="center"/>
          </w:tcPr>
          <w:p w14:paraId="26CBA122">
            <w:pPr>
              <w:spacing w:after="0" w:line="240" w:lineRule="auto"/>
              <w:ind w:firstLine="0"/>
              <w:contextualSpacing/>
              <w:rPr>
                <w:color w:val="000000"/>
                <w:sz w:val="20"/>
                <w:szCs w:val="20"/>
              </w:rPr>
            </w:pPr>
          </w:p>
        </w:tc>
        <w:tc>
          <w:tcPr>
            <w:tcW w:w="590" w:type="pct"/>
            <w:shd w:val="clear" w:color="auto" w:fill="auto"/>
            <w:vAlign w:val="center"/>
          </w:tcPr>
          <w:p w14:paraId="7A1B9759">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12A9E441">
            <w:pPr>
              <w:spacing w:after="0" w:line="240" w:lineRule="auto"/>
              <w:ind w:firstLine="0"/>
              <w:contextualSpacing/>
              <w:jc w:val="center"/>
              <w:rPr>
                <w:color w:val="000000"/>
                <w:sz w:val="20"/>
                <w:szCs w:val="20"/>
              </w:rPr>
            </w:pPr>
            <w:r>
              <w:rPr>
                <w:color w:val="000000"/>
                <w:sz w:val="20"/>
                <w:szCs w:val="20"/>
              </w:rPr>
              <w:t>0,018</w:t>
            </w:r>
          </w:p>
        </w:tc>
        <w:tc>
          <w:tcPr>
            <w:tcW w:w="1000" w:type="pct"/>
            <w:shd w:val="clear" w:color="auto" w:fill="auto"/>
            <w:vAlign w:val="center"/>
          </w:tcPr>
          <w:p w14:paraId="265EA9D5">
            <w:pPr>
              <w:spacing w:after="0" w:line="240" w:lineRule="auto"/>
              <w:ind w:firstLine="0"/>
              <w:contextualSpacing/>
              <w:jc w:val="center"/>
              <w:rPr>
                <w:color w:val="000000"/>
                <w:sz w:val="20"/>
                <w:szCs w:val="20"/>
              </w:rPr>
            </w:pPr>
            <w:r>
              <w:rPr>
                <w:color w:val="000000"/>
                <w:sz w:val="20"/>
                <w:szCs w:val="20"/>
              </w:rPr>
              <w:t>0,018</w:t>
            </w:r>
          </w:p>
        </w:tc>
        <w:tc>
          <w:tcPr>
            <w:tcW w:w="959" w:type="pct"/>
            <w:shd w:val="clear" w:color="auto" w:fill="auto"/>
            <w:vAlign w:val="center"/>
          </w:tcPr>
          <w:p w14:paraId="0EE2333B">
            <w:pPr>
              <w:spacing w:after="0" w:line="240" w:lineRule="auto"/>
              <w:ind w:firstLine="0"/>
              <w:contextualSpacing/>
              <w:jc w:val="center"/>
              <w:rPr>
                <w:color w:val="000000"/>
                <w:sz w:val="20"/>
                <w:szCs w:val="20"/>
              </w:rPr>
            </w:pPr>
            <w:r>
              <w:rPr>
                <w:color w:val="000000"/>
                <w:sz w:val="20"/>
                <w:szCs w:val="20"/>
              </w:rPr>
              <w:t>0,036</w:t>
            </w:r>
          </w:p>
        </w:tc>
      </w:tr>
      <w:tr w14:paraId="1FDB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6E66A4D4">
            <w:pPr>
              <w:spacing w:after="0" w:line="240" w:lineRule="auto"/>
              <w:ind w:firstLine="0"/>
              <w:contextualSpacing/>
              <w:rPr>
                <w:color w:val="000000"/>
                <w:sz w:val="20"/>
                <w:szCs w:val="20"/>
              </w:rPr>
            </w:pPr>
          </w:p>
        </w:tc>
        <w:tc>
          <w:tcPr>
            <w:tcW w:w="1064" w:type="pct"/>
            <w:vMerge w:val="continue"/>
            <w:vAlign w:val="center"/>
          </w:tcPr>
          <w:p w14:paraId="5F3AA579">
            <w:pPr>
              <w:spacing w:after="0" w:line="240" w:lineRule="auto"/>
              <w:ind w:firstLine="0"/>
              <w:contextualSpacing/>
              <w:rPr>
                <w:color w:val="000000"/>
                <w:sz w:val="20"/>
                <w:szCs w:val="20"/>
              </w:rPr>
            </w:pPr>
          </w:p>
        </w:tc>
        <w:tc>
          <w:tcPr>
            <w:tcW w:w="590" w:type="pct"/>
            <w:shd w:val="clear" w:color="auto" w:fill="auto"/>
            <w:vAlign w:val="center"/>
          </w:tcPr>
          <w:p w14:paraId="477751FD">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1C7C8008">
            <w:pPr>
              <w:spacing w:after="0" w:line="240" w:lineRule="auto"/>
              <w:ind w:firstLine="0"/>
              <w:contextualSpacing/>
              <w:jc w:val="center"/>
              <w:rPr>
                <w:color w:val="000000"/>
                <w:sz w:val="20"/>
                <w:szCs w:val="20"/>
              </w:rPr>
            </w:pPr>
            <w:r>
              <w:rPr>
                <w:color w:val="000000"/>
                <w:sz w:val="20"/>
                <w:szCs w:val="20"/>
              </w:rPr>
              <w:t>0,013</w:t>
            </w:r>
          </w:p>
        </w:tc>
        <w:tc>
          <w:tcPr>
            <w:tcW w:w="1000" w:type="pct"/>
            <w:shd w:val="clear" w:color="auto" w:fill="auto"/>
            <w:vAlign w:val="center"/>
          </w:tcPr>
          <w:p w14:paraId="6A4EA2E7">
            <w:pPr>
              <w:spacing w:after="0" w:line="240" w:lineRule="auto"/>
              <w:ind w:firstLine="0"/>
              <w:contextualSpacing/>
              <w:jc w:val="center"/>
              <w:rPr>
                <w:color w:val="000000"/>
                <w:sz w:val="20"/>
                <w:szCs w:val="20"/>
              </w:rPr>
            </w:pPr>
            <w:r>
              <w:rPr>
                <w:color w:val="000000"/>
                <w:sz w:val="20"/>
                <w:szCs w:val="20"/>
              </w:rPr>
              <w:t>0,013</w:t>
            </w:r>
          </w:p>
        </w:tc>
        <w:tc>
          <w:tcPr>
            <w:tcW w:w="959" w:type="pct"/>
            <w:shd w:val="clear" w:color="auto" w:fill="auto"/>
            <w:vAlign w:val="center"/>
          </w:tcPr>
          <w:p w14:paraId="158B7DF3">
            <w:pPr>
              <w:spacing w:after="0" w:line="240" w:lineRule="auto"/>
              <w:ind w:firstLine="0"/>
              <w:contextualSpacing/>
              <w:jc w:val="center"/>
              <w:rPr>
                <w:color w:val="000000"/>
                <w:sz w:val="20"/>
                <w:szCs w:val="20"/>
              </w:rPr>
            </w:pPr>
            <w:r>
              <w:rPr>
                <w:color w:val="000000"/>
                <w:sz w:val="20"/>
                <w:szCs w:val="20"/>
              </w:rPr>
              <w:t>0,026</w:t>
            </w:r>
          </w:p>
        </w:tc>
      </w:tr>
      <w:tr w14:paraId="6867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restart"/>
            <w:shd w:val="clear" w:color="auto" w:fill="auto"/>
            <w:vAlign w:val="center"/>
          </w:tcPr>
          <w:p w14:paraId="0E908469">
            <w:pPr>
              <w:spacing w:after="0" w:line="240" w:lineRule="auto"/>
              <w:ind w:firstLine="0"/>
              <w:contextualSpacing/>
              <w:jc w:val="center"/>
              <w:rPr>
                <w:color w:val="000000"/>
                <w:sz w:val="20"/>
                <w:szCs w:val="20"/>
              </w:rPr>
            </w:pPr>
            <w:r>
              <w:rPr>
                <w:color w:val="000000"/>
                <w:sz w:val="20"/>
                <w:szCs w:val="20"/>
              </w:rPr>
              <w:t>3.</w:t>
            </w:r>
          </w:p>
        </w:tc>
        <w:tc>
          <w:tcPr>
            <w:tcW w:w="1064" w:type="pct"/>
            <w:vMerge w:val="restart"/>
            <w:shd w:val="clear" w:color="auto" w:fill="auto"/>
            <w:vAlign w:val="center"/>
          </w:tcPr>
          <w:p w14:paraId="48138353">
            <w:pPr>
              <w:spacing w:after="0" w:line="240" w:lineRule="auto"/>
              <w:ind w:firstLine="0"/>
              <w:contextualSpacing/>
              <w:rPr>
                <w:color w:val="000000"/>
                <w:sz w:val="20"/>
                <w:szCs w:val="20"/>
              </w:rPr>
            </w:pPr>
            <w:r>
              <w:rPr>
                <w:color w:val="000000"/>
                <w:sz w:val="20"/>
                <w:szCs w:val="20"/>
              </w:rPr>
              <w:t>Многоквартирные дома с централизованным холодным водоснабжением, водонагревателями, водоотведением</w:t>
            </w:r>
          </w:p>
        </w:tc>
        <w:tc>
          <w:tcPr>
            <w:tcW w:w="590" w:type="pct"/>
            <w:shd w:val="clear" w:color="auto" w:fill="auto"/>
            <w:vAlign w:val="center"/>
          </w:tcPr>
          <w:p w14:paraId="53260F7D">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256A29DE">
            <w:pPr>
              <w:spacing w:after="0" w:line="240" w:lineRule="auto"/>
              <w:ind w:firstLine="0"/>
              <w:contextualSpacing/>
              <w:jc w:val="center"/>
              <w:rPr>
                <w:color w:val="000000"/>
                <w:sz w:val="20"/>
                <w:szCs w:val="20"/>
              </w:rPr>
            </w:pPr>
            <w:r>
              <w:rPr>
                <w:color w:val="000000"/>
                <w:sz w:val="20"/>
                <w:szCs w:val="20"/>
              </w:rPr>
              <w:t>0,045</w:t>
            </w:r>
          </w:p>
        </w:tc>
        <w:tc>
          <w:tcPr>
            <w:tcW w:w="1000" w:type="pct"/>
            <w:shd w:val="clear" w:color="auto" w:fill="auto"/>
            <w:vAlign w:val="center"/>
          </w:tcPr>
          <w:p w14:paraId="03993C9E">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40E6DF32">
            <w:pPr>
              <w:spacing w:after="0" w:line="240" w:lineRule="auto"/>
              <w:ind w:firstLine="0"/>
              <w:contextualSpacing/>
              <w:jc w:val="center"/>
              <w:rPr>
                <w:color w:val="000000"/>
                <w:sz w:val="20"/>
                <w:szCs w:val="20"/>
              </w:rPr>
            </w:pPr>
            <w:r>
              <w:rPr>
                <w:color w:val="000000"/>
                <w:sz w:val="20"/>
                <w:szCs w:val="20"/>
              </w:rPr>
              <w:t>0,045</w:t>
            </w:r>
          </w:p>
        </w:tc>
      </w:tr>
      <w:tr w14:paraId="4364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16CA05AF">
            <w:pPr>
              <w:spacing w:after="0" w:line="240" w:lineRule="auto"/>
              <w:ind w:firstLine="0"/>
              <w:contextualSpacing/>
              <w:rPr>
                <w:color w:val="000000"/>
                <w:sz w:val="20"/>
                <w:szCs w:val="20"/>
              </w:rPr>
            </w:pPr>
          </w:p>
        </w:tc>
        <w:tc>
          <w:tcPr>
            <w:tcW w:w="1064" w:type="pct"/>
            <w:vMerge w:val="continue"/>
            <w:vAlign w:val="center"/>
          </w:tcPr>
          <w:p w14:paraId="13D9D072">
            <w:pPr>
              <w:spacing w:after="0" w:line="240" w:lineRule="auto"/>
              <w:ind w:firstLine="0"/>
              <w:contextualSpacing/>
              <w:rPr>
                <w:color w:val="000000"/>
                <w:sz w:val="20"/>
                <w:szCs w:val="20"/>
              </w:rPr>
            </w:pPr>
          </w:p>
        </w:tc>
        <w:tc>
          <w:tcPr>
            <w:tcW w:w="590" w:type="pct"/>
            <w:shd w:val="clear" w:color="auto" w:fill="auto"/>
            <w:vAlign w:val="center"/>
          </w:tcPr>
          <w:p w14:paraId="0546AAF8">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0C9299C8">
            <w:pPr>
              <w:spacing w:after="0" w:line="240" w:lineRule="auto"/>
              <w:ind w:firstLine="0"/>
              <w:contextualSpacing/>
              <w:jc w:val="center"/>
              <w:rPr>
                <w:color w:val="000000"/>
                <w:sz w:val="20"/>
                <w:szCs w:val="20"/>
              </w:rPr>
            </w:pPr>
            <w:r>
              <w:rPr>
                <w:color w:val="000000"/>
                <w:sz w:val="20"/>
                <w:szCs w:val="20"/>
              </w:rPr>
              <w:t>0,035</w:t>
            </w:r>
          </w:p>
        </w:tc>
        <w:tc>
          <w:tcPr>
            <w:tcW w:w="1000" w:type="pct"/>
            <w:shd w:val="clear" w:color="auto" w:fill="auto"/>
            <w:vAlign w:val="center"/>
          </w:tcPr>
          <w:p w14:paraId="26D55777">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48D2AF9C">
            <w:pPr>
              <w:spacing w:after="0" w:line="240" w:lineRule="auto"/>
              <w:ind w:firstLine="0"/>
              <w:contextualSpacing/>
              <w:jc w:val="center"/>
              <w:rPr>
                <w:color w:val="000000"/>
                <w:sz w:val="20"/>
                <w:szCs w:val="20"/>
              </w:rPr>
            </w:pPr>
            <w:r>
              <w:rPr>
                <w:color w:val="000000"/>
                <w:sz w:val="20"/>
                <w:szCs w:val="20"/>
              </w:rPr>
              <w:t>0,035</w:t>
            </w:r>
          </w:p>
        </w:tc>
      </w:tr>
      <w:tr w14:paraId="2F6E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70BF7C79">
            <w:pPr>
              <w:spacing w:after="0" w:line="240" w:lineRule="auto"/>
              <w:ind w:firstLine="0"/>
              <w:contextualSpacing/>
              <w:rPr>
                <w:color w:val="000000"/>
                <w:sz w:val="20"/>
                <w:szCs w:val="20"/>
              </w:rPr>
            </w:pPr>
          </w:p>
        </w:tc>
        <w:tc>
          <w:tcPr>
            <w:tcW w:w="1064" w:type="pct"/>
            <w:vMerge w:val="continue"/>
            <w:vAlign w:val="center"/>
          </w:tcPr>
          <w:p w14:paraId="0F45FCE9">
            <w:pPr>
              <w:spacing w:after="0" w:line="240" w:lineRule="auto"/>
              <w:ind w:firstLine="0"/>
              <w:contextualSpacing/>
              <w:rPr>
                <w:color w:val="000000"/>
                <w:sz w:val="20"/>
                <w:szCs w:val="20"/>
              </w:rPr>
            </w:pPr>
          </w:p>
        </w:tc>
        <w:tc>
          <w:tcPr>
            <w:tcW w:w="590" w:type="pct"/>
            <w:shd w:val="clear" w:color="auto" w:fill="auto"/>
            <w:vAlign w:val="center"/>
          </w:tcPr>
          <w:p w14:paraId="0BDC9240">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5BC36CF3">
            <w:pPr>
              <w:spacing w:after="0" w:line="240" w:lineRule="auto"/>
              <w:ind w:firstLine="0"/>
              <w:contextualSpacing/>
              <w:jc w:val="center"/>
              <w:rPr>
                <w:color w:val="000000"/>
                <w:sz w:val="20"/>
                <w:szCs w:val="20"/>
              </w:rPr>
            </w:pPr>
            <w:r>
              <w:rPr>
                <w:color w:val="000000"/>
                <w:sz w:val="20"/>
                <w:szCs w:val="20"/>
              </w:rPr>
              <w:t>0,019</w:t>
            </w:r>
          </w:p>
        </w:tc>
        <w:tc>
          <w:tcPr>
            <w:tcW w:w="1000" w:type="pct"/>
            <w:shd w:val="clear" w:color="auto" w:fill="auto"/>
            <w:vAlign w:val="center"/>
          </w:tcPr>
          <w:p w14:paraId="4D3C8BCE">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4D5230EF">
            <w:pPr>
              <w:spacing w:after="0" w:line="240" w:lineRule="auto"/>
              <w:ind w:firstLine="0"/>
              <w:contextualSpacing/>
              <w:jc w:val="center"/>
              <w:rPr>
                <w:color w:val="000000"/>
                <w:sz w:val="20"/>
                <w:szCs w:val="20"/>
              </w:rPr>
            </w:pPr>
            <w:r>
              <w:rPr>
                <w:color w:val="000000"/>
                <w:sz w:val="20"/>
                <w:szCs w:val="20"/>
              </w:rPr>
              <w:t>0,019</w:t>
            </w:r>
          </w:p>
        </w:tc>
      </w:tr>
      <w:tr w14:paraId="1A07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6357106E">
            <w:pPr>
              <w:spacing w:after="0" w:line="240" w:lineRule="auto"/>
              <w:ind w:firstLine="0"/>
              <w:contextualSpacing/>
              <w:rPr>
                <w:color w:val="000000"/>
                <w:sz w:val="20"/>
                <w:szCs w:val="20"/>
              </w:rPr>
            </w:pPr>
          </w:p>
        </w:tc>
        <w:tc>
          <w:tcPr>
            <w:tcW w:w="1064" w:type="pct"/>
            <w:vMerge w:val="continue"/>
            <w:vAlign w:val="center"/>
          </w:tcPr>
          <w:p w14:paraId="1D8671A6">
            <w:pPr>
              <w:spacing w:after="0" w:line="240" w:lineRule="auto"/>
              <w:ind w:firstLine="0"/>
              <w:contextualSpacing/>
              <w:rPr>
                <w:color w:val="000000"/>
                <w:sz w:val="20"/>
                <w:szCs w:val="20"/>
              </w:rPr>
            </w:pPr>
          </w:p>
        </w:tc>
        <w:tc>
          <w:tcPr>
            <w:tcW w:w="590" w:type="pct"/>
            <w:shd w:val="clear" w:color="auto" w:fill="auto"/>
            <w:vAlign w:val="center"/>
          </w:tcPr>
          <w:p w14:paraId="55D6117E">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312F2958">
            <w:pPr>
              <w:spacing w:after="0" w:line="240" w:lineRule="auto"/>
              <w:ind w:firstLine="0"/>
              <w:contextualSpacing/>
              <w:jc w:val="center"/>
              <w:rPr>
                <w:color w:val="000000"/>
                <w:sz w:val="20"/>
                <w:szCs w:val="20"/>
              </w:rPr>
            </w:pPr>
            <w:r>
              <w:rPr>
                <w:color w:val="000000"/>
                <w:sz w:val="20"/>
                <w:szCs w:val="20"/>
              </w:rPr>
              <w:t>0,039</w:t>
            </w:r>
          </w:p>
        </w:tc>
        <w:tc>
          <w:tcPr>
            <w:tcW w:w="1000" w:type="pct"/>
            <w:shd w:val="clear" w:color="auto" w:fill="auto"/>
            <w:vAlign w:val="center"/>
          </w:tcPr>
          <w:p w14:paraId="545F4898">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1100C3E9">
            <w:pPr>
              <w:spacing w:after="0" w:line="240" w:lineRule="auto"/>
              <w:ind w:firstLine="0"/>
              <w:contextualSpacing/>
              <w:jc w:val="center"/>
              <w:rPr>
                <w:color w:val="000000"/>
                <w:sz w:val="20"/>
                <w:szCs w:val="20"/>
              </w:rPr>
            </w:pPr>
            <w:r>
              <w:rPr>
                <w:color w:val="000000"/>
                <w:sz w:val="20"/>
                <w:szCs w:val="20"/>
              </w:rPr>
              <w:t>0,039</w:t>
            </w:r>
          </w:p>
        </w:tc>
      </w:tr>
      <w:tr w14:paraId="254F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restart"/>
            <w:shd w:val="clear" w:color="auto" w:fill="auto"/>
            <w:vAlign w:val="center"/>
          </w:tcPr>
          <w:p w14:paraId="479E5E13">
            <w:pPr>
              <w:spacing w:after="0" w:line="240" w:lineRule="auto"/>
              <w:ind w:firstLine="0"/>
              <w:contextualSpacing/>
              <w:jc w:val="center"/>
              <w:rPr>
                <w:color w:val="000000"/>
                <w:sz w:val="20"/>
                <w:szCs w:val="20"/>
              </w:rPr>
            </w:pPr>
            <w:r>
              <w:rPr>
                <w:color w:val="000000"/>
                <w:sz w:val="20"/>
                <w:szCs w:val="20"/>
              </w:rPr>
              <w:t>4.</w:t>
            </w:r>
          </w:p>
        </w:tc>
        <w:tc>
          <w:tcPr>
            <w:tcW w:w="1064" w:type="pct"/>
            <w:vMerge w:val="restart"/>
            <w:shd w:val="clear" w:color="auto" w:fill="auto"/>
            <w:vAlign w:val="center"/>
          </w:tcPr>
          <w:p w14:paraId="38026571">
            <w:pPr>
              <w:spacing w:after="0" w:line="240" w:lineRule="auto"/>
              <w:ind w:firstLine="0"/>
              <w:contextualSpacing/>
              <w:rPr>
                <w:color w:val="000000"/>
                <w:sz w:val="20"/>
                <w:szCs w:val="20"/>
              </w:rPr>
            </w:pPr>
            <w:r>
              <w:rPr>
                <w:color w:val="000000"/>
                <w:sz w:val="20"/>
                <w:szCs w:val="20"/>
              </w:rPr>
              <w:t xml:space="preserve">Многоквартирные дома без водонагревателей с централизованным холодным водоснабжением и водоотведением, оборудованные раковинами, мойками и унитазами </w:t>
            </w:r>
          </w:p>
        </w:tc>
        <w:tc>
          <w:tcPr>
            <w:tcW w:w="590" w:type="pct"/>
            <w:shd w:val="clear" w:color="auto" w:fill="auto"/>
            <w:vAlign w:val="center"/>
          </w:tcPr>
          <w:p w14:paraId="237D272D">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4AA57942">
            <w:pPr>
              <w:spacing w:after="0" w:line="240" w:lineRule="auto"/>
              <w:ind w:firstLine="0"/>
              <w:contextualSpacing/>
              <w:jc w:val="center"/>
              <w:rPr>
                <w:color w:val="000000"/>
                <w:sz w:val="20"/>
                <w:szCs w:val="20"/>
              </w:rPr>
            </w:pPr>
            <w:r>
              <w:rPr>
                <w:color w:val="000000"/>
                <w:sz w:val="20"/>
                <w:szCs w:val="20"/>
              </w:rPr>
              <w:t>0,034</w:t>
            </w:r>
          </w:p>
        </w:tc>
        <w:tc>
          <w:tcPr>
            <w:tcW w:w="1000" w:type="pct"/>
            <w:shd w:val="clear" w:color="auto" w:fill="auto"/>
            <w:vAlign w:val="center"/>
          </w:tcPr>
          <w:p w14:paraId="4FB14176">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22550D6A">
            <w:pPr>
              <w:spacing w:after="0" w:line="240" w:lineRule="auto"/>
              <w:ind w:firstLine="0"/>
              <w:contextualSpacing/>
              <w:jc w:val="center"/>
              <w:rPr>
                <w:color w:val="000000"/>
                <w:sz w:val="20"/>
                <w:szCs w:val="20"/>
              </w:rPr>
            </w:pPr>
            <w:r>
              <w:rPr>
                <w:color w:val="000000"/>
                <w:sz w:val="20"/>
                <w:szCs w:val="20"/>
              </w:rPr>
              <w:t>0,034</w:t>
            </w:r>
          </w:p>
        </w:tc>
      </w:tr>
      <w:tr w14:paraId="3380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0F574C26">
            <w:pPr>
              <w:spacing w:after="0" w:line="240" w:lineRule="auto"/>
              <w:ind w:firstLine="0"/>
              <w:contextualSpacing/>
              <w:rPr>
                <w:color w:val="000000"/>
                <w:sz w:val="20"/>
                <w:szCs w:val="20"/>
              </w:rPr>
            </w:pPr>
          </w:p>
        </w:tc>
        <w:tc>
          <w:tcPr>
            <w:tcW w:w="1064" w:type="pct"/>
            <w:vMerge w:val="continue"/>
            <w:vAlign w:val="center"/>
          </w:tcPr>
          <w:p w14:paraId="1ACB070C">
            <w:pPr>
              <w:spacing w:after="0" w:line="240" w:lineRule="auto"/>
              <w:ind w:firstLine="0"/>
              <w:contextualSpacing/>
              <w:rPr>
                <w:color w:val="000000"/>
                <w:sz w:val="20"/>
                <w:szCs w:val="20"/>
              </w:rPr>
            </w:pPr>
          </w:p>
        </w:tc>
        <w:tc>
          <w:tcPr>
            <w:tcW w:w="590" w:type="pct"/>
            <w:shd w:val="clear" w:color="auto" w:fill="auto"/>
            <w:vAlign w:val="center"/>
          </w:tcPr>
          <w:p w14:paraId="17BA8576">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5913E9E9">
            <w:pPr>
              <w:spacing w:after="0" w:line="240" w:lineRule="auto"/>
              <w:ind w:firstLine="0"/>
              <w:contextualSpacing/>
              <w:jc w:val="center"/>
              <w:rPr>
                <w:color w:val="000000"/>
                <w:sz w:val="20"/>
                <w:szCs w:val="20"/>
              </w:rPr>
            </w:pPr>
            <w:r>
              <w:rPr>
                <w:color w:val="000000"/>
                <w:sz w:val="20"/>
                <w:szCs w:val="20"/>
              </w:rPr>
              <w:t>0,023</w:t>
            </w:r>
          </w:p>
        </w:tc>
        <w:tc>
          <w:tcPr>
            <w:tcW w:w="1000" w:type="pct"/>
            <w:shd w:val="clear" w:color="auto" w:fill="auto"/>
            <w:vAlign w:val="center"/>
          </w:tcPr>
          <w:p w14:paraId="6138010A">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0383CDC0">
            <w:pPr>
              <w:spacing w:after="0" w:line="240" w:lineRule="auto"/>
              <w:ind w:firstLine="0"/>
              <w:contextualSpacing/>
              <w:jc w:val="center"/>
              <w:rPr>
                <w:color w:val="000000"/>
                <w:sz w:val="20"/>
                <w:szCs w:val="20"/>
              </w:rPr>
            </w:pPr>
            <w:r>
              <w:rPr>
                <w:color w:val="000000"/>
                <w:sz w:val="20"/>
                <w:szCs w:val="20"/>
              </w:rPr>
              <w:t>0,023</w:t>
            </w:r>
          </w:p>
        </w:tc>
      </w:tr>
      <w:tr w14:paraId="0B81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537BF018">
            <w:pPr>
              <w:spacing w:after="0" w:line="240" w:lineRule="auto"/>
              <w:ind w:firstLine="0"/>
              <w:contextualSpacing/>
              <w:rPr>
                <w:color w:val="000000"/>
                <w:sz w:val="20"/>
                <w:szCs w:val="20"/>
              </w:rPr>
            </w:pPr>
          </w:p>
        </w:tc>
        <w:tc>
          <w:tcPr>
            <w:tcW w:w="1064" w:type="pct"/>
            <w:vMerge w:val="continue"/>
            <w:vAlign w:val="center"/>
          </w:tcPr>
          <w:p w14:paraId="25F7B3E9">
            <w:pPr>
              <w:spacing w:after="0" w:line="240" w:lineRule="auto"/>
              <w:ind w:firstLine="0"/>
              <w:contextualSpacing/>
              <w:rPr>
                <w:color w:val="000000"/>
                <w:sz w:val="20"/>
                <w:szCs w:val="20"/>
              </w:rPr>
            </w:pPr>
          </w:p>
        </w:tc>
        <w:tc>
          <w:tcPr>
            <w:tcW w:w="590" w:type="pct"/>
            <w:shd w:val="clear" w:color="auto" w:fill="auto"/>
            <w:vAlign w:val="center"/>
          </w:tcPr>
          <w:p w14:paraId="3BA7543B">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31BE72EB">
            <w:pPr>
              <w:spacing w:after="0" w:line="240" w:lineRule="auto"/>
              <w:ind w:firstLine="0"/>
              <w:contextualSpacing/>
              <w:jc w:val="center"/>
              <w:rPr>
                <w:color w:val="000000"/>
                <w:sz w:val="20"/>
                <w:szCs w:val="20"/>
              </w:rPr>
            </w:pPr>
            <w:r>
              <w:rPr>
                <w:color w:val="000000"/>
                <w:sz w:val="20"/>
                <w:szCs w:val="20"/>
              </w:rPr>
              <w:t>0,035</w:t>
            </w:r>
          </w:p>
        </w:tc>
        <w:tc>
          <w:tcPr>
            <w:tcW w:w="1000" w:type="pct"/>
            <w:shd w:val="clear" w:color="auto" w:fill="auto"/>
            <w:vAlign w:val="center"/>
          </w:tcPr>
          <w:p w14:paraId="3085893D">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3ED2C65A">
            <w:pPr>
              <w:spacing w:after="0" w:line="240" w:lineRule="auto"/>
              <w:ind w:firstLine="0"/>
              <w:contextualSpacing/>
              <w:jc w:val="center"/>
              <w:rPr>
                <w:color w:val="000000"/>
                <w:sz w:val="20"/>
                <w:szCs w:val="20"/>
              </w:rPr>
            </w:pPr>
            <w:r>
              <w:rPr>
                <w:color w:val="000000"/>
                <w:sz w:val="20"/>
                <w:szCs w:val="20"/>
              </w:rPr>
              <w:t>0,035</w:t>
            </w:r>
          </w:p>
        </w:tc>
      </w:tr>
      <w:tr w14:paraId="47C4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042324A8">
            <w:pPr>
              <w:spacing w:after="0" w:line="240" w:lineRule="auto"/>
              <w:ind w:firstLine="0"/>
              <w:contextualSpacing/>
              <w:rPr>
                <w:color w:val="000000"/>
                <w:sz w:val="20"/>
                <w:szCs w:val="20"/>
              </w:rPr>
            </w:pPr>
          </w:p>
        </w:tc>
        <w:tc>
          <w:tcPr>
            <w:tcW w:w="1064" w:type="pct"/>
            <w:vMerge w:val="continue"/>
            <w:vAlign w:val="center"/>
          </w:tcPr>
          <w:p w14:paraId="0372180A">
            <w:pPr>
              <w:spacing w:after="0" w:line="240" w:lineRule="auto"/>
              <w:ind w:firstLine="0"/>
              <w:contextualSpacing/>
              <w:rPr>
                <w:color w:val="000000"/>
                <w:sz w:val="20"/>
                <w:szCs w:val="20"/>
              </w:rPr>
            </w:pPr>
          </w:p>
        </w:tc>
        <w:tc>
          <w:tcPr>
            <w:tcW w:w="590" w:type="pct"/>
            <w:shd w:val="clear" w:color="auto" w:fill="auto"/>
            <w:vAlign w:val="center"/>
          </w:tcPr>
          <w:p w14:paraId="5826265C">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39D3EB5C">
            <w:pPr>
              <w:spacing w:after="0" w:line="240" w:lineRule="auto"/>
              <w:ind w:firstLine="0"/>
              <w:contextualSpacing/>
              <w:jc w:val="center"/>
              <w:rPr>
                <w:color w:val="000000"/>
                <w:sz w:val="20"/>
                <w:szCs w:val="20"/>
              </w:rPr>
            </w:pPr>
            <w:r>
              <w:rPr>
                <w:color w:val="000000"/>
                <w:sz w:val="20"/>
                <w:szCs w:val="20"/>
              </w:rPr>
              <w:t>0,02</w:t>
            </w:r>
          </w:p>
        </w:tc>
        <w:tc>
          <w:tcPr>
            <w:tcW w:w="1000" w:type="pct"/>
            <w:shd w:val="clear" w:color="auto" w:fill="auto"/>
            <w:vAlign w:val="center"/>
          </w:tcPr>
          <w:p w14:paraId="5F033EE7">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3ABFDD16">
            <w:pPr>
              <w:spacing w:after="0" w:line="240" w:lineRule="auto"/>
              <w:ind w:firstLine="0"/>
              <w:contextualSpacing/>
              <w:jc w:val="center"/>
              <w:rPr>
                <w:color w:val="000000"/>
                <w:sz w:val="20"/>
                <w:szCs w:val="20"/>
              </w:rPr>
            </w:pPr>
            <w:r>
              <w:rPr>
                <w:color w:val="000000"/>
                <w:sz w:val="20"/>
                <w:szCs w:val="20"/>
              </w:rPr>
              <w:t>0,02</w:t>
            </w:r>
          </w:p>
        </w:tc>
      </w:tr>
      <w:tr w14:paraId="11B2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restart"/>
            <w:shd w:val="clear" w:color="auto" w:fill="auto"/>
            <w:vAlign w:val="center"/>
          </w:tcPr>
          <w:p w14:paraId="5D21A149">
            <w:pPr>
              <w:spacing w:after="0" w:line="240" w:lineRule="auto"/>
              <w:ind w:firstLine="0"/>
              <w:contextualSpacing/>
              <w:jc w:val="center"/>
              <w:rPr>
                <w:color w:val="000000"/>
                <w:sz w:val="20"/>
                <w:szCs w:val="20"/>
              </w:rPr>
            </w:pPr>
            <w:r>
              <w:rPr>
                <w:color w:val="000000"/>
                <w:sz w:val="20"/>
                <w:szCs w:val="20"/>
              </w:rPr>
              <w:t>5.</w:t>
            </w:r>
          </w:p>
        </w:tc>
        <w:tc>
          <w:tcPr>
            <w:tcW w:w="1064" w:type="pct"/>
            <w:vMerge w:val="restart"/>
            <w:shd w:val="clear" w:color="auto" w:fill="auto"/>
            <w:vAlign w:val="center"/>
          </w:tcPr>
          <w:p w14:paraId="70C6AAC6">
            <w:pPr>
              <w:spacing w:after="0" w:line="240" w:lineRule="auto"/>
              <w:ind w:firstLine="0"/>
              <w:contextualSpacing/>
              <w:rPr>
                <w:color w:val="000000"/>
                <w:sz w:val="20"/>
                <w:szCs w:val="20"/>
              </w:rPr>
            </w:pPr>
            <w:r>
              <w:rPr>
                <w:color w:val="000000"/>
                <w:sz w:val="20"/>
                <w:szCs w:val="20"/>
              </w:rPr>
              <w:t>Многоквартирные дома с централизованным холодным, без централизованного водоотведения</w:t>
            </w:r>
          </w:p>
        </w:tc>
        <w:tc>
          <w:tcPr>
            <w:tcW w:w="590" w:type="pct"/>
            <w:shd w:val="clear" w:color="auto" w:fill="auto"/>
            <w:vAlign w:val="center"/>
          </w:tcPr>
          <w:p w14:paraId="78FACB2F">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66212DFF">
            <w:pPr>
              <w:spacing w:after="0" w:line="240" w:lineRule="auto"/>
              <w:ind w:firstLine="0"/>
              <w:contextualSpacing/>
              <w:jc w:val="center"/>
              <w:rPr>
                <w:color w:val="000000"/>
                <w:sz w:val="20"/>
                <w:szCs w:val="20"/>
              </w:rPr>
            </w:pPr>
            <w:r>
              <w:rPr>
                <w:color w:val="000000"/>
                <w:sz w:val="20"/>
                <w:szCs w:val="20"/>
              </w:rPr>
              <w:t>0,019</w:t>
            </w:r>
          </w:p>
        </w:tc>
        <w:tc>
          <w:tcPr>
            <w:tcW w:w="1000" w:type="pct"/>
            <w:shd w:val="clear" w:color="auto" w:fill="auto"/>
            <w:vAlign w:val="center"/>
          </w:tcPr>
          <w:p w14:paraId="49A39934">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070EA90A">
            <w:pPr>
              <w:spacing w:after="0" w:line="240" w:lineRule="auto"/>
              <w:ind w:firstLine="0"/>
              <w:contextualSpacing/>
              <w:jc w:val="center"/>
              <w:rPr>
                <w:color w:val="000000"/>
                <w:sz w:val="20"/>
                <w:szCs w:val="20"/>
              </w:rPr>
            </w:pPr>
            <w:r>
              <w:rPr>
                <w:color w:val="000000"/>
                <w:sz w:val="20"/>
                <w:szCs w:val="20"/>
              </w:rPr>
              <w:t>х</w:t>
            </w:r>
          </w:p>
        </w:tc>
      </w:tr>
      <w:tr w14:paraId="431F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4AE73EAB">
            <w:pPr>
              <w:spacing w:after="0" w:line="240" w:lineRule="auto"/>
              <w:ind w:firstLine="0"/>
              <w:contextualSpacing/>
              <w:rPr>
                <w:color w:val="000000"/>
                <w:sz w:val="20"/>
                <w:szCs w:val="20"/>
              </w:rPr>
            </w:pPr>
          </w:p>
        </w:tc>
        <w:tc>
          <w:tcPr>
            <w:tcW w:w="1064" w:type="pct"/>
            <w:vMerge w:val="continue"/>
            <w:vAlign w:val="center"/>
          </w:tcPr>
          <w:p w14:paraId="671333B7">
            <w:pPr>
              <w:spacing w:after="0" w:line="240" w:lineRule="auto"/>
              <w:ind w:firstLine="0"/>
              <w:contextualSpacing/>
              <w:rPr>
                <w:color w:val="000000"/>
                <w:sz w:val="20"/>
                <w:szCs w:val="20"/>
              </w:rPr>
            </w:pPr>
          </w:p>
        </w:tc>
        <w:tc>
          <w:tcPr>
            <w:tcW w:w="590" w:type="pct"/>
            <w:shd w:val="clear" w:color="auto" w:fill="auto"/>
            <w:vAlign w:val="center"/>
          </w:tcPr>
          <w:p w14:paraId="00B1CF7D">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12E28986">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5C599F4B">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6537AC27">
            <w:pPr>
              <w:spacing w:after="0" w:line="240" w:lineRule="auto"/>
              <w:ind w:firstLine="0"/>
              <w:contextualSpacing/>
              <w:jc w:val="center"/>
              <w:rPr>
                <w:color w:val="000000"/>
                <w:sz w:val="20"/>
                <w:szCs w:val="20"/>
              </w:rPr>
            </w:pPr>
            <w:r>
              <w:rPr>
                <w:color w:val="000000"/>
                <w:sz w:val="20"/>
                <w:szCs w:val="20"/>
              </w:rPr>
              <w:t>х</w:t>
            </w:r>
          </w:p>
        </w:tc>
      </w:tr>
      <w:tr w14:paraId="624B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3B46B892">
            <w:pPr>
              <w:spacing w:after="0" w:line="240" w:lineRule="auto"/>
              <w:ind w:firstLine="0"/>
              <w:contextualSpacing/>
              <w:rPr>
                <w:color w:val="000000"/>
                <w:sz w:val="20"/>
                <w:szCs w:val="20"/>
              </w:rPr>
            </w:pPr>
          </w:p>
        </w:tc>
        <w:tc>
          <w:tcPr>
            <w:tcW w:w="1064" w:type="pct"/>
            <w:vMerge w:val="continue"/>
            <w:vAlign w:val="center"/>
          </w:tcPr>
          <w:p w14:paraId="12B6C4F7">
            <w:pPr>
              <w:spacing w:after="0" w:line="240" w:lineRule="auto"/>
              <w:ind w:firstLine="0"/>
              <w:contextualSpacing/>
              <w:rPr>
                <w:color w:val="000000"/>
                <w:sz w:val="20"/>
                <w:szCs w:val="20"/>
              </w:rPr>
            </w:pPr>
          </w:p>
        </w:tc>
        <w:tc>
          <w:tcPr>
            <w:tcW w:w="590" w:type="pct"/>
            <w:shd w:val="clear" w:color="auto" w:fill="auto"/>
            <w:vAlign w:val="center"/>
          </w:tcPr>
          <w:p w14:paraId="651FD4A2">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4C2BCE12">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012152B8">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7EDB78CC">
            <w:pPr>
              <w:spacing w:after="0" w:line="240" w:lineRule="auto"/>
              <w:ind w:firstLine="0"/>
              <w:contextualSpacing/>
              <w:jc w:val="center"/>
              <w:rPr>
                <w:color w:val="000000"/>
                <w:sz w:val="20"/>
                <w:szCs w:val="20"/>
              </w:rPr>
            </w:pPr>
            <w:r>
              <w:rPr>
                <w:color w:val="000000"/>
                <w:sz w:val="20"/>
                <w:szCs w:val="20"/>
              </w:rPr>
              <w:t>х</w:t>
            </w:r>
          </w:p>
        </w:tc>
      </w:tr>
      <w:tr w14:paraId="45CC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3325DE87">
            <w:pPr>
              <w:spacing w:after="0" w:line="240" w:lineRule="auto"/>
              <w:ind w:firstLine="0"/>
              <w:contextualSpacing/>
              <w:rPr>
                <w:color w:val="000000"/>
                <w:sz w:val="20"/>
                <w:szCs w:val="20"/>
              </w:rPr>
            </w:pPr>
          </w:p>
        </w:tc>
        <w:tc>
          <w:tcPr>
            <w:tcW w:w="1064" w:type="pct"/>
            <w:vMerge w:val="continue"/>
            <w:vAlign w:val="center"/>
          </w:tcPr>
          <w:p w14:paraId="454974DB">
            <w:pPr>
              <w:spacing w:after="0" w:line="240" w:lineRule="auto"/>
              <w:ind w:firstLine="0"/>
              <w:contextualSpacing/>
              <w:rPr>
                <w:color w:val="000000"/>
                <w:sz w:val="20"/>
                <w:szCs w:val="20"/>
              </w:rPr>
            </w:pPr>
          </w:p>
        </w:tc>
        <w:tc>
          <w:tcPr>
            <w:tcW w:w="590" w:type="pct"/>
            <w:shd w:val="clear" w:color="auto" w:fill="auto"/>
            <w:vAlign w:val="center"/>
          </w:tcPr>
          <w:p w14:paraId="545F8BF4">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73890524">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5FE987EE">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6C9DCE37">
            <w:pPr>
              <w:spacing w:after="0" w:line="240" w:lineRule="auto"/>
              <w:ind w:firstLine="0"/>
              <w:contextualSpacing/>
              <w:jc w:val="center"/>
              <w:rPr>
                <w:color w:val="000000"/>
                <w:sz w:val="20"/>
                <w:szCs w:val="20"/>
              </w:rPr>
            </w:pPr>
            <w:r>
              <w:rPr>
                <w:color w:val="000000"/>
                <w:sz w:val="20"/>
                <w:szCs w:val="20"/>
              </w:rPr>
              <w:t>х</w:t>
            </w:r>
          </w:p>
        </w:tc>
      </w:tr>
      <w:tr w14:paraId="3986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trPr>
        <w:tc>
          <w:tcPr>
            <w:tcW w:w="318" w:type="pct"/>
            <w:vMerge w:val="restart"/>
            <w:shd w:val="clear" w:color="auto" w:fill="auto"/>
            <w:vAlign w:val="center"/>
          </w:tcPr>
          <w:p w14:paraId="1A211244">
            <w:pPr>
              <w:spacing w:after="0" w:line="240" w:lineRule="auto"/>
              <w:ind w:firstLine="0"/>
              <w:contextualSpacing/>
              <w:jc w:val="center"/>
              <w:rPr>
                <w:color w:val="000000"/>
                <w:sz w:val="20"/>
                <w:szCs w:val="20"/>
              </w:rPr>
            </w:pPr>
            <w:r>
              <w:rPr>
                <w:color w:val="000000"/>
                <w:sz w:val="20"/>
                <w:szCs w:val="20"/>
              </w:rPr>
              <w:t>6.</w:t>
            </w:r>
          </w:p>
        </w:tc>
        <w:tc>
          <w:tcPr>
            <w:tcW w:w="1064" w:type="pct"/>
            <w:vMerge w:val="restart"/>
            <w:shd w:val="clear" w:color="auto" w:fill="auto"/>
            <w:vAlign w:val="center"/>
          </w:tcPr>
          <w:p w14:paraId="4748B909">
            <w:pPr>
              <w:spacing w:after="0" w:line="240" w:lineRule="auto"/>
              <w:ind w:firstLine="0"/>
              <w:contextualSpacing/>
              <w:rPr>
                <w:color w:val="000000"/>
                <w:sz w:val="20"/>
                <w:szCs w:val="20"/>
              </w:rPr>
            </w:pPr>
            <w:r>
              <w:rPr>
                <w:color w:val="000000"/>
                <w:sz w:val="20"/>
                <w:szCs w:val="20"/>
              </w:rPr>
              <w:t>Многоквартирные дома с централизованным холодным и горячим водоснабжением, без централизованного водоотведения</w:t>
            </w:r>
          </w:p>
        </w:tc>
        <w:tc>
          <w:tcPr>
            <w:tcW w:w="590" w:type="pct"/>
            <w:shd w:val="clear" w:color="auto" w:fill="auto"/>
            <w:vAlign w:val="center"/>
          </w:tcPr>
          <w:p w14:paraId="0AB70B44">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63B7A077">
            <w:pPr>
              <w:spacing w:after="0" w:line="240" w:lineRule="auto"/>
              <w:ind w:firstLine="0"/>
              <w:contextualSpacing/>
              <w:jc w:val="center"/>
              <w:rPr>
                <w:color w:val="000000"/>
                <w:sz w:val="20"/>
                <w:szCs w:val="20"/>
              </w:rPr>
            </w:pPr>
            <w:r>
              <w:rPr>
                <w:color w:val="000000"/>
                <w:sz w:val="20"/>
                <w:szCs w:val="20"/>
              </w:rPr>
              <w:t>0,041</w:t>
            </w:r>
          </w:p>
        </w:tc>
        <w:tc>
          <w:tcPr>
            <w:tcW w:w="1000" w:type="pct"/>
            <w:shd w:val="clear" w:color="auto" w:fill="auto"/>
            <w:vAlign w:val="center"/>
          </w:tcPr>
          <w:p w14:paraId="4BD8FD1B">
            <w:pPr>
              <w:spacing w:after="0" w:line="240" w:lineRule="auto"/>
              <w:ind w:firstLine="0"/>
              <w:contextualSpacing/>
              <w:jc w:val="center"/>
              <w:rPr>
                <w:color w:val="000000"/>
                <w:sz w:val="20"/>
                <w:szCs w:val="20"/>
              </w:rPr>
            </w:pPr>
            <w:r>
              <w:rPr>
                <w:color w:val="000000"/>
                <w:sz w:val="20"/>
                <w:szCs w:val="20"/>
              </w:rPr>
              <w:t>0,041</w:t>
            </w:r>
          </w:p>
        </w:tc>
        <w:tc>
          <w:tcPr>
            <w:tcW w:w="959" w:type="pct"/>
            <w:shd w:val="clear" w:color="auto" w:fill="auto"/>
            <w:vAlign w:val="center"/>
          </w:tcPr>
          <w:p w14:paraId="23559E00">
            <w:pPr>
              <w:spacing w:after="0" w:line="240" w:lineRule="auto"/>
              <w:ind w:firstLine="0"/>
              <w:contextualSpacing/>
              <w:jc w:val="center"/>
              <w:rPr>
                <w:color w:val="000000"/>
                <w:sz w:val="20"/>
                <w:szCs w:val="20"/>
              </w:rPr>
            </w:pPr>
            <w:r>
              <w:rPr>
                <w:color w:val="000000"/>
                <w:sz w:val="20"/>
                <w:szCs w:val="20"/>
              </w:rPr>
              <w:t>х</w:t>
            </w:r>
          </w:p>
        </w:tc>
      </w:tr>
      <w:tr w14:paraId="0670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75339350">
            <w:pPr>
              <w:spacing w:after="0" w:line="240" w:lineRule="auto"/>
              <w:ind w:firstLine="0"/>
              <w:contextualSpacing/>
              <w:rPr>
                <w:color w:val="000000"/>
                <w:sz w:val="20"/>
                <w:szCs w:val="20"/>
              </w:rPr>
            </w:pPr>
          </w:p>
        </w:tc>
        <w:tc>
          <w:tcPr>
            <w:tcW w:w="1064" w:type="pct"/>
            <w:vMerge w:val="continue"/>
            <w:vAlign w:val="center"/>
          </w:tcPr>
          <w:p w14:paraId="131A4A89">
            <w:pPr>
              <w:spacing w:after="0" w:line="240" w:lineRule="auto"/>
              <w:ind w:firstLine="0"/>
              <w:contextualSpacing/>
              <w:rPr>
                <w:color w:val="000000"/>
                <w:sz w:val="20"/>
                <w:szCs w:val="20"/>
              </w:rPr>
            </w:pPr>
          </w:p>
        </w:tc>
        <w:tc>
          <w:tcPr>
            <w:tcW w:w="590" w:type="pct"/>
            <w:shd w:val="clear" w:color="auto" w:fill="auto"/>
            <w:vAlign w:val="center"/>
          </w:tcPr>
          <w:p w14:paraId="19898111">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6A7FC8AB">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63E5BE22">
            <w:pPr>
              <w:spacing w:after="0" w:line="240" w:lineRule="auto"/>
              <w:ind w:firstLine="0"/>
              <w:contextualSpacing/>
              <w:jc w:val="center"/>
              <w:rPr>
                <w:color w:val="000000"/>
                <w:sz w:val="20"/>
                <w:szCs w:val="20"/>
              </w:rPr>
            </w:pPr>
            <w:r>
              <w:rPr>
                <w:color w:val="000000"/>
                <w:sz w:val="20"/>
                <w:szCs w:val="20"/>
              </w:rPr>
              <w:t>-</w:t>
            </w:r>
          </w:p>
        </w:tc>
        <w:tc>
          <w:tcPr>
            <w:tcW w:w="959" w:type="pct"/>
            <w:shd w:val="clear" w:color="auto" w:fill="auto"/>
            <w:vAlign w:val="center"/>
          </w:tcPr>
          <w:p w14:paraId="181A1708">
            <w:pPr>
              <w:spacing w:after="0" w:line="240" w:lineRule="auto"/>
              <w:ind w:firstLine="0"/>
              <w:contextualSpacing/>
              <w:jc w:val="center"/>
              <w:rPr>
                <w:color w:val="000000"/>
                <w:sz w:val="20"/>
                <w:szCs w:val="20"/>
              </w:rPr>
            </w:pPr>
            <w:r>
              <w:rPr>
                <w:color w:val="000000"/>
                <w:sz w:val="20"/>
                <w:szCs w:val="20"/>
              </w:rPr>
              <w:t>х</w:t>
            </w:r>
          </w:p>
        </w:tc>
      </w:tr>
      <w:tr w14:paraId="654B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57085244">
            <w:pPr>
              <w:spacing w:after="0" w:line="240" w:lineRule="auto"/>
              <w:ind w:firstLine="0"/>
              <w:contextualSpacing/>
              <w:rPr>
                <w:color w:val="000000"/>
                <w:sz w:val="20"/>
                <w:szCs w:val="20"/>
              </w:rPr>
            </w:pPr>
          </w:p>
        </w:tc>
        <w:tc>
          <w:tcPr>
            <w:tcW w:w="1064" w:type="pct"/>
            <w:vMerge w:val="continue"/>
            <w:vAlign w:val="center"/>
          </w:tcPr>
          <w:p w14:paraId="6162FC18">
            <w:pPr>
              <w:spacing w:after="0" w:line="240" w:lineRule="auto"/>
              <w:ind w:firstLine="0"/>
              <w:contextualSpacing/>
              <w:rPr>
                <w:color w:val="000000"/>
                <w:sz w:val="20"/>
                <w:szCs w:val="20"/>
              </w:rPr>
            </w:pPr>
          </w:p>
        </w:tc>
        <w:tc>
          <w:tcPr>
            <w:tcW w:w="590" w:type="pct"/>
            <w:shd w:val="clear" w:color="auto" w:fill="auto"/>
            <w:vAlign w:val="center"/>
          </w:tcPr>
          <w:p w14:paraId="198BEB99">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3C89E1B5">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36579069">
            <w:pPr>
              <w:spacing w:after="0" w:line="240" w:lineRule="auto"/>
              <w:ind w:firstLine="0"/>
              <w:contextualSpacing/>
              <w:jc w:val="center"/>
              <w:rPr>
                <w:color w:val="000000"/>
                <w:sz w:val="20"/>
                <w:szCs w:val="20"/>
              </w:rPr>
            </w:pPr>
            <w:r>
              <w:rPr>
                <w:color w:val="000000"/>
                <w:sz w:val="20"/>
                <w:szCs w:val="20"/>
              </w:rPr>
              <w:t>-</w:t>
            </w:r>
          </w:p>
        </w:tc>
        <w:tc>
          <w:tcPr>
            <w:tcW w:w="959" w:type="pct"/>
            <w:shd w:val="clear" w:color="auto" w:fill="auto"/>
            <w:vAlign w:val="center"/>
          </w:tcPr>
          <w:p w14:paraId="159719BD">
            <w:pPr>
              <w:spacing w:after="0" w:line="240" w:lineRule="auto"/>
              <w:ind w:firstLine="0"/>
              <w:contextualSpacing/>
              <w:jc w:val="center"/>
              <w:rPr>
                <w:color w:val="000000"/>
                <w:sz w:val="20"/>
                <w:szCs w:val="20"/>
              </w:rPr>
            </w:pPr>
            <w:r>
              <w:rPr>
                <w:color w:val="000000"/>
                <w:sz w:val="20"/>
                <w:szCs w:val="20"/>
              </w:rPr>
              <w:t>х</w:t>
            </w:r>
          </w:p>
        </w:tc>
      </w:tr>
      <w:tr w14:paraId="0FC8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trPr>
        <w:tc>
          <w:tcPr>
            <w:tcW w:w="318" w:type="pct"/>
            <w:vMerge w:val="continue"/>
            <w:vAlign w:val="center"/>
          </w:tcPr>
          <w:p w14:paraId="4FEBB57F">
            <w:pPr>
              <w:spacing w:after="0" w:line="240" w:lineRule="auto"/>
              <w:ind w:firstLine="0"/>
              <w:contextualSpacing/>
              <w:rPr>
                <w:color w:val="000000"/>
                <w:sz w:val="20"/>
                <w:szCs w:val="20"/>
              </w:rPr>
            </w:pPr>
          </w:p>
        </w:tc>
        <w:tc>
          <w:tcPr>
            <w:tcW w:w="1064" w:type="pct"/>
            <w:vMerge w:val="continue"/>
            <w:vAlign w:val="center"/>
          </w:tcPr>
          <w:p w14:paraId="33FE53BD">
            <w:pPr>
              <w:spacing w:after="0" w:line="240" w:lineRule="auto"/>
              <w:ind w:firstLine="0"/>
              <w:contextualSpacing/>
              <w:rPr>
                <w:color w:val="000000"/>
                <w:sz w:val="20"/>
                <w:szCs w:val="20"/>
              </w:rPr>
            </w:pPr>
          </w:p>
        </w:tc>
        <w:tc>
          <w:tcPr>
            <w:tcW w:w="590" w:type="pct"/>
            <w:shd w:val="clear" w:color="auto" w:fill="auto"/>
            <w:vAlign w:val="center"/>
          </w:tcPr>
          <w:p w14:paraId="7CF0BB86">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3F98DBD6">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57734A5D">
            <w:pPr>
              <w:spacing w:after="0" w:line="240" w:lineRule="auto"/>
              <w:ind w:firstLine="0"/>
              <w:contextualSpacing/>
              <w:jc w:val="center"/>
              <w:rPr>
                <w:color w:val="000000"/>
                <w:sz w:val="20"/>
                <w:szCs w:val="20"/>
              </w:rPr>
            </w:pPr>
            <w:r>
              <w:rPr>
                <w:color w:val="000000"/>
                <w:sz w:val="20"/>
                <w:szCs w:val="20"/>
              </w:rPr>
              <w:t>-</w:t>
            </w:r>
          </w:p>
        </w:tc>
        <w:tc>
          <w:tcPr>
            <w:tcW w:w="959" w:type="pct"/>
            <w:shd w:val="clear" w:color="auto" w:fill="auto"/>
            <w:vAlign w:val="center"/>
          </w:tcPr>
          <w:p w14:paraId="13AE3A2C">
            <w:pPr>
              <w:spacing w:after="0" w:line="240" w:lineRule="auto"/>
              <w:ind w:firstLine="0"/>
              <w:contextualSpacing/>
              <w:jc w:val="center"/>
              <w:rPr>
                <w:color w:val="000000"/>
                <w:sz w:val="20"/>
                <w:szCs w:val="20"/>
              </w:rPr>
            </w:pPr>
            <w:r>
              <w:rPr>
                <w:color w:val="000000"/>
                <w:sz w:val="20"/>
                <w:szCs w:val="20"/>
              </w:rPr>
              <w:t>х</w:t>
            </w:r>
          </w:p>
        </w:tc>
      </w:tr>
      <w:tr w14:paraId="59DD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trPr>
        <w:tc>
          <w:tcPr>
            <w:tcW w:w="5000" w:type="pct"/>
            <w:gridSpan w:val="6"/>
            <w:shd w:val="clear" w:color="auto" w:fill="auto"/>
            <w:vAlign w:val="center"/>
          </w:tcPr>
          <w:p w14:paraId="574E3C43">
            <w:pPr>
              <w:spacing w:after="0" w:line="240" w:lineRule="auto"/>
              <w:ind w:firstLine="0"/>
              <w:contextualSpacing/>
              <w:jc w:val="center"/>
              <w:rPr>
                <w:color w:val="000000"/>
                <w:sz w:val="20"/>
                <w:szCs w:val="20"/>
              </w:rPr>
            </w:pPr>
            <w:r>
              <w:rPr>
                <w:color w:val="000000"/>
                <w:sz w:val="20"/>
                <w:szCs w:val="20"/>
              </w:rPr>
              <w:t>Дополнительные категории:</w:t>
            </w:r>
          </w:p>
        </w:tc>
      </w:tr>
      <w:tr w14:paraId="545D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restart"/>
            <w:shd w:val="clear" w:color="auto" w:fill="auto"/>
            <w:vAlign w:val="center"/>
          </w:tcPr>
          <w:p w14:paraId="7EBA0980">
            <w:pPr>
              <w:spacing w:after="0" w:line="240" w:lineRule="auto"/>
              <w:ind w:firstLine="0"/>
              <w:contextualSpacing/>
              <w:jc w:val="center"/>
              <w:rPr>
                <w:color w:val="000000"/>
                <w:sz w:val="20"/>
                <w:szCs w:val="20"/>
              </w:rPr>
            </w:pPr>
            <w:r>
              <w:rPr>
                <w:color w:val="000000"/>
                <w:sz w:val="20"/>
                <w:szCs w:val="20"/>
              </w:rPr>
              <w:t>7.</w:t>
            </w:r>
          </w:p>
        </w:tc>
        <w:tc>
          <w:tcPr>
            <w:tcW w:w="1064" w:type="pct"/>
            <w:vMerge w:val="restart"/>
            <w:shd w:val="clear" w:color="auto" w:fill="auto"/>
            <w:vAlign w:val="center"/>
          </w:tcPr>
          <w:p w14:paraId="428E6975">
            <w:pPr>
              <w:spacing w:after="0" w:line="240" w:lineRule="auto"/>
              <w:ind w:firstLine="0"/>
              <w:contextualSpacing/>
              <w:rPr>
                <w:color w:val="000000"/>
                <w:sz w:val="20"/>
                <w:szCs w:val="20"/>
              </w:rPr>
            </w:pPr>
            <w:r>
              <w:rPr>
                <w:color w:val="000000"/>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590" w:type="pct"/>
            <w:shd w:val="clear" w:color="auto" w:fill="auto"/>
            <w:vAlign w:val="center"/>
          </w:tcPr>
          <w:p w14:paraId="43678A8D">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751EA3BE">
            <w:pPr>
              <w:spacing w:after="0" w:line="240" w:lineRule="auto"/>
              <w:ind w:firstLine="0"/>
              <w:contextualSpacing/>
              <w:jc w:val="center"/>
              <w:rPr>
                <w:color w:val="000000"/>
                <w:sz w:val="20"/>
                <w:szCs w:val="20"/>
              </w:rPr>
            </w:pPr>
            <w:r>
              <w:rPr>
                <w:color w:val="000000"/>
                <w:sz w:val="20"/>
                <w:szCs w:val="20"/>
              </w:rPr>
              <w:t>0,031</w:t>
            </w:r>
          </w:p>
        </w:tc>
        <w:tc>
          <w:tcPr>
            <w:tcW w:w="1000" w:type="pct"/>
            <w:shd w:val="clear" w:color="auto" w:fill="auto"/>
            <w:vAlign w:val="center"/>
          </w:tcPr>
          <w:p w14:paraId="082065B0">
            <w:pPr>
              <w:spacing w:after="0" w:line="240" w:lineRule="auto"/>
              <w:ind w:firstLine="0"/>
              <w:contextualSpacing/>
              <w:jc w:val="center"/>
              <w:rPr>
                <w:color w:val="000000"/>
                <w:sz w:val="20"/>
                <w:szCs w:val="20"/>
              </w:rPr>
            </w:pPr>
            <w:r>
              <w:rPr>
                <w:color w:val="000000"/>
                <w:sz w:val="20"/>
                <w:szCs w:val="20"/>
              </w:rPr>
              <w:t>0,031</w:t>
            </w:r>
          </w:p>
        </w:tc>
        <w:tc>
          <w:tcPr>
            <w:tcW w:w="959" w:type="pct"/>
            <w:shd w:val="clear" w:color="auto" w:fill="auto"/>
            <w:vAlign w:val="center"/>
          </w:tcPr>
          <w:p w14:paraId="7F57316F">
            <w:pPr>
              <w:spacing w:after="0" w:line="240" w:lineRule="auto"/>
              <w:ind w:firstLine="0"/>
              <w:contextualSpacing/>
              <w:jc w:val="center"/>
              <w:rPr>
                <w:color w:val="000000"/>
                <w:sz w:val="20"/>
                <w:szCs w:val="20"/>
              </w:rPr>
            </w:pPr>
            <w:r>
              <w:rPr>
                <w:color w:val="000000"/>
                <w:sz w:val="20"/>
                <w:szCs w:val="20"/>
              </w:rPr>
              <w:t>х</w:t>
            </w:r>
          </w:p>
        </w:tc>
      </w:tr>
      <w:tr w14:paraId="622A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3FE4B4F7">
            <w:pPr>
              <w:spacing w:after="0" w:line="240" w:lineRule="auto"/>
              <w:ind w:firstLine="0"/>
              <w:contextualSpacing/>
              <w:rPr>
                <w:color w:val="000000"/>
                <w:sz w:val="20"/>
                <w:szCs w:val="20"/>
              </w:rPr>
            </w:pPr>
          </w:p>
        </w:tc>
        <w:tc>
          <w:tcPr>
            <w:tcW w:w="1064" w:type="pct"/>
            <w:vMerge w:val="continue"/>
            <w:vAlign w:val="center"/>
          </w:tcPr>
          <w:p w14:paraId="016935DC">
            <w:pPr>
              <w:spacing w:after="0" w:line="240" w:lineRule="auto"/>
              <w:ind w:firstLine="0"/>
              <w:contextualSpacing/>
              <w:rPr>
                <w:color w:val="000000"/>
                <w:sz w:val="20"/>
                <w:szCs w:val="20"/>
              </w:rPr>
            </w:pPr>
          </w:p>
        </w:tc>
        <w:tc>
          <w:tcPr>
            <w:tcW w:w="590" w:type="pct"/>
            <w:shd w:val="clear" w:color="auto" w:fill="auto"/>
            <w:vAlign w:val="center"/>
          </w:tcPr>
          <w:p w14:paraId="236276D7">
            <w:pPr>
              <w:spacing w:after="0" w:line="240" w:lineRule="auto"/>
              <w:ind w:firstLine="0"/>
              <w:contextualSpacing/>
              <w:jc w:val="center"/>
              <w:rPr>
                <w:color w:val="000000"/>
                <w:sz w:val="20"/>
                <w:szCs w:val="20"/>
              </w:rPr>
            </w:pPr>
            <w:r>
              <w:rPr>
                <w:color w:val="000000"/>
                <w:sz w:val="20"/>
                <w:szCs w:val="20"/>
              </w:rPr>
              <w:t>6-9</w:t>
            </w:r>
          </w:p>
        </w:tc>
        <w:tc>
          <w:tcPr>
            <w:tcW w:w="1069" w:type="pct"/>
            <w:shd w:val="clear" w:color="auto" w:fill="auto"/>
            <w:vAlign w:val="center"/>
          </w:tcPr>
          <w:p w14:paraId="42CE7C4D">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678C9478">
            <w:pPr>
              <w:spacing w:after="0" w:line="240" w:lineRule="auto"/>
              <w:ind w:firstLine="0"/>
              <w:contextualSpacing/>
              <w:jc w:val="center"/>
              <w:rPr>
                <w:color w:val="000000"/>
                <w:sz w:val="20"/>
                <w:szCs w:val="20"/>
              </w:rPr>
            </w:pPr>
            <w:r>
              <w:rPr>
                <w:color w:val="000000"/>
                <w:sz w:val="20"/>
                <w:szCs w:val="20"/>
              </w:rPr>
              <w:t>-</w:t>
            </w:r>
          </w:p>
        </w:tc>
        <w:tc>
          <w:tcPr>
            <w:tcW w:w="959" w:type="pct"/>
            <w:shd w:val="clear" w:color="auto" w:fill="auto"/>
            <w:vAlign w:val="center"/>
          </w:tcPr>
          <w:p w14:paraId="5CD3D851">
            <w:pPr>
              <w:spacing w:after="0" w:line="240" w:lineRule="auto"/>
              <w:ind w:firstLine="0"/>
              <w:contextualSpacing/>
              <w:jc w:val="center"/>
              <w:rPr>
                <w:color w:val="000000"/>
                <w:sz w:val="20"/>
                <w:szCs w:val="20"/>
              </w:rPr>
            </w:pPr>
            <w:r>
              <w:rPr>
                <w:color w:val="000000"/>
                <w:sz w:val="20"/>
                <w:szCs w:val="20"/>
              </w:rPr>
              <w:t>х</w:t>
            </w:r>
          </w:p>
        </w:tc>
      </w:tr>
      <w:tr w14:paraId="7978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5852413F">
            <w:pPr>
              <w:spacing w:after="0" w:line="240" w:lineRule="auto"/>
              <w:ind w:firstLine="0"/>
              <w:contextualSpacing/>
              <w:rPr>
                <w:color w:val="000000"/>
                <w:sz w:val="20"/>
                <w:szCs w:val="20"/>
              </w:rPr>
            </w:pPr>
          </w:p>
        </w:tc>
        <w:tc>
          <w:tcPr>
            <w:tcW w:w="1064" w:type="pct"/>
            <w:vMerge w:val="continue"/>
            <w:vAlign w:val="center"/>
          </w:tcPr>
          <w:p w14:paraId="487CC08C">
            <w:pPr>
              <w:spacing w:after="0" w:line="240" w:lineRule="auto"/>
              <w:ind w:firstLine="0"/>
              <w:contextualSpacing/>
              <w:rPr>
                <w:color w:val="000000"/>
                <w:sz w:val="20"/>
                <w:szCs w:val="20"/>
              </w:rPr>
            </w:pPr>
          </w:p>
        </w:tc>
        <w:tc>
          <w:tcPr>
            <w:tcW w:w="590" w:type="pct"/>
            <w:shd w:val="clear" w:color="auto" w:fill="auto"/>
            <w:vAlign w:val="center"/>
          </w:tcPr>
          <w:p w14:paraId="2F70F554">
            <w:pPr>
              <w:spacing w:after="0" w:line="240" w:lineRule="auto"/>
              <w:ind w:firstLine="0"/>
              <w:contextualSpacing/>
              <w:jc w:val="center"/>
              <w:rPr>
                <w:color w:val="000000"/>
                <w:sz w:val="20"/>
                <w:szCs w:val="20"/>
              </w:rPr>
            </w:pPr>
            <w:r>
              <w:rPr>
                <w:color w:val="000000"/>
                <w:sz w:val="20"/>
                <w:szCs w:val="20"/>
              </w:rPr>
              <w:t>10-16</w:t>
            </w:r>
          </w:p>
        </w:tc>
        <w:tc>
          <w:tcPr>
            <w:tcW w:w="1069" w:type="pct"/>
            <w:shd w:val="clear" w:color="auto" w:fill="auto"/>
            <w:vAlign w:val="center"/>
          </w:tcPr>
          <w:p w14:paraId="58B1A4B9">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7831450F">
            <w:pPr>
              <w:spacing w:after="0" w:line="240" w:lineRule="auto"/>
              <w:ind w:firstLine="0"/>
              <w:contextualSpacing/>
              <w:jc w:val="center"/>
              <w:rPr>
                <w:color w:val="000000"/>
                <w:sz w:val="20"/>
                <w:szCs w:val="20"/>
              </w:rPr>
            </w:pPr>
            <w:r>
              <w:rPr>
                <w:color w:val="000000"/>
                <w:sz w:val="20"/>
                <w:szCs w:val="20"/>
              </w:rPr>
              <w:t>-</w:t>
            </w:r>
          </w:p>
        </w:tc>
        <w:tc>
          <w:tcPr>
            <w:tcW w:w="959" w:type="pct"/>
            <w:shd w:val="clear" w:color="auto" w:fill="auto"/>
            <w:vAlign w:val="center"/>
          </w:tcPr>
          <w:p w14:paraId="17F6438D">
            <w:pPr>
              <w:spacing w:after="0" w:line="240" w:lineRule="auto"/>
              <w:ind w:firstLine="0"/>
              <w:contextualSpacing/>
              <w:jc w:val="center"/>
              <w:rPr>
                <w:color w:val="000000"/>
                <w:sz w:val="20"/>
                <w:szCs w:val="20"/>
              </w:rPr>
            </w:pPr>
            <w:r>
              <w:rPr>
                <w:color w:val="000000"/>
                <w:sz w:val="20"/>
                <w:szCs w:val="20"/>
              </w:rPr>
              <w:t>х</w:t>
            </w:r>
          </w:p>
        </w:tc>
      </w:tr>
      <w:tr w14:paraId="133F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vMerge w:val="continue"/>
            <w:vAlign w:val="center"/>
          </w:tcPr>
          <w:p w14:paraId="41CA758C">
            <w:pPr>
              <w:spacing w:after="0" w:line="240" w:lineRule="auto"/>
              <w:ind w:firstLine="0"/>
              <w:contextualSpacing/>
              <w:rPr>
                <w:color w:val="000000"/>
                <w:sz w:val="20"/>
                <w:szCs w:val="20"/>
              </w:rPr>
            </w:pPr>
          </w:p>
        </w:tc>
        <w:tc>
          <w:tcPr>
            <w:tcW w:w="1064" w:type="pct"/>
            <w:vMerge w:val="continue"/>
            <w:vAlign w:val="center"/>
          </w:tcPr>
          <w:p w14:paraId="5B77952F">
            <w:pPr>
              <w:spacing w:after="0" w:line="240" w:lineRule="auto"/>
              <w:ind w:firstLine="0"/>
              <w:contextualSpacing/>
              <w:rPr>
                <w:color w:val="000000"/>
                <w:sz w:val="20"/>
                <w:szCs w:val="20"/>
              </w:rPr>
            </w:pPr>
          </w:p>
        </w:tc>
        <w:tc>
          <w:tcPr>
            <w:tcW w:w="590" w:type="pct"/>
            <w:shd w:val="clear" w:color="auto" w:fill="auto"/>
            <w:vAlign w:val="center"/>
          </w:tcPr>
          <w:p w14:paraId="5DFBE04C">
            <w:pPr>
              <w:spacing w:after="0" w:line="240" w:lineRule="auto"/>
              <w:ind w:firstLine="0"/>
              <w:contextualSpacing/>
              <w:jc w:val="center"/>
              <w:rPr>
                <w:color w:val="000000"/>
                <w:sz w:val="20"/>
                <w:szCs w:val="20"/>
              </w:rPr>
            </w:pPr>
            <w:r>
              <w:rPr>
                <w:color w:val="000000"/>
                <w:sz w:val="20"/>
                <w:szCs w:val="20"/>
              </w:rPr>
              <w:t>более 16</w:t>
            </w:r>
          </w:p>
        </w:tc>
        <w:tc>
          <w:tcPr>
            <w:tcW w:w="1069" w:type="pct"/>
            <w:shd w:val="clear" w:color="auto" w:fill="auto"/>
            <w:vAlign w:val="center"/>
          </w:tcPr>
          <w:p w14:paraId="4483B714">
            <w:pPr>
              <w:spacing w:after="0" w:line="240" w:lineRule="auto"/>
              <w:ind w:firstLine="0"/>
              <w:contextualSpacing/>
              <w:jc w:val="center"/>
              <w:rPr>
                <w:color w:val="000000"/>
                <w:sz w:val="20"/>
                <w:szCs w:val="20"/>
              </w:rPr>
            </w:pPr>
            <w:r>
              <w:rPr>
                <w:color w:val="000000"/>
                <w:sz w:val="20"/>
                <w:szCs w:val="20"/>
              </w:rPr>
              <w:t>-</w:t>
            </w:r>
          </w:p>
        </w:tc>
        <w:tc>
          <w:tcPr>
            <w:tcW w:w="1000" w:type="pct"/>
            <w:shd w:val="clear" w:color="auto" w:fill="auto"/>
            <w:vAlign w:val="center"/>
          </w:tcPr>
          <w:p w14:paraId="17B1FA4F">
            <w:pPr>
              <w:spacing w:after="0" w:line="240" w:lineRule="auto"/>
              <w:ind w:firstLine="0"/>
              <w:contextualSpacing/>
              <w:jc w:val="center"/>
              <w:rPr>
                <w:color w:val="000000"/>
                <w:sz w:val="20"/>
                <w:szCs w:val="20"/>
              </w:rPr>
            </w:pPr>
            <w:r>
              <w:rPr>
                <w:color w:val="000000"/>
                <w:sz w:val="20"/>
                <w:szCs w:val="20"/>
              </w:rPr>
              <w:t>-</w:t>
            </w:r>
          </w:p>
        </w:tc>
        <w:tc>
          <w:tcPr>
            <w:tcW w:w="959" w:type="pct"/>
            <w:shd w:val="clear" w:color="auto" w:fill="auto"/>
            <w:vAlign w:val="center"/>
          </w:tcPr>
          <w:p w14:paraId="4065747C">
            <w:pPr>
              <w:spacing w:after="0" w:line="240" w:lineRule="auto"/>
              <w:ind w:firstLine="0"/>
              <w:contextualSpacing/>
              <w:jc w:val="center"/>
              <w:rPr>
                <w:color w:val="000000"/>
                <w:sz w:val="20"/>
                <w:szCs w:val="20"/>
              </w:rPr>
            </w:pPr>
            <w:r>
              <w:rPr>
                <w:color w:val="000000"/>
                <w:sz w:val="20"/>
                <w:szCs w:val="20"/>
              </w:rPr>
              <w:t>х</w:t>
            </w:r>
          </w:p>
        </w:tc>
      </w:tr>
      <w:tr w14:paraId="6F48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318" w:type="pct"/>
            <w:shd w:val="clear" w:color="auto" w:fill="auto"/>
            <w:vAlign w:val="center"/>
          </w:tcPr>
          <w:p w14:paraId="1FBB17E6">
            <w:pPr>
              <w:spacing w:after="0" w:line="240" w:lineRule="auto"/>
              <w:ind w:firstLine="0"/>
              <w:contextualSpacing/>
              <w:jc w:val="center"/>
              <w:rPr>
                <w:color w:val="000000"/>
                <w:sz w:val="20"/>
                <w:szCs w:val="20"/>
              </w:rPr>
            </w:pPr>
            <w:r>
              <w:rPr>
                <w:color w:val="000000"/>
                <w:sz w:val="20"/>
                <w:szCs w:val="20"/>
              </w:rPr>
              <w:t>8.</w:t>
            </w:r>
          </w:p>
        </w:tc>
        <w:tc>
          <w:tcPr>
            <w:tcW w:w="1064" w:type="pct"/>
            <w:shd w:val="clear" w:color="auto" w:fill="auto"/>
            <w:vAlign w:val="center"/>
          </w:tcPr>
          <w:p w14:paraId="5FBD1AED">
            <w:pPr>
              <w:spacing w:after="0" w:line="240" w:lineRule="auto"/>
              <w:ind w:firstLine="0"/>
              <w:contextualSpacing/>
              <w:rPr>
                <w:color w:val="000000"/>
                <w:sz w:val="20"/>
                <w:szCs w:val="20"/>
              </w:rPr>
            </w:pPr>
            <w:r>
              <w:rPr>
                <w:color w:val="000000"/>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590" w:type="pct"/>
            <w:shd w:val="clear" w:color="auto" w:fill="auto"/>
            <w:vAlign w:val="center"/>
          </w:tcPr>
          <w:p w14:paraId="08753840">
            <w:pPr>
              <w:spacing w:after="0" w:line="240" w:lineRule="auto"/>
              <w:ind w:firstLine="0"/>
              <w:contextualSpacing/>
              <w:jc w:val="center"/>
              <w:rPr>
                <w:color w:val="000000"/>
                <w:sz w:val="20"/>
                <w:szCs w:val="20"/>
              </w:rPr>
            </w:pPr>
            <w:r>
              <w:rPr>
                <w:color w:val="000000"/>
                <w:sz w:val="20"/>
                <w:szCs w:val="20"/>
              </w:rPr>
              <w:t>1-5</w:t>
            </w:r>
          </w:p>
        </w:tc>
        <w:tc>
          <w:tcPr>
            <w:tcW w:w="1069" w:type="pct"/>
            <w:shd w:val="clear" w:color="auto" w:fill="auto"/>
            <w:vAlign w:val="center"/>
          </w:tcPr>
          <w:p w14:paraId="46D0556C">
            <w:pPr>
              <w:spacing w:after="0" w:line="240" w:lineRule="auto"/>
              <w:ind w:firstLine="0"/>
              <w:contextualSpacing/>
              <w:jc w:val="center"/>
              <w:rPr>
                <w:color w:val="000000"/>
                <w:sz w:val="20"/>
                <w:szCs w:val="20"/>
              </w:rPr>
            </w:pPr>
            <w:r>
              <w:rPr>
                <w:color w:val="000000"/>
                <w:sz w:val="20"/>
                <w:szCs w:val="20"/>
              </w:rPr>
              <w:t>0,014</w:t>
            </w:r>
          </w:p>
        </w:tc>
        <w:tc>
          <w:tcPr>
            <w:tcW w:w="1000" w:type="pct"/>
            <w:shd w:val="clear" w:color="auto" w:fill="auto"/>
            <w:vAlign w:val="center"/>
          </w:tcPr>
          <w:p w14:paraId="40F3449E">
            <w:pPr>
              <w:spacing w:after="0" w:line="240" w:lineRule="auto"/>
              <w:ind w:firstLine="0"/>
              <w:contextualSpacing/>
              <w:jc w:val="center"/>
              <w:rPr>
                <w:color w:val="000000"/>
                <w:sz w:val="20"/>
                <w:szCs w:val="20"/>
              </w:rPr>
            </w:pPr>
            <w:r>
              <w:rPr>
                <w:color w:val="000000"/>
                <w:sz w:val="20"/>
                <w:szCs w:val="20"/>
              </w:rPr>
              <w:t>х</w:t>
            </w:r>
          </w:p>
        </w:tc>
        <w:tc>
          <w:tcPr>
            <w:tcW w:w="959" w:type="pct"/>
            <w:shd w:val="clear" w:color="auto" w:fill="auto"/>
            <w:vAlign w:val="center"/>
          </w:tcPr>
          <w:p w14:paraId="61D20EA0">
            <w:pPr>
              <w:spacing w:after="0" w:line="240" w:lineRule="auto"/>
              <w:ind w:firstLine="0"/>
              <w:contextualSpacing/>
              <w:jc w:val="center"/>
              <w:rPr>
                <w:color w:val="000000"/>
                <w:sz w:val="20"/>
                <w:szCs w:val="20"/>
              </w:rPr>
            </w:pPr>
            <w:r>
              <w:rPr>
                <w:color w:val="000000"/>
                <w:sz w:val="20"/>
                <w:szCs w:val="20"/>
              </w:rPr>
              <w:t>0,014</w:t>
            </w:r>
          </w:p>
        </w:tc>
      </w:tr>
    </w:tbl>
    <w:p w14:paraId="2A2B705C">
      <w:pPr>
        <w:spacing w:after="0" w:line="240" w:lineRule="auto"/>
        <w:contextualSpacing/>
        <w:jc w:val="both"/>
        <w:rPr>
          <w:sz w:val="24"/>
          <w:szCs w:val="24"/>
        </w:rPr>
      </w:pPr>
    </w:p>
    <w:p w14:paraId="7FA82611">
      <w:pPr>
        <w:pStyle w:val="4"/>
        <w:spacing w:before="0" w:line="240" w:lineRule="auto"/>
        <w:ind w:left="0" w:firstLine="709"/>
        <w:contextualSpacing/>
        <w:rPr>
          <w:rFonts w:cs="Times New Roman"/>
          <w:b w:val="0"/>
          <w:sz w:val="24"/>
        </w:rPr>
      </w:pPr>
      <w:bookmarkStart w:id="177" w:name="_Toc524614781"/>
      <w:bookmarkStart w:id="178" w:name="_Toc182813909"/>
      <w:bookmarkStart w:id="179" w:name="_Toc524614997"/>
      <w:r>
        <w:rPr>
          <w:rFonts w:cs="Times New Roman"/>
          <w:b w:val="0"/>
          <w:sz w:val="24"/>
        </w:rPr>
        <w:t>Сравнение величины договорной и расчетной тепловой нагрузки по зоне действия каждого источника тепловой энергии</w:t>
      </w:r>
      <w:bookmarkEnd w:id="177"/>
      <w:bookmarkEnd w:id="178"/>
      <w:bookmarkEnd w:id="179"/>
    </w:p>
    <w:p w14:paraId="13327AA5">
      <w:pPr>
        <w:pStyle w:val="2183"/>
        <w:spacing w:before="0" w:beforeAutospacing="0" w:after="0" w:afterAutospacing="0"/>
        <w:ind w:firstLine="709"/>
        <w:contextualSpacing/>
        <w:jc w:val="both"/>
        <w:rPr>
          <w:b w:val="0"/>
          <w:color w:val="auto"/>
        </w:rPr>
      </w:pPr>
      <w:r>
        <w:rPr>
          <w:b w:val="0"/>
          <w:color w:val="auto"/>
        </w:rPr>
        <w:t>Договорная тепловая нагрузка (тепловая мощность) – это сумма максимальных тепловых нагрузок всех теплопотребляющих установок абонента и соответствующий ей максимальный расход теплоносителя в час, которые указаны в договоре между теплоснабжающей организацией и абонентом.</w:t>
      </w:r>
    </w:p>
    <w:p w14:paraId="2DC46385">
      <w:pPr>
        <w:pStyle w:val="2183"/>
        <w:spacing w:before="0" w:beforeAutospacing="0" w:after="0" w:afterAutospacing="0"/>
        <w:ind w:firstLine="709"/>
        <w:contextualSpacing/>
        <w:jc w:val="both"/>
        <w:rPr>
          <w:b w:val="0"/>
          <w:color w:val="auto"/>
        </w:rPr>
      </w:pPr>
      <w:r>
        <w:rPr>
          <w:b w:val="0"/>
          <w:color w:val="auto"/>
        </w:rPr>
        <w:t>Сравнение величины договорной и расчётной тепловой нагрузки с.п. Верхнеказымский приведено в таблице 36.</w:t>
      </w:r>
    </w:p>
    <w:p w14:paraId="7A00B8E5">
      <w:pPr>
        <w:spacing w:after="0" w:line="240" w:lineRule="auto"/>
        <w:contextualSpacing/>
        <w:jc w:val="both"/>
        <w:rPr>
          <w:sz w:val="24"/>
          <w:szCs w:val="24"/>
          <w:highlight w:val="yellow"/>
        </w:rPr>
      </w:pPr>
    </w:p>
    <w:p w14:paraId="7B75D3D2">
      <w:pPr>
        <w:pStyle w:val="43"/>
        <w:keepNext/>
        <w:spacing w:before="0" w:after="0" w:line="240" w:lineRule="auto"/>
        <w:ind w:firstLine="0"/>
        <w:contextualSpacing/>
        <w:rPr>
          <w:rFonts w:cs="Times New Roman"/>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36</w:t>
      </w:r>
      <w:r>
        <w:rPr>
          <w:rFonts w:cs="Times New Roman"/>
          <w:b w:val="0"/>
          <w:sz w:val="24"/>
          <w:szCs w:val="24"/>
        </w:rPr>
        <w:fldChar w:fldCharType="end"/>
      </w:r>
      <w:r>
        <w:rPr>
          <w:rFonts w:cs="Times New Roman"/>
          <w:b w:val="0"/>
          <w:sz w:val="24"/>
          <w:szCs w:val="24"/>
        </w:rPr>
        <w:t xml:space="preserve"> – Сравнение величины договорной и расчётной тепловой нагрузки с.п. Верхнеказымский</w:t>
      </w:r>
    </w:p>
    <w:tbl>
      <w:tblPr>
        <w:tblStyle w:val="12"/>
        <w:tblW w:w="5000" w:type="pct"/>
        <w:tblInd w:w="0" w:type="dxa"/>
        <w:tblLayout w:type="autofit"/>
        <w:tblCellMar>
          <w:top w:w="0" w:type="dxa"/>
          <w:left w:w="108" w:type="dxa"/>
          <w:bottom w:w="0" w:type="dxa"/>
          <w:right w:w="108" w:type="dxa"/>
        </w:tblCellMar>
      </w:tblPr>
      <w:tblGrid>
        <w:gridCol w:w="4058"/>
        <w:gridCol w:w="1596"/>
        <w:gridCol w:w="1596"/>
        <w:gridCol w:w="2604"/>
      </w:tblGrid>
      <w:tr w14:paraId="04A9A7FA">
        <w:tblPrEx>
          <w:tblCellMar>
            <w:top w:w="0" w:type="dxa"/>
            <w:left w:w="108" w:type="dxa"/>
            <w:bottom w:w="0" w:type="dxa"/>
            <w:right w:w="108" w:type="dxa"/>
          </w:tblCellMar>
        </w:tblPrEx>
        <w:trPr>
          <w:trHeight w:val="20" w:hRule="atLeast"/>
        </w:trPr>
        <w:tc>
          <w:tcPr>
            <w:tcW w:w="20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B18204">
            <w:pPr>
              <w:spacing w:after="0" w:line="240" w:lineRule="auto"/>
              <w:ind w:firstLine="0"/>
              <w:jc w:val="center"/>
              <w:rPr>
                <w:color w:val="000000"/>
                <w:sz w:val="20"/>
                <w:szCs w:val="20"/>
              </w:rPr>
            </w:pPr>
            <w:r>
              <w:rPr>
                <w:bCs/>
                <w:color w:val="000000"/>
                <w:sz w:val="20"/>
                <w:szCs w:val="20"/>
              </w:rPr>
              <w:t>Наименование источника тепловой энергии</w:t>
            </w:r>
          </w:p>
        </w:tc>
        <w:tc>
          <w:tcPr>
            <w:tcW w:w="1620" w:type="pct"/>
            <w:gridSpan w:val="2"/>
            <w:tcBorders>
              <w:top w:val="single" w:color="auto" w:sz="4" w:space="0"/>
              <w:left w:val="nil"/>
              <w:bottom w:val="single" w:color="auto" w:sz="4" w:space="0"/>
              <w:right w:val="single" w:color="auto" w:sz="4" w:space="0"/>
            </w:tcBorders>
            <w:shd w:val="clear" w:color="auto" w:fill="auto"/>
            <w:vAlign w:val="center"/>
          </w:tcPr>
          <w:p w14:paraId="747AE73B">
            <w:pPr>
              <w:spacing w:after="0" w:line="240" w:lineRule="auto"/>
              <w:ind w:firstLine="0"/>
              <w:jc w:val="center"/>
              <w:rPr>
                <w:color w:val="000000"/>
                <w:sz w:val="20"/>
                <w:szCs w:val="20"/>
              </w:rPr>
            </w:pPr>
            <w:r>
              <w:rPr>
                <w:bCs/>
                <w:color w:val="000000"/>
                <w:sz w:val="20"/>
                <w:szCs w:val="20"/>
              </w:rPr>
              <w:t>Подключённая тепловая нагрузка потребителей, Гкал/ч</w:t>
            </w:r>
          </w:p>
        </w:tc>
        <w:tc>
          <w:tcPr>
            <w:tcW w:w="132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7262783">
            <w:pPr>
              <w:spacing w:after="0" w:line="240" w:lineRule="auto"/>
              <w:ind w:firstLine="0"/>
              <w:jc w:val="center"/>
              <w:rPr>
                <w:color w:val="000000"/>
                <w:sz w:val="20"/>
                <w:szCs w:val="20"/>
              </w:rPr>
            </w:pPr>
            <w:r>
              <w:rPr>
                <w:bCs/>
                <w:color w:val="000000"/>
                <w:sz w:val="20"/>
                <w:szCs w:val="20"/>
              </w:rPr>
              <w:t>Отношение фактической к договорной нагрузке, %</w:t>
            </w:r>
          </w:p>
        </w:tc>
      </w:tr>
      <w:tr w14:paraId="05CBA075">
        <w:tblPrEx>
          <w:tblCellMar>
            <w:top w:w="0" w:type="dxa"/>
            <w:left w:w="108" w:type="dxa"/>
            <w:bottom w:w="0" w:type="dxa"/>
            <w:right w:w="108" w:type="dxa"/>
          </w:tblCellMar>
        </w:tblPrEx>
        <w:trPr>
          <w:trHeight w:val="20" w:hRule="atLeast"/>
        </w:trPr>
        <w:tc>
          <w:tcPr>
            <w:tcW w:w="2059" w:type="pct"/>
            <w:vMerge w:val="continue"/>
            <w:tcBorders>
              <w:top w:val="single" w:color="auto" w:sz="4" w:space="0"/>
              <w:left w:val="single" w:color="auto" w:sz="4" w:space="0"/>
              <w:bottom w:val="single" w:color="auto" w:sz="4" w:space="0"/>
              <w:right w:val="single" w:color="auto" w:sz="4" w:space="0"/>
            </w:tcBorders>
            <w:vAlign w:val="center"/>
          </w:tcPr>
          <w:p w14:paraId="24AADBB7">
            <w:pPr>
              <w:spacing w:after="0" w:line="240" w:lineRule="auto"/>
              <w:ind w:firstLine="0"/>
              <w:rPr>
                <w:color w:val="000000"/>
                <w:sz w:val="20"/>
                <w:szCs w:val="20"/>
              </w:rPr>
            </w:pPr>
          </w:p>
        </w:tc>
        <w:tc>
          <w:tcPr>
            <w:tcW w:w="1620" w:type="pct"/>
            <w:gridSpan w:val="2"/>
            <w:tcBorders>
              <w:top w:val="single" w:color="auto" w:sz="4" w:space="0"/>
              <w:left w:val="nil"/>
              <w:bottom w:val="single" w:color="auto" w:sz="4" w:space="0"/>
              <w:right w:val="single" w:color="auto" w:sz="4" w:space="0"/>
            </w:tcBorders>
            <w:shd w:val="clear" w:color="auto" w:fill="auto"/>
            <w:vAlign w:val="center"/>
          </w:tcPr>
          <w:p w14:paraId="5CDA7C33">
            <w:pPr>
              <w:spacing w:after="0" w:line="240" w:lineRule="auto"/>
              <w:ind w:firstLine="0"/>
              <w:jc w:val="center"/>
              <w:rPr>
                <w:color w:val="000000"/>
                <w:sz w:val="20"/>
                <w:szCs w:val="20"/>
              </w:rPr>
            </w:pPr>
            <w:r>
              <w:rPr>
                <w:color w:val="000000"/>
                <w:sz w:val="20"/>
                <w:szCs w:val="20"/>
              </w:rPr>
              <w:t>2023 год</w:t>
            </w:r>
          </w:p>
        </w:tc>
        <w:tc>
          <w:tcPr>
            <w:tcW w:w="1322" w:type="pct"/>
            <w:vMerge w:val="continue"/>
            <w:tcBorders>
              <w:top w:val="single" w:color="auto" w:sz="4" w:space="0"/>
              <w:left w:val="single" w:color="auto" w:sz="4" w:space="0"/>
              <w:bottom w:val="single" w:color="000000" w:sz="4" w:space="0"/>
              <w:right w:val="single" w:color="auto" w:sz="4" w:space="0"/>
            </w:tcBorders>
            <w:vAlign w:val="center"/>
          </w:tcPr>
          <w:p w14:paraId="5EA2C6B0">
            <w:pPr>
              <w:spacing w:after="0" w:line="240" w:lineRule="auto"/>
              <w:ind w:firstLine="0"/>
              <w:rPr>
                <w:color w:val="000000"/>
                <w:sz w:val="20"/>
                <w:szCs w:val="20"/>
              </w:rPr>
            </w:pPr>
          </w:p>
        </w:tc>
      </w:tr>
      <w:tr w14:paraId="572F6FCD">
        <w:tblPrEx>
          <w:tblCellMar>
            <w:top w:w="0" w:type="dxa"/>
            <w:left w:w="108" w:type="dxa"/>
            <w:bottom w:w="0" w:type="dxa"/>
            <w:right w:w="108" w:type="dxa"/>
          </w:tblCellMar>
        </w:tblPrEx>
        <w:trPr>
          <w:trHeight w:val="20" w:hRule="atLeast"/>
        </w:trPr>
        <w:tc>
          <w:tcPr>
            <w:tcW w:w="2059" w:type="pct"/>
            <w:vMerge w:val="continue"/>
            <w:tcBorders>
              <w:top w:val="single" w:color="auto" w:sz="4" w:space="0"/>
              <w:left w:val="single" w:color="auto" w:sz="4" w:space="0"/>
              <w:bottom w:val="single" w:color="auto" w:sz="4" w:space="0"/>
              <w:right w:val="single" w:color="auto" w:sz="4" w:space="0"/>
            </w:tcBorders>
            <w:vAlign w:val="center"/>
          </w:tcPr>
          <w:p w14:paraId="21BA0748">
            <w:pPr>
              <w:spacing w:after="0" w:line="240" w:lineRule="auto"/>
              <w:ind w:firstLine="0"/>
              <w:rPr>
                <w:color w:val="000000"/>
                <w:sz w:val="20"/>
                <w:szCs w:val="20"/>
              </w:rPr>
            </w:pPr>
          </w:p>
        </w:tc>
        <w:tc>
          <w:tcPr>
            <w:tcW w:w="810" w:type="pct"/>
            <w:tcBorders>
              <w:top w:val="nil"/>
              <w:left w:val="nil"/>
              <w:bottom w:val="single" w:color="auto" w:sz="4" w:space="0"/>
              <w:right w:val="single" w:color="auto" w:sz="4" w:space="0"/>
            </w:tcBorders>
            <w:shd w:val="clear" w:color="auto" w:fill="auto"/>
            <w:vAlign w:val="center"/>
          </w:tcPr>
          <w:p w14:paraId="546A3456">
            <w:pPr>
              <w:spacing w:after="0" w:line="240" w:lineRule="auto"/>
              <w:ind w:firstLine="0"/>
              <w:jc w:val="center"/>
              <w:rPr>
                <w:color w:val="000000"/>
                <w:sz w:val="20"/>
                <w:szCs w:val="20"/>
              </w:rPr>
            </w:pPr>
            <w:r>
              <w:rPr>
                <w:color w:val="000000"/>
                <w:sz w:val="20"/>
                <w:szCs w:val="20"/>
              </w:rPr>
              <w:t>Тариф</w:t>
            </w:r>
          </w:p>
        </w:tc>
        <w:tc>
          <w:tcPr>
            <w:tcW w:w="810" w:type="pct"/>
            <w:tcBorders>
              <w:top w:val="nil"/>
              <w:left w:val="nil"/>
              <w:bottom w:val="single" w:color="auto" w:sz="4" w:space="0"/>
              <w:right w:val="single" w:color="auto" w:sz="4" w:space="0"/>
            </w:tcBorders>
            <w:shd w:val="clear" w:color="auto" w:fill="auto"/>
            <w:vAlign w:val="center"/>
          </w:tcPr>
          <w:p w14:paraId="0A02CF68">
            <w:pPr>
              <w:spacing w:after="0" w:line="240" w:lineRule="auto"/>
              <w:ind w:firstLine="0"/>
              <w:jc w:val="center"/>
              <w:rPr>
                <w:color w:val="000000"/>
                <w:sz w:val="20"/>
                <w:szCs w:val="20"/>
              </w:rPr>
            </w:pPr>
            <w:r>
              <w:rPr>
                <w:color w:val="000000"/>
                <w:sz w:val="20"/>
                <w:szCs w:val="20"/>
              </w:rPr>
              <w:t>Факт</w:t>
            </w:r>
          </w:p>
        </w:tc>
        <w:tc>
          <w:tcPr>
            <w:tcW w:w="1322" w:type="pct"/>
            <w:vMerge w:val="continue"/>
            <w:tcBorders>
              <w:top w:val="single" w:color="auto" w:sz="4" w:space="0"/>
              <w:left w:val="single" w:color="auto" w:sz="4" w:space="0"/>
              <w:bottom w:val="single" w:color="000000" w:sz="4" w:space="0"/>
              <w:right w:val="single" w:color="auto" w:sz="4" w:space="0"/>
            </w:tcBorders>
            <w:vAlign w:val="center"/>
          </w:tcPr>
          <w:p w14:paraId="6F4AB0B6">
            <w:pPr>
              <w:spacing w:after="0" w:line="240" w:lineRule="auto"/>
              <w:ind w:firstLine="0"/>
              <w:rPr>
                <w:color w:val="000000"/>
                <w:sz w:val="20"/>
                <w:szCs w:val="20"/>
              </w:rPr>
            </w:pPr>
          </w:p>
        </w:tc>
      </w:tr>
      <w:tr w14:paraId="18F0247E">
        <w:tblPrEx>
          <w:tblCellMar>
            <w:top w:w="0" w:type="dxa"/>
            <w:left w:w="108" w:type="dxa"/>
            <w:bottom w:w="0" w:type="dxa"/>
            <w:right w:w="108" w:type="dxa"/>
          </w:tblCellMar>
        </w:tblPrEx>
        <w:trPr>
          <w:trHeight w:val="20" w:hRule="atLeast"/>
        </w:trPr>
        <w:tc>
          <w:tcPr>
            <w:tcW w:w="2059" w:type="pct"/>
            <w:tcBorders>
              <w:top w:val="nil"/>
              <w:left w:val="single" w:color="auto" w:sz="4" w:space="0"/>
              <w:bottom w:val="single" w:color="auto" w:sz="4" w:space="0"/>
              <w:right w:val="single" w:color="auto" w:sz="4" w:space="0"/>
            </w:tcBorders>
            <w:shd w:val="clear" w:color="auto" w:fill="auto"/>
            <w:vAlign w:val="center"/>
          </w:tcPr>
          <w:p w14:paraId="178FED1B">
            <w:pPr>
              <w:spacing w:after="0" w:line="240" w:lineRule="auto"/>
              <w:ind w:firstLine="0"/>
              <w:jc w:val="center"/>
              <w:rPr>
                <w:color w:val="000000"/>
                <w:sz w:val="20"/>
                <w:szCs w:val="20"/>
              </w:rPr>
            </w:pPr>
            <w:r>
              <w:rPr>
                <w:color w:val="000000"/>
                <w:sz w:val="20"/>
                <w:szCs w:val="20"/>
              </w:rPr>
              <w:t>Котельная №2 МУП «БКС»</w:t>
            </w:r>
          </w:p>
        </w:tc>
        <w:tc>
          <w:tcPr>
            <w:tcW w:w="810" w:type="pct"/>
            <w:tcBorders>
              <w:top w:val="nil"/>
              <w:left w:val="nil"/>
              <w:bottom w:val="single" w:color="auto" w:sz="4" w:space="0"/>
              <w:right w:val="single" w:color="auto" w:sz="4" w:space="0"/>
            </w:tcBorders>
            <w:shd w:val="clear" w:color="auto" w:fill="auto"/>
            <w:vAlign w:val="center"/>
          </w:tcPr>
          <w:p w14:paraId="289FEF5C">
            <w:pPr>
              <w:spacing w:after="0" w:line="240" w:lineRule="auto"/>
              <w:ind w:firstLine="0"/>
              <w:jc w:val="center"/>
              <w:rPr>
                <w:color w:val="000000"/>
                <w:sz w:val="20"/>
                <w:szCs w:val="20"/>
              </w:rPr>
            </w:pPr>
            <w:r>
              <w:rPr>
                <w:color w:val="000000"/>
                <w:sz w:val="20"/>
                <w:szCs w:val="20"/>
              </w:rPr>
              <w:t>1,586</w:t>
            </w:r>
          </w:p>
        </w:tc>
        <w:tc>
          <w:tcPr>
            <w:tcW w:w="810" w:type="pct"/>
            <w:tcBorders>
              <w:top w:val="nil"/>
              <w:left w:val="nil"/>
              <w:bottom w:val="single" w:color="auto" w:sz="4" w:space="0"/>
              <w:right w:val="single" w:color="auto" w:sz="4" w:space="0"/>
            </w:tcBorders>
            <w:shd w:val="clear" w:color="auto" w:fill="auto"/>
            <w:vAlign w:val="center"/>
          </w:tcPr>
          <w:p w14:paraId="271022C4">
            <w:pPr>
              <w:spacing w:after="0" w:line="240" w:lineRule="auto"/>
              <w:ind w:firstLine="0"/>
              <w:jc w:val="center"/>
              <w:rPr>
                <w:color w:val="000000"/>
                <w:sz w:val="20"/>
                <w:szCs w:val="20"/>
              </w:rPr>
            </w:pPr>
            <w:r>
              <w:rPr>
                <w:color w:val="000000"/>
                <w:sz w:val="20"/>
                <w:szCs w:val="20"/>
              </w:rPr>
              <w:t>0,5</w:t>
            </w:r>
          </w:p>
        </w:tc>
        <w:tc>
          <w:tcPr>
            <w:tcW w:w="1322" w:type="pct"/>
            <w:tcBorders>
              <w:top w:val="nil"/>
              <w:left w:val="nil"/>
              <w:bottom w:val="single" w:color="auto" w:sz="4" w:space="0"/>
              <w:right w:val="single" w:color="auto" w:sz="4" w:space="0"/>
            </w:tcBorders>
            <w:shd w:val="clear" w:color="auto" w:fill="auto"/>
            <w:vAlign w:val="center"/>
          </w:tcPr>
          <w:p w14:paraId="1C0AE510">
            <w:pPr>
              <w:spacing w:after="0" w:line="240" w:lineRule="auto"/>
              <w:ind w:firstLine="0"/>
              <w:jc w:val="center"/>
              <w:rPr>
                <w:color w:val="000000"/>
                <w:sz w:val="20"/>
                <w:szCs w:val="20"/>
              </w:rPr>
            </w:pPr>
            <w:r>
              <w:rPr>
                <w:color w:val="000000"/>
                <w:sz w:val="20"/>
                <w:szCs w:val="20"/>
              </w:rPr>
              <w:t>31,53</w:t>
            </w:r>
          </w:p>
        </w:tc>
      </w:tr>
      <w:tr w14:paraId="5916B1B7">
        <w:tblPrEx>
          <w:tblCellMar>
            <w:top w:w="0" w:type="dxa"/>
            <w:left w:w="108" w:type="dxa"/>
            <w:bottom w:w="0" w:type="dxa"/>
            <w:right w:w="108" w:type="dxa"/>
          </w:tblCellMar>
        </w:tblPrEx>
        <w:trPr>
          <w:trHeight w:val="20" w:hRule="atLeast"/>
        </w:trPr>
        <w:tc>
          <w:tcPr>
            <w:tcW w:w="2059" w:type="pct"/>
            <w:tcBorders>
              <w:top w:val="nil"/>
              <w:left w:val="single" w:color="auto" w:sz="4" w:space="0"/>
              <w:bottom w:val="single" w:color="auto" w:sz="4" w:space="0"/>
              <w:right w:val="single" w:color="auto" w:sz="4" w:space="0"/>
            </w:tcBorders>
            <w:shd w:val="clear" w:color="auto" w:fill="auto"/>
            <w:vAlign w:val="center"/>
          </w:tcPr>
          <w:p w14:paraId="61E90794">
            <w:pPr>
              <w:spacing w:after="0" w:line="240" w:lineRule="auto"/>
              <w:ind w:firstLine="0"/>
              <w:jc w:val="center"/>
              <w:rPr>
                <w:color w:val="000000"/>
                <w:sz w:val="20"/>
                <w:szCs w:val="20"/>
              </w:rPr>
            </w:pPr>
            <w:r>
              <w:rPr>
                <w:color w:val="000000"/>
                <w:sz w:val="20"/>
                <w:szCs w:val="20"/>
              </w:rPr>
              <w:t>Котельная «2БВК»</w:t>
            </w:r>
          </w:p>
        </w:tc>
        <w:tc>
          <w:tcPr>
            <w:tcW w:w="810" w:type="pct"/>
            <w:tcBorders>
              <w:top w:val="nil"/>
              <w:left w:val="nil"/>
              <w:bottom w:val="single" w:color="auto" w:sz="4" w:space="0"/>
              <w:right w:val="single" w:color="auto" w:sz="4" w:space="0"/>
            </w:tcBorders>
            <w:shd w:val="clear" w:color="auto" w:fill="auto"/>
            <w:vAlign w:val="center"/>
          </w:tcPr>
          <w:p w14:paraId="1CFB730C">
            <w:pPr>
              <w:spacing w:after="0" w:line="240" w:lineRule="auto"/>
              <w:ind w:firstLine="0"/>
              <w:jc w:val="center"/>
              <w:rPr>
                <w:color w:val="000000"/>
                <w:sz w:val="20"/>
                <w:szCs w:val="20"/>
              </w:rPr>
            </w:pPr>
            <w:r>
              <w:rPr>
                <w:color w:val="000000"/>
                <w:sz w:val="20"/>
                <w:szCs w:val="20"/>
              </w:rPr>
              <w:t>0,549</w:t>
            </w:r>
          </w:p>
        </w:tc>
        <w:tc>
          <w:tcPr>
            <w:tcW w:w="810" w:type="pct"/>
            <w:vMerge w:val="restart"/>
            <w:tcBorders>
              <w:top w:val="nil"/>
              <w:left w:val="single" w:color="auto" w:sz="4" w:space="0"/>
              <w:bottom w:val="single" w:color="000000" w:sz="4" w:space="0"/>
              <w:right w:val="single" w:color="auto" w:sz="4" w:space="0"/>
            </w:tcBorders>
            <w:shd w:val="clear" w:color="auto" w:fill="auto"/>
            <w:vAlign w:val="center"/>
          </w:tcPr>
          <w:p w14:paraId="2E0EA821">
            <w:pPr>
              <w:spacing w:after="0" w:line="240" w:lineRule="auto"/>
              <w:ind w:firstLine="0"/>
              <w:jc w:val="center"/>
              <w:rPr>
                <w:color w:val="000000"/>
                <w:sz w:val="20"/>
                <w:szCs w:val="20"/>
              </w:rPr>
            </w:pPr>
            <w:r>
              <w:rPr>
                <w:color w:val="000000"/>
                <w:sz w:val="20"/>
                <w:szCs w:val="20"/>
              </w:rPr>
              <w:t>1,68</w:t>
            </w:r>
          </w:p>
        </w:tc>
        <w:tc>
          <w:tcPr>
            <w:tcW w:w="1322" w:type="pct"/>
            <w:vMerge w:val="restart"/>
            <w:tcBorders>
              <w:top w:val="nil"/>
              <w:left w:val="single" w:color="auto" w:sz="4" w:space="0"/>
              <w:bottom w:val="single" w:color="000000" w:sz="4" w:space="0"/>
              <w:right w:val="single" w:color="auto" w:sz="4" w:space="0"/>
            </w:tcBorders>
            <w:shd w:val="clear" w:color="auto" w:fill="auto"/>
            <w:vAlign w:val="center"/>
          </w:tcPr>
          <w:p w14:paraId="49AC9266">
            <w:pPr>
              <w:spacing w:after="0" w:line="240" w:lineRule="auto"/>
              <w:ind w:firstLine="0"/>
              <w:jc w:val="center"/>
              <w:rPr>
                <w:color w:val="000000"/>
                <w:sz w:val="20"/>
                <w:szCs w:val="20"/>
              </w:rPr>
            </w:pPr>
            <w:r>
              <w:rPr>
                <w:color w:val="000000"/>
                <w:sz w:val="20"/>
                <w:szCs w:val="20"/>
              </w:rPr>
              <w:t>11,68</w:t>
            </w:r>
          </w:p>
        </w:tc>
      </w:tr>
      <w:tr w14:paraId="24C94E21">
        <w:tblPrEx>
          <w:tblCellMar>
            <w:top w:w="0" w:type="dxa"/>
            <w:left w:w="108" w:type="dxa"/>
            <w:bottom w:w="0" w:type="dxa"/>
            <w:right w:w="108" w:type="dxa"/>
          </w:tblCellMar>
        </w:tblPrEx>
        <w:trPr>
          <w:trHeight w:val="20" w:hRule="atLeast"/>
        </w:trPr>
        <w:tc>
          <w:tcPr>
            <w:tcW w:w="2059" w:type="pct"/>
            <w:tcBorders>
              <w:top w:val="nil"/>
              <w:left w:val="single" w:color="auto" w:sz="4" w:space="0"/>
              <w:bottom w:val="single" w:color="auto" w:sz="4" w:space="0"/>
              <w:right w:val="single" w:color="auto" w:sz="4" w:space="0"/>
            </w:tcBorders>
            <w:shd w:val="clear" w:color="auto" w:fill="auto"/>
            <w:vAlign w:val="center"/>
          </w:tcPr>
          <w:p w14:paraId="409894C9">
            <w:pPr>
              <w:spacing w:after="0" w:line="240" w:lineRule="auto"/>
              <w:ind w:firstLine="0"/>
              <w:jc w:val="center"/>
              <w:rPr>
                <w:color w:val="000000"/>
                <w:sz w:val="20"/>
                <w:szCs w:val="20"/>
              </w:rPr>
            </w:pPr>
            <w:r>
              <w:rPr>
                <w:color w:val="000000"/>
                <w:sz w:val="20"/>
                <w:szCs w:val="20"/>
              </w:rPr>
              <w:t>Котельная «Вирбекс»</w:t>
            </w:r>
          </w:p>
        </w:tc>
        <w:tc>
          <w:tcPr>
            <w:tcW w:w="810" w:type="pct"/>
            <w:tcBorders>
              <w:top w:val="nil"/>
              <w:left w:val="nil"/>
              <w:bottom w:val="nil"/>
              <w:right w:val="nil"/>
            </w:tcBorders>
            <w:shd w:val="clear" w:color="auto" w:fill="auto"/>
            <w:noWrap/>
            <w:vAlign w:val="center"/>
          </w:tcPr>
          <w:p w14:paraId="4B277A55">
            <w:pPr>
              <w:spacing w:after="0" w:line="240" w:lineRule="auto"/>
              <w:ind w:firstLine="0"/>
              <w:jc w:val="center"/>
              <w:rPr>
                <w:color w:val="000000"/>
                <w:sz w:val="20"/>
                <w:szCs w:val="20"/>
              </w:rPr>
            </w:pPr>
            <w:r>
              <w:rPr>
                <w:color w:val="000000"/>
                <w:sz w:val="20"/>
                <w:szCs w:val="20"/>
              </w:rPr>
              <w:t>6,919</w:t>
            </w:r>
          </w:p>
        </w:tc>
        <w:tc>
          <w:tcPr>
            <w:tcW w:w="810" w:type="pct"/>
            <w:vMerge w:val="continue"/>
            <w:tcBorders>
              <w:top w:val="nil"/>
              <w:left w:val="single" w:color="auto" w:sz="4" w:space="0"/>
              <w:bottom w:val="single" w:color="000000" w:sz="4" w:space="0"/>
              <w:right w:val="single" w:color="auto" w:sz="4" w:space="0"/>
            </w:tcBorders>
            <w:vAlign w:val="center"/>
          </w:tcPr>
          <w:p w14:paraId="5E8D9A6D">
            <w:pPr>
              <w:spacing w:after="0" w:line="240" w:lineRule="auto"/>
              <w:ind w:firstLine="0"/>
              <w:rPr>
                <w:color w:val="000000"/>
                <w:sz w:val="20"/>
                <w:szCs w:val="20"/>
              </w:rPr>
            </w:pPr>
          </w:p>
        </w:tc>
        <w:tc>
          <w:tcPr>
            <w:tcW w:w="1322" w:type="pct"/>
            <w:vMerge w:val="continue"/>
            <w:tcBorders>
              <w:top w:val="nil"/>
              <w:left w:val="single" w:color="auto" w:sz="4" w:space="0"/>
              <w:bottom w:val="single" w:color="000000" w:sz="4" w:space="0"/>
              <w:right w:val="single" w:color="auto" w:sz="4" w:space="0"/>
            </w:tcBorders>
            <w:vAlign w:val="center"/>
          </w:tcPr>
          <w:p w14:paraId="6BDEB89D">
            <w:pPr>
              <w:spacing w:after="0" w:line="240" w:lineRule="auto"/>
              <w:ind w:firstLine="0"/>
              <w:rPr>
                <w:color w:val="000000"/>
                <w:sz w:val="20"/>
                <w:szCs w:val="20"/>
              </w:rPr>
            </w:pPr>
          </w:p>
        </w:tc>
      </w:tr>
      <w:tr w14:paraId="58B9B0E5">
        <w:tblPrEx>
          <w:tblCellMar>
            <w:top w:w="0" w:type="dxa"/>
            <w:left w:w="108" w:type="dxa"/>
            <w:bottom w:w="0" w:type="dxa"/>
            <w:right w:w="108" w:type="dxa"/>
          </w:tblCellMar>
        </w:tblPrEx>
        <w:trPr>
          <w:trHeight w:val="20" w:hRule="atLeast"/>
        </w:trPr>
        <w:tc>
          <w:tcPr>
            <w:tcW w:w="2059" w:type="pct"/>
            <w:tcBorders>
              <w:top w:val="nil"/>
              <w:left w:val="single" w:color="auto" w:sz="4" w:space="0"/>
              <w:bottom w:val="single" w:color="auto" w:sz="4" w:space="0"/>
              <w:right w:val="single" w:color="auto" w:sz="4" w:space="0"/>
            </w:tcBorders>
            <w:shd w:val="clear" w:color="auto" w:fill="auto"/>
            <w:vAlign w:val="center"/>
          </w:tcPr>
          <w:p w14:paraId="42A6A75C">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810" w:type="pct"/>
            <w:tcBorders>
              <w:top w:val="single" w:color="auto" w:sz="4" w:space="0"/>
              <w:left w:val="nil"/>
              <w:bottom w:val="single" w:color="auto" w:sz="4" w:space="0"/>
              <w:right w:val="single" w:color="auto" w:sz="4" w:space="0"/>
            </w:tcBorders>
            <w:shd w:val="clear" w:color="auto" w:fill="auto"/>
            <w:vAlign w:val="center"/>
          </w:tcPr>
          <w:p w14:paraId="0A4E060F">
            <w:pPr>
              <w:spacing w:after="0" w:line="240" w:lineRule="auto"/>
              <w:ind w:firstLine="0"/>
              <w:jc w:val="center"/>
              <w:rPr>
                <w:color w:val="000000"/>
                <w:sz w:val="20"/>
                <w:szCs w:val="20"/>
              </w:rPr>
            </w:pPr>
            <w:r>
              <w:rPr>
                <w:color w:val="000000"/>
                <w:sz w:val="20"/>
                <w:szCs w:val="20"/>
              </w:rPr>
              <w:t>6,919</w:t>
            </w:r>
          </w:p>
        </w:tc>
        <w:tc>
          <w:tcPr>
            <w:tcW w:w="810" w:type="pct"/>
            <w:vMerge w:val="continue"/>
            <w:tcBorders>
              <w:top w:val="nil"/>
              <w:left w:val="single" w:color="auto" w:sz="4" w:space="0"/>
              <w:bottom w:val="single" w:color="000000" w:sz="4" w:space="0"/>
              <w:right w:val="single" w:color="auto" w:sz="4" w:space="0"/>
            </w:tcBorders>
            <w:vAlign w:val="center"/>
          </w:tcPr>
          <w:p w14:paraId="3B11C9E1">
            <w:pPr>
              <w:spacing w:after="0" w:line="240" w:lineRule="auto"/>
              <w:ind w:firstLine="0"/>
              <w:rPr>
                <w:color w:val="000000"/>
                <w:sz w:val="20"/>
                <w:szCs w:val="20"/>
              </w:rPr>
            </w:pPr>
          </w:p>
        </w:tc>
        <w:tc>
          <w:tcPr>
            <w:tcW w:w="1322" w:type="pct"/>
            <w:vMerge w:val="continue"/>
            <w:tcBorders>
              <w:top w:val="nil"/>
              <w:left w:val="single" w:color="auto" w:sz="4" w:space="0"/>
              <w:bottom w:val="single" w:color="000000" w:sz="4" w:space="0"/>
              <w:right w:val="single" w:color="auto" w:sz="4" w:space="0"/>
            </w:tcBorders>
            <w:vAlign w:val="center"/>
          </w:tcPr>
          <w:p w14:paraId="04F4EC79">
            <w:pPr>
              <w:spacing w:after="0" w:line="240" w:lineRule="auto"/>
              <w:ind w:firstLine="0"/>
              <w:rPr>
                <w:color w:val="000000"/>
                <w:sz w:val="20"/>
                <w:szCs w:val="20"/>
              </w:rPr>
            </w:pPr>
          </w:p>
        </w:tc>
      </w:tr>
      <w:tr w14:paraId="5DE1FB05">
        <w:tblPrEx>
          <w:tblCellMar>
            <w:top w:w="0" w:type="dxa"/>
            <w:left w:w="108" w:type="dxa"/>
            <w:bottom w:w="0" w:type="dxa"/>
            <w:right w:w="108" w:type="dxa"/>
          </w:tblCellMar>
        </w:tblPrEx>
        <w:trPr>
          <w:trHeight w:val="20" w:hRule="atLeast"/>
        </w:trPr>
        <w:tc>
          <w:tcPr>
            <w:tcW w:w="2059" w:type="pct"/>
            <w:tcBorders>
              <w:top w:val="nil"/>
              <w:left w:val="single" w:color="auto" w:sz="4" w:space="0"/>
              <w:bottom w:val="single" w:color="auto" w:sz="4" w:space="0"/>
              <w:right w:val="single" w:color="auto" w:sz="4" w:space="0"/>
            </w:tcBorders>
            <w:shd w:val="clear" w:color="auto" w:fill="auto"/>
            <w:vAlign w:val="center"/>
          </w:tcPr>
          <w:p w14:paraId="4E2F230A">
            <w:pPr>
              <w:spacing w:after="0" w:line="240" w:lineRule="auto"/>
              <w:ind w:firstLine="0"/>
              <w:jc w:val="center"/>
              <w:rPr>
                <w:color w:val="000000"/>
                <w:sz w:val="20"/>
                <w:szCs w:val="20"/>
              </w:rPr>
            </w:pPr>
            <w:r>
              <w:rPr>
                <w:color w:val="000000"/>
                <w:sz w:val="20"/>
                <w:szCs w:val="20"/>
              </w:rPr>
              <w:t>Итого по с.п. Верхнеказымский:</w:t>
            </w:r>
          </w:p>
        </w:tc>
        <w:tc>
          <w:tcPr>
            <w:tcW w:w="810" w:type="pct"/>
            <w:tcBorders>
              <w:top w:val="nil"/>
              <w:left w:val="nil"/>
              <w:bottom w:val="single" w:color="auto" w:sz="4" w:space="0"/>
              <w:right w:val="single" w:color="auto" w:sz="4" w:space="0"/>
            </w:tcBorders>
            <w:shd w:val="clear" w:color="auto" w:fill="auto"/>
            <w:vAlign w:val="center"/>
          </w:tcPr>
          <w:p w14:paraId="12E69275">
            <w:pPr>
              <w:spacing w:after="0" w:line="240" w:lineRule="auto"/>
              <w:ind w:firstLine="0"/>
              <w:jc w:val="center"/>
              <w:rPr>
                <w:color w:val="000000"/>
                <w:sz w:val="20"/>
                <w:szCs w:val="20"/>
              </w:rPr>
            </w:pPr>
            <w:r>
              <w:rPr>
                <w:color w:val="000000"/>
                <w:sz w:val="20"/>
                <w:szCs w:val="20"/>
              </w:rPr>
              <w:t>15,973</w:t>
            </w:r>
          </w:p>
        </w:tc>
        <w:tc>
          <w:tcPr>
            <w:tcW w:w="810" w:type="pct"/>
            <w:tcBorders>
              <w:top w:val="nil"/>
              <w:left w:val="nil"/>
              <w:bottom w:val="single" w:color="auto" w:sz="4" w:space="0"/>
              <w:right w:val="single" w:color="auto" w:sz="4" w:space="0"/>
            </w:tcBorders>
            <w:shd w:val="clear" w:color="auto" w:fill="auto"/>
            <w:vAlign w:val="center"/>
          </w:tcPr>
          <w:p w14:paraId="20D5CFEC">
            <w:pPr>
              <w:spacing w:after="0" w:line="240" w:lineRule="auto"/>
              <w:ind w:firstLine="0"/>
              <w:jc w:val="center"/>
              <w:rPr>
                <w:color w:val="000000"/>
                <w:sz w:val="20"/>
                <w:szCs w:val="20"/>
              </w:rPr>
            </w:pPr>
            <w:r>
              <w:rPr>
                <w:color w:val="000000"/>
                <w:sz w:val="20"/>
                <w:szCs w:val="20"/>
              </w:rPr>
              <w:t>2,18</w:t>
            </w:r>
          </w:p>
        </w:tc>
        <w:tc>
          <w:tcPr>
            <w:tcW w:w="1322" w:type="pct"/>
            <w:tcBorders>
              <w:top w:val="nil"/>
              <w:left w:val="nil"/>
              <w:bottom w:val="single" w:color="auto" w:sz="4" w:space="0"/>
              <w:right w:val="single" w:color="auto" w:sz="4" w:space="0"/>
            </w:tcBorders>
            <w:shd w:val="clear" w:color="auto" w:fill="auto"/>
            <w:vAlign w:val="center"/>
          </w:tcPr>
          <w:p w14:paraId="4C0C470C">
            <w:pPr>
              <w:spacing w:after="0" w:line="240" w:lineRule="auto"/>
              <w:ind w:firstLine="0"/>
              <w:jc w:val="center"/>
              <w:rPr>
                <w:color w:val="000000"/>
                <w:sz w:val="20"/>
                <w:szCs w:val="20"/>
              </w:rPr>
            </w:pPr>
            <w:r>
              <w:rPr>
                <w:color w:val="000000"/>
                <w:sz w:val="20"/>
                <w:szCs w:val="20"/>
              </w:rPr>
              <w:t>13,65</w:t>
            </w:r>
          </w:p>
        </w:tc>
      </w:tr>
    </w:tbl>
    <w:p w14:paraId="10323630">
      <w:pPr>
        <w:spacing w:after="0" w:line="240" w:lineRule="auto"/>
        <w:contextualSpacing/>
        <w:jc w:val="both"/>
        <w:rPr>
          <w:sz w:val="24"/>
          <w:szCs w:val="24"/>
        </w:rPr>
      </w:pPr>
    </w:p>
    <w:p w14:paraId="5C1A1704">
      <w:pPr>
        <w:pStyle w:val="4"/>
        <w:spacing w:before="0" w:line="240" w:lineRule="auto"/>
        <w:ind w:left="0" w:firstLine="709"/>
        <w:contextualSpacing/>
        <w:rPr>
          <w:rFonts w:cs="Times New Roman"/>
          <w:b w:val="0"/>
          <w:sz w:val="24"/>
        </w:rPr>
      </w:pPr>
      <w:bookmarkStart w:id="180" w:name="_Toc524614998"/>
      <w:bookmarkStart w:id="181" w:name="_Toc182813910"/>
      <w:bookmarkStart w:id="182" w:name="_Toc524614782"/>
      <w:r>
        <w:rPr>
          <w:rFonts w:cs="Times New Roman"/>
          <w:b w:val="0"/>
          <w:sz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80"/>
      <w:bookmarkEnd w:id="181"/>
      <w:bookmarkEnd w:id="182"/>
    </w:p>
    <w:p w14:paraId="33303E3C">
      <w:pPr>
        <w:spacing w:after="0" w:line="240" w:lineRule="auto"/>
        <w:contextualSpacing/>
        <w:jc w:val="both"/>
        <w:rPr>
          <w:sz w:val="24"/>
          <w:szCs w:val="24"/>
        </w:rPr>
      </w:pPr>
      <w:r>
        <w:rPr>
          <w:sz w:val="24"/>
          <w:szCs w:val="24"/>
        </w:rPr>
        <w:t>Изменились значения по мощностям, тепловым нагрузкам.</w:t>
      </w:r>
    </w:p>
    <w:p w14:paraId="4391EF4C">
      <w:pPr>
        <w:spacing w:after="0" w:line="240" w:lineRule="auto"/>
        <w:contextualSpacing/>
        <w:jc w:val="both"/>
        <w:rPr>
          <w:sz w:val="24"/>
          <w:szCs w:val="24"/>
        </w:rPr>
      </w:pPr>
    </w:p>
    <w:p w14:paraId="3BBB49CE">
      <w:pPr>
        <w:spacing w:after="0" w:line="240" w:lineRule="auto"/>
        <w:contextualSpacing/>
        <w:jc w:val="both"/>
        <w:rPr>
          <w:sz w:val="24"/>
          <w:szCs w:val="24"/>
        </w:rPr>
      </w:pPr>
    </w:p>
    <w:p w14:paraId="1B05F0AC">
      <w:pPr>
        <w:spacing w:after="0" w:line="240" w:lineRule="auto"/>
        <w:contextualSpacing/>
        <w:jc w:val="both"/>
        <w:rPr>
          <w:sz w:val="24"/>
          <w:szCs w:val="24"/>
        </w:rPr>
      </w:pPr>
    </w:p>
    <w:p w14:paraId="54E0B0D5">
      <w:pPr>
        <w:spacing w:after="0" w:line="240" w:lineRule="auto"/>
        <w:contextualSpacing/>
        <w:jc w:val="both"/>
        <w:rPr>
          <w:sz w:val="24"/>
          <w:szCs w:val="24"/>
        </w:rPr>
      </w:pPr>
    </w:p>
    <w:p w14:paraId="5E051858">
      <w:pPr>
        <w:spacing w:after="0" w:line="240" w:lineRule="auto"/>
        <w:contextualSpacing/>
        <w:jc w:val="both"/>
        <w:rPr>
          <w:sz w:val="24"/>
          <w:szCs w:val="24"/>
        </w:rPr>
        <w:sectPr>
          <w:pgSz w:w="11906" w:h="16838"/>
          <w:pgMar w:top="1134" w:right="567" w:bottom="1134" w:left="1701" w:header="708" w:footer="708" w:gutter="0"/>
          <w:cols w:space="708" w:num="1"/>
          <w:docGrid w:linePitch="360" w:charSpace="0"/>
        </w:sectPr>
      </w:pPr>
    </w:p>
    <w:p w14:paraId="1AF4D90A">
      <w:pPr>
        <w:pStyle w:val="3"/>
        <w:keepLines w:val="0"/>
        <w:pageBreakBefore/>
        <w:widowControl w:val="0"/>
        <w:spacing w:before="0" w:line="240" w:lineRule="auto"/>
        <w:ind w:left="0" w:firstLine="709"/>
        <w:contextualSpacing/>
        <w:rPr>
          <w:rFonts w:cs="Times New Roman"/>
          <w:b w:val="0"/>
          <w:sz w:val="24"/>
          <w:szCs w:val="24"/>
        </w:rPr>
      </w:pPr>
      <w:bookmarkStart w:id="183" w:name="_Toc524614999"/>
      <w:bookmarkStart w:id="184" w:name="_Toc182813911"/>
      <w:bookmarkStart w:id="185" w:name="_Toc524614783"/>
      <w:r>
        <w:rPr>
          <w:rFonts w:cs="Times New Roman"/>
          <w:b w:val="0"/>
          <w:sz w:val="24"/>
          <w:szCs w:val="24"/>
        </w:rPr>
        <w:t xml:space="preserve">Часть 6. Балансы тепловой мощности </w:t>
      </w:r>
      <w:bookmarkStart w:id="186" w:name="_Hlk35511165"/>
      <w:r>
        <w:rPr>
          <w:rFonts w:cs="Times New Roman"/>
          <w:b w:val="0"/>
          <w:sz w:val="24"/>
          <w:szCs w:val="24"/>
        </w:rPr>
        <w:t>и тепловой нагрузки в зонах действия источников тепловой энергии</w:t>
      </w:r>
      <w:bookmarkEnd w:id="183"/>
      <w:bookmarkEnd w:id="184"/>
      <w:bookmarkEnd w:id="185"/>
    </w:p>
    <w:bookmarkEnd w:id="186"/>
    <w:p w14:paraId="20E3433B">
      <w:pPr>
        <w:pStyle w:val="4"/>
        <w:spacing w:before="0" w:line="240" w:lineRule="auto"/>
        <w:ind w:left="0" w:firstLine="709"/>
        <w:contextualSpacing/>
        <w:rPr>
          <w:rFonts w:cs="Times New Roman"/>
          <w:b w:val="0"/>
          <w:sz w:val="24"/>
        </w:rPr>
      </w:pPr>
      <w:bookmarkStart w:id="187" w:name="_Toc524615000"/>
      <w:bookmarkStart w:id="188" w:name="_Toc524614784"/>
      <w:bookmarkStart w:id="189" w:name="_Toc15640814"/>
      <w:bookmarkStart w:id="190" w:name="_Toc182813912"/>
      <w:bookmarkStart w:id="191" w:name="_Hlk15651103"/>
      <w:r>
        <w:rPr>
          <w:rFonts w:cs="Times New Roman"/>
          <w:b w:val="0"/>
          <w:sz w:val="24"/>
        </w:rPr>
        <w:t xml:space="preserve">Описание </w:t>
      </w:r>
      <w:bookmarkEnd w:id="187"/>
      <w:bookmarkEnd w:id="188"/>
      <w:r>
        <w:rPr>
          <w:rFonts w:cs="Times New Roman"/>
          <w:b w:val="0"/>
          <w:sz w:val="24"/>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89"/>
      <w:bookmarkEnd w:id="190"/>
    </w:p>
    <w:bookmarkEnd w:id="191"/>
    <w:p w14:paraId="5C4A3F0C">
      <w:pPr>
        <w:spacing w:after="0" w:line="240" w:lineRule="auto"/>
        <w:contextualSpacing/>
        <w:jc w:val="both"/>
        <w:rPr>
          <w:sz w:val="24"/>
          <w:szCs w:val="24"/>
        </w:rPr>
      </w:pPr>
      <w:r>
        <w:rPr>
          <w:sz w:val="24"/>
          <w:szCs w:val="24"/>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 37.</w:t>
      </w:r>
    </w:p>
    <w:p w14:paraId="2E79A4B6">
      <w:pPr>
        <w:spacing w:after="0" w:line="240" w:lineRule="auto"/>
        <w:ind w:firstLine="0"/>
        <w:contextualSpacing/>
        <w:jc w:val="both"/>
        <w:rPr>
          <w:rFonts w:eastAsia="Calibri"/>
          <w:sz w:val="24"/>
          <w:szCs w:val="24"/>
          <w:lang w:eastAsia="en-US"/>
        </w:rPr>
      </w:pPr>
      <w:bookmarkStart w:id="192" w:name="_Toc77864664"/>
    </w:p>
    <w:p w14:paraId="1DF688CA">
      <w:pPr>
        <w:keepNext/>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37</w:t>
      </w:r>
      <w:r>
        <w:rPr>
          <w:bCs/>
          <w:sz w:val="24"/>
          <w:szCs w:val="24"/>
        </w:rPr>
        <w:fldChar w:fldCharType="end"/>
      </w:r>
      <w:r>
        <w:rPr>
          <w:bCs/>
          <w:sz w:val="24"/>
          <w:szCs w:val="24"/>
        </w:rPr>
        <w:t xml:space="preserve"> – </w:t>
      </w:r>
      <w:r>
        <w:rPr>
          <w:sz w:val="24"/>
          <w:szCs w:val="24"/>
        </w:rPr>
        <w:t>Значения тепловой мощности на собственные нужды котельных и располагаемой тепловой мощности нетто за 2023 год</w:t>
      </w:r>
    </w:p>
    <w:tbl>
      <w:tblPr>
        <w:tblStyle w:val="12"/>
        <w:tblW w:w="5000" w:type="pct"/>
        <w:tblInd w:w="-5" w:type="dxa"/>
        <w:tblLayout w:type="autofit"/>
        <w:tblCellMar>
          <w:top w:w="0" w:type="dxa"/>
          <w:left w:w="108" w:type="dxa"/>
          <w:bottom w:w="0" w:type="dxa"/>
          <w:right w:w="108" w:type="dxa"/>
        </w:tblCellMar>
      </w:tblPr>
      <w:tblGrid>
        <w:gridCol w:w="330"/>
        <w:gridCol w:w="1992"/>
        <w:gridCol w:w="1370"/>
        <w:gridCol w:w="1371"/>
        <w:gridCol w:w="1371"/>
        <w:gridCol w:w="1371"/>
        <w:gridCol w:w="1182"/>
        <w:gridCol w:w="1371"/>
        <w:gridCol w:w="1256"/>
        <w:gridCol w:w="1484"/>
        <w:gridCol w:w="1528"/>
      </w:tblGrid>
      <w:tr w14:paraId="3DDE4E73">
        <w:tblPrEx>
          <w:tblCellMar>
            <w:top w:w="0" w:type="dxa"/>
            <w:left w:w="108" w:type="dxa"/>
            <w:bottom w:w="0" w:type="dxa"/>
            <w:right w:w="108" w:type="dxa"/>
          </w:tblCellMar>
        </w:tblPrEx>
        <w:trPr>
          <w:trHeight w:val="20" w:hRule="atLeast"/>
        </w:trPr>
        <w:tc>
          <w:tcPr>
            <w:tcW w:w="32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5187DD1">
            <w:pPr>
              <w:spacing w:after="0" w:line="240" w:lineRule="auto"/>
              <w:ind w:firstLine="0"/>
              <w:jc w:val="center"/>
              <w:rPr>
                <w:color w:val="000000"/>
                <w:sz w:val="20"/>
                <w:szCs w:val="20"/>
              </w:rPr>
            </w:pPr>
            <w:r>
              <w:rPr>
                <w:color w:val="000000"/>
                <w:sz w:val="20"/>
                <w:szCs w:val="20"/>
              </w:rPr>
              <w:t>№ п/п</w:t>
            </w:r>
          </w:p>
        </w:tc>
        <w:tc>
          <w:tcPr>
            <w:tcW w:w="197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EDA764E">
            <w:pPr>
              <w:spacing w:after="0" w:line="240" w:lineRule="auto"/>
              <w:ind w:firstLine="0"/>
              <w:jc w:val="center"/>
              <w:rPr>
                <w:color w:val="000000"/>
                <w:sz w:val="20"/>
                <w:szCs w:val="20"/>
              </w:rPr>
            </w:pPr>
            <w:r>
              <w:rPr>
                <w:color w:val="000000"/>
                <w:sz w:val="20"/>
                <w:szCs w:val="20"/>
              </w:rPr>
              <w:t>Наименование и адрес котельной</w:t>
            </w:r>
          </w:p>
        </w:tc>
        <w:tc>
          <w:tcPr>
            <w:tcW w:w="1355"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545D60B">
            <w:pPr>
              <w:spacing w:after="0" w:line="240" w:lineRule="auto"/>
              <w:ind w:firstLine="0"/>
              <w:jc w:val="center"/>
              <w:rPr>
                <w:color w:val="000000"/>
                <w:sz w:val="20"/>
                <w:szCs w:val="20"/>
              </w:rPr>
            </w:pPr>
            <w:r>
              <w:rPr>
                <w:color w:val="000000"/>
                <w:sz w:val="20"/>
                <w:szCs w:val="20"/>
              </w:rPr>
              <w:t>Установленная тепловая мощность,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83ED80D">
            <w:pPr>
              <w:spacing w:after="0" w:line="240" w:lineRule="auto"/>
              <w:ind w:firstLine="0"/>
              <w:jc w:val="center"/>
              <w:rPr>
                <w:color w:val="000000"/>
                <w:sz w:val="20"/>
                <w:szCs w:val="20"/>
              </w:rPr>
            </w:pPr>
            <w:r>
              <w:rPr>
                <w:color w:val="000000"/>
                <w:sz w:val="20"/>
                <w:szCs w:val="20"/>
              </w:rPr>
              <w:t>Ограничения установленной тепловой мощности,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A3A2E01">
            <w:pPr>
              <w:spacing w:after="0" w:line="240" w:lineRule="auto"/>
              <w:ind w:firstLine="0"/>
              <w:jc w:val="center"/>
              <w:rPr>
                <w:color w:val="000000"/>
                <w:sz w:val="20"/>
                <w:szCs w:val="20"/>
              </w:rPr>
            </w:pPr>
            <w:r>
              <w:rPr>
                <w:color w:val="000000"/>
                <w:sz w:val="20"/>
                <w:szCs w:val="20"/>
              </w:rPr>
              <w:t>Располагаемая тепловая мощность,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57E4382">
            <w:pPr>
              <w:spacing w:after="0" w:line="240" w:lineRule="auto"/>
              <w:ind w:firstLine="0"/>
              <w:jc w:val="center"/>
              <w:rPr>
                <w:color w:val="000000"/>
                <w:sz w:val="20"/>
                <w:szCs w:val="20"/>
              </w:rPr>
            </w:pPr>
            <w:r>
              <w:rPr>
                <w:color w:val="000000"/>
                <w:sz w:val="20"/>
                <w:szCs w:val="20"/>
              </w:rPr>
              <w:t>Собственные нужды, Гкал/ч</w:t>
            </w:r>
          </w:p>
        </w:tc>
        <w:tc>
          <w:tcPr>
            <w:tcW w:w="116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B577A16">
            <w:pPr>
              <w:spacing w:after="0" w:line="240" w:lineRule="auto"/>
              <w:ind w:firstLine="0"/>
              <w:jc w:val="center"/>
              <w:rPr>
                <w:color w:val="000000"/>
                <w:sz w:val="20"/>
                <w:szCs w:val="20"/>
              </w:rPr>
            </w:pPr>
            <w:r>
              <w:rPr>
                <w:color w:val="000000"/>
                <w:sz w:val="20"/>
                <w:szCs w:val="20"/>
              </w:rPr>
              <w:t>Тепловая мощность нетто, Гкал/ч</w:t>
            </w:r>
          </w:p>
        </w:tc>
        <w:tc>
          <w:tcPr>
            <w:tcW w:w="135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EAC5EC4">
            <w:pPr>
              <w:spacing w:after="0" w:line="240" w:lineRule="auto"/>
              <w:ind w:firstLine="0"/>
              <w:jc w:val="center"/>
              <w:rPr>
                <w:color w:val="000000"/>
                <w:sz w:val="20"/>
                <w:szCs w:val="20"/>
              </w:rPr>
            </w:pPr>
            <w:r>
              <w:rPr>
                <w:color w:val="000000"/>
                <w:sz w:val="20"/>
                <w:szCs w:val="20"/>
              </w:rPr>
              <w:t>Тепловая нагрузка на коллекторах, Гкал/ч</w:t>
            </w:r>
          </w:p>
        </w:tc>
        <w:tc>
          <w:tcPr>
            <w:tcW w:w="1242"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7291254">
            <w:pPr>
              <w:spacing w:after="0" w:line="240" w:lineRule="auto"/>
              <w:ind w:firstLine="0"/>
              <w:jc w:val="center"/>
              <w:rPr>
                <w:color w:val="000000"/>
                <w:sz w:val="20"/>
                <w:szCs w:val="20"/>
              </w:rPr>
            </w:pPr>
            <w:r>
              <w:rPr>
                <w:color w:val="000000"/>
                <w:sz w:val="20"/>
                <w:szCs w:val="20"/>
              </w:rPr>
              <w:t>Потери в тепловых сетях, Гкал/ч</w:t>
            </w:r>
          </w:p>
        </w:tc>
        <w:tc>
          <w:tcPr>
            <w:tcW w:w="146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E777455">
            <w:pPr>
              <w:spacing w:after="0" w:line="240" w:lineRule="auto"/>
              <w:ind w:firstLine="0"/>
              <w:jc w:val="center"/>
              <w:rPr>
                <w:color w:val="000000"/>
                <w:sz w:val="20"/>
                <w:szCs w:val="20"/>
              </w:rPr>
            </w:pPr>
            <w:r>
              <w:rPr>
                <w:color w:val="000000"/>
                <w:sz w:val="20"/>
                <w:szCs w:val="20"/>
              </w:rPr>
              <w:t>Присоединенная тепловая нагрузка, Гкал/ч</w:t>
            </w:r>
          </w:p>
        </w:tc>
        <w:tc>
          <w:tcPr>
            <w:tcW w:w="151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72D88C4">
            <w:pPr>
              <w:spacing w:after="0" w:line="240" w:lineRule="auto"/>
              <w:ind w:firstLine="0"/>
              <w:jc w:val="center"/>
              <w:rPr>
                <w:color w:val="000000"/>
                <w:sz w:val="20"/>
                <w:szCs w:val="20"/>
              </w:rPr>
            </w:pPr>
            <w:r>
              <w:rPr>
                <w:color w:val="000000"/>
                <w:sz w:val="20"/>
                <w:szCs w:val="20"/>
              </w:rPr>
              <w:t>Резерв (+)/ дефицит (-) тепловой мощности в номинальном режиме, Гкал/ч</w:t>
            </w:r>
          </w:p>
        </w:tc>
      </w:tr>
      <w:tr w14:paraId="4F27DFA1">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79D0DDE">
            <w:pPr>
              <w:spacing w:after="0" w:line="240" w:lineRule="auto"/>
              <w:ind w:firstLine="0"/>
              <w:jc w:val="center"/>
              <w:rPr>
                <w:color w:val="000000"/>
                <w:sz w:val="20"/>
                <w:szCs w:val="20"/>
              </w:rPr>
            </w:pPr>
            <w:r>
              <w:rPr>
                <w:color w:val="000000"/>
                <w:sz w:val="20"/>
                <w:szCs w:val="20"/>
              </w:rPr>
              <w:t>1</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12BA69BB">
            <w:pPr>
              <w:spacing w:after="0" w:line="240" w:lineRule="auto"/>
              <w:ind w:firstLine="0"/>
              <w:jc w:val="center"/>
              <w:rPr>
                <w:color w:val="000000"/>
                <w:sz w:val="20"/>
                <w:szCs w:val="20"/>
              </w:rPr>
            </w:pPr>
            <w:r>
              <w:rPr>
                <w:color w:val="000000"/>
                <w:sz w:val="20"/>
                <w:szCs w:val="20"/>
              </w:rPr>
              <w:t>Котельная №2 МУП «БКС»</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8E8B349">
            <w:pPr>
              <w:spacing w:after="0" w:line="240" w:lineRule="auto"/>
              <w:ind w:firstLine="0"/>
              <w:jc w:val="center"/>
              <w:rPr>
                <w:color w:val="000000"/>
                <w:sz w:val="20"/>
                <w:szCs w:val="20"/>
              </w:rPr>
            </w:pPr>
            <w:r>
              <w:rPr>
                <w:color w:val="000000"/>
                <w:sz w:val="20"/>
                <w:szCs w:val="20"/>
              </w:rPr>
              <w:t>6,02</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5B4D90EC">
            <w:pPr>
              <w:spacing w:after="0" w:line="240" w:lineRule="auto"/>
              <w:ind w:firstLine="0"/>
              <w:jc w:val="center"/>
              <w:rPr>
                <w:color w:val="000000"/>
                <w:sz w:val="20"/>
                <w:szCs w:val="20"/>
              </w:rPr>
            </w:pPr>
            <w:r>
              <w:rPr>
                <w:color w:val="000000"/>
                <w:sz w:val="20"/>
                <w:szCs w:val="20"/>
              </w:rPr>
              <w:t>0,08</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7E95AA">
            <w:pPr>
              <w:spacing w:after="0" w:line="240" w:lineRule="auto"/>
              <w:ind w:firstLine="0"/>
              <w:jc w:val="center"/>
              <w:rPr>
                <w:color w:val="000000"/>
                <w:sz w:val="20"/>
                <w:szCs w:val="20"/>
              </w:rPr>
            </w:pPr>
            <w:r>
              <w:rPr>
                <w:color w:val="000000"/>
                <w:sz w:val="20"/>
                <w:szCs w:val="20"/>
              </w:rPr>
              <w:t>5,94</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40609C3C">
            <w:pPr>
              <w:spacing w:after="0" w:line="240" w:lineRule="auto"/>
              <w:ind w:firstLine="0"/>
              <w:jc w:val="center"/>
              <w:rPr>
                <w:color w:val="000000"/>
                <w:sz w:val="20"/>
                <w:szCs w:val="20"/>
              </w:rPr>
            </w:pPr>
            <w:r>
              <w:rPr>
                <w:color w:val="000000"/>
                <w:sz w:val="20"/>
                <w:szCs w:val="20"/>
                <w:lang w:val="en-US"/>
              </w:rPr>
              <w:t>0,13</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856B831">
            <w:pPr>
              <w:spacing w:after="0" w:line="240" w:lineRule="auto"/>
              <w:ind w:firstLine="0"/>
              <w:jc w:val="center"/>
              <w:rPr>
                <w:color w:val="000000"/>
                <w:sz w:val="20"/>
                <w:szCs w:val="20"/>
              </w:rPr>
            </w:pPr>
            <w:r>
              <w:rPr>
                <w:color w:val="000000"/>
                <w:sz w:val="20"/>
                <w:szCs w:val="20"/>
              </w:rPr>
              <w:t>5,81</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E469BEC">
            <w:pPr>
              <w:spacing w:after="0" w:line="240" w:lineRule="auto"/>
              <w:ind w:firstLine="0"/>
              <w:jc w:val="center"/>
              <w:rPr>
                <w:color w:val="000000"/>
                <w:sz w:val="20"/>
                <w:szCs w:val="20"/>
              </w:rPr>
            </w:pPr>
            <w:r>
              <w:rPr>
                <w:color w:val="000000"/>
                <w:sz w:val="20"/>
                <w:szCs w:val="20"/>
              </w:rPr>
              <w:t>0,72</w:t>
            </w: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3C720EBA">
            <w:pPr>
              <w:spacing w:after="0" w:line="240" w:lineRule="auto"/>
              <w:ind w:firstLine="0"/>
              <w:jc w:val="center"/>
              <w:rPr>
                <w:color w:val="000000"/>
                <w:sz w:val="20"/>
                <w:szCs w:val="20"/>
              </w:rPr>
            </w:pPr>
            <w:r>
              <w:rPr>
                <w:color w:val="000000"/>
                <w:sz w:val="20"/>
                <w:szCs w:val="20"/>
              </w:rPr>
              <w:t>0,22</w:t>
            </w:r>
          </w:p>
        </w:tc>
        <w:tc>
          <w:tcPr>
            <w:tcW w:w="146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EA247EC">
            <w:pPr>
              <w:spacing w:after="0" w:line="240" w:lineRule="auto"/>
              <w:ind w:firstLine="0"/>
              <w:jc w:val="center"/>
              <w:rPr>
                <w:color w:val="000000"/>
                <w:sz w:val="20"/>
                <w:szCs w:val="20"/>
              </w:rPr>
            </w:pPr>
            <w:r>
              <w:rPr>
                <w:color w:val="000000"/>
                <w:sz w:val="20"/>
                <w:szCs w:val="20"/>
              </w:rPr>
              <w:t>0,5</w:t>
            </w:r>
          </w:p>
        </w:tc>
        <w:tc>
          <w:tcPr>
            <w:tcW w:w="1510" w:type="dxa"/>
            <w:tcBorders>
              <w:top w:val="nil"/>
              <w:left w:val="nil"/>
              <w:bottom w:val="single" w:color="auto" w:sz="4" w:space="0"/>
              <w:right w:val="single" w:color="auto" w:sz="4" w:space="0"/>
            </w:tcBorders>
            <w:shd w:val="clear" w:color="auto" w:fill="auto"/>
            <w:tcMar>
              <w:left w:w="28" w:type="dxa"/>
              <w:right w:w="28" w:type="dxa"/>
            </w:tcMar>
            <w:vAlign w:val="center"/>
          </w:tcPr>
          <w:p w14:paraId="03B20F50">
            <w:pPr>
              <w:spacing w:after="0" w:line="240" w:lineRule="auto"/>
              <w:ind w:firstLine="0"/>
              <w:jc w:val="center"/>
              <w:rPr>
                <w:color w:val="000000"/>
                <w:sz w:val="20"/>
                <w:szCs w:val="20"/>
              </w:rPr>
            </w:pPr>
            <w:r>
              <w:rPr>
                <w:color w:val="000000"/>
                <w:sz w:val="20"/>
                <w:szCs w:val="20"/>
              </w:rPr>
              <w:t>5,09</w:t>
            </w:r>
          </w:p>
        </w:tc>
      </w:tr>
      <w:tr w14:paraId="585168BE">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5610C675">
            <w:pPr>
              <w:spacing w:after="0" w:line="240" w:lineRule="auto"/>
              <w:ind w:firstLine="0"/>
              <w:jc w:val="center"/>
              <w:rPr>
                <w:color w:val="000000"/>
                <w:sz w:val="20"/>
                <w:szCs w:val="20"/>
              </w:rPr>
            </w:pPr>
            <w:r>
              <w:rPr>
                <w:color w:val="000000"/>
                <w:sz w:val="20"/>
                <w:szCs w:val="20"/>
              </w:rPr>
              <w:t>2</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5CCFF137">
            <w:pPr>
              <w:spacing w:after="0" w:line="240" w:lineRule="auto"/>
              <w:ind w:firstLine="0"/>
              <w:jc w:val="center"/>
              <w:rPr>
                <w:color w:val="000000"/>
                <w:sz w:val="20"/>
                <w:szCs w:val="20"/>
              </w:rPr>
            </w:pPr>
            <w:r>
              <w:rPr>
                <w:color w:val="000000"/>
                <w:sz w:val="20"/>
                <w:szCs w:val="20"/>
              </w:rPr>
              <w:t>Котельная «2БВК»</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529B6FB">
            <w:pPr>
              <w:spacing w:after="0" w:line="240" w:lineRule="auto"/>
              <w:ind w:firstLine="0"/>
              <w:jc w:val="center"/>
              <w:rPr>
                <w:color w:val="000000"/>
                <w:sz w:val="20"/>
                <w:szCs w:val="20"/>
              </w:rPr>
            </w:pPr>
            <w:r>
              <w:rPr>
                <w:color w:val="000000"/>
                <w:sz w:val="20"/>
                <w:szCs w:val="20"/>
              </w:rPr>
              <w:t>7,2</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482A33E3">
            <w:pPr>
              <w:spacing w:after="0" w:line="240" w:lineRule="auto"/>
              <w:ind w:firstLine="0"/>
              <w:jc w:val="center"/>
              <w:rPr>
                <w:color w:val="000000"/>
                <w:sz w:val="20"/>
                <w:szCs w:val="20"/>
              </w:rPr>
            </w:pPr>
            <w:r>
              <w:rPr>
                <w:color w:val="000000"/>
                <w:sz w:val="20"/>
                <w:szCs w:val="20"/>
              </w:rPr>
              <w:t>5,7</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F4F9F2">
            <w:pPr>
              <w:spacing w:after="0" w:line="240" w:lineRule="auto"/>
              <w:ind w:firstLine="0"/>
              <w:jc w:val="center"/>
              <w:rPr>
                <w:color w:val="000000"/>
                <w:sz w:val="20"/>
                <w:szCs w:val="20"/>
              </w:rPr>
            </w:pPr>
            <w:r>
              <w:rPr>
                <w:color w:val="000000"/>
                <w:sz w:val="20"/>
                <w:szCs w:val="20"/>
              </w:rPr>
              <w:t>1,5</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61E546D4">
            <w:pPr>
              <w:spacing w:after="0" w:line="240" w:lineRule="auto"/>
              <w:ind w:firstLine="0"/>
              <w:jc w:val="center"/>
              <w:rPr>
                <w:color w:val="000000"/>
                <w:sz w:val="20"/>
                <w:szCs w:val="20"/>
              </w:rPr>
            </w:pPr>
            <w:r>
              <w:rPr>
                <w:color w:val="000000"/>
                <w:sz w:val="20"/>
                <w:szCs w:val="20"/>
              </w:rPr>
              <w:t>0,02</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0534D36">
            <w:pPr>
              <w:spacing w:after="0" w:line="240" w:lineRule="auto"/>
              <w:ind w:firstLine="0"/>
              <w:jc w:val="center"/>
              <w:rPr>
                <w:color w:val="000000"/>
                <w:sz w:val="20"/>
                <w:szCs w:val="20"/>
              </w:rPr>
            </w:pPr>
            <w:r>
              <w:rPr>
                <w:color w:val="000000"/>
                <w:sz w:val="20"/>
                <w:szCs w:val="20"/>
              </w:rPr>
              <w:t>1,48</w:t>
            </w:r>
          </w:p>
        </w:tc>
        <w:tc>
          <w:tcPr>
            <w:tcW w:w="1356" w:type="dxa"/>
            <w:vMerge w:val="restart"/>
            <w:tcBorders>
              <w:top w:val="nil"/>
              <w:left w:val="single" w:color="auto" w:sz="4" w:space="0"/>
              <w:bottom w:val="single" w:color="000000" w:sz="4" w:space="0"/>
              <w:right w:val="single" w:color="auto" w:sz="4" w:space="0"/>
            </w:tcBorders>
            <w:shd w:val="clear" w:color="auto" w:fill="auto"/>
            <w:noWrap/>
            <w:tcMar>
              <w:left w:w="28" w:type="dxa"/>
              <w:right w:w="28" w:type="dxa"/>
            </w:tcMar>
            <w:vAlign w:val="center"/>
          </w:tcPr>
          <w:p w14:paraId="746A5985">
            <w:pPr>
              <w:spacing w:after="0" w:line="240" w:lineRule="auto"/>
              <w:ind w:firstLine="0"/>
              <w:jc w:val="center"/>
              <w:rPr>
                <w:color w:val="000000"/>
                <w:sz w:val="20"/>
                <w:szCs w:val="20"/>
              </w:rPr>
            </w:pPr>
            <w:r>
              <w:rPr>
                <w:color w:val="000000"/>
                <w:sz w:val="20"/>
                <w:szCs w:val="20"/>
              </w:rPr>
              <w:t>2,3</w:t>
            </w: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559413E9">
            <w:pPr>
              <w:spacing w:after="0" w:line="240" w:lineRule="auto"/>
              <w:ind w:firstLine="0"/>
              <w:jc w:val="center"/>
              <w:rPr>
                <w:color w:val="000000"/>
                <w:sz w:val="20"/>
                <w:szCs w:val="20"/>
              </w:rPr>
            </w:pPr>
            <w:r>
              <w:rPr>
                <w:color w:val="000000"/>
                <w:sz w:val="20"/>
                <w:szCs w:val="20"/>
              </w:rPr>
              <w:t>0,12</w:t>
            </w:r>
          </w:p>
        </w:tc>
        <w:tc>
          <w:tcPr>
            <w:tcW w:w="1467" w:type="dxa"/>
            <w:vMerge w:val="restar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C14FD1A">
            <w:pPr>
              <w:spacing w:after="0" w:line="240" w:lineRule="auto"/>
              <w:ind w:firstLine="0"/>
              <w:jc w:val="center"/>
              <w:rPr>
                <w:color w:val="000000"/>
                <w:sz w:val="20"/>
                <w:szCs w:val="20"/>
              </w:rPr>
            </w:pPr>
            <w:r>
              <w:rPr>
                <w:color w:val="000000"/>
                <w:sz w:val="20"/>
                <w:szCs w:val="20"/>
              </w:rPr>
              <w:t>1,68</w:t>
            </w:r>
          </w:p>
        </w:tc>
        <w:tc>
          <w:tcPr>
            <w:tcW w:w="1510"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4C32100">
            <w:pPr>
              <w:spacing w:after="0" w:line="240" w:lineRule="auto"/>
              <w:ind w:firstLine="0"/>
              <w:jc w:val="center"/>
              <w:rPr>
                <w:color w:val="000000"/>
                <w:sz w:val="20"/>
                <w:szCs w:val="20"/>
              </w:rPr>
            </w:pPr>
            <w:r>
              <w:rPr>
                <w:color w:val="000000"/>
                <w:sz w:val="20"/>
                <w:szCs w:val="20"/>
              </w:rPr>
              <w:t>9,87</w:t>
            </w:r>
          </w:p>
        </w:tc>
      </w:tr>
      <w:tr w14:paraId="5B731212">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C87AB87">
            <w:pPr>
              <w:spacing w:after="0" w:line="240" w:lineRule="auto"/>
              <w:ind w:firstLine="0"/>
              <w:jc w:val="center"/>
              <w:rPr>
                <w:color w:val="000000"/>
                <w:sz w:val="20"/>
                <w:szCs w:val="20"/>
              </w:rPr>
            </w:pPr>
            <w:r>
              <w:rPr>
                <w:color w:val="000000"/>
                <w:sz w:val="20"/>
                <w:szCs w:val="20"/>
              </w:rPr>
              <w:t>3</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41917A98">
            <w:pPr>
              <w:spacing w:after="0" w:line="240" w:lineRule="auto"/>
              <w:ind w:firstLine="0"/>
              <w:jc w:val="center"/>
              <w:rPr>
                <w:color w:val="000000"/>
                <w:sz w:val="20"/>
                <w:szCs w:val="20"/>
              </w:rPr>
            </w:pPr>
            <w:r>
              <w:rPr>
                <w:color w:val="000000"/>
                <w:sz w:val="20"/>
                <w:szCs w:val="20"/>
              </w:rPr>
              <w:t>Котельная «Вирбекс»</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839E997">
            <w:pPr>
              <w:spacing w:after="0" w:line="240" w:lineRule="auto"/>
              <w:ind w:firstLine="0"/>
              <w:jc w:val="center"/>
              <w:rPr>
                <w:color w:val="000000"/>
                <w:sz w:val="20"/>
                <w:szCs w:val="20"/>
              </w:rPr>
            </w:pPr>
            <w:r>
              <w:rPr>
                <w:color w:val="000000"/>
                <w:sz w:val="20"/>
                <w:szCs w:val="20"/>
              </w:rPr>
              <w:t>2,8</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632E7DD8">
            <w:pPr>
              <w:spacing w:after="0" w:line="240" w:lineRule="auto"/>
              <w:ind w:firstLine="0"/>
              <w:jc w:val="center"/>
              <w:rPr>
                <w:color w:val="000000"/>
                <w:sz w:val="20"/>
                <w:szCs w:val="20"/>
              </w:rPr>
            </w:pPr>
            <w:r>
              <w:rPr>
                <w:color w:val="000000"/>
                <w:sz w:val="20"/>
                <w:szCs w:val="20"/>
              </w:rPr>
              <w:t>1,3</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A70E3F2">
            <w:pPr>
              <w:spacing w:after="0" w:line="240" w:lineRule="auto"/>
              <w:ind w:firstLine="0"/>
              <w:jc w:val="center"/>
              <w:rPr>
                <w:color w:val="000000"/>
                <w:sz w:val="20"/>
                <w:szCs w:val="20"/>
              </w:rPr>
            </w:pPr>
            <w:r>
              <w:rPr>
                <w:color w:val="000000"/>
                <w:sz w:val="20"/>
                <w:szCs w:val="20"/>
              </w:rPr>
              <w:t>1,5</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0C7C89A1">
            <w:pPr>
              <w:spacing w:after="0" w:line="240" w:lineRule="auto"/>
              <w:ind w:firstLine="0"/>
              <w:jc w:val="center"/>
              <w:rPr>
                <w:color w:val="000000"/>
                <w:sz w:val="20"/>
                <w:szCs w:val="20"/>
              </w:rPr>
            </w:pPr>
            <w:r>
              <w:rPr>
                <w:color w:val="000000"/>
                <w:sz w:val="20"/>
                <w:szCs w:val="20"/>
              </w:rPr>
              <w:t>0,21</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B347C17">
            <w:pPr>
              <w:spacing w:after="0" w:line="240" w:lineRule="auto"/>
              <w:ind w:firstLine="0"/>
              <w:jc w:val="center"/>
              <w:rPr>
                <w:color w:val="000000"/>
                <w:sz w:val="20"/>
                <w:szCs w:val="20"/>
              </w:rPr>
            </w:pPr>
            <w:r>
              <w:rPr>
                <w:color w:val="000000"/>
                <w:sz w:val="20"/>
                <w:szCs w:val="20"/>
              </w:rPr>
              <w:t>1,29</w:t>
            </w:r>
          </w:p>
        </w:tc>
        <w:tc>
          <w:tcPr>
            <w:tcW w:w="1356" w:type="dxa"/>
            <w:vMerge w:val="continue"/>
            <w:tcBorders>
              <w:top w:val="nil"/>
              <w:left w:val="single" w:color="auto" w:sz="4" w:space="0"/>
              <w:bottom w:val="single" w:color="000000" w:sz="4" w:space="0"/>
              <w:right w:val="single" w:color="auto" w:sz="4" w:space="0"/>
            </w:tcBorders>
            <w:tcMar>
              <w:left w:w="28" w:type="dxa"/>
              <w:right w:w="28" w:type="dxa"/>
            </w:tcMar>
            <w:vAlign w:val="center"/>
          </w:tcPr>
          <w:p w14:paraId="544D5DB7">
            <w:pPr>
              <w:spacing w:after="0" w:line="240" w:lineRule="auto"/>
              <w:ind w:firstLine="0"/>
              <w:rPr>
                <w:color w:val="000000"/>
                <w:sz w:val="20"/>
                <w:szCs w:val="20"/>
              </w:rPr>
            </w:pP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561CBD04">
            <w:pPr>
              <w:spacing w:after="0" w:line="240" w:lineRule="auto"/>
              <w:ind w:firstLine="0"/>
              <w:jc w:val="center"/>
              <w:rPr>
                <w:color w:val="000000"/>
                <w:sz w:val="20"/>
                <w:szCs w:val="20"/>
              </w:rPr>
            </w:pPr>
            <w:r>
              <w:rPr>
                <w:color w:val="000000"/>
                <w:sz w:val="20"/>
                <w:szCs w:val="20"/>
              </w:rPr>
              <w:t>0,12</w:t>
            </w:r>
          </w:p>
        </w:tc>
        <w:tc>
          <w:tcPr>
            <w:tcW w:w="1467"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3577DAFA">
            <w:pPr>
              <w:spacing w:after="0" w:line="240" w:lineRule="auto"/>
              <w:ind w:firstLine="0"/>
              <w:rPr>
                <w:color w:val="000000"/>
                <w:sz w:val="20"/>
                <w:szCs w:val="20"/>
              </w:rPr>
            </w:pPr>
          </w:p>
        </w:tc>
        <w:tc>
          <w:tcPr>
            <w:tcW w:w="1510"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15B3B5A8">
            <w:pPr>
              <w:spacing w:after="0" w:line="240" w:lineRule="auto"/>
              <w:ind w:firstLine="0"/>
              <w:rPr>
                <w:color w:val="000000"/>
                <w:sz w:val="20"/>
                <w:szCs w:val="20"/>
              </w:rPr>
            </w:pPr>
          </w:p>
        </w:tc>
      </w:tr>
      <w:tr w14:paraId="24F1D591">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98E0119">
            <w:pPr>
              <w:spacing w:after="0" w:line="240" w:lineRule="auto"/>
              <w:ind w:firstLine="0"/>
              <w:jc w:val="center"/>
              <w:rPr>
                <w:color w:val="000000"/>
                <w:sz w:val="20"/>
                <w:szCs w:val="20"/>
              </w:rPr>
            </w:pPr>
            <w:r>
              <w:rPr>
                <w:color w:val="000000"/>
                <w:sz w:val="20"/>
                <w:szCs w:val="20"/>
              </w:rPr>
              <w:t>4</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1BB96550">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32C94CD">
            <w:pPr>
              <w:spacing w:after="0" w:line="240" w:lineRule="auto"/>
              <w:ind w:firstLine="0"/>
              <w:jc w:val="center"/>
              <w:rPr>
                <w:color w:val="000000"/>
                <w:sz w:val="20"/>
                <w:szCs w:val="20"/>
              </w:rPr>
            </w:pPr>
            <w:r>
              <w:rPr>
                <w:color w:val="000000"/>
                <w:sz w:val="20"/>
                <w:szCs w:val="20"/>
              </w:rPr>
              <w:t>37,72</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27B72B20">
            <w:pPr>
              <w:spacing w:after="0" w:line="240" w:lineRule="auto"/>
              <w:ind w:firstLine="0"/>
              <w:jc w:val="center"/>
              <w:rPr>
                <w:color w:val="000000"/>
                <w:sz w:val="20"/>
                <w:szCs w:val="20"/>
              </w:rPr>
            </w:pPr>
            <w:r>
              <w:rPr>
                <w:color w:val="000000"/>
                <w:sz w:val="20"/>
                <w:szCs w:val="20"/>
              </w:rPr>
              <w:t>28,32</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07E581C">
            <w:pPr>
              <w:spacing w:after="0" w:line="240" w:lineRule="auto"/>
              <w:ind w:firstLine="0"/>
              <w:jc w:val="center"/>
              <w:rPr>
                <w:color w:val="000000"/>
                <w:sz w:val="20"/>
                <w:szCs w:val="20"/>
              </w:rPr>
            </w:pPr>
            <w:r>
              <w:rPr>
                <w:color w:val="000000"/>
                <w:sz w:val="20"/>
                <w:szCs w:val="20"/>
              </w:rPr>
              <w:t>9,4</w:t>
            </w:r>
          </w:p>
        </w:tc>
        <w:tc>
          <w:tcPr>
            <w:tcW w:w="1356" w:type="dxa"/>
            <w:tcBorders>
              <w:top w:val="nil"/>
              <w:left w:val="nil"/>
              <w:bottom w:val="single" w:color="auto" w:sz="4" w:space="0"/>
              <w:right w:val="single" w:color="auto" w:sz="4" w:space="0"/>
            </w:tcBorders>
            <w:shd w:val="clear" w:color="auto" w:fill="auto"/>
            <w:tcMar>
              <w:left w:w="28" w:type="dxa"/>
              <w:right w:w="28" w:type="dxa"/>
            </w:tcMar>
            <w:vAlign w:val="center"/>
          </w:tcPr>
          <w:p w14:paraId="780618C4">
            <w:pPr>
              <w:spacing w:after="0" w:line="240" w:lineRule="auto"/>
              <w:ind w:firstLine="0"/>
              <w:jc w:val="center"/>
              <w:rPr>
                <w:color w:val="000000"/>
                <w:sz w:val="20"/>
                <w:szCs w:val="20"/>
              </w:rPr>
            </w:pPr>
            <w:r>
              <w:rPr>
                <w:color w:val="000000"/>
                <w:sz w:val="20"/>
                <w:szCs w:val="20"/>
              </w:rPr>
              <w:t>0</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D34B225">
            <w:pPr>
              <w:spacing w:after="0" w:line="240" w:lineRule="auto"/>
              <w:ind w:firstLine="0"/>
              <w:jc w:val="center"/>
              <w:rPr>
                <w:color w:val="000000"/>
                <w:sz w:val="20"/>
                <w:szCs w:val="20"/>
              </w:rPr>
            </w:pPr>
            <w:r>
              <w:rPr>
                <w:color w:val="000000"/>
                <w:sz w:val="20"/>
                <w:szCs w:val="20"/>
              </w:rPr>
              <w:t>9,4</w:t>
            </w:r>
          </w:p>
        </w:tc>
        <w:tc>
          <w:tcPr>
            <w:tcW w:w="1356" w:type="dxa"/>
            <w:vMerge w:val="continue"/>
            <w:tcBorders>
              <w:top w:val="nil"/>
              <w:left w:val="single" w:color="auto" w:sz="4" w:space="0"/>
              <w:bottom w:val="single" w:color="000000" w:sz="4" w:space="0"/>
              <w:right w:val="single" w:color="auto" w:sz="4" w:space="0"/>
            </w:tcBorders>
            <w:tcMar>
              <w:left w:w="28" w:type="dxa"/>
              <w:right w:w="28" w:type="dxa"/>
            </w:tcMar>
            <w:vAlign w:val="center"/>
          </w:tcPr>
          <w:p w14:paraId="274A2DFE">
            <w:pPr>
              <w:spacing w:after="0" w:line="240" w:lineRule="auto"/>
              <w:ind w:firstLine="0"/>
              <w:rPr>
                <w:color w:val="000000"/>
                <w:sz w:val="20"/>
                <w:szCs w:val="20"/>
              </w:rPr>
            </w:pPr>
          </w:p>
        </w:tc>
        <w:tc>
          <w:tcPr>
            <w:tcW w:w="1242" w:type="dxa"/>
            <w:tcBorders>
              <w:top w:val="nil"/>
              <w:left w:val="nil"/>
              <w:bottom w:val="single" w:color="auto" w:sz="4" w:space="0"/>
              <w:right w:val="single" w:color="auto" w:sz="4" w:space="0"/>
            </w:tcBorders>
            <w:shd w:val="clear" w:color="auto" w:fill="auto"/>
            <w:tcMar>
              <w:left w:w="28" w:type="dxa"/>
              <w:right w:w="28" w:type="dxa"/>
            </w:tcMar>
            <w:vAlign w:val="center"/>
          </w:tcPr>
          <w:p w14:paraId="6E601734">
            <w:pPr>
              <w:spacing w:after="0" w:line="240" w:lineRule="auto"/>
              <w:ind w:firstLine="0"/>
              <w:jc w:val="center"/>
              <w:rPr>
                <w:color w:val="000000"/>
                <w:sz w:val="20"/>
                <w:szCs w:val="20"/>
              </w:rPr>
            </w:pPr>
            <w:r>
              <w:rPr>
                <w:color w:val="000000"/>
                <w:sz w:val="20"/>
                <w:szCs w:val="20"/>
              </w:rPr>
              <w:t>0,38</w:t>
            </w:r>
          </w:p>
        </w:tc>
        <w:tc>
          <w:tcPr>
            <w:tcW w:w="1467"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4220B8B">
            <w:pPr>
              <w:spacing w:after="0" w:line="240" w:lineRule="auto"/>
              <w:ind w:firstLine="0"/>
              <w:rPr>
                <w:color w:val="000000"/>
                <w:sz w:val="20"/>
                <w:szCs w:val="20"/>
              </w:rPr>
            </w:pPr>
          </w:p>
        </w:tc>
        <w:tc>
          <w:tcPr>
            <w:tcW w:w="1510"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226731A9">
            <w:pPr>
              <w:spacing w:after="0" w:line="240" w:lineRule="auto"/>
              <w:ind w:firstLine="0"/>
              <w:rPr>
                <w:color w:val="000000"/>
                <w:sz w:val="20"/>
                <w:szCs w:val="20"/>
              </w:rPr>
            </w:pPr>
          </w:p>
        </w:tc>
      </w:tr>
      <w:tr w14:paraId="20836683">
        <w:tblPrEx>
          <w:tblCellMar>
            <w:top w:w="0" w:type="dxa"/>
            <w:left w:w="108" w:type="dxa"/>
            <w:bottom w:w="0" w:type="dxa"/>
            <w:right w:w="108" w:type="dxa"/>
          </w:tblCellMar>
        </w:tblPrEx>
        <w:trPr>
          <w:trHeight w:val="20" w:hRule="atLeast"/>
        </w:trPr>
        <w:tc>
          <w:tcPr>
            <w:tcW w:w="322"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94B91C2">
            <w:pPr>
              <w:spacing w:after="0" w:line="240" w:lineRule="auto"/>
              <w:ind w:firstLine="0"/>
              <w:jc w:val="center"/>
              <w:rPr>
                <w:color w:val="000000"/>
                <w:sz w:val="20"/>
                <w:szCs w:val="20"/>
              </w:rPr>
            </w:pPr>
            <w:r>
              <w:rPr>
                <w:color w:val="000000"/>
                <w:sz w:val="20"/>
                <w:szCs w:val="20"/>
              </w:rPr>
              <w:t> </w:t>
            </w:r>
          </w:p>
        </w:tc>
        <w:tc>
          <w:tcPr>
            <w:tcW w:w="1970" w:type="dxa"/>
            <w:tcBorders>
              <w:top w:val="nil"/>
              <w:left w:val="nil"/>
              <w:bottom w:val="single" w:color="auto" w:sz="4" w:space="0"/>
              <w:right w:val="single" w:color="auto" w:sz="4" w:space="0"/>
            </w:tcBorders>
            <w:shd w:val="clear" w:color="auto" w:fill="auto"/>
            <w:tcMar>
              <w:left w:w="28" w:type="dxa"/>
              <w:right w:w="28" w:type="dxa"/>
            </w:tcMar>
            <w:vAlign w:val="center"/>
          </w:tcPr>
          <w:p w14:paraId="4F436D1C">
            <w:pPr>
              <w:spacing w:after="0" w:line="240" w:lineRule="auto"/>
              <w:ind w:firstLine="0"/>
              <w:jc w:val="center"/>
              <w:rPr>
                <w:color w:val="000000"/>
                <w:sz w:val="20"/>
                <w:szCs w:val="20"/>
              </w:rPr>
            </w:pPr>
            <w:r>
              <w:rPr>
                <w:color w:val="000000"/>
                <w:sz w:val="20"/>
                <w:szCs w:val="20"/>
              </w:rPr>
              <w:t>Итого по с.п. Верхнеказымский:</w:t>
            </w:r>
          </w:p>
        </w:tc>
        <w:tc>
          <w:tcPr>
            <w:tcW w:w="1355"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8DB7894">
            <w:pPr>
              <w:spacing w:after="0" w:line="240" w:lineRule="auto"/>
              <w:ind w:firstLine="0"/>
              <w:jc w:val="center"/>
              <w:rPr>
                <w:color w:val="000000"/>
                <w:sz w:val="20"/>
                <w:szCs w:val="20"/>
              </w:rPr>
            </w:pPr>
            <w:r>
              <w:rPr>
                <w:color w:val="000000"/>
                <w:sz w:val="20"/>
                <w:szCs w:val="20"/>
              </w:rPr>
              <w:t>53,74</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75DB1D7">
            <w:pPr>
              <w:spacing w:after="0" w:line="240" w:lineRule="auto"/>
              <w:ind w:firstLine="0"/>
              <w:jc w:val="center"/>
              <w:rPr>
                <w:color w:val="000000"/>
                <w:sz w:val="20"/>
                <w:szCs w:val="20"/>
              </w:rPr>
            </w:pPr>
            <w:r>
              <w:rPr>
                <w:color w:val="000000"/>
                <w:sz w:val="20"/>
                <w:szCs w:val="20"/>
              </w:rPr>
              <w:t>35,4</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CF0F840">
            <w:pPr>
              <w:spacing w:after="0" w:line="240" w:lineRule="auto"/>
              <w:ind w:firstLine="0"/>
              <w:jc w:val="center"/>
              <w:rPr>
                <w:color w:val="000000"/>
                <w:sz w:val="20"/>
                <w:szCs w:val="20"/>
              </w:rPr>
            </w:pPr>
            <w:r>
              <w:rPr>
                <w:color w:val="000000"/>
                <w:sz w:val="20"/>
                <w:szCs w:val="20"/>
              </w:rPr>
              <w:t>18,34</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0B54941">
            <w:pPr>
              <w:spacing w:after="0" w:line="240" w:lineRule="auto"/>
              <w:ind w:firstLine="0"/>
              <w:jc w:val="center"/>
              <w:rPr>
                <w:color w:val="000000"/>
                <w:sz w:val="20"/>
                <w:szCs w:val="20"/>
              </w:rPr>
            </w:pPr>
            <w:r>
              <w:rPr>
                <w:color w:val="000000"/>
                <w:sz w:val="20"/>
                <w:szCs w:val="20"/>
              </w:rPr>
              <w:t>0,27</w:t>
            </w:r>
          </w:p>
        </w:tc>
        <w:tc>
          <w:tcPr>
            <w:tcW w:w="116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3E5889">
            <w:pPr>
              <w:spacing w:after="0" w:line="240" w:lineRule="auto"/>
              <w:ind w:firstLine="0"/>
              <w:jc w:val="center"/>
              <w:rPr>
                <w:color w:val="000000"/>
                <w:sz w:val="20"/>
                <w:szCs w:val="20"/>
              </w:rPr>
            </w:pPr>
            <w:r>
              <w:rPr>
                <w:color w:val="000000"/>
                <w:sz w:val="20"/>
                <w:szCs w:val="20"/>
              </w:rPr>
              <w:t>18,07</w:t>
            </w:r>
          </w:p>
        </w:tc>
        <w:tc>
          <w:tcPr>
            <w:tcW w:w="135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1B56005">
            <w:pPr>
              <w:spacing w:after="0" w:line="240" w:lineRule="auto"/>
              <w:ind w:firstLine="0"/>
              <w:jc w:val="center"/>
              <w:rPr>
                <w:color w:val="000000"/>
                <w:sz w:val="20"/>
                <w:szCs w:val="20"/>
              </w:rPr>
            </w:pPr>
            <w:r>
              <w:rPr>
                <w:color w:val="000000"/>
                <w:sz w:val="20"/>
                <w:szCs w:val="20"/>
              </w:rPr>
              <w:t>3,02</w:t>
            </w:r>
          </w:p>
        </w:tc>
        <w:tc>
          <w:tcPr>
            <w:tcW w:w="1242"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2ECDD61">
            <w:pPr>
              <w:spacing w:after="0" w:line="240" w:lineRule="auto"/>
              <w:ind w:firstLine="0"/>
              <w:jc w:val="center"/>
              <w:rPr>
                <w:color w:val="000000"/>
                <w:sz w:val="20"/>
                <w:szCs w:val="20"/>
              </w:rPr>
            </w:pPr>
            <w:r>
              <w:rPr>
                <w:color w:val="000000"/>
                <w:sz w:val="20"/>
                <w:szCs w:val="20"/>
              </w:rPr>
              <w:t>0,8</w:t>
            </w:r>
          </w:p>
        </w:tc>
        <w:tc>
          <w:tcPr>
            <w:tcW w:w="146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9C376F0">
            <w:pPr>
              <w:spacing w:after="0" w:line="240" w:lineRule="auto"/>
              <w:ind w:firstLine="0"/>
              <w:jc w:val="center"/>
              <w:rPr>
                <w:color w:val="000000"/>
                <w:sz w:val="20"/>
                <w:szCs w:val="20"/>
              </w:rPr>
            </w:pPr>
            <w:r>
              <w:rPr>
                <w:color w:val="000000"/>
                <w:sz w:val="20"/>
                <w:szCs w:val="20"/>
              </w:rPr>
              <w:t>2,18</w:t>
            </w:r>
          </w:p>
        </w:tc>
        <w:tc>
          <w:tcPr>
            <w:tcW w:w="15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24B31E2">
            <w:pPr>
              <w:spacing w:after="0" w:line="240" w:lineRule="auto"/>
              <w:ind w:firstLine="0"/>
              <w:jc w:val="center"/>
              <w:rPr>
                <w:color w:val="000000"/>
                <w:sz w:val="20"/>
                <w:szCs w:val="20"/>
              </w:rPr>
            </w:pPr>
            <w:r>
              <w:rPr>
                <w:color w:val="000000"/>
                <w:sz w:val="20"/>
                <w:szCs w:val="20"/>
              </w:rPr>
              <w:t>14,96</w:t>
            </w:r>
          </w:p>
        </w:tc>
      </w:tr>
    </w:tbl>
    <w:p w14:paraId="7EBFA413">
      <w:pPr>
        <w:spacing w:after="0" w:line="240" w:lineRule="auto"/>
        <w:contextualSpacing/>
        <w:jc w:val="both"/>
        <w:rPr>
          <w:rFonts w:eastAsia="Calibri"/>
          <w:sz w:val="24"/>
          <w:szCs w:val="24"/>
          <w:lang w:eastAsia="en-US"/>
        </w:rPr>
      </w:pPr>
    </w:p>
    <w:bookmarkEnd w:id="192"/>
    <w:p w14:paraId="3F4E5159">
      <w:pPr>
        <w:spacing w:after="0" w:line="240" w:lineRule="auto"/>
        <w:contextualSpacing/>
        <w:rPr>
          <w:sz w:val="24"/>
          <w:szCs w:val="24"/>
          <w:lang w:eastAsia="en-US"/>
        </w:rPr>
        <w:sectPr>
          <w:pgSz w:w="16838" w:h="11906" w:orient="landscape"/>
          <w:pgMar w:top="1134" w:right="567" w:bottom="1134" w:left="1701" w:header="709" w:footer="709" w:gutter="0"/>
          <w:cols w:space="708" w:num="1"/>
          <w:docGrid w:linePitch="360" w:charSpace="0"/>
        </w:sectPr>
      </w:pPr>
    </w:p>
    <w:p w14:paraId="17F5689D">
      <w:pPr>
        <w:pStyle w:val="4"/>
        <w:spacing w:before="0" w:line="240" w:lineRule="auto"/>
        <w:ind w:left="0" w:firstLine="709"/>
        <w:contextualSpacing/>
        <w:rPr>
          <w:rFonts w:cs="Times New Roman"/>
          <w:b w:val="0"/>
          <w:sz w:val="24"/>
        </w:rPr>
      </w:pPr>
      <w:bookmarkStart w:id="193" w:name="_Toc524614785"/>
      <w:bookmarkStart w:id="194" w:name="_Toc524615001"/>
      <w:bookmarkStart w:id="195" w:name="_Toc15640815"/>
      <w:bookmarkStart w:id="196" w:name="_Toc182813913"/>
      <w:bookmarkStart w:id="197" w:name="_Hlk15651118"/>
      <w:r>
        <w:rPr>
          <w:rFonts w:cs="Times New Roman"/>
          <w:b w:val="0"/>
          <w:sz w:val="24"/>
        </w:rPr>
        <w:t xml:space="preserve">Описание </w:t>
      </w:r>
      <w:bookmarkEnd w:id="193"/>
      <w:bookmarkEnd w:id="194"/>
      <w:r>
        <w:rPr>
          <w:rFonts w:cs="Times New Roman"/>
          <w:b w:val="0"/>
          <w:sz w:val="24"/>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95"/>
      <w:bookmarkEnd w:id="196"/>
    </w:p>
    <w:bookmarkEnd w:id="197"/>
    <w:p w14:paraId="5E3091A1">
      <w:pPr>
        <w:spacing w:after="0" w:line="240" w:lineRule="auto"/>
        <w:contextualSpacing/>
        <w:jc w:val="both"/>
        <w:rPr>
          <w:sz w:val="24"/>
          <w:szCs w:val="24"/>
        </w:rPr>
      </w:pPr>
      <w:r>
        <w:rPr>
          <w:sz w:val="24"/>
          <w:szCs w:val="24"/>
        </w:rPr>
        <w:t>Анализ резервов и дефицитов тепловой мощности нетто по каждому источнику тепловой энергии представлен в таблице 37.</w:t>
      </w:r>
    </w:p>
    <w:p w14:paraId="1CD5EDAD">
      <w:pPr>
        <w:spacing w:after="0" w:line="240" w:lineRule="auto"/>
        <w:contextualSpacing/>
        <w:jc w:val="both"/>
        <w:rPr>
          <w:sz w:val="24"/>
          <w:szCs w:val="24"/>
        </w:rPr>
      </w:pPr>
      <w:r>
        <w:rPr>
          <w:sz w:val="24"/>
          <w:szCs w:val="24"/>
        </w:rPr>
        <w:t>Анализ результатов балансов тепловой мощности нетто по каждому источнику тепловой энергии показывает, что все котельные с.п. Верхнеказымский обладают небольшим запасом резерва мощности для перспективного подключения потребителей.</w:t>
      </w:r>
    </w:p>
    <w:p w14:paraId="7A4EB911">
      <w:pPr>
        <w:spacing w:after="0" w:line="240" w:lineRule="auto"/>
        <w:contextualSpacing/>
        <w:jc w:val="both"/>
        <w:rPr>
          <w:sz w:val="24"/>
          <w:szCs w:val="24"/>
        </w:rPr>
      </w:pPr>
    </w:p>
    <w:p w14:paraId="35143CE8">
      <w:pPr>
        <w:pStyle w:val="4"/>
        <w:spacing w:before="0" w:line="240" w:lineRule="auto"/>
        <w:ind w:left="0" w:firstLine="709"/>
        <w:contextualSpacing/>
        <w:rPr>
          <w:rFonts w:cs="Times New Roman"/>
          <w:b w:val="0"/>
          <w:sz w:val="24"/>
        </w:rPr>
      </w:pPr>
      <w:bookmarkStart w:id="198" w:name="_Toc524614786"/>
      <w:bookmarkStart w:id="199" w:name="_Toc524615002"/>
      <w:bookmarkStart w:id="200" w:name="_Toc182813914"/>
      <w:r>
        <w:rPr>
          <w:rFonts w:cs="Times New Roman"/>
          <w:b w:val="0"/>
          <w:sz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98"/>
      <w:bookmarkEnd w:id="199"/>
      <w:bookmarkEnd w:id="200"/>
    </w:p>
    <w:p w14:paraId="79F6E660">
      <w:pPr>
        <w:spacing w:after="0" w:line="240" w:lineRule="auto"/>
        <w:contextualSpacing/>
        <w:jc w:val="both"/>
        <w:rPr>
          <w:sz w:val="24"/>
          <w:szCs w:val="24"/>
        </w:rPr>
      </w:pPr>
      <w:r>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в виде пьезометрических графиков представлены в п. 1.3.8. настоящей Схемы.</w:t>
      </w:r>
    </w:p>
    <w:p w14:paraId="7A011331">
      <w:pPr>
        <w:spacing w:after="0" w:line="240" w:lineRule="auto"/>
        <w:contextualSpacing/>
        <w:jc w:val="both"/>
        <w:rPr>
          <w:sz w:val="24"/>
          <w:szCs w:val="24"/>
        </w:rPr>
      </w:pPr>
      <w:r>
        <w:rPr>
          <w:sz w:val="24"/>
          <w:szCs w:val="24"/>
        </w:rPr>
        <w:t>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сельского поселения Верхнеказымский.</w:t>
      </w:r>
    </w:p>
    <w:p w14:paraId="17AECF5C">
      <w:pPr>
        <w:spacing w:after="0" w:line="240" w:lineRule="auto"/>
        <w:contextualSpacing/>
        <w:jc w:val="both"/>
        <w:rPr>
          <w:sz w:val="24"/>
          <w:szCs w:val="24"/>
        </w:rPr>
      </w:pPr>
      <w:r>
        <w:rPr>
          <w:sz w:val="24"/>
          <w:szCs w:val="24"/>
        </w:rPr>
        <w:t>Гидравлический расчёт выполнен на электронной модели схемы теплоснабжения в РПК Zulu Thermo 2021.</w:t>
      </w:r>
    </w:p>
    <w:p w14:paraId="6BA4BCF9">
      <w:pPr>
        <w:spacing w:after="0" w:line="240" w:lineRule="auto"/>
        <w:contextualSpacing/>
        <w:jc w:val="both"/>
        <w:rPr>
          <w:sz w:val="24"/>
          <w:szCs w:val="24"/>
        </w:rPr>
      </w:pPr>
    </w:p>
    <w:p w14:paraId="44450A28">
      <w:pPr>
        <w:pStyle w:val="4"/>
        <w:spacing w:before="0" w:line="240" w:lineRule="auto"/>
        <w:ind w:left="0" w:firstLine="709"/>
        <w:contextualSpacing/>
        <w:rPr>
          <w:rFonts w:cs="Times New Roman"/>
          <w:b w:val="0"/>
          <w:sz w:val="24"/>
        </w:rPr>
      </w:pPr>
      <w:bookmarkStart w:id="201" w:name="_Toc182813915"/>
      <w:bookmarkStart w:id="202" w:name="_Toc524614787"/>
      <w:bookmarkStart w:id="203" w:name="_Toc524615003"/>
      <w:r>
        <w:rPr>
          <w:rFonts w:cs="Times New Roman"/>
          <w:b w:val="0"/>
          <w:sz w:val="24"/>
        </w:rPr>
        <w:t>Описание причины возникновения дефицитов тепловой мощности и последствий влияния дефицитов на качество теплоснабжения</w:t>
      </w:r>
      <w:bookmarkEnd w:id="201"/>
      <w:bookmarkEnd w:id="202"/>
      <w:bookmarkEnd w:id="203"/>
    </w:p>
    <w:p w14:paraId="73FFE21D">
      <w:pPr>
        <w:spacing w:after="0" w:line="240" w:lineRule="auto"/>
        <w:contextualSpacing/>
        <w:jc w:val="both"/>
        <w:rPr>
          <w:sz w:val="24"/>
          <w:szCs w:val="24"/>
        </w:rPr>
      </w:pPr>
      <w:r>
        <w:rPr>
          <w:sz w:val="24"/>
          <w:szCs w:val="24"/>
        </w:rPr>
        <w:t>Основные причины возникновения дефицита и снижения качества теплоснабжения:</w:t>
      </w:r>
    </w:p>
    <w:p w14:paraId="1BDCD689">
      <w:pPr>
        <w:spacing w:after="0" w:line="240" w:lineRule="auto"/>
        <w:contextualSpacing/>
        <w:jc w:val="both"/>
        <w:rPr>
          <w:sz w:val="24"/>
          <w:szCs w:val="24"/>
        </w:rPr>
      </w:pPr>
      <w:r>
        <w:rPr>
          <w:sz w:val="24"/>
          <w:szCs w:val="24"/>
        </w:rPr>
        <w:t>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w:t>
      </w:r>
    </w:p>
    <w:p w14:paraId="7552A891">
      <w:pPr>
        <w:spacing w:after="0" w:line="240" w:lineRule="auto"/>
        <w:contextualSpacing/>
        <w:jc w:val="both"/>
        <w:rPr>
          <w:sz w:val="24"/>
          <w:szCs w:val="24"/>
        </w:rPr>
      </w:pPr>
      <w:r>
        <w:rPr>
          <w:sz w:val="24"/>
          <w:szCs w:val="24"/>
        </w:rPr>
        <w:t>2. Рост объемов теплопотребления.</w:t>
      </w:r>
    </w:p>
    <w:p w14:paraId="1F7E9E04">
      <w:pPr>
        <w:spacing w:after="0" w:line="240" w:lineRule="auto"/>
        <w:contextualSpacing/>
        <w:jc w:val="both"/>
        <w:rPr>
          <w:sz w:val="24"/>
          <w:szCs w:val="24"/>
        </w:rPr>
      </w:pPr>
    </w:p>
    <w:p w14:paraId="7770EA71">
      <w:pPr>
        <w:spacing w:after="0" w:line="240" w:lineRule="auto"/>
        <w:contextualSpacing/>
        <w:jc w:val="both"/>
        <w:rPr>
          <w:sz w:val="24"/>
          <w:szCs w:val="24"/>
        </w:rPr>
      </w:pPr>
      <w:r>
        <w:rPr>
          <w:sz w:val="24"/>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6DE749EF">
      <w:pPr>
        <w:spacing w:after="0" w:line="240" w:lineRule="auto"/>
        <w:contextualSpacing/>
        <w:jc w:val="both"/>
        <w:rPr>
          <w:sz w:val="24"/>
          <w:szCs w:val="24"/>
        </w:rPr>
      </w:pPr>
      <w:r>
        <w:rPr>
          <w:sz w:val="24"/>
          <w:szCs w:val="24"/>
        </w:rPr>
        <w:t>На источниках тепловой энергии в с.п. Верхнеказымский дефициты тепловой мощности отсутствует.</w:t>
      </w:r>
    </w:p>
    <w:p w14:paraId="3C927CC6">
      <w:pPr>
        <w:spacing w:after="0" w:line="240" w:lineRule="auto"/>
        <w:contextualSpacing/>
        <w:jc w:val="both"/>
        <w:rPr>
          <w:sz w:val="24"/>
          <w:szCs w:val="24"/>
        </w:rPr>
      </w:pPr>
    </w:p>
    <w:p w14:paraId="5E68B71F">
      <w:pPr>
        <w:pStyle w:val="4"/>
        <w:spacing w:before="0" w:line="240" w:lineRule="auto"/>
        <w:ind w:left="0" w:firstLine="709"/>
        <w:contextualSpacing/>
        <w:rPr>
          <w:rFonts w:cs="Times New Roman"/>
          <w:b w:val="0"/>
          <w:sz w:val="24"/>
        </w:rPr>
      </w:pPr>
      <w:bookmarkStart w:id="204" w:name="_Toc182813916"/>
      <w:bookmarkStart w:id="205" w:name="_Toc524615004"/>
      <w:bookmarkStart w:id="206" w:name="_Toc524614788"/>
      <w:r>
        <w:rPr>
          <w:rFonts w:cs="Times New Roman"/>
          <w:b w:val="0"/>
          <w:sz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04"/>
      <w:bookmarkEnd w:id="205"/>
      <w:bookmarkEnd w:id="206"/>
    </w:p>
    <w:p w14:paraId="5C6E90CB">
      <w:pPr>
        <w:spacing w:after="0" w:line="240" w:lineRule="auto"/>
        <w:contextualSpacing/>
        <w:jc w:val="both"/>
        <w:rPr>
          <w:sz w:val="24"/>
          <w:szCs w:val="24"/>
        </w:rPr>
      </w:pPr>
      <w:r>
        <w:rPr>
          <w:sz w:val="24"/>
          <w:szCs w:val="24"/>
        </w:rPr>
        <w:t>Зоны действия источников тепловой энергии с дефицитом тепловой мощности на территории с.п. Верхнеказымский отсутствуют.</w:t>
      </w:r>
    </w:p>
    <w:p w14:paraId="4E915268">
      <w:pPr>
        <w:spacing w:after="0" w:line="240" w:lineRule="auto"/>
        <w:jc w:val="both"/>
        <w:rPr>
          <w:sz w:val="24"/>
          <w:szCs w:val="24"/>
        </w:rPr>
      </w:pPr>
      <w:r>
        <w:rPr>
          <w:sz w:val="24"/>
          <w:szCs w:val="24"/>
        </w:rPr>
        <w:t>Расширение технологической зоны возможно в перспективе за счёт подключения новых потребителей к тепловым сетям и ремонту котельных.</w:t>
      </w:r>
    </w:p>
    <w:p w14:paraId="32806B4F">
      <w:pPr>
        <w:spacing w:after="0" w:line="240" w:lineRule="auto"/>
        <w:contextualSpacing/>
        <w:jc w:val="both"/>
        <w:rPr>
          <w:sz w:val="24"/>
          <w:szCs w:val="24"/>
        </w:rPr>
      </w:pPr>
    </w:p>
    <w:p w14:paraId="5D6F32E9">
      <w:pPr>
        <w:pStyle w:val="4"/>
        <w:spacing w:before="0" w:line="240" w:lineRule="auto"/>
        <w:ind w:left="0" w:firstLine="709"/>
        <w:contextualSpacing/>
        <w:rPr>
          <w:rFonts w:cs="Times New Roman"/>
          <w:b w:val="0"/>
          <w:sz w:val="24"/>
        </w:rPr>
      </w:pPr>
      <w:bookmarkStart w:id="207" w:name="_Toc15640820"/>
      <w:bookmarkStart w:id="208" w:name="_Toc524614789"/>
      <w:bookmarkStart w:id="209" w:name="_Toc182813917"/>
      <w:bookmarkStart w:id="210" w:name="_Toc524615005"/>
      <w:bookmarkStart w:id="211" w:name="_Hlk15651220"/>
      <w:r>
        <w:rPr>
          <w:rFonts w:cs="Times New Roman"/>
          <w:b w:val="0"/>
          <w:sz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07"/>
      <w:bookmarkEnd w:id="208"/>
      <w:bookmarkEnd w:id="209"/>
      <w:bookmarkEnd w:id="210"/>
    </w:p>
    <w:bookmarkEnd w:id="211"/>
    <w:p w14:paraId="508D0C51">
      <w:pPr>
        <w:spacing w:after="0" w:line="240" w:lineRule="auto"/>
        <w:contextualSpacing/>
        <w:jc w:val="both"/>
        <w:rPr>
          <w:sz w:val="24"/>
          <w:szCs w:val="24"/>
        </w:rPr>
        <w:sectPr>
          <w:pgSz w:w="11906" w:h="16838"/>
          <w:pgMar w:top="1134" w:right="567" w:bottom="1134" w:left="1701" w:header="708" w:footer="708" w:gutter="0"/>
          <w:cols w:space="708" w:num="1"/>
          <w:docGrid w:linePitch="360" w:charSpace="0"/>
        </w:sectPr>
      </w:pPr>
    </w:p>
    <w:p w14:paraId="3A7AA944">
      <w:pPr>
        <w:spacing w:after="0" w:line="240" w:lineRule="auto"/>
        <w:contextualSpacing/>
        <w:jc w:val="both"/>
        <w:rPr>
          <w:sz w:val="24"/>
          <w:szCs w:val="24"/>
        </w:rPr>
      </w:pPr>
      <w:r>
        <w:rPr>
          <w:sz w:val="24"/>
          <w:szCs w:val="24"/>
        </w:rPr>
        <w:t>Изменения в балансах тепловой мощности выражены изменениями значений резервов тепловой мощности и представлено в таблице 38.</w:t>
      </w:r>
    </w:p>
    <w:p w14:paraId="7A107DD5">
      <w:pPr>
        <w:keepNext/>
        <w:spacing w:after="0" w:line="240" w:lineRule="auto"/>
        <w:ind w:firstLine="0"/>
        <w:contextualSpacing/>
        <w:jc w:val="both"/>
        <w:rPr>
          <w:bCs/>
          <w:sz w:val="24"/>
          <w:szCs w:val="24"/>
        </w:rPr>
      </w:pPr>
    </w:p>
    <w:p w14:paraId="527B5A21">
      <w:pPr>
        <w:keepNext/>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38</w:t>
      </w:r>
      <w:r>
        <w:rPr>
          <w:bCs/>
          <w:sz w:val="24"/>
          <w:szCs w:val="24"/>
        </w:rPr>
        <w:fldChar w:fldCharType="end"/>
      </w:r>
      <w:r>
        <w:rPr>
          <w:bCs/>
          <w:sz w:val="24"/>
          <w:szCs w:val="24"/>
        </w:rPr>
        <w:t xml:space="preserve"> – </w:t>
      </w:r>
      <w:r>
        <w:rPr>
          <w:sz w:val="24"/>
          <w:szCs w:val="24"/>
        </w:rPr>
        <w:t>Описание изменений в балансах тепловой мощности и тепловой нагрузки каждой системы теплоснабжения</w:t>
      </w:r>
    </w:p>
    <w:tbl>
      <w:tblPr>
        <w:tblStyle w:val="12"/>
        <w:tblW w:w="5000" w:type="pct"/>
        <w:tblInd w:w="-5" w:type="dxa"/>
        <w:tblLayout w:type="autofit"/>
        <w:tblCellMar>
          <w:top w:w="0" w:type="dxa"/>
          <w:left w:w="108" w:type="dxa"/>
          <w:bottom w:w="0" w:type="dxa"/>
          <w:right w:w="108" w:type="dxa"/>
        </w:tblCellMar>
      </w:tblPr>
      <w:tblGrid>
        <w:gridCol w:w="338"/>
        <w:gridCol w:w="1992"/>
        <w:gridCol w:w="1347"/>
        <w:gridCol w:w="1332"/>
        <w:gridCol w:w="1307"/>
        <w:gridCol w:w="1187"/>
        <w:gridCol w:w="911"/>
        <w:gridCol w:w="1211"/>
        <w:gridCol w:w="1484"/>
        <w:gridCol w:w="1758"/>
        <w:gridCol w:w="1759"/>
      </w:tblGrid>
      <w:tr w14:paraId="6C9AC98C">
        <w:tblPrEx>
          <w:tblCellMar>
            <w:top w:w="0" w:type="dxa"/>
            <w:left w:w="108" w:type="dxa"/>
            <w:bottom w:w="0" w:type="dxa"/>
            <w:right w:w="108" w:type="dxa"/>
          </w:tblCellMar>
        </w:tblPrEx>
        <w:trPr>
          <w:trHeight w:val="20" w:hRule="atLeast"/>
        </w:trPr>
        <w:tc>
          <w:tcPr>
            <w:tcW w:w="31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4E575F5">
            <w:pPr>
              <w:spacing w:after="0" w:line="240" w:lineRule="auto"/>
              <w:ind w:firstLine="0"/>
              <w:jc w:val="center"/>
              <w:rPr>
                <w:color w:val="000000"/>
                <w:sz w:val="20"/>
                <w:szCs w:val="20"/>
              </w:rPr>
            </w:pPr>
            <w:r>
              <w:rPr>
                <w:color w:val="000000"/>
                <w:sz w:val="20"/>
                <w:szCs w:val="20"/>
              </w:rPr>
              <w:t>№ п/п</w:t>
            </w:r>
          </w:p>
        </w:tc>
        <w:tc>
          <w:tcPr>
            <w:tcW w:w="191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4187201">
            <w:pPr>
              <w:spacing w:after="0" w:line="240" w:lineRule="auto"/>
              <w:ind w:firstLine="0"/>
              <w:jc w:val="center"/>
              <w:rPr>
                <w:color w:val="000000"/>
                <w:sz w:val="20"/>
                <w:szCs w:val="20"/>
              </w:rPr>
            </w:pPr>
            <w:r>
              <w:rPr>
                <w:color w:val="000000"/>
                <w:sz w:val="20"/>
                <w:szCs w:val="20"/>
              </w:rPr>
              <w:t>Наименование и адрес котельной</w:t>
            </w:r>
          </w:p>
        </w:tc>
        <w:tc>
          <w:tcPr>
            <w:tcW w:w="12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5B6C34BB">
            <w:pPr>
              <w:spacing w:after="0" w:line="240" w:lineRule="auto"/>
              <w:ind w:firstLine="0"/>
              <w:jc w:val="center"/>
              <w:rPr>
                <w:color w:val="000000"/>
                <w:sz w:val="20"/>
                <w:szCs w:val="20"/>
              </w:rPr>
            </w:pPr>
            <w:r>
              <w:rPr>
                <w:color w:val="000000"/>
                <w:sz w:val="20"/>
                <w:szCs w:val="20"/>
              </w:rPr>
              <w:t>Установленная тепловая мощность, Гкал/ч</w:t>
            </w:r>
          </w:p>
        </w:tc>
        <w:tc>
          <w:tcPr>
            <w:tcW w:w="1281"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F02BED5">
            <w:pPr>
              <w:spacing w:after="0" w:line="240" w:lineRule="auto"/>
              <w:ind w:firstLine="0"/>
              <w:jc w:val="center"/>
              <w:rPr>
                <w:color w:val="000000"/>
                <w:sz w:val="20"/>
                <w:szCs w:val="20"/>
              </w:rPr>
            </w:pPr>
            <w:r>
              <w:rPr>
                <w:color w:val="000000"/>
                <w:sz w:val="20"/>
                <w:szCs w:val="20"/>
              </w:rPr>
              <w:t>Ограничения установленной тепловой мощности, Гкал/ч</w:t>
            </w:r>
          </w:p>
        </w:tc>
        <w:tc>
          <w:tcPr>
            <w:tcW w:w="125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37E183E">
            <w:pPr>
              <w:spacing w:after="0" w:line="240" w:lineRule="auto"/>
              <w:ind w:firstLine="0"/>
              <w:jc w:val="center"/>
              <w:rPr>
                <w:color w:val="000000"/>
                <w:sz w:val="20"/>
                <w:szCs w:val="20"/>
              </w:rPr>
            </w:pPr>
            <w:r>
              <w:rPr>
                <w:color w:val="000000"/>
                <w:sz w:val="20"/>
                <w:szCs w:val="20"/>
              </w:rPr>
              <w:t>Располагаемая тепловая мощность, Гкал/ч</w:t>
            </w:r>
          </w:p>
        </w:tc>
        <w:tc>
          <w:tcPr>
            <w:tcW w:w="1142"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F8B1BCA">
            <w:pPr>
              <w:spacing w:after="0" w:line="240" w:lineRule="auto"/>
              <w:ind w:firstLine="0"/>
              <w:jc w:val="center"/>
              <w:rPr>
                <w:color w:val="000000"/>
                <w:sz w:val="20"/>
                <w:szCs w:val="20"/>
              </w:rPr>
            </w:pPr>
            <w:r>
              <w:rPr>
                <w:color w:val="000000"/>
                <w:sz w:val="20"/>
                <w:szCs w:val="20"/>
              </w:rPr>
              <w:t>Собственные нужды, Гкал/ч</w:t>
            </w:r>
          </w:p>
        </w:tc>
        <w:tc>
          <w:tcPr>
            <w:tcW w:w="87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5D9B3F5">
            <w:pPr>
              <w:spacing w:after="0" w:line="240" w:lineRule="auto"/>
              <w:ind w:firstLine="0"/>
              <w:jc w:val="center"/>
              <w:rPr>
                <w:color w:val="000000"/>
                <w:sz w:val="20"/>
                <w:szCs w:val="20"/>
              </w:rPr>
            </w:pPr>
            <w:r>
              <w:rPr>
                <w:color w:val="000000"/>
                <w:sz w:val="20"/>
                <w:szCs w:val="20"/>
              </w:rPr>
              <w:t>Тепловая мощность нетто, Гкал/ч</w:t>
            </w:r>
          </w:p>
        </w:tc>
        <w:tc>
          <w:tcPr>
            <w:tcW w:w="112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8B4900B">
            <w:pPr>
              <w:spacing w:after="0" w:line="240" w:lineRule="auto"/>
              <w:ind w:firstLine="0"/>
              <w:jc w:val="center"/>
              <w:rPr>
                <w:color w:val="000000"/>
                <w:sz w:val="20"/>
                <w:szCs w:val="20"/>
              </w:rPr>
            </w:pPr>
            <w:r>
              <w:rPr>
                <w:color w:val="000000"/>
                <w:sz w:val="20"/>
                <w:szCs w:val="20"/>
              </w:rPr>
              <w:t>Тепловая нагрузка на коллекторах, Гкал/ч</w:t>
            </w:r>
          </w:p>
        </w:tc>
        <w:tc>
          <w:tcPr>
            <w:tcW w:w="1428"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5BCDE7F8">
            <w:pPr>
              <w:spacing w:after="0" w:line="240" w:lineRule="auto"/>
              <w:ind w:firstLine="0"/>
              <w:jc w:val="center"/>
              <w:rPr>
                <w:color w:val="000000"/>
                <w:sz w:val="20"/>
                <w:szCs w:val="20"/>
              </w:rPr>
            </w:pPr>
            <w:r>
              <w:rPr>
                <w:color w:val="000000"/>
                <w:sz w:val="20"/>
                <w:szCs w:val="20"/>
              </w:rPr>
              <w:t>Потери в тепловых сетях, Гкал/ч</w:t>
            </w:r>
          </w:p>
        </w:tc>
        <w:tc>
          <w:tcPr>
            <w:tcW w:w="1691"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F9721B9">
            <w:pPr>
              <w:spacing w:after="0" w:line="240" w:lineRule="auto"/>
              <w:ind w:firstLine="0"/>
              <w:jc w:val="center"/>
              <w:rPr>
                <w:color w:val="000000"/>
                <w:sz w:val="20"/>
                <w:szCs w:val="20"/>
              </w:rPr>
            </w:pPr>
            <w:r>
              <w:rPr>
                <w:color w:val="000000"/>
                <w:sz w:val="20"/>
                <w:szCs w:val="20"/>
              </w:rPr>
              <w:t>Присоединенная тепловая нагрузка, Гкал/ч</w:t>
            </w:r>
          </w:p>
        </w:tc>
        <w:tc>
          <w:tcPr>
            <w:tcW w:w="1691"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2863446">
            <w:pPr>
              <w:spacing w:after="0" w:line="240" w:lineRule="auto"/>
              <w:ind w:firstLine="0"/>
              <w:jc w:val="center"/>
              <w:rPr>
                <w:color w:val="000000"/>
                <w:sz w:val="20"/>
                <w:szCs w:val="20"/>
              </w:rPr>
            </w:pPr>
            <w:r>
              <w:rPr>
                <w:color w:val="000000"/>
                <w:sz w:val="20"/>
                <w:szCs w:val="20"/>
              </w:rPr>
              <w:t>Резерв (+)/ дефицит (-) тепловой мощности в номинальном режиме, Гкал/ч</w:t>
            </w:r>
          </w:p>
        </w:tc>
      </w:tr>
      <w:tr w14:paraId="5BC2F015">
        <w:tblPrEx>
          <w:tblCellMar>
            <w:top w:w="0" w:type="dxa"/>
            <w:left w:w="108" w:type="dxa"/>
            <w:bottom w:w="0" w:type="dxa"/>
            <w:right w:w="108" w:type="dxa"/>
          </w:tblCellMar>
        </w:tblPrEx>
        <w:trPr>
          <w:trHeight w:val="20" w:hRule="atLeast"/>
        </w:trPr>
        <w:tc>
          <w:tcPr>
            <w:tcW w:w="14015" w:type="dxa"/>
            <w:gridSpan w:val="11"/>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9107774">
            <w:pPr>
              <w:spacing w:after="0" w:line="240" w:lineRule="auto"/>
              <w:ind w:firstLine="0"/>
              <w:jc w:val="center"/>
              <w:rPr>
                <w:color w:val="000000"/>
                <w:sz w:val="20"/>
                <w:szCs w:val="20"/>
              </w:rPr>
            </w:pPr>
            <w:r>
              <w:rPr>
                <w:color w:val="000000"/>
                <w:sz w:val="20"/>
                <w:szCs w:val="20"/>
              </w:rPr>
              <w:t>актуализированная редакция</w:t>
            </w:r>
          </w:p>
        </w:tc>
      </w:tr>
      <w:tr w14:paraId="5E2F124F">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D7603C4">
            <w:pPr>
              <w:spacing w:after="0" w:line="240" w:lineRule="auto"/>
              <w:ind w:firstLine="0"/>
              <w:jc w:val="center"/>
              <w:rPr>
                <w:color w:val="000000"/>
                <w:sz w:val="20"/>
                <w:szCs w:val="20"/>
              </w:rPr>
            </w:pPr>
            <w:r>
              <w:rPr>
                <w:color w:val="000000"/>
                <w:sz w:val="20"/>
                <w:szCs w:val="20"/>
              </w:rPr>
              <w:t>1</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141D69F4">
            <w:pPr>
              <w:spacing w:after="0" w:line="240" w:lineRule="auto"/>
              <w:ind w:firstLine="0"/>
              <w:jc w:val="center"/>
              <w:rPr>
                <w:color w:val="000000"/>
                <w:sz w:val="20"/>
                <w:szCs w:val="20"/>
              </w:rPr>
            </w:pPr>
            <w:r>
              <w:rPr>
                <w:color w:val="000000"/>
                <w:sz w:val="20"/>
                <w:szCs w:val="20"/>
              </w:rPr>
              <w:t>Котельная №2 МУП «БКС»</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3633AE5">
            <w:pPr>
              <w:spacing w:after="0" w:line="240" w:lineRule="auto"/>
              <w:ind w:firstLine="0"/>
              <w:jc w:val="center"/>
              <w:rPr>
                <w:color w:val="000000"/>
                <w:sz w:val="20"/>
                <w:szCs w:val="20"/>
              </w:rPr>
            </w:pPr>
            <w:r>
              <w:rPr>
                <w:color w:val="000000"/>
                <w:sz w:val="20"/>
                <w:szCs w:val="20"/>
              </w:rPr>
              <w:t>6,02</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4F673F4D">
            <w:pPr>
              <w:spacing w:after="0" w:line="240" w:lineRule="auto"/>
              <w:ind w:firstLine="0"/>
              <w:jc w:val="center"/>
              <w:rPr>
                <w:color w:val="000000"/>
                <w:sz w:val="20"/>
                <w:szCs w:val="20"/>
              </w:rPr>
            </w:pPr>
            <w:r>
              <w:rPr>
                <w:color w:val="000000"/>
                <w:sz w:val="20"/>
                <w:szCs w:val="20"/>
              </w:rPr>
              <w:t>0,08</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B1DB2E8">
            <w:pPr>
              <w:spacing w:after="0" w:line="240" w:lineRule="auto"/>
              <w:ind w:firstLine="0"/>
              <w:jc w:val="center"/>
              <w:rPr>
                <w:color w:val="000000"/>
                <w:sz w:val="20"/>
                <w:szCs w:val="20"/>
              </w:rPr>
            </w:pPr>
            <w:r>
              <w:rPr>
                <w:color w:val="000000"/>
                <w:sz w:val="20"/>
                <w:szCs w:val="20"/>
              </w:rPr>
              <w:t>5,94</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6E25CAEA">
            <w:pPr>
              <w:spacing w:after="0" w:line="240" w:lineRule="auto"/>
              <w:ind w:firstLine="0"/>
              <w:jc w:val="center"/>
              <w:rPr>
                <w:color w:val="000000"/>
                <w:sz w:val="20"/>
                <w:szCs w:val="20"/>
              </w:rPr>
            </w:pPr>
            <w:r>
              <w:rPr>
                <w:color w:val="000000"/>
                <w:sz w:val="20"/>
                <w:szCs w:val="20"/>
                <w:lang w:val="en-US"/>
              </w:rPr>
              <w:t>0,13</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C23F0A4">
            <w:pPr>
              <w:spacing w:after="0" w:line="240" w:lineRule="auto"/>
              <w:ind w:firstLine="0"/>
              <w:jc w:val="center"/>
              <w:rPr>
                <w:color w:val="000000"/>
                <w:sz w:val="20"/>
                <w:szCs w:val="20"/>
              </w:rPr>
            </w:pPr>
            <w:r>
              <w:rPr>
                <w:color w:val="000000"/>
                <w:sz w:val="20"/>
                <w:szCs w:val="20"/>
              </w:rPr>
              <w:t>5,81</w:t>
            </w:r>
          </w:p>
        </w:tc>
        <w:tc>
          <w:tcPr>
            <w:tcW w:w="112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86241C8">
            <w:pPr>
              <w:spacing w:after="0" w:line="240" w:lineRule="auto"/>
              <w:ind w:firstLine="0"/>
              <w:jc w:val="center"/>
              <w:rPr>
                <w:color w:val="000000"/>
                <w:sz w:val="20"/>
                <w:szCs w:val="20"/>
              </w:rPr>
            </w:pPr>
            <w:r>
              <w:rPr>
                <w:color w:val="000000"/>
                <w:sz w:val="20"/>
                <w:szCs w:val="20"/>
              </w:rPr>
              <w:t>0,72</w:t>
            </w:r>
          </w:p>
        </w:tc>
        <w:tc>
          <w:tcPr>
            <w:tcW w:w="1428" w:type="dxa"/>
            <w:tcBorders>
              <w:top w:val="nil"/>
              <w:left w:val="nil"/>
              <w:bottom w:val="single" w:color="auto" w:sz="4" w:space="0"/>
              <w:right w:val="single" w:color="auto" w:sz="4" w:space="0"/>
            </w:tcBorders>
            <w:shd w:val="clear" w:color="auto" w:fill="auto"/>
            <w:tcMar>
              <w:left w:w="28" w:type="dxa"/>
              <w:right w:w="28" w:type="dxa"/>
            </w:tcMar>
            <w:vAlign w:val="center"/>
          </w:tcPr>
          <w:p w14:paraId="6A1FDB5A">
            <w:pPr>
              <w:spacing w:after="0" w:line="240" w:lineRule="auto"/>
              <w:ind w:firstLine="0"/>
              <w:jc w:val="center"/>
              <w:rPr>
                <w:color w:val="000000"/>
                <w:sz w:val="20"/>
                <w:szCs w:val="20"/>
              </w:rPr>
            </w:pPr>
            <w:r>
              <w:rPr>
                <w:color w:val="000000"/>
                <w:sz w:val="20"/>
                <w:szCs w:val="20"/>
              </w:rPr>
              <w:t>0,22</w:t>
            </w:r>
          </w:p>
        </w:tc>
        <w:tc>
          <w:tcPr>
            <w:tcW w:w="169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AD6DAA">
            <w:pPr>
              <w:spacing w:after="0" w:line="240" w:lineRule="auto"/>
              <w:ind w:firstLine="0"/>
              <w:jc w:val="center"/>
              <w:rPr>
                <w:color w:val="000000"/>
                <w:sz w:val="20"/>
                <w:szCs w:val="20"/>
              </w:rPr>
            </w:pPr>
            <w:r>
              <w:rPr>
                <w:color w:val="000000"/>
                <w:sz w:val="20"/>
                <w:szCs w:val="20"/>
              </w:rPr>
              <w:t>0,5</w:t>
            </w: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5DB33E4D">
            <w:pPr>
              <w:spacing w:after="0" w:line="240" w:lineRule="auto"/>
              <w:ind w:firstLine="0"/>
              <w:jc w:val="center"/>
              <w:rPr>
                <w:color w:val="000000"/>
                <w:sz w:val="20"/>
                <w:szCs w:val="20"/>
              </w:rPr>
            </w:pPr>
            <w:r>
              <w:rPr>
                <w:color w:val="000000"/>
                <w:sz w:val="20"/>
                <w:szCs w:val="20"/>
              </w:rPr>
              <w:t>5,09</w:t>
            </w:r>
          </w:p>
        </w:tc>
      </w:tr>
      <w:tr w14:paraId="25544D25">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C9C08D5">
            <w:pPr>
              <w:spacing w:after="0" w:line="240" w:lineRule="auto"/>
              <w:ind w:firstLine="0"/>
              <w:jc w:val="center"/>
              <w:rPr>
                <w:color w:val="000000"/>
                <w:sz w:val="20"/>
                <w:szCs w:val="20"/>
              </w:rPr>
            </w:pPr>
            <w:r>
              <w:rPr>
                <w:color w:val="000000"/>
                <w:sz w:val="20"/>
                <w:szCs w:val="20"/>
              </w:rPr>
              <w:t>2</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33C08518">
            <w:pPr>
              <w:spacing w:after="0" w:line="240" w:lineRule="auto"/>
              <w:ind w:firstLine="0"/>
              <w:jc w:val="center"/>
              <w:rPr>
                <w:color w:val="000000"/>
                <w:sz w:val="20"/>
                <w:szCs w:val="20"/>
              </w:rPr>
            </w:pPr>
            <w:r>
              <w:rPr>
                <w:color w:val="000000"/>
                <w:sz w:val="20"/>
                <w:szCs w:val="20"/>
              </w:rPr>
              <w:t>Котельная «2БВК»</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1BC8692">
            <w:pPr>
              <w:spacing w:after="0" w:line="240" w:lineRule="auto"/>
              <w:ind w:firstLine="0"/>
              <w:jc w:val="center"/>
              <w:rPr>
                <w:color w:val="000000"/>
                <w:sz w:val="20"/>
                <w:szCs w:val="20"/>
              </w:rPr>
            </w:pPr>
            <w:r>
              <w:rPr>
                <w:color w:val="000000"/>
                <w:sz w:val="20"/>
                <w:szCs w:val="20"/>
              </w:rPr>
              <w:t>7,2</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0CD6958B">
            <w:pPr>
              <w:spacing w:after="0" w:line="240" w:lineRule="auto"/>
              <w:ind w:firstLine="0"/>
              <w:jc w:val="center"/>
              <w:rPr>
                <w:color w:val="000000"/>
                <w:sz w:val="20"/>
                <w:szCs w:val="20"/>
              </w:rPr>
            </w:pPr>
            <w:r>
              <w:rPr>
                <w:color w:val="000000"/>
                <w:sz w:val="20"/>
                <w:szCs w:val="20"/>
              </w:rPr>
              <w:t>5,7</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10AB71">
            <w:pPr>
              <w:spacing w:after="0" w:line="240" w:lineRule="auto"/>
              <w:ind w:firstLine="0"/>
              <w:jc w:val="center"/>
              <w:rPr>
                <w:color w:val="000000"/>
                <w:sz w:val="20"/>
                <w:szCs w:val="20"/>
              </w:rPr>
            </w:pPr>
            <w:r>
              <w:rPr>
                <w:color w:val="000000"/>
                <w:sz w:val="20"/>
                <w:szCs w:val="20"/>
              </w:rPr>
              <w:t>1,5</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0B8306D5">
            <w:pPr>
              <w:spacing w:after="0" w:line="240" w:lineRule="auto"/>
              <w:ind w:firstLine="0"/>
              <w:jc w:val="center"/>
              <w:rPr>
                <w:color w:val="000000"/>
                <w:sz w:val="20"/>
                <w:szCs w:val="20"/>
              </w:rPr>
            </w:pPr>
            <w:r>
              <w:rPr>
                <w:color w:val="000000"/>
                <w:sz w:val="20"/>
                <w:szCs w:val="20"/>
              </w:rPr>
              <w:t>0,02</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10B9128">
            <w:pPr>
              <w:spacing w:after="0" w:line="240" w:lineRule="auto"/>
              <w:ind w:firstLine="0"/>
              <w:jc w:val="center"/>
              <w:rPr>
                <w:color w:val="000000"/>
                <w:sz w:val="20"/>
                <w:szCs w:val="20"/>
              </w:rPr>
            </w:pPr>
            <w:r>
              <w:rPr>
                <w:color w:val="000000"/>
                <w:sz w:val="20"/>
                <w:szCs w:val="20"/>
              </w:rPr>
              <w:t>1,48</w:t>
            </w:r>
          </w:p>
        </w:tc>
        <w:tc>
          <w:tcPr>
            <w:tcW w:w="1120" w:type="dxa"/>
            <w:vMerge w:val="restart"/>
            <w:tcBorders>
              <w:top w:val="nil"/>
              <w:left w:val="single" w:color="auto" w:sz="4" w:space="0"/>
              <w:bottom w:val="single" w:color="000000" w:sz="4" w:space="0"/>
              <w:right w:val="single" w:color="auto" w:sz="4" w:space="0"/>
            </w:tcBorders>
            <w:shd w:val="clear" w:color="auto" w:fill="auto"/>
            <w:noWrap/>
            <w:tcMar>
              <w:left w:w="28" w:type="dxa"/>
              <w:right w:w="28" w:type="dxa"/>
            </w:tcMar>
            <w:vAlign w:val="center"/>
          </w:tcPr>
          <w:p w14:paraId="7C563F21">
            <w:pPr>
              <w:spacing w:after="0" w:line="240" w:lineRule="auto"/>
              <w:ind w:firstLine="0"/>
              <w:jc w:val="center"/>
              <w:rPr>
                <w:color w:val="000000"/>
                <w:sz w:val="20"/>
                <w:szCs w:val="20"/>
              </w:rPr>
            </w:pPr>
            <w:r>
              <w:rPr>
                <w:color w:val="000000"/>
                <w:sz w:val="20"/>
                <w:szCs w:val="20"/>
              </w:rPr>
              <w:t>2,3</w:t>
            </w:r>
          </w:p>
        </w:tc>
        <w:tc>
          <w:tcPr>
            <w:tcW w:w="1428" w:type="dxa"/>
            <w:tcBorders>
              <w:top w:val="nil"/>
              <w:left w:val="nil"/>
              <w:bottom w:val="single" w:color="auto" w:sz="4" w:space="0"/>
              <w:right w:val="single" w:color="auto" w:sz="4" w:space="0"/>
            </w:tcBorders>
            <w:shd w:val="clear" w:color="auto" w:fill="auto"/>
            <w:tcMar>
              <w:left w:w="28" w:type="dxa"/>
              <w:right w:w="28" w:type="dxa"/>
            </w:tcMar>
            <w:vAlign w:val="center"/>
          </w:tcPr>
          <w:p w14:paraId="6B547567">
            <w:pPr>
              <w:spacing w:after="0" w:line="240" w:lineRule="auto"/>
              <w:ind w:firstLine="0"/>
              <w:jc w:val="center"/>
              <w:rPr>
                <w:color w:val="000000"/>
                <w:sz w:val="20"/>
                <w:szCs w:val="20"/>
              </w:rPr>
            </w:pPr>
            <w:r>
              <w:rPr>
                <w:color w:val="000000"/>
                <w:sz w:val="20"/>
                <w:szCs w:val="20"/>
              </w:rPr>
              <w:t>0,12</w:t>
            </w:r>
          </w:p>
        </w:tc>
        <w:tc>
          <w:tcPr>
            <w:tcW w:w="1691" w:type="dxa"/>
            <w:vMerge w:val="restar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0C4C211">
            <w:pPr>
              <w:spacing w:after="0" w:line="240" w:lineRule="auto"/>
              <w:ind w:firstLine="0"/>
              <w:jc w:val="center"/>
              <w:rPr>
                <w:color w:val="000000"/>
                <w:sz w:val="20"/>
                <w:szCs w:val="20"/>
              </w:rPr>
            </w:pPr>
            <w:r>
              <w:rPr>
                <w:color w:val="000000"/>
                <w:sz w:val="20"/>
                <w:szCs w:val="20"/>
              </w:rPr>
              <w:t>1,68</w:t>
            </w:r>
          </w:p>
        </w:tc>
        <w:tc>
          <w:tcPr>
            <w:tcW w:w="169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4950CEAC">
            <w:pPr>
              <w:spacing w:after="0" w:line="240" w:lineRule="auto"/>
              <w:ind w:firstLine="0"/>
              <w:jc w:val="center"/>
              <w:rPr>
                <w:color w:val="000000"/>
                <w:sz w:val="20"/>
                <w:szCs w:val="20"/>
              </w:rPr>
            </w:pPr>
            <w:r>
              <w:rPr>
                <w:color w:val="000000"/>
                <w:sz w:val="20"/>
                <w:szCs w:val="20"/>
              </w:rPr>
              <w:t>9,87</w:t>
            </w:r>
          </w:p>
        </w:tc>
      </w:tr>
      <w:tr w14:paraId="78603AEF">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C538B62">
            <w:pPr>
              <w:spacing w:after="0" w:line="240" w:lineRule="auto"/>
              <w:ind w:firstLine="0"/>
              <w:jc w:val="center"/>
              <w:rPr>
                <w:color w:val="000000"/>
                <w:sz w:val="20"/>
                <w:szCs w:val="20"/>
              </w:rPr>
            </w:pPr>
            <w:r>
              <w:rPr>
                <w:color w:val="000000"/>
                <w:sz w:val="20"/>
                <w:szCs w:val="20"/>
              </w:rPr>
              <w:t>3</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78BBD1FE">
            <w:pPr>
              <w:spacing w:after="0" w:line="240" w:lineRule="auto"/>
              <w:ind w:firstLine="0"/>
              <w:jc w:val="center"/>
              <w:rPr>
                <w:color w:val="000000"/>
                <w:sz w:val="20"/>
                <w:szCs w:val="20"/>
              </w:rPr>
            </w:pPr>
            <w:r>
              <w:rPr>
                <w:color w:val="000000"/>
                <w:sz w:val="20"/>
                <w:szCs w:val="20"/>
              </w:rPr>
              <w:t>Котельная «Вирбекс»</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D5C2FA2">
            <w:pPr>
              <w:spacing w:after="0" w:line="240" w:lineRule="auto"/>
              <w:ind w:firstLine="0"/>
              <w:jc w:val="center"/>
              <w:rPr>
                <w:color w:val="000000"/>
                <w:sz w:val="20"/>
                <w:szCs w:val="20"/>
              </w:rPr>
            </w:pPr>
            <w:r>
              <w:rPr>
                <w:color w:val="000000"/>
                <w:sz w:val="20"/>
                <w:szCs w:val="20"/>
              </w:rPr>
              <w:t>2,8</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091E863E">
            <w:pPr>
              <w:spacing w:after="0" w:line="240" w:lineRule="auto"/>
              <w:ind w:firstLine="0"/>
              <w:jc w:val="center"/>
              <w:rPr>
                <w:color w:val="000000"/>
                <w:sz w:val="20"/>
                <w:szCs w:val="20"/>
              </w:rPr>
            </w:pPr>
            <w:r>
              <w:rPr>
                <w:color w:val="000000"/>
                <w:sz w:val="20"/>
                <w:szCs w:val="20"/>
              </w:rPr>
              <w:t>1,3</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01227B6">
            <w:pPr>
              <w:spacing w:after="0" w:line="240" w:lineRule="auto"/>
              <w:ind w:firstLine="0"/>
              <w:jc w:val="center"/>
              <w:rPr>
                <w:color w:val="000000"/>
                <w:sz w:val="20"/>
                <w:szCs w:val="20"/>
              </w:rPr>
            </w:pPr>
            <w:r>
              <w:rPr>
                <w:color w:val="000000"/>
                <w:sz w:val="20"/>
                <w:szCs w:val="20"/>
              </w:rPr>
              <w:t>1,5</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1045E626">
            <w:pPr>
              <w:spacing w:after="0" w:line="240" w:lineRule="auto"/>
              <w:ind w:firstLine="0"/>
              <w:jc w:val="center"/>
              <w:rPr>
                <w:color w:val="000000"/>
                <w:sz w:val="20"/>
                <w:szCs w:val="20"/>
              </w:rPr>
            </w:pPr>
            <w:r>
              <w:rPr>
                <w:color w:val="000000"/>
                <w:sz w:val="20"/>
                <w:szCs w:val="20"/>
              </w:rPr>
              <w:t>0,21</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A880A0C">
            <w:pPr>
              <w:spacing w:after="0" w:line="240" w:lineRule="auto"/>
              <w:ind w:firstLine="0"/>
              <w:jc w:val="center"/>
              <w:rPr>
                <w:color w:val="000000"/>
                <w:sz w:val="20"/>
                <w:szCs w:val="20"/>
              </w:rPr>
            </w:pPr>
            <w:r>
              <w:rPr>
                <w:color w:val="000000"/>
                <w:sz w:val="20"/>
                <w:szCs w:val="20"/>
              </w:rPr>
              <w:t>1,29</w:t>
            </w:r>
          </w:p>
        </w:tc>
        <w:tc>
          <w:tcPr>
            <w:tcW w:w="1120" w:type="dxa"/>
            <w:vMerge w:val="continue"/>
            <w:tcBorders>
              <w:top w:val="nil"/>
              <w:left w:val="single" w:color="auto" w:sz="4" w:space="0"/>
              <w:bottom w:val="single" w:color="000000" w:sz="4" w:space="0"/>
              <w:right w:val="single" w:color="auto" w:sz="4" w:space="0"/>
            </w:tcBorders>
            <w:tcMar>
              <w:left w:w="28" w:type="dxa"/>
              <w:right w:w="28" w:type="dxa"/>
            </w:tcMar>
            <w:vAlign w:val="center"/>
          </w:tcPr>
          <w:p w14:paraId="2D2EC5D0">
            <w:pPr>
              <w:spacing w:after="0" w:line="240" w:lineRule="auto"/>
              <w:ind w:firstLine="0"/>
              <w:rPr>
                <w:color w:val="000000"/>
                <w:sz w:val="20"/>
                <w:szCs w:val="20"/>
              </w:rPr>
            </w:pPr>
          </w:p>
        </w:tc>
        <w:tc>
          <w:tcPr>
            <w:tcW w:w="1428" w:type="dxa"/>
            <w:tcBorders>
              <w:top w:val="nil"/>
              <w:left w:val="nil"/>
              <w:bottom w:val="single" w:color="auto" w:sz="4" w:space="0"/>
              <w:right w:val="single" w:color="auto" w:sz="4" w:space="0"/>
            </w:tcBorders>
            <w:shd w:val="clear" w:color="auto" w:fill="auto"/>
            <w:tcMar>
              <w:left w:w="28" w:type="dxa"/>
              <w:right w:w="28" w:type="dxa"/>
            </w:tcMar>
            <w:vAlign w:val="center"/>
          </w:tcPr>
          <w:p w14:paraId="7CFF9838">
            <w:pPr>
              <w:spacing w:after="0" w:line="240" w:lineRule="auto"/>
              <w:ind w:firstLine="0"/>
              <w:jc w:val="center"/>
              <w:rPr>
                <w:color w:val="000000"/>
                <w:sz w:val="20"/>
                <w:szCs w:val="20"/>
              </w:rPr>
            </w:pPr>
            <w:r>
              <w:rPr>
                <w:color w:val="000000"/>
                <w:sz w:val="20"/>
                <w:szCs w:val="20"/>
              </w:rPr>
              <w:t>0,12</w:t>
            </w:r>
          </w:p>
        </w:tc>
        <w:tc>
          <w:tcPr>
            <w:tcW w:w="169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5E961760">
            <w:pPr>
              <w:spacing w:after="0" w:line="240" w:lineRule="auto"/>
              <w:ind w:firstLine="0"/>
              <w:rPr>
                <w:color w:val="000000"/>
                <w:sz w:val="20"/>
                <w:szCs w:val="20"/>
              </w:rPr>
            </w:pPr>
          </w:p>
        </w:tc>
        <w:tc>
          <w:tcPr>
            <w:tcW w:w="169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113EFCC">
            <w:pPr>
              <w:spacing w:after="0" w:line="240" w:lineRule="auto"/>
              <w:ind w:firstLine="0"/>
              <w:rPr>
                <w:color w:val="000000"/>
                <w:sz w:val="20"/>
                <w:szCs w:val="20"/>
              </w:rPr>
            </w:pPr>
          </w:p>
        </w:tc>
      </w:tr>
      <w:tr w14:paraId="0652730C">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023B328">
            <w:pPr>
              <w:spacing w:after="0" w:line="240" w:lineRule="auto"/>
              <w:ind w:firstLine="0"/>
              <w:jc w:val="center"/>
              <w:rPr>
                <w:color w:val="000000"/>
                <w:sz w:val="20"/>
                <w:szCs w:val="20"/>
              </w:rPr>
            </w:pPr>
            <w:r>
              <w:rPr>
                <w:color w:val="000000"/>
                <w:sz w:val="20"/>
                <w:szCs w:val="20"/>
              </w:rPr>
              <w:t>4</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3C6BBF12">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E7C0CA6">
            <w:pPr>
              <w:spacing w:after="0" w:line="240" w:lineRule="auto"/>
              <w:ind w:firstLine="0"/>
              <w:jc w:val="center"/>
              <w:rPr>
                <w:color w:val="000000"/>
                <w:sz w:val="20"/>
                <w:szCs w:val="20"/>
              </w:rPr>
            </w:pPr>
            <w:r>
              <w:rPr>
                <w:color w:val="000000"/>
                <w:sz w:val="20"/>
                <w:szCs w:val="20"/>
              </w:rPr>
              <w:t>37,72</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161B6906">
            <w:pPr>
              <w:spacing w:after="0" w:line="240" w:lineRule="auto"/>
              <w:ind w:firstLine="0"/>
              <w:jc w:val="center"/>
              <w:rPr>
                <w:color w:val="000000"/>
                <w:sz w:val="20"/>
                <w:szCs w:val="20"/>
              </w:rPr>
            </w:pPr>
            <w:r>
              <w:rPr>
                <w:color w:val="000000"/>
                <w:sz w:val="20"/>
                <w:szCs w:val="20"/>
              </w:rPr>
              <w:t>28,32</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C8CA6FA">
            <w:pPr>
              <w:spacing w:after="0" w:line="240" w:lineRule="auto"/>
              <w:ind w:firstLine="0"/>
              <w:jc w:val="center"/>
              <w:rPr>
                <w:color w:val="000000"/>
                <w:sz w:val="20"/>
                <w:szCs w:val="20"/>
              </w:rPr>
            </w:pPr>
            <w:r>
              <w:rPr>
                <w:color w:val="000000"/>
                <w:sz w:val="20"/>
                <w:szCs w:val="20"/>
              </w:rPr>
              <w:t>9,4</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10D7262D">
            <w:pPr>
              <w:spacing w:after="0" w:line="240" w:lineRule="auto"/>
              <w:ind w:firstLine="0"/>
              <w:jc w:val="center"/>
              <w:rPr>
                <w:color w:val="000000"/>
                <w:sz w:val="20"/>
                <w:szCs w:val="20"/>
              </w:rPr>
            </w:pPr>
            <w:r>
              <w:rPr>
                <w:color w:val="000000"/>
                <w:sz w:val="20"/>
                <w:szCs w:val="20"/>
              </w:rPr>
              <w:t>0</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09DE976">
            <w:pPr>
              <w:spacing w:after="0" w:line="240" w:lineRule="auto"/>
              <w:ind w:firstLine="0"/>
              <w:jc w:val="center"/>
              <w:rPr>
                <w:color w:val="000000"/>
                <w:sz w:val="20"/>
                <w:szCs w:val="20"/>
              </w:rPr>
            </w:pPr>
            <w:r>
              <w:rPr>
                <w:color w:val="000000"/>
                <w:sz w:val="20"/>
                <w:szCs w:val="20"/>
              </w:rPr>
              <w:t>9,4</w:t>
            </w:r>
          </w:p>
        </w:tc>
        <w:tc>
          <w:tcPr>
            <w:tcW w:w="1120" w:type="dxa"/>
            <w:vMerge w:val="continue"/>
            <w:tcBorders>
              <w:top w:val="nil"/>
              <w:left w:val="single" w:color="auto" w:sz="4" w:space="0"/>
              <w:bottom w:val="single" w:color="000000" w:sz="4" w:space="0"/>
              <w:right w:val="single" w:color="auto" w:sz="4" w:space="0"/>
            </w:tcBorders>
            <w:tcMar>
              <w:left w:w="28" w:type="dxa"/>
              <w:right w:w="28" w:type="dxa"/>
            </w:tcMar>
            <w:vAlign w:val="center"/>
          </w:tcPr>
          <w:p w14:paraId="47D93227">
            <w:pPr>
              <w:spacing w:after="0" w:line="240" w:lineRule="auto"/>
              <w:ind w:firstLine="0"/>
              <w:rPr>
                <w:color w:val="000000"/>
                <w:sz w:val="20"/>
                <w:szCs w:val="20"/>
              </w:rPr>
            </w:pPr>
          </w:p>
        </w:tc>
        <w:tc>
          <w:tcPr>
            <w:tcW w:w="1428" w:type="dxa"/>
            <w:tcBorders>
              <w:top w:val="nil"/>
              <w:left w:val="nil"/>
              <w:bottom w:val="single" w:color="auto" w:sz="4" w:space="0"/>
              <w:right w:val="single" w:color="auto" w:sz="4" w:space="0"/>
            </w:tcBorders>
            <w:shd w:val="clear" w:color="auto" w:fill="auto"/>
            <w:tcMar>
              <w:left w:w="28" w:type="dxa"/>
              <w:right w:w="28" w:type="dxa"/>
            </w:tcMar>
            <w:vAlign w:val="center"/>
          </w:tcPr>
          <w:p w14:paraId="315DACD4">
            <w:pPr>
              <w:spacing w:after="0" w:line="240" w:lineRule="auto"/>
              <w:ind w:firstLine="0"/>
              <w:jc w:val="center"/>
              <w:rPr>
                <w:color w:val="000000"/>
                <w:sz w:val="20"/>
                <w:szCs w:val="20"/>
              </w:rPr>
            </w:pPr>
            <w:r>
              <w:rPr>
                <w:color w:val="000000"/>
                <w:sz w:val="20"/>
                <w:szCs w:val="20"/>
              </w:rPr>
              <w:t>0,38</w:t>
            </w:r>
          </w:p>
        </w:tc>
        <w:tc>
          <w:tcPr>
            <w:tcW w:w="169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2B77C4CF">
            <w:pPr>
              <w:spacing w:after="0" w:line="240" w:lineRule="auto"/>
              <w:ind w:firstLine="0"/>
              <w:rPr>
                <w:color w:val="000000"/>
                <w:sz w:val="20"/>
                <w:szCs w:val="20"/>
              </w:rPr>
            </w:pPr>
          </w:p>
        </w:tc>
        <w:tc>
          <w:tcPr>
            <w:tcW w:w="169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22C105DD">
            <w:pPr>
              <w:spacing w:after="0" w:line="240" w:lineRule="auto"/>
              <w:ind w:firstLine="0"/>
              <w:rPr>
                <w:color w:val="000000"/>
                <w:sz w:val="20"/>
                <w:szCs w:val="20"/>
              </w:rPr>
            </w:pPr>
          </w:p>
        </w:tc>
      </w:tr>
      <w:tr w14:paraId="22050DB6">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EDB1976">
            <w:pPr>
              <w:spacing w:after="0" w:line="240" w:lineRule="auto"/>
              <w:ind w:firstLine="0"/>
              <w:jc w:val="center"/>
              <w:rPr>
                <w:color w:val="000000"/>
                <w:sz w:val="20"/>
                <w:szCs w:val="20"/>
              </w:rPr>
            </w:pPr>
            <w:r>
              <w:rPr>
                <w:color w:val="000000"/>
                <w:sz w:val="20"/>
                <w:szCs w:val="20"/>
              </w:rPr>
              <w:t> </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5C0A2463">
            <w:pPr>
              <w:spacing w:after="0" w:line="240" w:lineRule="auto"/>
              <w:ind w:firstLine="0"/>
              <w:jc w:val="center"/>
              <w:rPr>
                <w:color w:val="000000"/>
                <w:sz w:val="20"/>
                <w:szCs w:val="20"/>
              </w:rPr>
            </w:pPr>
            <w:r>
              <w:rPr>
                <w:color w:val="000000"/>
                <w:sz w:val="20"/>
                <w:szCs w:val="20"/>
              </w:rPr>
              <w:t>Итого по с.п. Верхнеказымский:</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1D73422">
            <w:pPr>
              <w:spacing w:after="0" w:line="240" w:lineRule="auto"/>
              <w:ind w:firstLine="0"/>
              <w:jc w:val="center"/>
              <w:rPr>
                <w:color w:val="000000"/>
                <w:sz w:val="20"/>
                <w:szCs w:val="20"/>
              </w:rPr>
            </w:pPr>
            <w:r>
              <w:rPr>
                <w:color w:val="000000"/>
                <w:sz w:val="20"/>
                <w:szCs w:val="20"/>
              </w:rPr>
              <w:t>53,74</w:t>
            </w:r>
          </w:p>
        </w:tc>
        <w:tc>
          <w:tcPr>
            <w:tcW w:w="128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7937665">
            <w:pPr>
              <w:spacing w:after="0" w:line="240" w:lineRule="auto"/>
              <w:ind w:firstLine="0"/>
              <w:jc w:val="center"/>
              <w:rPr>
                <w:color w:val="000000"/>
                <w:sz w:val="20"/>
                <w:szCs w:val="20"/>
              </w:rPr>
            </w:pPr>
            <w:r>
              <w:rPr>
                <w:color w:val="000000"/>
                <w:sz w:val="20"/>
                <w:szCs w:val="20"/>
              </w:rPr>
              <w:t>35,4</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56883A4">
            <w:pPr>
              <w:spacing w:after="0" w:line="240" w:lineRule="auto"/>
              <w:ind w:firstLine="0"/>
              <w:jc w:val="center"/>
              <w:rPr>
                <w:color w:val="000000"/>
                <w:sz w:val="20"/>
                <w:szCs w:val="20"/>
              </w:rPr>
            </w:pPr>
            <w:r>
              <w:rPr>
                <w:color w:val="000000"/>
                <w:sz w:val="20"/>
                <w:szCs w:val="20"/>
              </w:rPr>
              <w:t>18,34</w:t>
            </w:r>
          </w:p>
        </w:tc>
        <w:tc>
          <w:tcPr>
            <w:tcW w:w="1142"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CEE78AE">
            <w:pPr>
              <w:spacing w:after="0" w:line="240" w:lineRule="auto"/>
              <w:ind w:firstLine="0"/>
              <w:jc w:val="center"/>
              <w:rPr>
                <w:color w:val="000000"/>
                <w:sz w:val="20"/>
                <w:szCs w:val="20"/>
              </w:rPr>
            </w:pPr>
            <w:r>
              <w:rPr>
                <w:color w:val="000000"/>
                <w:sz w:val="20"/>
                <w:szCs w:val="20"/>
              </w:rPr>
              <w:t>0,27</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A8C0DCC">
            <w:pPr>
              <w:spacing w:after="0" w:line="240" w:lineRule="auto"/>
              <w:ind w:firstLine="0"/>
              <w:jc w:val="center"/>
              <w:rPr>
                <w:color w:val="000000"/>
                <w:sz w:val="20"/>
                <w:szCs w:val="20"/>
              </w:rPr>
            </w:pPr>
            <w:r>
              <w:rPr>
                <w:color w:val="000000"/>
                <w:sz w:val="20"/>
                <w:szCs w:val="20"/>
              </w:rPr>
              <w:t>18,07</w:t>
            </w:r>
          </w:p>
        </w:tc>
        <w:tc>
          <w:tcPr>
            <w:tcW w:w="112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E82563">
            <w:pPr>
              <w:spacing w:after="0" w:line="240" w:lineRule="auto"/>
              <w:ind w:firstLine="0"/>
              <w:jc w:val="center"/>
              <w:rPr>
                <w:color w:val="000000"/>
                <w:sz w:val="20"/>
                <w:szCs w:val="20"/>
              </w:rPr>
            </w:pPr>
            <w:r>
              <w:rPr>
                <w:color w:val="000000"/>
                <w:sz w:val="20"/>
                <w:szCs w:val="20"/>
              </w:rPr>
              <w:t>3,02</w:t>
            </w:r>
          </w:p>
        </w:tc>
        <w:tc>
          <w:tcPr>
            <w:tcW w:w="1428"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2A894B5">
            <w:pPr>
              <w:spacing w:after="0" w:line="240" w:lineRule="auto"/>
              <w:ind w:firstLine="0"/>
              <w:jc w:val="center"/>
              <w:rPr>
                <w:color w:val="000000"/>
                <w:sz w:val="20"/>
                <w:szCs w:val="20"/>
              </w:rPr>
            </w:pPr>
            <w:r>
              <w:rPr>
                <w:color w:val="000000"/>
                <w:sz w:val="20"/>
                <w:szCs w:val="20"/>
              </w:rPr>
              <w:t>0,8</w:t>
            </w:r>
          </w:p>
        </w:tc>
        <w:tc>
          <w:tcPr>
            <w:tcW w:w="169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7839C13">
            <w:pPr>
              <w:spacing w:after="0" w:line="240" w:lineRule="auto"/>
              <w:ind w:firstLine="0"/>
              <w:jc w:val="center"/>
              <w:rPr>
                <w:color w:val="000000"/>
                <w:sz w:val="20"/>
                <w:szCs w:val="20"/>
              </w:rPr>
            </w:pPr>
            <w:r>
              <w:rPr>
                <w:color w:val="000000"/>
                <w:sz w:val="20"/>
                <w:szCs w:val="20"/>
              </w:rPr>
              <w:t>2,18</w:t>
            </w:r>
          </w:p>
        </w:tc>
        <w:tc>
          <w:tcPr>
            <w:tcW w:w="169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55EC4C">
            <w:pPr>
              <w:spacing w:after="0" w:line="240" w:lineRule="auto"/>
              <w:ind w:firstLine="0"/>
              <w:jc w:val="center"/>
              <w:rPr>
                <w:color w:val="000000"/>
                <w:sz w:val="20"/>
                <w:szCs w:val="20"/>
              </w:rPr>
            </w:pPr>
            <w:r>
              <w:rPr>
                <w:color w:val="000000"/>
                <w:sz w:val="20"/>
                <w:szCs w:val="20"/>
              </w:rPr>
              <w:t>14,96</w:t>
            </w:r>
          </w:p>
        </w:tc>
      </w:tr>
      <w:tr w14:paraId="01AEB956">
        <w:tblPrEx>
          <w:tblCellMar>
            <w:top w:w="0" w:type="dxa"/>
            <w:left w:w="108" w:type="dxa"/>
            <w:bottom w:w="0" w:type="dxa"/>
            <w:right w:w="108" w:type="dxa"/>
          </w:tblCellMar>
        </w:tblPrEx>
        <w:trPr>
          <w:trHeight w:val="20" w:hRule="atLeast"/>
        </w:trPr>
        <w:tc>
          <w:tcPr>
            <w:tcW w:w="14015" w:type="dxa"/>
            <w:gridSpan w:val="11"/>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527CAB06">
            <w:pPr>
              <w:spacing w:after="0" w:line="240" w:lineRule="auto"/>
              <w:ind w:firstLine="0"/>
              <w:jc w:val="center"/>
              <w:rPr>
                <w:color w:val="000000"/>
                <w:sz w:val="20"/>
                <w:szCs w:val="20"/>
              </w:rPr>
            </w:pPr>
            <w:r>
              <w:rPr>
                <w:color w:val="000000"/>
                <w:sz w:val="20"/>
                <w:szCs w:val="20"/>
              </w:rPr>
              <w:t>предыдущая редакция</w:t>
            </w:r>
          </w:p>
        </w:tc>
      </w:tr>
      <w:tr w14:paraId="57ECAA1A">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BF8A33D">
            <w:pPr>
              <w:spacing w:after="0" w:line="240" w:lineRule="auto"/>
              <w:ind w:firstLine="0"/>
              <w:jc w:val="center"/>
              <w:rPr>
                <w:color w:val="000000"/>
                <w:sz w:val="20"/>
                <w:szCs w:val="20"/>
              </w:rPr>
            </w:pPr>
            <w:r>
              <w:rPr>
                <w:color w:val="000000"/>
                <w:sz w:val="20"/>
                <w:szCs w:val="20"/>
              </w:rPr>
              <w:t>1</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6AB8C03E">
            <w:pPr>
              <w:spacing w:after="0" w:line="240" w:lineRule="auto"/>
              <w:ind w:firstLine="0"/>
              <w:jc w:val="center"/>
              <w:rPr>
                <w:color w:val="000000"/>
                <w:sz w:val="20"/>
                <w:szCs w:val="20"/>
              </w:rPr>
            </w:pPr>
            <w:r>
              <w:rPr>
                <w:color w:val="000000"/>
                <w:sz w:val="20"/>
                <w:szCs w:val="20"/>
              </w:rPr>
              <w:t>Котельная №2 МУП «БКС»</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8C07F63">
            <w:pPr>
              <w:spacing w:after="0" w:line="240" w:lineRule="auto"/>
              <w:ind w:firstLine="0"/>
              <w:jc w:val="center"/>
              <w:rPr>
                <w:color w:val="000000"/>
                <w:sz w:val="20"/>
                <w:szCs w:val="20"/>
              </w:rPr>
            </w:pPr>
            <w:r>
              <w:rPr>
                <w:color w:val="000000"/>
                <w:sz w:val="20"/>
                <w:szCs w:val="20"/>
              </w:rPr>
              <w:t>6,02</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02E1F060">
            <w:pPr>
              <w:spacing w:after="0" w:line="240" w:lineRule="auto"/>
              <w:ind w:firstLine="0"/>
              <w:jc w:val="center"/>
              <w:rPr>
                <w:color w:val="000000"/>
                <w:sz w:val="20"/>
                <w:szCs w:val="20"/>
              </w:rPr>
            </w:pPr>
            <w:r>
              <w:rPr>
                <w:color w:val="000000"/>
                <w:sz w:val="20"/>
                <w:szCs w:val="20"/>
              </w:rPr>
              <w:t>0,08</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7A55BD">
            <w:pPr>
              <w:spacing w:after="0" w:line="240" w:lineRule="auto"/>
              <w:ind w:firstLine="0"/>
              <w:jc w:val="center"/>
              <w:rPr>
                <w:color w:val="000000"/>
                <w:sz w:val="20"/>
                <w:szCs w:val="20"/>
              </w:rPr>
            </w:pPr>
            <w:r>
              <w:rPr>
                <w:color w:val="000000"/>
                <w:sz w:val="20"/>
                <w:szCs w:val="20"/>
              </w:rPr>
              <w:t>5,94</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083C06C9">
            <w:pPr>
              <w:spacing w:after="0" w:line="240" w:lineRule="auto"/>
              <w:ind w:firstLine="0"/>
              <w:jc w:val="center"/>
              <w:rPr>
                <w:color w:val="000000"/>
                <w:sz w:val="20"/>
                <w:szCs w:val="20"/>
              </w:rPr>
            </w:pPr>
            <w:r>
              <w:rPr>
                <w:color w:val="000000"/>
                <w:sz w:val="20"/>
                <w:szCs w:val="20"/>
                <w:lang w:val="en-US"/>
              </w:rPr>
              <w:t>0,04</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4599457">
            <w:pPr>
              <w:spacing w:after="0" w:line="240" w:lineRule="auto"/>
              <w:ind w:firstLine="0"/>
              <w:jc w:val="center"/>
              <w:rPr>
                <w:color w:val="000000"/>
                <w:sz w:val="20"/>
                <w:szCs w:val="20"/>
              </w:rPr>
            </w:pPr>
            <w:r>
              <w:rPr>
                <w:color w:val="000000"/>
                <w:sz w:val="20"/>
                <w:szCs w:val="20"/>
              </w:rPr>
              <w:t>5,9</w:t>
            </w:r>
          </w:p>
        </w:tc>
        <w:tc>
          <w:tcPr>
            <w:tcW w:w="1120" w:type="dxa"/>
            <w:tcBorders>
              <w:top w:val="nil"/>
              <w:left w:val="nil"/>
              <w:bottom w:val="single" w:color="auto" w:sz="4" w:space="0"/>
              <w:right w:val="single" w:color="auto" w:sz="4" w:space="0"/>
            </w:tcBorders>
            <w:shd w:val="clear" w:color="auto" w:fill="auto"/>
            <w:tcMar>
              <w:left w:w="28" w:type="dxa"/>
              <w:right w:w="28" w:type="dxa"/>
            </w:tcMar>
            <w:vAlign w:val="center"/>
          </w:tcPr>
          <w:p w14:paraId="5BE4DDB6">
            <w:pPr>
              <w:spacing w:after="0" w:line="240" w:lineRule="auto"/>
              <w:ind w:firstLine="0"/>
              <w:jc w:val="center"/>
              <w:rPr>
                <w:color w:val="000000"/>
                <w:sz w:val="20"/>
                <w:szCs w:val="20"/>
              </w:rPr>
            </w:pPr>
            <w:r>
              <w:rPr>
                <w:color w:val="000000"/>
                <w:sz w:val="20"/>
                <w:szCs w:val="20"/>
              </w:rPr>
              <w:t>1,9</w:t>
            </w:r>
          </w:p>
        </w:tc>
        <w:tc>
          <w:tcPr>
            <w:tcW w:w="1428"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1E73399">
            <w:pPr>
              <w:spacing w:after="0" w:line="240" w:lineRule="auto"/>
              <w:ind w:firstLine="0"/>
              <w:jc w:val="center"/>
              <w:rPr>
                <w:color w:val="000000"/>
                <w:sz w:val="20"/>
                <w:szCs w:val="20"/>
              </w:rPr>
            </w:pPr>
            <w:r>
              <w:rPr>
                <w:color w:val="000000"/>
                <w:sz w:val="20"/>
                <w:szCs w:val="20"/>
              </w:rPr>
              <w:t>1,72</w:t>
            </w: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461800DB">
            <w:pPr>
              <w:spacing w:after="0" w:line="240" w:lineRule="auto"/>
              <w:ind w:firstLine="0"/>
              <w:jc w:val="center"/>
              <w:rPr>
                <w:color w:val="000000"/>
                <w:sz w:val="20"/>
                <w:szCs w:val="20"/>
              </w:rPr>
            </w:pPr>
            <w:r>
              <w:rPr>
                <w:color w:val="000000"/>
                <w:sz w:val="20"/>
                <w:szCs w:val="20"/>
              </w:rPr>
              <w:t>0,18</w:t>
            </w: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33D2239C">
            <w:pPr>
              <w:spacing w:after="0" w:line="240" w:lineRule="auto"/>
              <w:ind w:firstLine="0"/>
              <w:jc w:val="center"/>
              <w:rPr>
                <w:color w:val="000000"/>
                <w:sz w:val="20"/>
                <w:szCs w:val="20"/>
              </w:rPr>
            </w:pPr>
            <w:r>
              <w:rPr>
                <w:color w:val="000000"/>
                <w:sz w:val="20"/>
                <w:szCs w:val="20"/>
              </w:rPr>
              <w:t>4</w:t>
            </w:r>
          </w:p>
        </w:tc>
      </w:tr>
      <w:tr w14:paraId="7C68B409">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78EC416">
            <w:pPr>
              <w:spacing w:after="0" w:line="240" w:lineRule="auto"/>
              <w:ind w:firstLine="0"/>
              <w:jc w:val="center"/>
              <w:rPr>
                <w:color w:val="000000"/>
                <w:sz w:val="20"/>
                <w:szCs w:val="20"/>
              </w:rPr>
            </w:pPr>
            <w:r>
              <w:rPr>
                <w:color w:val="000000"/>
                <w:sz w:val="20"/>
                <w:szCs w:val="20"/>
              </w:rPr>
              <w:t>2</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65B7F42C">
            <w:pPr>
              <w:spacing w:after="0" w:line="240" w:lineRule="auto"/>
              <w:ind w:firstLine="0"/>
              <w:jc w:val="center"/>
              <w:rPr>
                <w:color w:val="000000"/>
                <w:sz w:val="20"/>
                <w:szCs w:val="20"/>
              </w:rPr>
            </w:pPr>
            <w:r>
              <w:rPr>
                <w:color w:val="000000"/>
                <w:sz w:val="20"/>
                <w:szCs w:val="20"/>
              </w:rPr>
              <w:t>Котельная «2БВК»</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69730BF">
            <w:pPr>
              <w:spacing w:after="0" w:line="240" w:lineRule="auto"/>
              <w:ind w:firstLine="0"/>
              <w:jc w:val="center"/>
              <w:rPr>
                <w:color w:val="000000"/>
                <w:sz w:val="20"/>
                <w:szCs w:val="20"/>
              </w:rPr>
            </w:pPr>
            <w:r>
              <w:rPr>
                <w:color w:val="000000"/>
                <w:sz w:val="20"/>
                <w:szCs w:val="20"/>
              </w:rPr>
              <w:t>7,2</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449F1625">
            <w:pPr>
              <w:spacing w:after="0" w:line="240" w:lineRule="auto"/>
              <w:ind w:firstLine="0"/>
              <w:jc w:val="center"/>
              <w:rPr>
                <w:color w:val="000000"/>
                <w:sz w:val="20"/>
                <w:szCs w:val="20"/>
              </w:rPr>
            </w:pPr>
            <w:r>
              <w:rPr>
                <w:color w:val="000000"/>
                <w:sz w:val="20"/>
                <w:szCs w:val="20"/>
              </w:rPr>
              <w:t>5,7</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1CB535F">
            <w:pPr>
              <w:spacing w:after="0" w:line="240" w:lineRule="auto"/>
              <w:ind w:firstLine="0"/>
              <w:jc w:val="center"/>
              <w:rPr>
                <w:color w:val="000000"/>
                <w:sz w:val="20"/>
                <w:szCs w:val="20"/>
              </w:rPr>
            </w:pPr>
            <w:r>
              <w:rPr>
                <w:color w:val="000000"/>
                <w:sz w:val="20"/>
                <w:szCs w:val="20"/>
              </w:rPr>
              <w:t>1,5</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62DE9E0A">
            <w:pPr>
              <w:spacing w:after="0" w:line="240" w:lineRule="auto"/>
              <w:ind w:firstLine="0"/>
              <w:jc w:val="center"/>
              <w:rPr>
                <w:color w:val="000000"/>
                <w:sz w:val="20"/>
                <w:szCs w:val="20"/>
              </w:rPr>
            </w:pPr>
            <w:r>
              <w:rPr>
                <w:color w:val="000000"/>
                <w:sz w:val="20"/>
                <w:szCs w:val="20"/>
              </w:rPr>
              <w:t>0,02</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FD9E2D0">
            <w:pPr>
              <w:spacing w:after="0" w:line="240" w:lineRule="auto"/>
              <w:ind w:firstLine="0"/>
              <w:jc w:val="center"/>
              <w:rPr>
                <w:color w:val="000000"/>
                <w:sz w:val="20"/>
                <w:szCs w:val="20"/>
              </w:rPr>
            </w:pPr>
            <w:r>
              <w:rPr>
                <w:color w:val="000000"/>
                <w:sz w:val="20"/>
                <w:szCs w:val="20"/>
              </w:rPr>
              <w:t>1,48</w:t>
            </w:r>
          </w:p>
        </w:tc>
        <w:tc>
          <w:tcPr>
            <w:tcW w:w="1120"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D97E111">
            <w:pPr>
              <w:spacing w:after="0" w:line="240" w:lineRule="auto"/>
              <w:ind w:firstLine="0"/>
              <w:jc w:val="center"/>
              <w:rPr>
                <w:color w:val="000000"/>
                <w:sz w:val="20"/>
                <w:szCs w:val="20"/>
              </w:rPr>
            </w:pPr>
            <w:r>
              <w:rPr>
                <w:color w:val="000000"/>
                <w:sz w:val="20"/>
                <w:szCs w:val="20"/>
              </w:rPr>
              <w:t>2,3</w:t>
            </w:r>
          </w:p>
        </w:tc>
        <w:tc>
          <w:tcPr>
            <w:tcW w:w="1428" w:type="dxa"/>
            <w:vMerge w:val="restar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C05BC41">
            <w:pPr>
              <w:spacing w:after="0" w:line="240" w:lineRule="auto"/>
              <w:ind w:firstLine="0"/>
              <w:jc w:val="center"/>
              <w:rPr>
                <w:color w:val="000000"/>
                <w:sz w:val="20"/>
                <w:szCs w:val="20"/>
              </w:rPr>
            </w:pPr>
            <w:r>
              <w:rPr>
                <w:color w:val="000000"/>
                <w:sz w:val="20"/>
                <w:szCs w:val="20"/>
              </w:rPr>
              <w:t>1,68</w:t>
            </w: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1156EBD6">
            <w:pPr>
              <w:spacing w:after="0" w:line="240" w:lineRule="auto"/>
              <w:ind w:firstLine="0"/>
              <w:jc w:val="center"/>
              <w:rPr>
                <w:color w:val="000000"/>
                <w:sz w:val="20"/>
                <w:szCs w:val="20"/>
              </w:rPr>
            </w:pPr>
            <w:r>
              <w:rPr>
                <w:color w:val="000000"/>
                <w:sz w:val="20"/>
                <w:szCs w:val="20"/>
              </w:rPr>
              <w:t>0,12</w:t>
            </w:r>
          </w:p>
        </w:tc>
        <w:tc>
          <w:tcPr>
            <w:tcW w:w="169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47CF323">
            <w:pPr>
              <w:spacing w:after="0" w:line="240" w:lineRule="auto"/>
              <w:ind w:firstLine="0"/>
              <w:jc w:val="center"/>
              <w:rPr>
                <w:color w:val="000000"/>
                <w:sz w:val="20"/>
                <w:szCs w:val="20"/>
              </w:rPr>
            </w:pPr>
            <w:r>
              <w:rPr>
                <w:color w:val="000000"/>
                <w:sz w:val="20"/>
                <w:szCs w:val="20"/>
              </w:rPr>
              <w:t>9,87</w:t>
            </w:r>
          </w:p>
        </w:tc>
      </w:tr>
      <w:tr w14:paraId="2876C0EB">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4BED305">
            <w:pPr>
              <w:spacing w:after="0" w:line="240" w:lineRule="auto"/>
              <w:ind w:firstLine="0"/>
              <w:jc w:val="center"/>
              <w:rPr>
                <w:color w:val="000000"/>
                <w:sz w:val="20"/>
                <w:szCs w:val="20"/>
              </w:rPr>
            </w:pPr>
            <w:r>
              <w:rPr>
                <w:color w:val="000000"/>
                <w:sz w:val="20"/>
                <w:szCs w:val="20"/>
              </w:rPr>
              <w:t>3</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64B33E9A">
            <w:pPr>
              <w:spacing w:after="0" w:line="240" w:lineRule="auto"/>
              <w:ind w:firstLine="0"/>
              <w:jc w:val="center"/>
              <w:rPr>
                <w:color w:val="000000"/>
                <w:sz w:val="20"/>
                <w:szCs w:val="20"/>
              </w:rPr>
            </w:pPr>
            <w:r>
              <w:rPr>
                <w:color w:val="000000"/>
                <w:sz w:val="20"/>
                <w:szCs w:val="20"/>
              </w:rPr>
              <w:t>Котельная «Вирбекс»</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DDD059F">
            <w:pPr>
              <w:spacing w:after="0" w:line="240" w:lineRule="auto"/>
              <w:ind w:firstLine="0"/>
              <w:jc w:val="center"/>
              <w:rPr>
                <w:color w:val="000000"/>
                <w:sz w:val="20"/>
                <w:szCs w:val="20"/>
              </w:rPr>
            </w:pPr>
            <w:r>
              <w:rPr>
                <w:color w:val="000000"/>
                <w:sz w:val="20"/>
                <w:szCs w:val="20"/>
              </w:rPr>
              <w:t>2,8</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094B41F3">
            <w:pPr>
              <w:spacing w:after="0" w:line="240" w:lineRule="auto"/>
              <w:ind w:firstLine="0"/>
              <w:jc w:val="center"/>
              <w:rPr>
                <w:color w:val="000000"/>
                <w:sz w:val="20"/>
                <w:szCs w:val="20"/>
              </w:rPr>
            </w:pPr>
            <w:r>
              <w:rPr>
                <w:color w:val="000000"/>
                <w:sz w:val="20"/>
                <w:szCs w:val="20"/>
              </w:rPr>
              <w:t>1,3</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FF729DF">
            <w:pPr>
              <w:spacing w:after="0" w:line="240" w:lineRule="auto"/>
              <w:ind w:firstLine="0"/>
              <w:jc w:val="center"/>
              <w:rPr>
                <w:color w:val="000000"/>
                <w:sz w:val="20"/>
                <w:szCs w:val="20"/>
              </w:rPr>
            </w:pPr>
            <w:r>
              <w:rPr>
                <w:color w:val="000000"/>
                <w:sz w:val="20"/>
                <w:szCs w:val="20"/>
              </w:rPr>
              <w:t>1,5</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43BDE8D3">
            <w:pPr>
              <w:spacing w:after="0" w:line="240" w:lineRule="auto"/>
              <w:ind w:firstLine="0"/>
              <w:jc w:val="center"/>
              <w:rPr>
                <w:color w:val="000000"/>
                <w:sz w:val="20"/>
                <w:szCs w:val="20"/>
              </w:rPr>
            </w:pPr>
            <w:r>
              <w:rPr>
                <w:color w:val="000000"/>
                <w:sz w:val="20"/>
                <w:szCs w:val="20"/>
              </w:rPr>
              <w:t>0,21</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CCCD475">
            <w:pPr>
              <w:spacing w:after="0" w:line="240" w:lineRule="auto"/>
              <w:ind w:firstLine="0"/>
              <w:jc w:val="center"/>
              <w:rPr>
                <w:color w:val="000000"/>
                <w:sz w:val="20"/>
                <w:szCs w:val="20"/>
              </w:rPr>
            </w:pPr>
            <w:r>
              <w:rPr>
                <w:color w:val="000000"/>
                <w:sz w:val="20"/>
                <w:szCs w:val="20"/>
              </w:rPr>
              <w:t>1,29</w:t>
            </w:r>
          </w:p>
        </w:tc>
        <w:tc>
          <w:tcPr>
            <w:tcW w:w="1120"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65351700">
            <w:pPr>
              <w:spacing w:after="0" w:line="240" w:lineRule="auto"/>
              <w:ind w:firstLine="0"/>
              <w:rPr>
                <w:color w:val="000000"/>
                <w:sz w:val="20"/>
                <w:szCs w:val="20"/>
              </w:rPr>
            </w:pPr>
          </w:p>
        </w:tc>
        <w:tc>
          <w:tcPr>
            <w:tcW w:w="1428"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44A7F4E7">
            <w:pPr>
              <w:spacing w:after="0" w:line="240" w:lineRule="auto"/>
              <w:ind w:firstLine="0"/>
              <w:rPr>
                <w:color w:val="000000"/>
                <w:sz w:val="20"/>
                <w:szCs w:val="20"/>
              </w:rPr>
            </w:pP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76C6C30D">
            <w:pPr>
              <w:spacing w:after="0" w:line="240" w:lineRule="auto"/>
              <w:ind w:firstLine="0"/>
              <w:jc w:val="center"/>
              <w:rPr>
                <w:color w:val="000000"/>
                <w:sz w:val="20"/>
                <w:szCs w:val="20"/>
              </w:rPr>
            </w:pPr>
            <w:r>
              <w:rPr>
                <w:color w:val="000000"/>
                <w:sz w:val="20"/>
                <w:szCs w:val="20"/>
              </w:rPr>
              <w:t>0,12</w:t>
            </w:r>
          </w:p>
        </w:tc>
        <w:tc>
          <w:tcPr>
            <w:tcW w:w="169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10D2A7DC">
            <w:pPr>
              <w:spacing w:after="0" w:line="240" w:lineRule="auto"/>
              <w:ind w:firstLine="0"/>
              <w:rPr>
                <w:color w:val="000000"/>
                <w:sz w:val="20"/>
                <w:szCs w:val="20"/>
              </w:rPr>
            </w:pPr>
          </w:p>
        </w:tc>
      </w:tr>
      <w:tr w14:paraId="32579262">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C624A51">
            <w:pPr>
              <w:spacing w:after="0" w:line="240" w:lineRule="auto"/>
              <w:ind w:firstLine="0"/>
              <w:jc w:val="center"/>
              <w:rPr>
                <w:color w:val="000000"/>
                <w:sz w:val="20"/>
                <w:szCs w:val="20"/>
              </w:rPr>
            </w:pPr>
            <w:r>
              <w:rPr>
                <w:color w:val="000000"/>
                <w:sz w:val="20"/>
                <w:szCs w:val="20"/>
              </w:rPr>
              <w:t>4</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750D9A95">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D047777">
            <w:pPr>
              <w:spacing w:after="0" w:line="240" w:lineRule="auto"/>
              <w:ind w:firstLine="0"/>
              <w:jc w:val="center"/>
              <w:rPr>
                <w:color w:val="000000"/>
                <w:sz w:val="20"/>
                <w:szCs w:val="20"/>
              </w:rPr>
            </w:pPr>
            <w:r>
              <w:rPr>
                <w:color w:val="000000"/>
                <w:sz w:val="20"/>
                <w:szCs w:val="20"/>
              </w:rPr>
              <w:t>37,72</w:t>
            </w:r>
          </w:p>
        </w:tc>
        <w:tc>
          <w:tcPr>
            <w:tcW w:w="1281" w:type="dxa"/>
            <w:tcBorders>
              <w:top w:val="nil"/>
              <w:left w:val="nil"/>
              <w:bottom w:val="single" w:color="auto" w:sz="4" w:space="0"/>
              <w:right w:val="single" w:color="auto" w:sz="4" w:space="0"/>
            </w:tcBorders>
            <w:shd w:val="clear" w:color="auto" w:fill="auto"/>
            <w:tcMar>
              <w:left w:w="28" w:type="dxa"/>
              <w:right w:w="28" w:type="dxa"/>
            </w:tcMar>
            <w:vAlign w:val="center"/>
          </w:tcPr>
          <w:p w14:paraId="16686C4E">
            <w:pPr>
              <w:spacing w:after="0" w:line="240" w:lineRule="auto"/>
              <w:ind w:firstLine="0"/>
              <w:jc w:val="center"/>
              <w:rPr>
                <w:color w:val="000000"/>
                <w:sz w:val="20"/>
                <w:szCs w:val="20"/>
              </w:rPr>
            </w:pPr>
            <w:r>
              <w:rPr>
                <w:color w:val="000000"/>
                <w:sz w:val="20"/>
                <w:szCs w:val="20"/>
              </w:rPr>
              <w:t>28,32</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F87FF91">
            <w:pPr>
              <w:spacing w:after="0" w:line="240" w:lineRule="auto"/>
              <w:ind w:firstLine="0"/>
              <w:jc w:val="center"/>
              <w:rPr>
                <w:color w:val="000000"/>
                <w:sz w:val="20"/>
                <w:szCs w:val="20"/>
              </w:rPr>
            </w:pPr>
            <w:r>
              <w:rPr>
                <w:color w:val="000000"/>
                <w:sz w:val="20"/>
                <w:szCs w:val="20"/>
              </w:rPr>
              <w:t>9,4</w:t>
            </w:r>
          </w:p>
        </w:tc>
        <w:tc>
          <w:tcPr>
            <w:tcW w:w="1142" w:type="dxa"/>
            <w:tcBorders>
              <w:top w:val="nil"/>
              <w:left w:val="nil"/>
              <w:bottom w:val="single" w:color="auto" w:sz="4" w:space="0"/>
              <w:right w:val="single" w:color="auto" w:sz="4" w:space="0"/>
            </w:tcBorders>
            <w:shd w:val="clear" w:color="auto" w:fill="auto"/>
            <w:tcMar>
              <w:left w:w="28" w:type="dxa"/>
              <w:right w:w="28" w:type="dxa"/>
            </w:tcMar>
            <w:vAlign w:val="center"/>
          </w:tcPr>
          <w:p w14:paraId="3559A69A">
            <w:pPr>
              <w:spacing w:after="0" w:line="240" w:lineRule="auto"/>
              <w:ind w:firstLine="0"/>
              <w:jc w:val="center"/>
              <w:rPr>
                <w:color w:val="000000"/>
                <w:sz w:val="20"/>
                <w:szCs w:val="20"/>
              </w:rPr>
            </w:pPr>
            <w:r>
              <w:rPr>
                <w:color w:val="000000"/>
                <w:sz w:val="20"/>
                <w:szCs w:val="20"/>
              </w:rPr>
              <w:t>0</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0B09886">
            <w:pPr>
              <w:spacing w:after="0" w:line="240" w:lineRule="auto"/>
              <w:ind w:firstLine="0"/>
              <w:jc w:val="center"/>
              <w:rPr>
                <w:color w:val="000000"/>
                <w:sz w:val="20"/>
                <w:szCs w:val="20"/>
              </w:rPr>
            </w:pPr>
            <w:r>
              <w:rPr>
                <w:color w:val="000000"/>
                <w:sz w:val="20"/>
                <w:szCs w:val="20"/>
              </w:rPr>
              <w:t>9,4</w:t>
            </w:r>
          </w:p>
        </w:tc>
        <w:tc>
          <w:tcPr>
            <w:tcW w:w="1120"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332E96EC">
            <w:pPr>
              <w:spacing w:after="0" w:line="240" w:lineRule="auto"/>
              <w:ind w:firstLine="0"/>
              <w:rPr>
                <w:color w:val="000000"/>
                <w:sz w:val="20"/>
                <w:szCs w:val="20"/>
              </w:rPr>
            </w:pPr>
          </w:p>
        </w:tc>
        <w:tc>
          <w:tcPr>
            <w:tcW w:w="1428"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46630673">
            <w:pPr>
              <w:spacing w:after="0" w:line="240" w:lineRule="auto"/>
              <w:ind w:firstLine="0"/>
              <w:rPr>
                <w:color w:val="000000"/>
                <w:sz w:val="20"/>
                <w:szCs w:val="20"/>
              </w:rPr>
            </w:pP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53B10FEC">
            <w:pPr>
              <w:spacing w:after="0" w:line="240" w:lineRule="auto"/>
              <w:ind w:firstLine="0"/>
              <w:jc w:val="center"/>
              <w:rPr>
                <w:color w:val="000000"/>
                <w:sz w:val="20"/>
                <w:szCs w:val="20"/>
              </w:rPr>
            </w:pPr>
            <w:r>
              <w:rPr>
                <w:color w:val="000000"/>
                <w:sz w:val="20"/>
                <w:szCs w:val="20"/>
              </w:rPr>
              <w:t>0,38</w:t>
            </w:r>
          </w:p>
        </w:tc>
        <w:tc>
          <w:tcPr>
            <w:tcW w:w="169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6288CDCB">
            <w:pPr>
              <w:spacing w:after="0" w:line="240" w:lineRule="auto"/>
              <w:ind w:firstLine="0"/>
              <w:rPr>
                <w:color w:val="000000"/>
                <w:sz w:val="20"/>
                <w:szCs w:val="20"/>
              </w:rPr>
            </w:pPr>
          </w:p>
        </w:tc>
      </w:tr>
      <w:tr w14:paraId="74C39B06">
        <w:tblPrEx>
          <w:tblCellMar>
            <w:top w:w="0" w:type="dxa"/>
            <w:left w:w="108" w:type="dxa"/>
            <w:bottom w:w="0" w:type="dxa"/>
            <w:right w:w="108" w:type="dxa"/>
          </w:tblCellMar>
        </w:tblPrEx>
        <w:trPr>
          <w:trHeight w:val="20" w:hRule="atLeast"/>
        </w:trPr>
        <w:tc>
          <w:tcPr>
            <w:tcW w:w="316"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F5AF461">
            <w:pPr>
              <w:spacing w:after="0" w:line="240" w:lineRule="auto"/>
              <w:ind w:firstLine="0"/>
              <w:jc w:val="center"/>
              <w:rPr>
                <w:color w:val="000000"/>
                <w:sz w:val="20"/>
                <w:szCs w:val="20"/>
              </w:rPr>
            </w:pPr>
            <w:r>
              <w:rPr>
                <w:color w:val="000000"/>
                <w:sz w:val="20"/>
                <w:szCs w:val="20"/>
              </w:rPr>
              <w:t> </w:t>
            </w:r>
          </w:p>
        </w:tc>
        <w:tc>
          <w:tcPr>
            <w:tcW w:w="1916" w:type="dxa"/>
            <w:tcBorders>
              <w:top w:val="nil"/>
              <w:left w:val="nil"/>
              <w:bottom w:val="single" w:color="auto" w:sz="4" w:space="0"/>
              <w:right w:val="single" w:color="auto" w:sz="4" w:space="0"/>
            </w:tcBorders>
            <w:shd w:val="clear" w:color="auto" w:fill="auto"/>
            <w:tcMar>
              <w:left w:w="28" w:type="dxa"/>
              <w:right w:w="28" w:type="dxa"/>
            </w:tcMar>
            <w:vAlign w:val="center"/>
          </w:tcPr>
          <w:p w14:paraId="3985B14F">
            <w:pPr>
              <w:spacing w:after="0" w:line="240" w:lineRule="auto"/>
              <w:ind w:firstLine="0"/>
              <w:jc w:val="center"/>
              <w:rPr>
                <w:color w:val="000000"/>
                <w:sz w:val="20"/>
                <w:szCs w:val="20"/>
              </w:rPr>
            </w:pPr>
            <w:r>
              <w:rPr>
                <w:color w:val="000000"/>
                <w:sz w:val="20"/>
                <w:szCs w:val="20"/>
              </w:rPr>
              <w:t>Итого по с.п. Верхнеказымский:</w:t>
            </w:r>
          </w:p>
        </w:tc>
        <w:tc>
          <w:tcPr>
            <w:tcW w:w="129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82CA7F4">
            <w:pPr>
              <w:spacing w:after="0" w:line="240" w:lineRule="auto"/>
              <w:ind w:firstLine="0"/>
              <w:jc w:val="center"/>
              <w:rPr>
                <w:color w:val="000000"/>
                <w:sz w:val="20"/>
                <w:szCs w:val="20"/>
              </w:rPr>
            </w:pPr>
            <w:r>
              <w:rPr>
                <w:color w:val="000000"/>
                <w:sz w:val="20"/>
                <w:szCs w:val="20"/>
              </w:rPr>
              <w:t>53,74</w:t>
            </w:r>
          </w:p>
        </w:tc>
        <w:tc>
          <w:tcPr>
            <w:tcW w:w="128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336294">
            <w:pPr>
              <w:spacing w:after="0" w:line="240" w:lineRule="auto"/>
              <w:ind w:firstLine="0"/>
              <w:jc w:val="center"/>
              <w:rPr>
                <w:color w:val="000000"/>
                <w:sz w:val="20"/>
                <w:szCs w:val="20"/>
              </w:rPr>
            </w:pPr>
            <w:r>
              <w:rPr>
                <w:color w:val="000000"/>
                <w:sz w:val="20"/>
                <w:szCs w:val="20"/>
              </w:rPr>
              <w:t>35,4</w:t>
            </w:r>
          </w:p>
        </w:tc>
        <w:tc>
          <w:tcPr>
            <w:tcW w:w="1257"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1B487A2">
            <w:pPr>
              <w:spacing w:after="0" w:line="240" w:lineRule="auto"/>
              <w:ind w:firstLine="0"/>
              <w:jc w:val="center"/>
              <w:rPr>
                <w:color w:val="000000"/>
                <w:sz w:val="20"/>
                <w:szCs w:val="20"/>
              </w:rPr>
            </w:pPr>
            <w:r>
              <w:rPr>
                <w:color w:val="000000"/>
                <w:sz w:val="20"/>
                <w:szCs w:val="20"/>
              </w:rPr>
              <w:t>18,34</w:t>
            </w:r>
          </w:p>
        </w:tc>
        <w:tc>
          <w:tcPr>
            <w:tcW w:w="1142"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8D25E39">
            <w:pPr>
              <w:spacing w:after="0" w:line="240" w:lineRule="auto"/>
              <w:ind w:firstLine="0"/>
              <w:jc w:val="center"/>
              <w:rPr>
                <w:color w:val="000000"/>
                <w:sz w:val="20"/>
                <w:szCs w:val="20"/>
              </w:rPr>
            </w:pPr>
            <w:r>
              <w:rPr>
                <w:color w:val="000000"/>
                <w:sz w:val="20"/>
                <w:szCs w:val="20"/>
              </w:rPr>
              <w:t>0,27</w:t>
            </w:r>
          </w:p>
        </w:tc>
        <w:tc>
          <w:tcPr>
            <w:tcW w:w="876"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248A3A">
            <w:pPr>
              <w:spacing w:after="0" w:line="240" w:lineRule="auto"/>
              <w:ind w:firstLine="0"/>
              <w:jc w:val="center"/>
              <w:rPr>
                <w:color w:val="000000"/>
                <w:sz w:val="20"/>
                <w:szCs w:val="20"/>
              </w:rPr>
            </w:pPr>
            <w:r>
              <w:rPr>
                <w:color w:val="000000"/>
                <w:sz w:val="20"/>
                <w:szCs w:val="20"/>
              </w:rPr>
              <w:t>18,07</w:t>
            </w:r>
          </w:p>
        </w:tc>
        <w:tc>
          <w:tcPr>
            <w:tcW w:w="1120" w:type="dxa"/>
            <w:tcBorders>
              <w:top w:val="nil"/>
              <w:left w:val="nil"/>
              <w:bottom w:val="single" w:color="auto" w:sz="4" w:space="0"/>
              <w:right w:val="single" w:color="auto" w:sz="4" w:space="0"/>
            </w:tcBorders>
            <w:shd w:val="clear" w:color="auto" w:fill="auto"/>
            <w:tcMar>
              <w:left w:w="28" w:type="dxa"/>
              <w:right w:w="28" w:type="dxa"/>
            </w:tcMar>
            <w:vAlign w:val="center"/>
          </w:tcPr>
          <w:p w14:paraId="3B57F8B3">
            <w:pPr>
              <w:spacing w:after="0" w:line="240" w:lineRule="auto"/>
              <w:ind w:firstLine="0"/>
              <w:jc w:val="center"/>
              <w:rPr>
                <w:color w:val="000000"/>
                <w:sz w:val="20"/>
                <w:szCs w:val="20"/>
              </w:rPr>
            </w:pPr>
            <w:r>
              <w:rPr>
                <w:color w:val="000000"/>
                <w:sz w:val="20"/>
                <w:szCs w:val="20"/>
              </w:rPr>
              <w:t>4,2</w:t>
            </w:r>
          </w:p>
        </w:tc>
        <w:tc>
          <w:tcPr>
            <w:tcW w:w="1428"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CCEEA4F">
            <w:pPr>
              <w:spacing w:after="0" w:line="240" w:lineRule="auto"/>
              <w:ind w:firstLine="0"/>
              <w:jc w:val="center"/>
              <w:rPr>
                <w:color w:val="000000"/>
                <w:sz w:val="20"/>
                <w:szCs w:val="20"/>
              </w:rPr>
            </w:pPr>
            <w:r>
              <w:rPr>
                <w:color w:val="000000"/>
                <w:sz w:val="20"/>
                <w:szCs w:val="20"/>
              </w:rPr>
              <w:t>3,4</w:t>
            </w:r>
          </w:p>
        </w:tc>
        <w:tc>
          <w:tcPr>
            <w:tcW w:w="169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42AB581">
            <w:pPr>
              <w:spacing w:after="0" w:line="240" w:lineRule="auto"/>
              <w:ind w:firstLine="0"/>
              <w:jc w:val="center"/>
              <w:rPr>
                <w:color w:val="000000"/>
                <w:sz w:val="20"/>
                <w:szCs w:val="20"/>
              </w:rPr>
            </w:pPr>
            <w:r>
              <w:rPr>
                <w:color w:val="000000"/>
                <w:sz w:val="20"/>
                <w:szCs w:val="20"/>
              </w:rPr>
              <w:t>0,8</w:t>
            </w:r>
          </w:p>
        </w:tc>
        <w:tc>
          <w:tcPr>
            <w:tcW w:w="1691" w:type="dxa"/>
            <w:tcBorders>
              <w:top w:val="nil"/>
              <w:left w:val="nil"/>
              <w:bottom w:val="single" w:color="auto" w:sz="4" w:space="0"/>
              <w:right w:val="single" w:color="auto" w:sz="4" w:space="0"/>
            </w:tcBorders>
            <w:shd w:val="clear" w:color="auto" w:fill="auto"/>
            <w:tcMar>
              <w:left w:w="28" w:type="dxa"/>
              <w:right w:w="28" w:type="dxa"/>
            </w:tcMar>
            <w:vAlign w:val="center"/>
          </w:tcPr>
          <w:p w14:paraId="67775D5F">
            <w:pPr>
              <w:spacing w:after="0" w:line="240" w:lineRule="auto"/>
              <w:ind w:firstLine="0"/>
              <w:jc w:val="center"/>
              <w:rPr>
                <w:color w:val="000000"/>
                <w:sz w:val="20"/>
                <w:szCs w:val="20"/>
              </w:rPr>
            </w:pPr>
            <w:r>
              <w:rPr>
                <w:color w:val="000000"/>
                <w:sz w:val="20"/>
                <w:szCs w:val="20"/>
              </w:rPr>
              <w:t>13,87</w:t>
            </w:r>
          </w:p>
        </w:tc>
      </w:tr>
    </w:tbl>
    <w:p w14:paraId="2F0237DD">
      <w:pPr>
        <w:spacing w:after="0" w:line="240" w:lineRule="auto"/>
        <w:contextualSpacing/>
        <w:jc w:val="both"/>
        <w:rPr>
          <w:sz w:val="24"/>
          <w:szCs w:val="24"/>
        </w:rPr>
      </w:pPr>
    </w:p>
    <w:p w14:paraId="3C664620">
      <w:pPr>
        <w:spacing w:after="0" w:line="240" w:lineRule="auto"/>
        <w:contextualSpacing/>
        <w:jc w:val="both"/>
        <w:rPr>
          <w:sz w:val="24"/>
          <w:szCs w:val="24"/>
        </w:rPr>
        <w:sectPr>
          <w:pgSz w:w="16838" w:h="11906" w:orient="landscape"/>
          <w:pgMar w:top="1134" w:right="567" w:bottom="1134" w:left="1701" w:header="709" w:footer="709" w:gutter="0"/>
          <w:cols w:space="708" w:num="1"/>
          <w:docGrid w:linePitch="381" w:charSpace="0"/>
        </w:sectPr>
      </w:pPr>
    </w:p>
    <w:p w14:paraId="640E6E88">
      <w:pPr>
        <w:pStyle w:val="3"/>
        <w:spacing w:before="0" w:line="240" w:lineRule="auto"/>
        <w:ind w:left="0" w:firstLine="709"/>
        <w:contextualSpacing/>
        <w:rPr>
          <w:rFonts w:cs="Times New Roman"/>
          <w:b w:val="0"/>
          <w:sz w:val="24"/>
          <w:szCs w:val="24"/>
        </w:rPr>
      </w:pPr>
      <w:bookmarkStart w:id="212" w:name="_Toc524614790"/>
      <w:bookmarkStart w:id="213" w:name="_Toc182813918"/>
      <w:bookmarkStart w:id="214" w:name="_Toc524615006"/>
      <w:r>
        <w:rPr>
          <w:rFonts w:cs="Times New Roman"/>
          <w:b w:val="0"/>
          <w:sz w:val="24"/>
          <w:szCs w:val="24"/>
        </w:rPr>
        <w:t>Часть 7. Балансы теплоносителя</w:t>
      </w:r>
      <w:bookmarkEnd w:id="212"/>
      <w:bookmarkEnd w:id="213"/>
      <w:bookmarkEnd w:id="214"/>
    </w:p>
    <w:p w14:paraId="2D2AF56A">
      <w:pPr>
        <w:pStyle w:val="4"/>
        <w:spacing w:before="0" w:line="240" w:lineRule="auto"/>
        <w:ind w:left="0" w:firstLine="709"/>
        <w:contextualSpacing/>
        <w:rPr>
          <w:rFonts w:cs="Times New Roman"/>
          <w:b w:val="0"/>
          <w:sz w:val="24"/>
        </w:rPr>
      </w:pPr>
      <w:bookmarkStart w:id="215" w:name="_Toc524615007"/>
      <w:bookmarkStart w:id="216" w:name="_Toc524614791"/>
      <w:bookmarkStart w:id="217" w:name="_Toc182813919"/>
      <w:r>
        <w:rPr>
          <w:rFonts w:cs="Times New Roman"/>
          <w:b w:val="0"/>
          <w:sz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Pr>
          <w:rFonts w:cs="Times New Roman"/>
          <w:b w:val="0"/>
          <w:sz w:val="24"/>
          <w:shd w:val="clear" w:color="auto" w:fill="FFFFFF" w:themeFill="background1"/>
        </w:rPr>
        <w:t>в перспективных зонах</w:t>
      </w:r>
      <w:r>
        <w:rPr>
          <w:rFonts w:cs="Times New Roman"/>
          <w:b w:val="0"/>
          <w:sz w:val="24"/>
        </w:rPr>
        <w:t xml:space="preserve"> действия систем теплоснабжения и источников тепловой энергии, в том числе работающих на единую тепловую сеть</w:t>
      </w:r>
      <w:bookmarkEnd w:id="215"/>
      <w:bookmarkEnd w:id="216"/>
      <w:bookmarkEnd w:id="217"/>
    </w:p>
    <w:p w14:paraId="0094165A">
      <w:pPr>
        <w:spacing w:after="0" w:line="240" w:lineRule="auto"/>
        <w:contextualSpacing/>
        <w:jc w:val="both"/>
        <w:rPr>
          <w:rFonts w:eastAsia="Calibri"/>
          <w:sz w:val="24"/>
          <w:szCs w:val="24"/>
          <w:lang w:eastAsia="en-US"/>
        </w:rPr>
      </w:pPr>
    </w:p>
    <w:p w14:paraId="03256D3E">
      <w:pPr>
        <w:spacing w:after="0" w:line="240" w:lineRule="auto"/>
        <w:contextualSpacing/>
        <w:jc w:val="both"/>
        <w:rPr>
          <w:rFonts w:eastAsia="Calibri"/>
          <w:sz w:val="24"/>
          <w:szCs w:val="24"/>
          <w:lang w:eastAsia="en-US"/>
        </w:rPr>
      </w:pPr>
      <w:r>
        <w:rPr>
          <w:rFonts w:eastAsia="Calibri"/>
          <w:sz w:val="24"/>
          <w:szCs w:val="24"/>
          <w:lang w:eastAsia="en-US"/>
        </w:rPr>
        <w:t>В существующих котельных с.п. Верхнеказымский, водоподготовительные установки теплоносителя для тепловых сетей, отсутствуют. Теплоноситель в тепловых сетях, предназначен для передачи теплоты на нужды систем отопления.</w:t>
      </w:r>
    </w:p>
    <w:p w14:paraId="3D91856B">
      <w:pPr>
        <w:spacing w:after="0" w:line="240" w:lineRule="auto"/>
        <w:contextualSpacing/>
        <w:jc w:val="both"/>
        <w:rPr>
          <w:rFonts w:eastAsia="Calibri"/>
          <w:sz w:val="24"/>
          <w:szCs w:val="24"/>
          <w:lang w:eastAsia="en-US"/>
        </w:rPr>
      </w:pPr>
      <w:r>
        <w:rPr>
          <w:rFonts w:eastAsia="Calibri"/>
          <w:sz w:val="24"/>
          <w:szCs w:val="24"/>
          <w:lang w:eastAsia="en-US"/>
        </w:rPr>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25536596">
      <w:pPr>
        <w:pStyle w:val="153"/>
        <w:numPr>
          <w:ilvl w:val="0"/>
          <w:numId w:val="36"/>
        </w:numPr>
        <w:tabs>
          <w:tab w:val="left" w:pos="1134"/>
        </w:tabs>
        <w:ind w:left="0" w:firstLine="709"/>
        <w:rPr>
          <w:rFonts w:eastAsia="Calibri"/>
          <w:sz w:val="24"/>
          <w:szCs w:val="24"/>
          <w:lang w:eastAsia="en-US"/>
        </w:rPr>
      </w:pPr>
      <w:r>
        <w:rPr>
          <w:rFonts w:eastAsia="Calibri"/>
          <w:sz w:val="24"/>
          <w:szCs w:val="24"/>
          <w:lang w:eastAsia="en-US"/>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299C3286">
      <w:pPr>
        <w:pStyle w:val="153"/>
        <w:numPr>
          <w:ilvl w:val="0"/>
          <w:numId w:val="36"/>
        </w:numPr>
        <w:tabs>
          <w:tab w:val="left" w:pos="1134"/>
        </w:tabs>
        <w:ind w:left="0" w:firstLine="709"/>
        <w:rPr>
          <w:rFonts w:eastAsia="Calibri"/>
          <w:sz w:val="24"/>
          <w:szCs w:val="24"/>
          <w:lang w:eastAsia="en-US"/>
        </w:rPr>
      </w:pPr>
      <w:r>
        <w:rPr>
          <w:rFonts w:eastAsia="Calibri"/>
          <w:sz w:val="24"/>
          <w:szCs w:val="24"/>
          <w:lang w:eastAsia="en-US"/>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6F203DDB">
      <w:pPr>
        <w:pStyle w:val="153"/>
        <w:numPr>
          <w:ilvl w:val="0"/>
          <w:numId w:val="36"/>
        </w:numPr>
        <w:tabs>
          <w:tab w:val="left" w:pos="1134"/>
        </w:tabs>
        <w:ind w:left="0" w:firstLine="709"/>
        <w:rPr>
          <w:rFonts w:eastAsia="Calibri"/>
          <w:sz w:val="24"/>
          <w:szCs w:val="24"/>
          <w:lang w:eastAsia="en-US"/>
        </w:rPr>
      </w:pPr>
      <w:r>
        <w:rPr>
          <w:rFonts w:eastAsia="Calibri"/>
          <w:sz w:val="24"/>
          <w:szCs w:val="24"/>
          <w:lang w:eastAsia="en-US"/>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6742DD19">
      <w:pPr>
        <w:spacing w:after="0" w:line="240" w:lineRule="auto"/>
        <w:contextualSpacing/>
        <w:jc w:val="both"/>
        <w:rPr>
          <w:rFonts w:eastAsia="Calibri"/>
          <w:sz w:val="24"/>
          <w:szCs w:val="24"/>
          <w:lang w:eastAsia="en-US"/>
        </w:rPr>
      </w:pPr>
    </w:p>
    <w:p w14:paraId="709A2E09">
      <w:pPr>
        <w:spacing w:after="0" w:line="240" w:lineRule="auto"/>
        <w:contextualSpacing/>
        <w:jc w:val="both"/>
        <w:rPr>
          <w:rFonts w:eastAsia="Calibri"/>
          <w:sz w:val="24"/>
          <w:szCs w:val="24"/>
          <w:lang w:eastAsia="en-US"/>
        </w:rPr>
      </w:pPr>
      <w:r>
        <w:rPr>
          <w:rFonts w:eastAsia="Calibri"/>
          <w:sz w:val="24"/>
          <w:szCs w:val="24"/>
          <w:lang w:eastAsia="en-US"/>
        </w:rPr>
        <w:t>Для каждого участка тепловой сети определяются согласно среднегодовые нормативные удельные (на 1 метр длины трубопровода) значения потерь тепловой энергии по нормам проектирования, в соответствии с которыми выполнена тепловая изоляция трубопроводов тепловых сетей.</w:t>
      </w:r>
    </w:p>
    <w:p w14:paraId="2D1F704C">
      <w:pPr>
        <w:spacing w:after="0" w:line="240" w:lineRule="auto"/>
        <w:contextualSpacing/>
        <w:jc w:val="both"/>
        <w:rPr>
          <w:rFonts w:eastAsia="Calibri"/>
          <w:sz w:val="24"/>
          <w:szCs w:val="24"/>
          <w:lang w:eastAsia="en-US"/>
        </w:rPr>
      </w:pPr>
      <w:r>
        <w:rPr>
          <w:rFonts w:eastAsia="Calibri"/>
          <w:sz w:val="24"/>
          <w:szCs w:val="24"/>
          <w:lang w:eastAsia="en-US"/>
        </w:rPr>
        <w:t>Среднегодовые удельные потери тепловой энергии определяются при среднегодовых значениях температур сетевой воды в подающем в обратном трубопроводах и среднегодовых температурах наружного воздуха или грунта.</w:t>
      </w:r>
    </w:p>
    <w:p w14:paraId="5725A685">
      <w:pPr>
        <w:spacing w:after="0" w:line="240" w:lineRule="auto"/>
        <w:contextualSpacing/>
        <w:jc w:val="both"/>
        <w:rPr>
          <w:rFonts w:eastAsia="Calibri"/>
          <w:sz w:val="24"/>
          <w:szCs w:val="24"/>
          <w:lang w:eastAsia="en-US"/>
        </w:rPr>
      </w:pPr>
      <w:r>
        <w:rPr>
          <w:rFonts w:eastAsia="Calibri"/>
          <w:sz w:val="24"/>
          <w:szCs w:val="24"/>
          <w:lang w:eastAsia="en-US"/>
        </w:rPr>
        <w:t>Значения среднегодовых удельных потерь тепловой энергии при разности среднегодовых температур сетевой воды и окружающей среды, отличающихся от значений, приведенных в нормах, определяются линейной интерполяцией или экстраполяцией.</w:t>
      </w:r>
    </w:p>
    <w:p w14:paraId="1FAF5115">
      <w:pPr>
        <w:spacing w:after="0" w:line="240" w:lineRule="auto"/>
        <w:contextualSpacing/>
        <w:rPr>
          <w:sz w:val="24"/>
          <w:szCs w:val="24"/>
        </w:rPr>
      </w:pPr>
      <w:r>
        <w:rPr>
          <w:sz w:val="24"/>
          <w:szCs w:val="24"/>
        </w:rPr>
        <w:t>Баланс производительности ВПУ и подпитки тепловой сети представлен в таблице 39.</w:t>
      </w:r>
    </w:p>
    <w:p w14:paraId="3351661E">
      <w:pPr>
        <w:spacing w:after="0" w:line="240" w:lineRule="auto"/>
        <w:contextualSpacing/>
        <w:rPr>
          <w:sz w:val="24"/>
          <w:szCs w:val="24"/>
        </w:rPr>
      </w:pPr>
    </w:p>
    <w:p w14:paraId="4E2B9BD5">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39</w:t>
      </w:r>
      <w:r>
        <w:rPr>
          <w:sz w:val="24"/>
          <w:szCs w:val="24"/>
        </w:rPr>
        <w:fldChar w:fldCharType="end"/>
      </w:r>
      <w:r>
        <w:rPr>
          <w:sz w:val="24"/>
          <w:szCs w:val="24"/>
        </w:rPr>
        <w:t xml:space="preserve"> – Баланс производительности ВПУ и подпитки тепловой сети</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30"/>
        <w:gridCol w:w="1939"/>
        <w:gridCol w:w="1925"/>
      </w:tblGrid>
      <w:tr w14:paraId="30E92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3007" w:type="pct"/>
            <w:shd w:val="clear" w:color="auto" w:fill="auto"/>
            <w:tcMar>
              <w:left w:w="28" w:type="dxa"/>
              <w:right w:w="28" w:type="dxa"/>
            </w:tcMar>
            <w:vAlign w:val="center"/>
          </w:tcPr>
          <w:p w14:paraId="380331E0">
            <w:pPr>
              <w:autoSpaceDE w:val="0"/>
              <w:autoSpaceDN w:val="0"/>
              <w:adjustRightInd w:val="0"/>
              <w:spacing w:after="0" w:line="240" w:lineRule="auto"/>
              <w:ind w:firstLine="0"/>
              <w:contextualSpacing/>
              <w:jc w:val="center"/>
              <w:rPr>
                <w:sz w:val="20"/>
                <w:szCs w:val="20"/>
              </w:rPr>
            </w:pPr>
            <w:r>
              <w:rPr>
                <w:sz w:val="20"/>
                <w:szCs w:val="20"/>
              </w:rPr>
              <w:t>Зона действия источника тепловой энергии</w:t>
            </w:r>
          </w:p>
        </w:tc>
        <w:tc>
          <w:tcPr>
            <w:tcW w:w="1000" w:type="pct"/>
            <w:shd w:val="clear" w:color="auto" w:fill="auto"/>
            <w:tcMar>
              <w:left w:w="28" w:type="dxa"/>
              <w:right w:w="28" w:type="dxa"/>
            </w:tcMar>
            <w:vAlign w:val="center"/>
          </w:tcPr>
          <w:p w14:paraId="0130CA76">
            <w:pPr>
              <w:autoSpaceDE w:val="0"/>
              <w:autoSpaceDN w:val="0"/>
              <w:adjustRightInd w:val="0"/>
              <w:spacing w:after="0" w:line="240" w:lineRule="auto"/>
              <w:ind w:firstLine="0"/>
              <w:contextualSpacing/>
              <w:jc w:val="center"/>
              <w:rPr>
                <w:sz w:val="20"/>
                <w:szCs w:val="20"/>
              </w:rPr>
            </w:pPr>
            <w:r>
              <w:rPr>
                <w:sz w:val="20"/>
                <w:szCs w:val="20"/>
              </w:rPr>
              <w:t>Размерность</w:t>
            </w:r>
          </w:p>
        </w:tc>
        <w:tc>
          <w:tcPr>
            <w:tcW w:w="994" w:type="pct"/>
            <w:shd w:val="clear" w:color="auto" w:fill="auto"/>
            <w:tcMar>
              <w:left w:w="28" w:type="dxa"/>
              <w:right w:w="28" w:type="dxa"/>
            </w:tcMar>
            <w:vAlign w:val="center"/>
          </w:tcPr>
          <w:p w14:paraId="5A6261DC">
            <w:pPr>
              <w:autoSpaceDE w:val="0"/>
              <w:autoSpaceDN w:val="0"/>
              <w:adjustRightInd w:val="0"/>
              <w:spacing w:after="0" w:line="240" w:lineRule="auto"/>
              <w:ind w:firstLine="0"/>
              <w:contextualSpacing/>
              <w:jc w:val="center"/>
              <w:rPr>
                <w:sz w:val="20"/>
                <w:szCs w:val="20"/>
              </w:rPr>
            </w:pPr>
            <w:r>
              <w:rPr>
                <w:sz w:val="20"/>
                <w:szCs w:val="20"/>
              </w:rPr>
              <w:t>Значения</w:t>
            </w:r>
          </w:p>
        </w:tc>
      </w:tr>
      <w:tr w14:paraId="26C1E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163CEDF3">
            <w:pPr>
              <w:autoSpaceDE w:val="0"/>
              <w:autoSpaceDN w:val="0"/>
              <w:adjustRightInd w:val="0"/>
              <w:spacing w:after="0" w:line="240" w:lineRule="auto"/>
              <w:ind w:firstLine="0"/>
              <w:contextualSpacing/>
              <w:rPr>
                <w:sz w:val="20"/>
                <w:szCs w:val="20"/>
              </w:rPr>
            </w:pPr>
            <w:r>
              <w:rPr>
                <w:sz w:val="20"/>
                <w:szCs w:val="20"/>
              </w:rPr>
              <w:t>Производительность ВПУ</w:t>
            </w:r>
          </w:p>
        </w:tc>
        <w:tc>
          <w:tcPr>
            <w:tcW w:w="1000" w:type="pct"/>
            <w:shd w:val="clear" w:color="auto" w:fill="auto"/>
            <w:tcMar>
              <w:left w:w="28" w:type="dxa"/>
              <w:right w:w="28" w:type="dxa"/>
            </w:tcMar>
            <w:vAlign w:val="center"/>
          </w:tcPr>
          <w:p w14:paraId="6C0DDE0D">
            <w:pPr>
              <w:autoSpaceDE w:val="0"/>
              <w:autoSpaceDN w:val="0"/>
              <w:adjustRightInd w:val="0"/>
              <w:spacing w:after="0" w:line="240" w:lineRule="auto"/>
              <w:ind w:firstLine="0"/>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5E9F2D32">
            <w:pPr>
              <w:autoSpaceDE w:val="0"/>
              <w:autoSpaceDN w:val="0"/>
              <w:adjustRightInd w:val="0"/>
              <w:spacing w:after="0" w:line="240" w:lineRule="auto"/>
              <w:ind w:firstLine="0"/>
              <w:contextualSpacing/>
              <w:jc w:val="center"/>
              <w:rPr>
                <w:sz w:val="20"/>
                <w:szCs w:val="20"/>
              </w:rPr>
            </w:pPr>
            <w:r>
              <w:rPr>
                <w:sz w:val="20"/>
                <w:szCs w:val="20"/>
              </w:rPr>
              <w:t>0,009</w:t>
            </w:r>
          </w:p>
        </w:tc>
      </w:tr>
      <w:tr w14:paraId="7D377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1FDAFB44">
            <w:pPr>
              <w:pStyle w:val="157"/>
              <w:contextualSpacing/>
              <w:rPr>
                <w:sz w:val="20"/>
                <w:szCs w:val="20"/>
              </w:rPr>
            </w:pPr>
            <w:r>
              <w:rPr>
                <w:sz w:val="20"/>
                <w:szCs w:val="20"/>
              </w:rPr>
              <w:t>Средневзвешенный срок службы</w:t>
            </w:r>
          </w:p>
        </w:tc>
        <w:tc>
          <w:tcPr>
            <w:tcW w:w="1000" w:type="pct"/>
            <w:shd w:val="clear" w:color="auto" w:fill="auto"/>
            <w:tcMar>
              <w:left w:w="28" w:type="dxa"/>
              <w:right w:w="28" w:type="dxa"/>
            </w:tcMar>
            <w:vAlign w:val="center"/>
          </w:tcPr>
          <w:p w14:paraId="33541B3F">
            <w:pPr>
              <w:pStyle w:val="157"/>
              <w:contextualSpacing/>
              <w:jc w:val="center"/>
              <w:rPr>
                <w:sz w:val="20"/>
                <w:szCs w:val="20"/>
              </w:rPr>
            </w:pPr>
            <w:r>
              <w:rPr>
                <w:sz w:val="20"/>
                <w:szCs w:val="20"/>
              </w:rPr>
              <w:t>лет</w:t>
            </w:r>
          </w:p>
        </w:tc>
        <w:tc>
          <w:tcPr>
            <w:tcW w:w="994" w:type="pct"/>
            <w:shd w:val="clear" w:color="auto" w:fill="auto"/>
            <w:tcMar>
              <w:left w:w="28" w:type="dxa"/>
              <w:right w:w="28" w:type="dxa"/>
            </w:tcMar>
            <w:vAlign w:val="center"/>
          </w:tcPr>
          <w:p w14:paraId="691A766E">
            <w:pPr>
              <w:autoSpaceDE w:val="0"/>
              <w:autoSpaceDN w:val="0"/>
              <w:adjustRightInd w:val="0"/>
              <w:spacing w:after="0" w:line="240" w:lineRule="auto"/>
              <w:ind w:firstLine="0"/>
              <w:contextualSpacing/>
              <w:jc w:val="center"/>
              <w:rPr>
                <w:sz w:val="20"/>
                <w:szCs w:val="20"/>
              </w:rPr>
            </w:pPr>
            <w:r>
              <w:rPr>
                <w:sz w:val="20"/>
                <w:szCs w:val="20"/>
              </w:rPr>
              <w:t>16</w:t>
            </w:r>
          </w:p>
        </w:tc>
      </w:tr>
      <w:tr w14:paraId="4449E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53C9B930">
            <w:pPr>
              <w:pStyle w:val="157"/>
              <w:contextualSpacing/>
              <w:rPr>
                <w:sz w:val="20"/>
                <w:szCs w:val="20"/>
              </w:rPr>
            </w:pPr>
            <w:r>
              <w:rPr>
                <w:sz w:val="20"/>
                <w:szCs w:val="20"/>
              </w:rPr>
              <w:t>Располагаемая производительность ВПУ</w:t>
            </w:r>
          </w:p>
        </w:tc>
        <w:tc>
          <w:tcPr>
            <w:tcW w:w="1000" w:type="pct"/>
            <w:shd w:val="clear" w:color="auto" w:fill="auto"/>
            <w:tcMar>
              <w:left w:w="28" w:type="dxa"/>
              <w:right w:w="28" w:type="dxa"/>
            </w:tcMar>
            <w:vAlign w:val="center"/>
          </w:tcPr>
          <w:p w14:paraId="5186777D">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7CA50C8F">
            <w:pPr>
              <w:autoSpaceDE w:val="0"/>
              <w:autoSpaceDN w:val="0"/>
              <w:adjustRightInd w:val="0"/>
              <w:spacing w:after="0" w:line="240" w:lineRule="auto"/>
              <w:ind w:firstLine="0"/>
              <w:contextualSpacing/>
              <w:jc w:val="center"/>
              <w:rPr>
                <w:sz w:val="20"/>
                <w:szCs w:val="20"/>
              </w:rPr>
            </w:pPr>
            <w:r>
              <w:rPr>
                <w:sz w:val="20"/>
                <w:szCs w:val="20"/>
              </w:rPr>
              <w:t>0,009</w:t>
            </w:r>
          </w:p>
        </w:tc>
      </w:tr>
      <w:tr w14:paraId="7C278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13C42274">
            <w:pPr>
              <w:pStyle w:val="157"/>
              <w:contextualSpacing/>
              <w:rPr>
                <w:sz w:val="20"/>
                <w:szCs w:val="20"/>
              </w:rPr>
            </w:pPr>
            <w:r>
              <w:rPr>
                <w:sz w:val="20"/>
                <w:szCs w:val="20"/>
              </w:rPr>
              <w:t>Потери располагаемой производительности</w:t>
            </w:r>
          </w:p>
        </w:tc>
        <w:tc>
          <w:tcPr>
            <w:tcW w:w="1000" w:type="pct"/>
            <w:shd w:val="clear" w:color="auto" w:fill="auto"/>
            <w:tcMar>
              <w:left w:w="28" w:type="dxa"/>
              <w:right w:w="28" w:type="dxa"/>
            </w:tcMar>
            <w:vAlign w:val="center"/>
          </w:tcPr>
          <w:p w14:paraId="7DCB32F2">
            <w:pPr>
              <w:pStyle w:val="157"/>
              <w:contextualSpacing/>
              <w:jc w:val="center"/>
              <w:rPr>
                <w:sz w:val="20"/>
                <w:szCs w:val="20"/>
              </w:rPr>
            </w:pPr>
            <w:r>
              <w:rPr>
                <w:sz w:val="20"/>
                <w:szCs w:val="20"/>
              </w:rPr>
              <w:t>%</w:t>
            </w:r>
          </w:p>
        </w:tc>
        <w:tc>
          <w:tcPr>
            <w:tcW w:w="994" w:type="pct"/>
            <w:shd w:val="clear" w:color="auto" w:fill="auto"/>
            <w:tcMar>
              <w:left w:w="28" w:type="dxa"/>
              <w:right w:w="28" w:type="dxa"/>
            </w:tcMar>
            <w:vAlign w:val="center"/>
          </w:tcPr>
          <w:p w14:paraId="1E09B58D">
            <w:pPr>
              <w:autoSpaceDE w:val="0"/>
              <w:autoSpaceDN w:val="0"/>
              <w:adjustRightInd w:val="0"/>
              <w:spacing w:after="0" w:line="240" w:lineRule="auto"/>
              <w:ind w:firstLine="0"/>
              <w:contextualSpacing/>
              <w:jc w:val="center"/>
              <w:rPr>
                <w:sz w:val="20"/>
                <w:szCs w:val="20"/>
              </w:rPr>
            </w:pPr>
          </w:p>
        </w:tc>
      </w:tr>
      <w:tr w14:paraId="6EB8B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5B28509B">
            <w:pPr>
              <w:pStyle w:val="157"/>
              <w:contextualSpacing/>
              <w:rPr>
                <w:sz w:val="20"/>
                <w:szCs w:val="20"/>
              </w:rPr>
            </w:pPr>
            <w:r>
              <w:rPr>
                <w:sz w:val="20"/>
                <w:szCs w:val="20"/>
              </w:rPr>
              <w:t>Собственные нужды</w:t>
            </w:r>
          </w:p>
        </w:tc>
        <w:tc>
          <w:tcPr>
            <w:tcW w:w="1000" w:type="pct"/>
            <w:shd w:val="clear" w:color="auto" w:fill="auto"/>
            <w:tcMar>
              <w:left w:w="28" w:type="dxa"/>
              <w:right w:w="28" w:type="dxa"/>
            </w:tcMar>
            <w:vAlign w:val="center"/>
          </w:tcPr>
          <w:p w14:paraId="188AB2A0">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15FF4006">
            <w:pPr>
              <w:autoSpaceDE w:val="0"/>
              <w:autoSpaceDN w:val="0"/>
              <w:adjustRightInd w:val="0"/>
              <w:spacing w:after="0" w:line="240" w:lineRule="auto"/>
              <w:ind w:firstLine="0"/>
              <w:contextualSpacing/>
              <w:jc w:val="center"/>
              <w:rPr>
                <w:sz w:val="20"/>
                <w:szCs w:val="20"/>
              </w:rPr>
            </w:pPr>
            <w:r>
              <w:rPr>
                <w:sz w:val="20"/>
                <w:szCs w:val="20"/>
              </w:rPr>
              <w:t>-</w:t>
            </w:r>
          </w:p>
        </w:tc>
      </w:tr>
      <w:tr w14:paraId="0782D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4EDA7770">
            <w:pPr>
              <w:pStyle w:val="157"/>
              <w:contextualSpacing/>
              <w:rPr>
                <w:sz w:val="20"/>
                <w:szCs w:val="20"/>
              </w:rPr>
            </w:pPr>
            <w:r>
              <w:rPr>
                <w:sz w:val="20"/>
                <w:szCs w:val="20"/>
              </w:rPr>
              <w:t>Количество баков-аккумуляторов теплоносителя</w:t>
            </w:r>
          </w:p>
        </w:tc>
        <w:tc>
          <w:tcPr>
            <w:tcW w:w="1000" w:type="pct"/>
            <w:shd w:val="clear" w:color="auto" w:fill="auto"/>
            <w:tcMar>
              <w:left w:w="28" w:type="dxa"/>
              <w:right w:w="28" w:type="dxa"/>
            </w:tcMar>
            <w:vAlign w:val="center"/>
          </w:tcPr>
          <w:p w14:paraId="1D53FF77">
            <w:pPr>
              <w:pStyle w:val="157"/>
              <w:contextualSpacing/>
              <w:jc w:val="center"/>
              <w:rPr>
                <w:sz w:val="20"/>
                <w:szCs w:val="20"/>
              </w:rPr>
            </w:pPr>
            <w:r>
              <w:rPr>
                <w:sz w:val="20"/>
                <w:szCs w:val="20"/>
              </w:rPr>
              <w:t>Ед.</w:t>
            </w:r>
          </w:p>
        </w:tc>
        <w:tc>
          <w:tcPr>
            <w:tcW w:w="994" w:type="pct"/>
            <w:shd w:val="clear" w:color="auto" w:fill="auto"/>
            <w:tcMar>
              <w:left w:w="28" w:type="dxa"/>
              <w:right w:w="28" w:type="dxa"/>
            </w:tcMar>
            <w:vAlign w:val="center"/>
          </w:tcPr>
          <w:p w14:paraId="5810BAA1">
            <w:pPr>
              <w:autoSpaceDE w:val="0"/>
              <w:autoSpaceDN w:val="0"/>
              <w:adjustRightInd w:val="0"/>
              <w:spacing w:after="0" w:line="240" w:lineRule="auto"/>
              <w:ind w:firstLine="0"/>
              <w:contextualSpacing/>
              <w:jc w:val="center"/>
              <w:rPr>
                <w:sz w:val="20"/>
                <w:szCs w:val="20"/>
              </w:rPr>
            </w:pPr>
            <w:r>
              <w:rPr>
                <w:sz w:val="20"/>
                <w:szCs w:val="20"/>
              </w:rPr>
              <w:t>-</w:t>
            </w:r>
          </w:p>
        </w:tc>
      </w:tr>
      <w:tr w14:paraId="1B53D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601A019D">
            <w:pPr>
              <w:pStyle w:val="157"/>
              <w:contextualSpacing/>
              <w:rPr>
                <w:sz w:val="20"/>
                <w:szCs w:val="20"/>
              </w:rPr>
            </w:pPr>
            <w:r>
              <w:rPr>
                <w:sz w:val="20"/>
                <w:szCs w:val="20"/>
              </w:rPr>
              <w:t>Емкость баков-аккумуляторов</w:t>
            </w:r>
          </w:p>
        </w:tc>
        <w:tc>
          <w:tcPr>
            <w:tcW w:w="1000" w:type="pct"/>
            <w:shd w:val="clear" w:color="auto" w:fill="auto"/>
            <w:tcMar>
              <w:left w:w="28" w:type="dxa"/>
              <w:right w:w="28" w:type="dxa"/>
            </w:tcMar>
            <w:vAlign w:val="center"/>
          </w:tcPr>
          <w:p w14:paraId="6174BB09">
            <w:pPr>
              <w:pStyle w:val="157"/>
              <w:contextualSpacing/>
              <w:jc w:val="center"/>
              <w:rPr>
                <w:sz w:val="20"/>
                <w:szCs w:val="20"/>
              </w:rPr>
            </w:pPr>
            <w:r>
              <w:rPr>
                <w:sz w:val="20"/>
                <w:szCs w:val="20"/>
              </w:rPr>
              <w:t>тыс. м</w:t>
            </w:r>
            <w:r>
              <w:rPr>
                <w:sz w:val="20"/>
                <w:szCs w:val="20"/>
                <w:vertAlign w:val="superscript"/>
              </w:rPr>
              <w:t>3</w:t>
            </w:r>
          </w:p>
        </w:tc>
        <w:tc>
          <w:tcPr>
            <w:tcW w:w="994" w:type="pct"/>
            <w:shd w:val="clear" w:color="auto" w:fill="auto"/>
            <w:tcMar>
              <w:left w:w="28" w:type="dxa"/>
              <w:right w:w="28" w:type="dxa"/>
            </w:tcMar>
            <w:vAlign w:val="center"/>
          </w:tcPr>
          <w:p w14:paraId="4D2BE31B">
            <w:pPr>
              <w:autoSpaceDE w:val="0"/>
              <w:autoSpaceDN w:val="0"/>
              <w:adjustRightInd w:val="0"/>
              <w:spacing w:after="0" w:line="240" w:lineRule="auto"/>
              <w:ind w:firstLine="0"/>
              <w:contextualSpacing/>
              <w:jc w:val="center"/>
              <w:rPr>
                <w:sz w:val="20"/>
                <w:szCs w:val="20"/>
              </w:rPr>
            </w:pPr>
            <w:r>
              <w:rPr>
                <w:sz w:val="20"/>
                <w:szCs w:val="20"/>
              </w:rPr>
              <w:t>-</w:t>
            </w:r>
          </w:p>
        </w:tc>
      </w:tr>
      <w:tr w14:paraId="2774A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569CED45">
            <w:pPr>
              <w:pStyle w:val="157"/>
              <w:contextualSpacing/>
              <w:rPr>
                <w:sz w:val="20"/>
                <w:szCs w:val="20"/>
              </w:rPr>
            </w:pPr>
            <w:r>
              <w:rPr>
                <w:sz w:val="20"/>
                <w:szCs w:val="20"/>
              </w:rPr>
              <w:t>Всего подпитка тепловой сети, в т. ч.:</w:t>
            </w:r>
          </w:p>
        </w:tc>
        <w:tc>
          <w:tcPr>
            <w:tcW w:w="1000" w:type="pct"/>
            <w:shd w:val="clear" w:color="auto" w:fill="auto"/>
            <w:tcMar>
              <w:left w:w="28" w:type="dxa"/>
              <w:right w:w="28" w:type="dxa"/>
            </w:tcMar>
            <w:vAlign w:val="center"/>
          </w:tcPr>
          <w:p w14:paraId="29024740">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29EF6CE2">
            <w:pPr>
              <w:autoSpaceDE w:val="0"/>
              <w:autoSpaceDN w:val="0"/>
              <w:adjustRightInd w:val="0"/>
              <w:spacing w:after="0" w:line="240" w:lineRule="auto"/>
              <w:ind w:firstLine="0"/>
              <w:contextualSpacing/>
              <w:jc w:val="center"/>
              <w:rPr>
                <w:sz w:val="20"/>
                <w:szCs w:val="20"/>
              </w:rPr>
            </w:pPr>
          </w:p>
        </w:tc>
      </w:tr>
      <w:tr w14:paraId="40177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38008441">
            <w:pPr>
              <w:pStyle w:val="157"/>
              <w:contextualSpacing/>
              <w:rPr>
                <w:sz w:val="20"/>
                <w:szCs w:val="20"/>
              </w:rPr>
            </w:pPr>
            <w:r>
              <w:rPr>
                <w:sz w:val="20"/>
                <w:szCs w:val="20"/>
              </w:rPr>
              <w:t>нормативные утечки теплоносителя</w:t>
            </w:r>
          </w:p>
        </w:tc>
        <w:tc>
          <w:tcPr>
            <w:tcW w:w="1000" w:type="pct"/>
            <w:shd w:val="clear" w:color="auto" w:fill="auto"/>
            <w:tcMar>
              <w:left w:w="28" w:type="dxa"/>
              <w:right w:w="28" w:type="dxa"/>
            </w:tcMar>
            <w:vAlign w:val="center"/>
          </w:tcPr>
          <w:p w14:paraId="0AB4080A">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2F3E21DE">
            <w:pPr>
              <w:autoSpaceDE w:val="0"/>
              <w:autoSpaceDN w:val="0"/>
              <w:adjustRightInd w:val="0"/>
              <w:spacing w:after="0" w:line="240" w:lineRule="auto"/>
              <w:ind w:firstLine="0"/>
              <w:contextualSpacing/>
              <w:jc w:val="center"/>
              <w:rPr>
                <w:sz w:val="20"/>
                <w:szCs w:val="20"/>
              </w:rPr>
            </w:pPr>
          </w:p>
        </w:tc>
      </w:tr>
      <w:tr w14:paraId="7AD79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47B82E0C">
            <w:pPr>
              <w:pStyle w:val="157"/>
              <w:contextualSpacing/>
              <w:rPr>
                <w:sz w:val="20"/>
                <w:szCs w:val="20"/>
              </w:rPr>
            </w:pPr>
            <w:r>
              <w:rPr>
                <w:sz w:val="20"/>
                <w:szCs w:val="20"/>
              </w:rPr>
              <w:t>сверхнормативные утечки теплоносителя</w:t>
            </w:r>
          </w:p>
        </w:tc>
        <w:tc>
          <w:tcPr>
            <w:tcW w:w="1000" w:type="pct"/>
            <w:shd w:val="clear" w:color="auto" w:fill="auto"/>
            <w:tcMar>
              <w:left w:w="28" w:type="dxa"/>
              <w:right w:w="28" w:type="dxa"/>
            </w:tcMar>
            <w:vAlign w:val="center"/>
          </w:tcPr>
          <w:p w14:paraId="6D33D412">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754BA99D">
            <w:pPr>
              <w:autoSpaceDE w:val="0"/>
              <w:autoSpaceDN w:val="0"/>
              <w:adjustRightInd w:val="0"/>
              <w:spacing w:after="0" w:line="240" w:lineRule="auto"/>
              <w:ind w:firstLine="0"/>
              <w:contextualSpacing/>
              <w:jc w:val="center"/>
              <w:rPr>
                <w:sz w:val="20"/>
                <w:szCs w:val="20"/>
              </w:rPr>
            </w:pPr>
            <w:r>
              <w:rPr>
                <w:sz w:val="20"/>
                <w:szCs w:val="20"/>
              </w:rPr>
              <w:t>-</w:t>
            </w:r>
          </w:p>
        </w:tc>
      </w:tr>
      <w:tr w14:paraId="6D38C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4834BAFE">
            <w:pPr>
              <w:pStyle w:val="157"/>
              <w:contextualSpacing/>
              <w:rPr>
                <w:sz w:val="20"/>
                <w:szCs w:val="20"/>
              </w:rPr>
            </w:pPr>
            <w:r>
              <w:rPr>
                <w:sz w:val="20"/>
                <w:szCs w:val="20"/>
              </w:rPr>
              <w:t>отпуск теплоносителя из тепловых сетей на цели горячего водоснабжения (для открытых систем теплоснабжения)</w:t>
            </w:r>
          </w:p>
        </w:tc>
        <w:tc>
          <w:tcPr>
            <w:tcW w:w="1000" w:type="pct"/>
            <w:shd w:val="clear" w:color="auto" w:fill="auto"/>
            <w:tcMar>
              <w:left w:w="28" w:type="dxa"/>
              <w:right w:w="28" w:type="dxa"/>
            </w:tcMar>
            <w:vAlign w:val="center"/>
          </w:tcPr>
          <w:p w14:paraId="5506CF5A">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363EBD1D">
            <w:pPr>
              <w:autoSpaceDE w:val="0"/>
              <w:autoSpaceDN w:val="0"/>
              <w:adjustRightInd w:val="0"/>
              <w:spacing w:after="0" w:line="240" w:lineRule="auto"/>
              <w:ind w:firstLine="0"/>
              <w:contextualSpacing/>
              <w:jc w:val="center"/>
              <w:rPr>
                <w:sz w:val="20"/>
                <w:szCs w:val="20"/>
              </w:rPr>
            </w:pPr>
            <w:r>
              <w:rPr>
                <w:sz w:val="20"/>
                <w:szCs w:val="20"/>
              </w:rPr>
              <w:t>-</w:t>
            </w:r>
          </w:p>
        </w:tc>
      </w:tr>
      <w:tr w14:paraId="6E392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371A687B">
            <w:pPr>
              <w:pStyle w:val="157"/>
              <w:contextualSpacing/>
              <w:rPr>
                <w:sz w:val="20"/>
                <w:szCs w:val="20"/>
              </w:rPr>
            </w:pPr>
            <w:r>
              <w:rPr>
                <w:sz w:val="20"/>
                <w:szCs w:val="20"/>
              </w:rPr>
              <w:t>Максимум подпитки тепловой сети в эксплуатационном режиме</w:t>
            </w:r>
          </w:p>
        </w:tc>
        <w:tc>
          <w:tcPr>
            <w:tcW w:w="1000" w:type="pct"/>
            <w:shd w:val="clear" w:color="auto" w:fill="auto"/>
            <w:tcMar>
              <w:left w:w="28" w:type="dxa"/>
              <w:right w:w="28" w:type="dxa"/>
            </w:tcMar>
            <w:vAlign w:val="center"/>
          </w:tcPr>
          <w:p w14:paraId="7D8AEBA9">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47A3DD9E">
            <w:pPr>
              <w:autoSpaceDE w:val="0"/>
              <w:autoSpaceDN w:val="0"/>
              <w:adjustRightInd w:val="0"/>
              <w:spacing w:after="0" w:line="240" w:lineRule="auto"/>
              <w:ind w:firstLine="0"/>
              <w:contextualSpacing/>
              <w:jc w:val="center"/>
              <w:rPr>
                <w:sz w:val="20"/>
                <w:szCs w:val="20"/>
              </w:rPr>
            </w:pPr>
            <w:r>
              <w:rPr>
                <w:sz w:val="20"/>
                <w:szCs w:val="20"/>
              </w:rPr>
              <w:t>0,5</w:t>
            </w:r>
          </w:p>
        </w:tc>
      </w:tr>
      <w:tr w14:paraId="1BD8B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3EEFC800">
            <w:pPr>
              <w:pStyle w:val="157"/>
              <w:contextualSpacing/>
              <w:rPr>
                <w:sz w:val="20"/>
                <w:szCs w:val="20"/>
              </w:rPr>
            </w:pPr>
            <w:r>
              <w:rPr>
                <w:sz w:val="20"/>
                <w:szCs w:val="20"/>
              </w:rPr>
              <w:t>Максимальная подпитка тепловой сети в период повреждения участка</w:t>
            </w:r>
          </w:p>
        </w:tc>
        <w:tc>
          <w:tcPr>
            <w:tcW w:w="1000" w:type="pct"/>
            <w:shd w:val="clear" w:color="auto" w:fill="auto"/>
            <w:tcMar>
              <w:left w:w="28" w:type="dxa"/>
              <w:right w:w="28" w:type="dxa"/>
            </w:tcMar>
            <w:vAlign w:val="center"/>
          </w:tcPr>
          <w:p w14:paraId="3280CCA1">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452DA00F">
            <w:pPr>
              <w:autoSpaceDE w:val="0"/>
              <w:autoSpaceDN w:val="0"/>
              <w:adjustRightInd w:val="0"/>
              <w:spacing w:after="0" w:line="240" w:lineRule="auto"/>
              <w:ind w:firstLine="0"/>
              <w:contextualSpacing/>
              <w:jc w:val="center"/>
              <w:rPr>
                <w:sz w:val="20"/>
                <w:szCs w:val="20"/>
              </w:rPr>
            </w:pPr>
            <w:r>
              <w:rPr>
                <w:sz w:val="20"/>
                <w:szCs w:val="20"/>
              </w:rPr>
              <w:t>2</w:t>
            </w:r>
          </w:p>
        </w:tc>
      </w:tr>
      <w:tr w14:paraId="6240C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A0162AE">
            <w:pPr>
              <w:pStyle w:val="157"/>
              <w:contextualSpacing/>
              <w:rPr>
                <w:sz w:val="20"/>
                <w:szCs w:val="20"/>
              </w:rPr>
            </w:pPr>
            <w:r>
              <w:rPr>
                <w:sz w:val="20"/>
                <w:szCs w:val="20"/>
              </w:rPr>
              <w:t>Резерв (+) / дефицит (-) ВПУ</w:t>
            </w:r>
          </w:p>
        </w:tc>
        <w:tc>
          <w:tcPr>
            <w:tcW w:w="1000" w:type="pct"/>
            <w:shd w:val="clear" w:color="auto" w:fill="auto"/>
            <w:tcMar>
              <w:left w:w="28" w:type="dxa"/>
              <w:right w:w="28" w:type="dxa"/>
            </w:tcMar>
            <w:vAlign w:val="center"/>
          </w:tcPr>
          <w:p w14:paraId="6C436221">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54A3D58E">
            <w:pPr>
              <w:autoSpaceDE w:val="0"/>
              <w:autoSpaceDN w:val="0"/>
              <w:adjustRightInd w:val="0"/>
              <w:spacing w:after="0" w:line="240" w:lineRule="auto"/>
              <w:ind w:firstLine="0"/>
              <w:contextualSpacing/>
              <w:jc w:val="center"/>
              <w:rPr>
                <w:sz w:val="20"/>
                <w:szCs w:val="20"/>
              </w:rPr>
            </w:pPr>
          </w:p>
        </w:tc>
      </w:tr>
      <w:tr w14:paraId="42E3E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7B5A8609">
            <w:pPr>
              <w:pStyle w:val="157"/>
              <w:contextualSpacing/>
              <w:rPr>
                <w:sz w:val="20"/>
                <w:szCs w:val="20"/>
              </w:rPr>
            </w:pPr>
            <w:r>
              <w:rPr>
                <w:sz w:val="20"/>
                <w:szCs w:val="20"/>
              </w:rPr>
              <w:t>Доля резерва</w:t>
            </w:r>
          </w:p>
        </w:tc>
        <w:tc>
          <w:tcPr>
            <w:tcW w:w="1000" w:type="pct"/>
            <w:shd w:val="clear" w:color="auto" w:fill="auto"/>
            <w:tcMar>
              <w:left w:w="28" w:type="dxa"/>
              <w:right w:w="28" w:type="dxa"/>
            </w:tcMar>
            <w:vAlign w:val="center"/>
          </w:tcPr>
          <w:p w14:paraId="08399560">
            <w:pPr>
              <w:pStyle w:val="157"/>
              <w:contextualSpacing/>
              <w:jc w:val="center"/>
              <w:rPr>
                <w:sz w:val="20"/>
                <w:szCs w:val="20"/>
              </w:rPr>
            </w:pPr>
            <w:r>
              <w:rPr>
                <w:sz w:val="20"/>
                <w:szCs w:val="20"/>
              </w:rPr>
              <w:t>%</w:t>
            </w:r>
          </w:p>
        </w:tc>
        <w:tc>
          <w:tcPr>
            <w:tcW w:w="994" w:type="pct"/>
            <w:shd w:val="clear" w:color="auto" w:fill="auto"/>
            <w:tcMar>
              <w:left w:w="28" w:type="dxa"/>
              <w:right w:w="28" w:type="dxa"/>
            </w:tcMar>
            <w:vAlign w:val="center"/>
          </w:tcPr>
          <w:p w14:paraId="71A55A45">
            <w:pPr>
              <w:autoSpaceDE w:val="0"/>
              <w:autoSpaceDN w:val="0"/>
              <w:adjustRightInd w:val="0"/>
              <w:spacing w:after="0" w:line="240" w:lineRule="auto"/>
              <w:ind w:firstLine="0"/>
              <w:contextualSpacing/>
              <w:jc w:val="center"/>
              <w:rPr>
                <w:sz w:val="20"/>
                <w:szCs w:val="20"/>
              </w:rPr>
            </w:pPr>
          </w:p>
        </w:tc>
      </w:tr>
      <w:tr w14:paraId="50857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59B8F4A">
            <w:pPr>
              <w:pStyle w:val="157"/>
              <w:contextualSpacing/>
              <w:rPr>
                <w:sz w:val="20"/>
                <w:szCs w:val="20"/>
              </w:rPr>
            </w:pPr>
            <w:r>
              <w:rPr>
                <w:sz w:val="20"/>
                <w:szCs w:val="20"/>
              </w:rPr>
              <w:t>Всего подпитка тепловой сети, в т. ч.:</w:t>
            </w:r>
          </w:p>
        </w:tc>
        <w:tc>
          <w:tcPr>
            <w:tcW w:w="1000" w:type="pct"/>
            <w:shd w:val="clear" w:color="auto" w:fill="auto"/>
            <w:tcMar>
              <w:left w:w="28" w:type="dxa"/>
              <w:right w:w="28" w:type="dxa"/>
            </w:tcMar>
            <w:vAlign w:val="center"/>
          </w:tcPr>
          <w:p w14:paraId="07ABDFE2">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16A8A941">
            <w:pPr>
              <w:autoSpaceDE w:val="0"/>
              <w:autoSpaceDN w:val="0"/>
              <w:adjustRightInd w:val="0"/>
              <w:spacing w:after="0" w:line="240" w:lineRule="auto"/>
              <w:ind w:firstLine="0"/>
              <w:contextualSpacing/>
              <w:jc w:val="center"/>
              <w:rPr>
                <w:sz w:val="20"/>
                <w:szCs w:val="20"/>
              </w:rPr>
            </w:pPr>
            <w:r>
              <w:rPr>
                <w:sz w:val="20"/>
                <w:szCs w:val="20"/>
              </w:rPr>
              <w:t>105</w:t>
            </w:r>
          </w:p>
        </w:tc>
      </w:tr>
      <w:tr w14:paraId="5212D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EB10D2C">
            <w:pPr>
              <w:pStyle w:val="157"/>
              <w:contextualSpacing/>
              <w:rPr>
                <w:sz w:val="20"/>
                <w:szCs w:val="20"/>
              </w:rPr>
            </w:pPr>
            <w:r>
              <w:rPr>
                <w:sz w:val="20"/>
                <w:szCs w:val="20"/>
              </w:rPr>
              <w:t>- нормативные утечки теплоносителя</w:t>
            </w:r>
          </w:p>
        </w:tc>
        <w:tc>
          <w:tcPr>
            <w:tcW w:w="1000" w:type="pct"/>
            <w:shd w:val="clear" w:color="auto" w:fill="auto"/>
            <w:tcMar>
              <w:left w:w="28" w:type="dxa"/>
              <w:right w:w="28" w:type="dxa"/>
            </w:tcMar>
            <w:vAlign w:val="center"/>
          </w:tcPr>
          <w:p w14:paraId="14EA9703">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648AB79F">
            <w:pPr>
              <w:autoSpaceDE w:val="0"/>
              <w:autoSpaceDN w:val="0"/>
              <w:adjustRightInd w:val="0"/>
              <w:spacing w:after="0" w:line="240" w:lineRule="auto"/>
              <w:ind w:firstLine="0"/>
              <w:contextualSpacing/>
              <w:jc w:val="center"/>
              <w:rPr>
                <w:sz w:val="20"/>
                <w:szCs w:val="20"/>
              </w:rPr>
            </w:pPr>
            <w:r>
              <w:rPr>
                <w:sz w:val="20"/>
                <w:szCs w:val="20"/>
              </w:rPr>
              <w:t>-</w:t>
            </w:r>
          </w:p>
        </w:tc>
      </w:tr>
      <w:tr w14:paraId="1EBD1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04B9472A">
            <w:pPr>
              <w:pStyle w:val="157"/>
              <w:contextualSpacing/>
              <w:rPr>
                <w:sz w:val="20"/>
                <w:szCs w:val="20"/>
              </w:rPr>
            </w:pPr>
            <w:r>
              <w:rPr>
                <w:sz w:val="20"/>
                <w:szCs w:val="20"/>
              </w:rPr>
              <w:t>- сверхнормативные утечки теплоносителя</w:t>
            </w:r>
          </w:p>
        </w:tc>
        <w:tc>
          <w:tcPr>
            <w:tcW w:w="1000" w:type="pct"/>
            <w:shd w:val="clear" w:color="auto" w:fill="auto"/>
            <w:tcMar>
              <w:left w:w="28" w:type="dxa"/>
              <w:right w:w="28" w:type="dxa"/>
            </w:tcMar>
            <w:vAlign w:val="center"/>
          </w:tcPr>
          <w:p w14:paraId="0186C7FD">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32139CE9">
            <w:pPr>
              <w:autoSpaceDE w:val="0"/>
              <w:autoSpaceDN w:val="0"/>
              <w:adjustRightInd w:val="0"/>
              <w:spacing w:after="0" w:line="240" w:lineRule="auto"/>
              <w:ind w:firstLine="0"/>
              <w:contextualSpacing/>
              <w:jc w:val="center"/>
              <w:rPr>
                <w:sz w:val="20"/>
                <w:szCs w:val="20"/>
              </w:rPr>
            </w:pPr>
            <w:r>
              <w:rPr>
                <w:sz w:val="20"/>
                <w:szCs w:val="20"/>
              </w:rPr>
              <w:t>-</w:t>
            </w:r>
          </w:p>
        </w:tc>
      </w:tr>
      <w:tr w14:paraId="45D0F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1EFCF09A">
            <w:pPr>
              <w:pStyle w:val="157"/>
              <w:contextualSpacing/>
              <w:rPr>
                <w:sz w:val="20"/>
                <w:szCs w:val="20"/>
              </w:rPr>
            </w:pPr>
            <w:r>
              <w:rPr>
                <w:sz w:val="20"/>
                <w:szCs w:val="20"/>
              </w:rPr>
              <w:t>- отпуск теплоносителя из тепловых сетей на цели горячего водоснабжения (для открытых систем теплоснабжения)</w:t>
            </w:r>
          </w:p>
        </w:tc>
        <w:tc>
          <w:tcPr>
            <w:tcW w:w="1000" w:type="pct"/>
            <w:shd w:val="clear" w:color="auto" w:fill="auto"/>
            <w:tcMar>
              <w:left w:w="28" w:type="dxa"/>
              <w:right w:w="28" w:type="dxa"/>
            </w:tcMar>
            <w:vAlign w:val="center"/>
          </w:tcPr>
          <w:p w14:paraId="1E8FCB3A">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31E881EA">
            <w:pPr>
              <w:autoSpaceDE w:val="0"/>
              <w:autoSpaceDN w:val="0"/>
              <w:adjustRightInd w:val="0"/>
              <w:spacing w:after="0" w:line="240" w:lineRule="auto"/>
              <w:ind w:firstLine="0"/>
              <w:contextualSpacing/>
              <w:jc w:val="center"/>
              <w:rPr>
                <w:sz w:val="20"/>
                <w:szCs w:val="20"/>
              </w:rPr>
            </w:pPr>
            <w:r>
              <w:rPr>
                <w:sz w:val="20"/>
                <w:szCs w:val="20"/>
              </w:rPr>
              <w:t>-</w:t>
            </w:r>
          </w:p>
        </w:tc>
      </w:tr>
    </w:tbl>
    <w:p w14:paraId="2ABAF371">
      <w:pPr>
        <w:spacing w:after="0" w:line="240" w:lineRule="auto"/>
        <w:contextualSpacing/>
        <w:jc w:val="both"/>
        <w:rPr>
          <w:sz w:val="24"/>
          <w:szCs w:val="24"/>
          <w:lang w:eastAsia="en-US"/>
        </w:rPr>
      </w:pPr>
    </w:p>
    <w:p w14:paraId="7CA96D43">
      <w:pPr>
        <w:pStyle w:val="4"/>
        <w:spacing w:before="0" w:line="240" w:lineRule="auto"/>
        <w:ind w:left="0" w:firstLine="709"/>
        <w:contextualSpacing/>
        <w:rPr>
          <w:rFonts w:cs="Times New Roman"/>
          <w:b w:val="0"/>
          <w:sz w:val="24"/>
        </w:rPr>
      </w:pPr>
      <w:bookmarkStart w:id="218" w:name="_Toc524614792"/>
      <w:bookmarkStart w:id="219" w:name="_Toc524615008"/>
      <w:bookmarkStart w:id="220" w:name="_Toc182813920"/>
      <w:r>
        <w:rPr>
          <w:rFonts w:cs="Times New Roman"/>
          <w:b w:val="0"/>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18"/>
      <w:bookmarkEnd w:id="219"/>
      <w:bookmarkEnd w:id="220"/>
    </w:p>
    <w:p w14:paraId="0A8ECD66">
      <w:pPr>
        <w:spacing w:after="0" w:line="240" w:lineRule="auto"/>
        <w:contextualSpacing/>
        <w:jc w:val="both"/>
        <w:rPr>
          <w:sz w:val="24"/>
          <w:szCs w:val="24"/>
        </w:rPr>
      </w:pPr>
      <w:r>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3FDFB2CD">
      <w:pPr>
        <w:spacing w:after="0" w:line="240" w:lineRule="auto"/>
        <w:contextualSpacing/>
        <w:jc w:val="both"/>
        <w:rPr>
          <w:sz w:val="24"/>
          <w:szCs w:val="24"/>
        </w:rPr>
      </w:pPr>
      <w:r>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425160B2">
      <w:pPr>
        <w:spacing w:after="0" w:line="240" w:lineRule="auto"/>
        <w:contextualSpacing/>
        <w:jc w:val="both"/>
        <w:rPr>
          <w:sz w:val="24"/>
          <w:szCs w:val="24"/>
        </w:rPr>
      </w:pPr>
      <w:r>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4BC0D496">
      <w:pPr>
        <w:spacing w:after="0" w:line="240" w:lineRule="auto"/>
        <w:contextualSpacing/>
        <w:jc w:val="both"/>
        <w:rPr>
          <w:sz w:val="24"/>
          <w:szCs w:val="24"/>
        </w:rPr>
      </w:pPr>
      <w:r>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4376E510">
      <w:pPr>
        <w:spacing w:after="0" w:line="240" w:lineRule="auto"/>
        <w:contextualSpacing/>
        <w:jc w:val="both"/>
        <w:rPr>
          <w:sz w:val="24"/>
          <w:szCs w:val="24"/>
        </w:rPr>
      </w:pPr>
      <w:r>
        <w:rPr>
          <w:sz w:val="24"/>
          <w:szCs w:val="24"/>
        </w:rPr>
        <w:t>Среднегодовая утечка теплоносителя (м</w:t>
      </w:r>
      <w:r>
        <w:rPr>
          <w:sz w:val="24"/>
          <w:szCs w:val="24"/>
          <w:vertAlign w:val="superscript"/>
        </w:rPr>
        <w:t>3</w:t>
      </w:r>
      <w:r>
        <w:rPr>
          <w:sz w:val="24"/>
          <w:szCs w:val="24"/>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640A9D51">
      <w:pPr>
        <w:spacing w:after="0" w:line="240" w:lineRule="auto"/>
        <w:contextualSpacing/>
        <w:jc w:val="both"/>
        <w:rPr>
          <w:sz w:val="24"/>
          <w:szCs w:val="24"/>
        </w:rPr>
      </w:pPr>
      <w:r>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объема теплосети), которая зависит от интенсивности заполнения трубопроводов».</w:t>
      </w:r>
      <w:bookmarkStart w:id="221" w:name="_Toc77864671"/>
    </w:p>
    <w:p w14:paraId="6D523046">
      <w:pPr>
        <w:spacing w:after="0" w:line="240" w:lineRule="auto"/>
        <w:contextualSpacing/>
        <w:jc w:val="both"/>
        <w:rPr>
          <w:sz w:val="24"/>
          <w:szCs w:val="24"/>
        </w:rPr>
      </w:pPr>
      <w:r>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B66FAE3">
      <w:pPr>
        <w:pStyle w:val="43"/>
        <w:keepNext/>
        <w:spacing w:before="0" w:after="0" w:line="240" w:lineRule="auto"/>
        <w:contextualSpacing/>
        <w:rPr>
          <w:rFonts w:cs="Times New Roman"/>
          <w:b w:val="0"/>
          <w:sz w:val="24"/>
          <w:szCs w:val="24"/>
        </w:rPr>
      </w:pPr>
      <w:r>
        <w:rPr>
          <w:rFonts w:cs="Times New Roman"/>
          <w:b w:val="0"/>
          <w:sz w:val="24"/>
          <w:szCs w:val="24"/>
        </w:rPr>
        <w:t>В существующих котельных с.п. Верхнеказымский, водоподготовительные установки теплоносителя для тепловых сетей, отсутствуют.</w:t>
      </w:r>
    </w:p>
    <w:p w14:paraId="2850C9C4">
      <w:pPr>
        <w:pStyle w:val="43"/>
        <w:keepNext/>
        <w:spacing w:before="0" w:after="0" w:line="240" w:lineRule="auto"/>
        <w:contextualSpacing/>
        <w:rPr>
          <w:rFonts w:cs="Times New Roman"/>
          <w:b w:val="0"/>
          <w:sz w:val="24"/>
          <w:szCs w:val="24"/>
        </w:rPr>
      </w:pPr>
    </w:p>
    <w:bookmarkEnd w:id="221"/>
    <w:p w14:paraId="5014B667">
      <w:pPr>
        <w:pStyle w:val="4"/>
        <w:spacing w:before="0" w:line="240" w:lineRule="auto"/>
        <w:ind w:left="0" w:firstLine="709"/>
        <w:contextualSpacing/>
        <w:rPr>
          <w:rFonts w:cs="Times New Roman"/>
          <w:b w:val="0"/>
          <w:sz w:val="24"/>
        </w:rPr>
      </w:pPr>
      <w:bookmarkStart w:id="222" w:name="_Toc524615009"/>
      <w:bookmarkStart w:id="223" w:name="_Toc524614793"/>
      <w:bookmarkStart w:id="224" w:name="_Toc182813921"/>
      <w:r>
        <w:rPr>
          <w:rFonts w:cs="Times New Roman"/>
          <w:b w:val="0"/>
          <w:sz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разработке схемы теплоснабжения</w:t>
      </w:r>
      <w:bookmarkEnd w:id="222"/>
      <w:bookmarkEnd w:id="223"/>
      <w:bookmarkEnd w:id="224"/>
    </w:p>
    <w:p w14:paraId="2EE9D7AB">
      <w:pPr>
        <w:spacing w:after="0" w:line="240" w:lineRule="auto"/>
        <w:contextualSpacing/>
        <w:jc w:val="both"/>
        <w:rPr>
          <w:sz w:val="24"/>
          <w:szCs w:val="24"/>
        </w:rPr>
      </w:pPr>
      <w:r>
        <w:rPr>
          <w:sz w:val="24"/>
          <w:szCs w:val="24"/>
        </w:rPr>
        <w:t>Изменения не зафиксированы.</w:t>
      </w:r>
    </w:p>
    <w:p w14:paraId="17C9B56E">
      <w:pPr>
        <w:spacing w:after="0" w:line="240" w:lineRule="auto"/>
        <w:contextualSpacing/>
        <w:jc w:val="both"/>
        <w:rPr>
          <w:sz w:val="24"/>
          <w:szCs w:val="24"/>
        </w:rPr>
      </w:pPr>
    </w:p>
    <w:p w14:paraId="4912EE08">
      <w:pPr>
        <w:pStyle w:val="3"/>
        <w:keepLines w:val="0"/>
        <w:pageBreakBefore/>
        <w:widowControl w:val="0"/>
        <w:spacing w:before="0" w:line="240" w:lineRule="auto"/>
        <w:ind w:left="0" w:firstLine="709"/>
        <w:contextualSpacing/>
        <w:rPr>
          <w:rFonts w:cs="Times New Roman"/>
          <w:b w:val="0"/>
          <w:sz w:val="24"/>
          <w:szCs w:val="24"/>
        </w:rPr>
      </w:pPr>
      <w:bookmarkStart w:id="225" w:name="_Toc524615010"/>
      <w:bookmarkStart w:id="226" w:name="_Toc182813922"/>
      <w:bookmarkStart w:id="227" w:name="_Toc524614794"/>
      <w:r>
        <w:rPr>
          <w:rFonts w:cs="Times New Roman"/>
          <w:b w:val="0"/>
          <w:sz w:val="24"/>
          <w:szCs w:val="24"/>
        </w:rPr>
        <w:t>Часть 8. Топливные балансы источников тепловой энергии и система обеспечения топливом</w:t>
      </w:r>
      <w:bookmarkEnd w:id="225"/>
      <w:bookmarkEnd w:id="226"/>
      <w:bookmarkEnd w:id="227"/>
    </w:p>
    <w:p w14:paraId="4FE0CC72">
      <w:pPr>
        <w:pStyle w:val="4"/>
        <w:spacing w:before="0" w:line="240" w:lineRule="auto"/>
        <w:ind w:left="0" w:firstLine="709"/>
        <w:contextualSpacing/>
        <w:rPr>
          <w:rFonts w:cs="Times New Roman"/>
          <w:b w:val="0"/>
          <w:sz w:val="24"/>
        </w:rPr>
      </w:pPr>
      <w:bookmarkStart w:id="228" w:name="_Toc524614795"/>
      <w:bookmarkStart w:id="229" w:name="_Toc524615011"/>
      <w:bookmarkStart w:id="230" w:name="_Toc182813923"/>
      <w:r>
        <w:rPr>
          <w:rFonts w:cs="Times New Roman"/>
          <w:b w:val="0"/>
          <w:sz w:val="24"/>
        </w:rPr>
        <w:t>Описание видов и количество используемого основного топлива для каждого источника тепловой энергии</w:t>
      </w:r>
      <w:bookmarkEnd w:id="228"/>
      <w:bookmarkEnd w:id="229"/>
      <w:bookmarkEnd w:id="230"/>
    </w:p>
    <w:p w14:paraId="68D30BA9">
      <w:pPr>
        <w:spacing w:after="0" w:line="240" w:lineRule="auto"/>
        <w:jc w:val="both"/>
        <w:rPr>
          <w:sz w:val="24"/>
          <w:szCs w:val="24"/>
        </w:rPr>
      </w:pPr>
      <w:r>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14:paraId="6EC4DF54">
      <w:pPr>
        <w:spacing w:after="0" w:line="240" w:lineRule="auto"/>
        <w:jc w:val="both"/>
        <w:rPr>
          <w:sz w:val="24"/>
          <w:szCs w:val="24"/>
        </w:rPr>
      </w:pPr>
      <w:r>
        <w:rPr>
          <w:sz w:val="24"/>
          <w:szCs w:val="24"/>
        </w:rPr>
        <w:t>Калорийный эквивалент принят на основании анализа паспортов газа за 2023 год, для территории с.п. Верхнеказымский:</w:t>
      </w:r>
    </w:p>
    <w:p w14:paraId="0F18D3DC">
      <w:pPr>
        <w:spacing w:after="0" w:line="240" w:lineRule="auto"/>
        <w:jc w:val="both"/>
        <w:rPr>
          <w:sz w:val="24"/>
          <w:szCs w:val="24"/>
        </w:rPr>
      </w:pPr>
      <w:r>
        <w:rPr>
          <w:sz w:val="24"/>
          <w:szCs w:val="24"/>
        </w:rPr>
        <w:t>Э=8479/7000=1,211.</w:t>
      </w:r>
    </w:p>
    <w:p w14:paraId="0A058D79">
      <w:pPr>
        <w:spacing w:after="0" w:line="240" w:lineRule="auto"/>
        <w:jc w:val="both"/>
        <w:rPr>
          <w:sz w:val="24"/>
          <w:szCs w:val="24"/>
        </w:rPr>
      </w:pPr>
      <w:bookmarkStart w:id="231" w:name="_Hlk182758902"/>
      <w:r>
        <w:rPr>
          <w:sz w:val="24"/>
          <w:szCs w:val="24"/>
        </w:rPr>
        <w:t>Общее потребление природного газа источниками тепловой энергии ООО «Газпром трансгаз Югорск» Верхнеказымское ЛПУ МГ за 2023 год составило 386,53 тыс. м</w:t>
      </w:r>
      <w:r>
        <w:rPr>
          <w:sz w:val="24"/>
          <w:szCs w:val="24"/>
          <w:vertAlign w:val="superscript"/>
        </w:rPr>
        <w:t>3</w:t>
      </w:r>
      <w:r>
        <w:rPr>
          <w:sz w:val="24"/>
          <w:szCs w:val="24"/>
        </w:rPr>
        <w:t>, фактический удельный расход условного топлива при производстве тепловой энергии источниками тепловой энергии – 35,37 кг у.т./Гкал.</w:t>
      </w:r>
    </w:p>
    <w:bookmarkEnd w:id="231"/>
    <w:p w14:paraId="0575BB9A">
      <w:pPr>
        <w:spacing w:after="0" w:line="240" w:lineRule="auto"/>
        <w:jc w:val="both"/>
        <w:rPr>
          <w:sz w:val="24"/>
          <w:szCs w:val="24"/>
        </w:rPr>
      </w:pPr>
      <w:r>
        <w:rPr>
          <w:sz w:val="24"/>
          <w:szCs w:val="24"/>
        </w:rPr>
        <w:t>Общее потребление природного газа источником тепловой энергии МУП «БКС» за 2023 год составило 441,791 тыс. м</w:t>
      </w:r>
      <w:r>
        <w:rPr>
          <w:sz w:val="24"/>
          <w:szCs w:val="24"/>
          <w:vertAlign w:val="superscript"/>
        </w:rPr>
        <w:t>3</w:t>
      </w:r>
      <w:r>
        <w:rPr>
          <w:sz w:val="24"/>
          <w:szCs w:val="24"/>
        </w:rPr>
        <w:t>, фактический удельный расход условного топлива при производстве тепловой энергии источниками тепловой энергии – 169,813 кг у.т./Гкал.</w:t>
      </w:r>
    </w:p>
    <w:p w14:paraId="7FFF2200">
      <w:pPr>
        <w:spacing w:after="0" w:line="240" w:lineRule="auto"/>
        <w:jc w:val="both"/>
        <w:rPr>
          <w:sz w:val="24"/>
          <w:szCs w:val="24"/>
        </w:rPr>
      </w:pPr>
      <w:r>
        <w:rPr>
          <w:sz w:val="24"/>
          <w:szCs w:val="24"/>
        </w:rPr>
        <w:t>Резервное топливо на источниках не предусмотрено, так как система газопроводов поселка выполнена таким образом, что для источников теплоснабжения не предусмотрена возможность резервного газоснабжения.</w:t>
      </w:r>
    </w:p>
    <w:p w14:paraId="10112797">
      <w:pPr>
        <w:spacing w:after="0" w:line="240" w:lineRule="auto"/>
        <w:contextualSpacing/>
        <w:jc w:val="both"/>
        <w:rPr>
          <w:sz w:val="24"/>
          <w:szCs w:val="24"/>
        </w:rPr>
      </w:pPr>
    </w:p>
    <w:p w14:paraId="6ED6B8B1">
      <w:pPr>
        <w:pStyle w:val="4"/>
        <w:spacing w:before="0" w:line="240" w:lineRule="auto"/>
        <w:ind w:left="0" w:firstLine="709"/>
        <w:contextualSpacing/>
        <w:rPr>
          <w:rFonts w:cs="Times New Roman"/>
          <w:b w:val="0"/>
          <w:sz w:val="24"/>
        </w:rPr>
      </w:pPr>
      <w:bookmarkStart w:id="232" w:name="_Toc524614796"/>
      <w:bookmarkStart w:id="233" w:name="_Toc524615012"/>
      <w:bookmarkStart w:id="234" w:name="_Toc182813924"/>
      <w:r>
        <w:rPr>
          <w:rFonts w:cs="Times New Roman"/>
          <w:b w:val="0"/>
          <w:sz w:val="24"/>
        </w:rPr>
        <w:t>Описание видов резервного и аварийного топлива и возможности их обеспечения в соответствии с нормативными требованиями</w:t>
      </w:r>
      <w:bookmarkEnd w:id="232"/>
      <w:bookmarkEnd w:id="233"/>
      <w:bookmarkEnd w:id="234"/>
    </w:p>
    <w:p w14:paraId="3239EE1B">
      <w:pPr>
        <w:tabs>
          <w:tab w:val="left" w:pos="0"/>
        </w:tabs>
        <w:spacing w:after="0" w:line="240" w:lineRule="auto"/>
        <w:contextualSpacing/>
        <w:jc w:val="both"/>
        <w:rPr>
          <w:rFonts w:eastAsia="Calibri"/>
          <w:sz w:val="24"/>
          <w:szCs w:val="24"/>
        </w:rPr>
      </w:pPr>
      <w:r>
        <w:rPr>
          <w:rFonts w:eastAsia="Calibri"/>
          <w:sz w:val="24"/>
          <w:szCs w:val="24"/>
        </w:rPr>
        <w:t>Резервное и аварийное топлива на котельных отсутствует.</w:t>
      </w:r>
    </w:p>
    <w:p w14:paraId="14DF7A78">
      <w:pPr>
        <w:tabs>
          <w:tab w:val="left" w:pos="0"/>
        </w:tabs>
        <w:spacing w:after="0" w:line="240" w:lineRule="auto"/>
        <w:contextualSpacing/>
        <w:jc w:val="both"/>
        <w:rPr>
          <w:rFonts w:eastAsia="Calibri"/>
          <w:sz w:val="24"/>
          <w:szCs w:val="24"/>
        </w:rPr>
      </w:pPr>
    </w:p>
    <w:p w14:paraId="111FD0D4">
      <w:pPr>
        <w:pStyle w:val="4"/>
        <w:keepNext/>
        <w:spacing w:before="0" w:line="240" w:lineRule="auto"/>
        <w:ind w:left="0" w:firstLine="709"/>
        <w:contextualSpacing/>
        <w:rPr>
          <w:rFonts w:cs="Times New Roman"/>
          <w:b w:val="0"/>
          <w:sz w:val="24"/>
        </w:rPr>
      </w:pPr>
      <w:bookmarkStart w:id="235" w:name="_Toc182813925"/>
      <w:bookmarkStart w:id="236" w:name="_Toc524614797"/>
      <w:bookmarkStart w:id="237" w:name="_Toc524615013"/>
      <w:r>
        <w:rPr>
          <w:rFonts w:cs="Times New Roman"/>
          <w:b w:val="0"/>
          <w:sz w:val="24"/>
        </w:rPr>
        <w:t>Описание особенностей характеристик топлив в зависимости от мест поставки</w:t>
      </w:r>
      <w:bookmarkEnd w:id="235"/>
      <w:bookmarkEnd w:id="236"/>
      <w:bookmarkEnd w:id="237"/>
    </w:p>
    <w:p w14:paraId="098D307E">
      <w:pPr>
        <w:spacing w:after="0" w:line="240" w:lineRule="auto"/>
        <w:jc w:val="both"/>
        <w:rPr>
          <w:sz w:val="24"/>
          <w:szCs w:val="24"/>
        </w:rPr>
      </w:pPr>
      <w:r>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14:paraId="586C6299">
      <w:pPr>
        <w:spacing w:after="0" w:line="240" w:lineRule="auto"/>
        <w:jc w:val="both"/>
        <w:rPr>
          <w:sz w:val="24"/>
          <w:szCs w:val="24"/>
        </w:rPr>
      </w:pPr>
      <w:r>
        <w:rPr>
          <w:sz w:val="24"/>
          <w:szCs w:val="24"/>
        </w:rPr>
        <w:t>Калорийный эквивалент принят на основании анализа паспортов газа за 2023 год, для территории с.п. Верхнеказымский:</w:t>
      </w:r>
    </w:p>
    <w:p w14:paraId="6560CC7D">
      <w:pPr>
        <w:spacing w:after="0" w:line="240" w:lineRule="auto"/>
        <w:jc w:val="both"/>
        <w:rPr>
          <w:sz w:val="24"/>
          <w:szCs w:val="24"/>
        </w:rPr>
      </w:pPr>
      <w:r>
        <w:rPr>
          <w:sz w:val="24"/>
          <w:szCs w:val="24"/>
        </w:rPr>
        <w:t>Э=8479/7000=1,211.</w:t>
      </w:r>
    </w:p>
    <w:p w14:paraId="05F7CD6D">
      <w:pPr>
        <w:spacing w:after="0" w:line="240" w:lineRule="auto"/>
        <w:contextualSpacing/>
        <w:jc w:val="both"/>
        <w:rPr>
          <w:sz w:val="24"/>
          <w:szCs w:val="24"/>
        </w:rPr>
      </w:pPr>
    </w:p>
    <w:p w14:paraId="09BCFBC0">
      <w:pPr>
        <w:pStyle w:val="4"/>
        <w:spacing w:before="0" w:line="240" w:lineRule="auto"/>
        <w:ind w:left="0" w:firstLine="709"/>
        <w:contextualSpacing/>
        <w:rPr>
          <w:rFonts w:cs="Times New Roman"/>
          <w:b w:val="0"/>
          <w:sz w:val="24"/>
        </w:rPr>
      </w:pPr>
      <w:bookmarkStart w:id="238" w:name="_Toc524614798"/>
      <w:bookmarkStart w:id="239" w:name="_Toc524615014"/>
      <w:bookmarkStart w:id="240" w:name="_Toc182813926"/>
      <w:r>
        <w:rPr>
          <w:rFonts w:cs="Times New Roman"/>
          <w:b w:val="0"/>
          <w:sz w:val="24"/>
        </w:rPr>
        <w:t>Описание использования местных видов топлива</w:t>
      </w:r>
      <w:bookmarkEnd w:id="238"/>
      <w:bookmarkEnd w:id="239"/>
      <w:bookmarkEnd w:id="240"/>
    </w:p>
    <w:p w14:paraId="3AF818B5">
      <w:pPr>
        <w:spacing w:after="0" w:line="240" w:lineRule="auto"/>
        <w:contextualSpacing/>
        <w:jc w:val="both"/>
        <w:rPr>
          <w:sz w:val="24"/>
          <w:szCs w:val="24"/>
        </w:rPr>
      </w:pPr>
      <w:r>
        <w:rPr>
          <w:sz w:val="24"/>
          <w:szCs w:val="24"/>
        </w:rPr>
        <w:t>Основным топливом для котельных является природный газ. Местные виды топлива с.п. Верхнеказымский не используются.</w:t>
      </w:r>
    </w:p>
    <w:p w14:paraId="257BF4B0">
      <w:pPr>
        <w:spacing w:after="0" w:line="240" w:lineRule="auto"/>
        <w:contextualSpacing/>
        <w:jc w:val="both"/>
        <w:rPr>
          <w:sz w:val="24"/>
          <w:szCs w:val="24"/>
        </w:rPr>
      </w:pPr>
    </w:p>
    <w:p w14:paraId="257ECF4E">
      <w:pPr>
        <w:pStyle w:val="4"/>
        <w:spacing w:before="0" w:line="240" w:lineRule="auto"/>
        <w:ind w:left="0" w:firstLine="709"/>
        <w:contextualSpacing/>
        <w:rPr>
          <w:rFonts w:cs="Times New Roman"/>
          <w:b w:val="0"/>
          <w:sz w:val="24"/>
        </w:rPr>
      </w:pPr>
      <w:bookmarkStart w:id="241" w:name="_Toc15640830"/>
      <w:bookmarkStart w:id="242" w:name="_Toc182813927"/>
      <w:bookmarkStart w:id="243" w:name="_Hlk15651264"/>
      <w:r>
        <w:rPr>
          <w:rFonts w:cs="Times New Roman"/>
          <w:b w:val="0"/>
          <w:sz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41"/>
      <w:bookmarkEnd w:id="242"/>
    </w:p>
    <w:p w14:paraId="785FF87D">
      <w:pPr>
        <w:tabs>
          <w:tab w:val="left" w:pos="0"/>
        </w:tabs>
        <w:spacing w:after="0" w:line="240" w:lineRule="auto"/>
        <w:contextualSpacing/>
        <w:jc w:val="both"/>
        <w:rPr>
          <w:rFonts w:eastAsia="Calibri"/>
          <w:sz w:val="24"/>
          <w:szCs w:val="24"/>
        </w:rPr>
      </w:pPr>
      <w:r>
        <w:rPr>
          <w:rFonts w:eastAsia="Calibri"/>
          <w:sz w:val="24"/>
          <w:szCs w:val="24"/>
        </w:rPr>
        <w:t>Основным топливом для котельных является природный газ. Резервное топливо – отсутствует.</w:t>
      </w:r>
    </w:p>
    <w:p w14:paraId="648A0DD7">
      <w:pPr>
        <w:tabs>
          <w:tab w:val="left" w:pos="0"/>
        </w:tabs>
        <w:spacing w:after="0" w:line="240" w:lineRule="auto"/>
        <w:contextualSpacing/>
        <w:jc w:val="both"/>
        <w:rPr>
          <w:rFonts w:eastAsia="Calibri"/>
          <w:sz w:val="24"/>
          <w:szCs w:val="24"/>
        </w:rPr>
      </w:pPr>
    </w:p>
    <w:p w14:paraId="2E13B3A0">
      <w:pPr>
        <w:pStyle w:val="4"/>
        <w:spacing w:before="0" w:line="240" w:lineRule="auto"/>
        <w:ind w:left="0" w:firstLine="709"/>
        <w:contextualSpacing/>
        <w:rPr>
          <w:rFonts w:cs="Times New Roman"/>
          <w:b w:val="0"/>
          <w:sz w:val="24"/>
        </w:rPr>
      </w:pPr>
      <w:bookmarkStart w:id="244" w:name="_Toc15640831"/>
      <w:bookmarkStart w:id="245" w:name="_Toc182813928"/>
      <w:r>
        <w:rPr>
          <w:rFonts w:cs="Times New Roman"/>
          <w:b w:val="0"/>
          <w:sz w:val="24"/>
        </w:rPr>
        <w:t xml:space="preserve">Описание преобладающего на территории с.п. Верхнеказымский вида топлива, определяемого по совокупности всех систем теплоснабжения, находящихся на территории </w:t>
      </w:r>
      <w:bookmarkEnd w:id="244"/>
      <w:r>
        <w:rPr>
          <w:rFonts w:cs="Times New Roman"/>
          <w:b w:val="0"/>
          <w:sz w:val="24"/>
        </w:rPr>
        <w:t>с.п. Верхнеказымский</w:t>
      </w:r>
      <w:bookmarkEnd w:id="245"/>
    </w:p>
    <w:p w14:paraId="666931DF">
      <w:pPr>
        <w:tabs>
          <w:tab w:val="left" w:pos="0"/>
        </w:tabs>
        <w:spacing w:after="0" w:line="240" w:lineRule="auto"/>
        <w:contextualSpacing/>
        <w:jc w:val="both"/>
        <w:rPr>
          <w:rFonts w:eastAsia="Calibri"/>
          <w:sz w:val="24"/>
          <w:szCs w:val="24"/>
        </w:rPr>
      </w:pPr>
      <w:bookmarkStart w:id="246" w:name="_Hlk15634511"/>
      <w:r>
        <w:rPr>
          <w:rFonts w:eastAsia="Calibri"/>
          <w:sz w:val="24"/>
          <w:szCs w:val="24"/>
        </w:rPr>
        <w:t>Основным топливом для котельных является природный газ. Резервное топливо – отсутствует.</w:t>
      </w:r>
    </w:p>
    <w:bookmarkEnd w:id="246"/>
    <w:p w14:paraId="498C1832">
      <w:pPr>
        <w:pStyle w:val="4"/>
        <w:spacing w:before="0" w:line="240" w:lineRule="auto"/>
        <w:ind w:left="0" w:firstLine="709"/>
        <w:contextualSpacing/>
        <w:rPr>
          <w:rFonts w:cs="Times New Roman"/>
          <w:b w:val="0"/>
          <w:sz w:val="24"/>
        </w:rPr>
      </w:pPr>
      <w:bookmarkStart w:id="247" w:name="_Toc15640832"/>
      <w:bookmarkStart w:id="248" w:name="_Toc182813929"/>
      <w:r>
        <w:rPr>
          <w:rFonts w:cs="Times New Roman"/>
          <w:b w:val="0"/>
          <w:sz w:val="24"/>
        </w:rPr>
        <w:t xml:space="preserve">Описание приоритетного направления развития топливного баланса </w:t>
      </w:r>
      <w:bookmarkEnd w:id="247"/>
      <w:r>
        <w:rPr>
          <w:rFonts w:cs="Times New Roman"/>
          <w:b w:val="0"/>
          <w:sz w:val="24"/>
        </w:rPr>
        <w:t>на территории с.п. Верхнеказымский</w:t>
      </w:r>
      <w:bookmarkEnd w:id="248"/>
    </w:p>
    <w:p w14:paraId="7F5535D2">
      <w:pPr>
        <w:spacing w:after="0" w:line="240" w:lineRule="auto"/>
        <w:contextualSpacing/>
        <w:jc w:val="both"/>
        <w:rPr>
          <w:sz w:val="24"/>
          <w:szCs w:val="24"/>
        </w:rPr>
      </w:pPr>
      <w:r>
        <w:rPr>
          <w:sz w:val="24"/>
          <w:szCs w:val="24"/>
        </w:rPr>
        <w:t>Приоритетным направлением развития топливного баланса на территории с.п. Верхнеказымский является использование природного газа.</w:t>
      </w:r>
    </w:p>
    <w:p w14:paraId="0F53D8DF">
      <w:pPr>
        <w:spacing w:after="0" w:line="240" w:lineRule="auto"/>
        <w:contextualSpacing/>
        <w:jc w:val="both"/>
        <w:rPr>
          <w:sz w:val="24"/>
          <w:szCs w:val="24"/>
        </w:rPr>
      </w:pPr>
      <w:r>
        <w:rPr>
          <w:sz w:val="24"/>
          <w:szCs w:val="24"/>
        </w:rPr>
        <w:t>Перспективный топливный баланс представлен в Главе 10 настоящей схемы.</w:t>
      </w:r>
    </w:p>
    <w:bookmarkEnd w:id="243"/>
    <w:p w14:paraId="48F9AE44">
      <w:pPr>
        <w:spacing w:after="0" w:line="240" w:lineRule="auto"/>
        <w:contextualSpacing/>
        <w:jc w:val="both"/>
        <w:rPr>
          <w:sz w:val="24"/>
          <w:szCs w:val="24"/>
        </w:rPr>
      </w:pPr>
    </w:p>
    <w:p w14:paraId="3ABB2E94">
      <w:pPr>
        <w:pStyle w:val="4"/>
        <w:spacing w:before="0" w:line="240" w:lineRule="auto"/>
        <w:ind w:left="0" w:firstLine="709"/>
        <w:contextualSpacing/>
        <w:rPr>
          <w:rFonts w:cs="Times New Roman"/>
          <w:b w:val="0"/>
          <w:sz w:val="24"/>
        </w:rPr>
      </w:pPr>
      <w:bookmarkStart w:id="249" w:name="_Toc524614799"/>
      <w:bookmarkStart w:id="250" w:name="_Toc524615015"/>
      <w:bookmarkStart w:id="251" w:name="_Toc182813930"/>
      <w:r>
        <w:rPr>
          <w:rFonts w:cs="Times New Roman"/>
          <w:b w:val="0"/>
          <w:sz w:val="24"/>
        </w:rPr>
        <w:t xml:space="preserve">Описание </w:t>
      </w:r>
      <w:bookmarkStart w:id="252" w:name="_Hlk42177854"/>
      <w:r>
        <w:rPr>
          <w:rFonts w:cs="Times New Roman"/>
          <w:b w:val="0"/>
          <w:sz w:val="24"/>
        </w:rPr>
        <w:t>изменений в топливных балансах источников тепловой энергии для каждой системы теплоснабжения</w:t>
      </w:r>
      <w:bookmarkEnd w:id="252"/>
      <w:r>
        <w:rPr>
          <w:rFonts w:cs="Times New Roman"/>
          <w:b w:val="0"/>
          <w:sz w:val="24"/>
        </w:rPr>
        <w:t>,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49"/>
      <w:bookmarkEnd w:id="250"/>
      <w:bookmarkEnd w:id="251"/>
    </w:p>
    <w:p w14:paraId="548C8988">
      <w:pPr>
        <w:spacing w:after="0" w:line="240" w:lineRule="auto"/>
        <w:contextualSpacing/>
        <w:jc w:val="both"/>
        <w:rPr>
          <w:sz w:val="24"/>
          <w:szCs w:val="24"/>
        </w:rPr>
      </w:pPr>
      <w:r>
        <w:rPr>
          <w:sz w:val="24"/>
          <w:szCs w:val="24"/>
        </w:rPr>
        <w:t>Основной и резервный виды топлива для котельных с.п. Верхнеказымский на момент актуализации схемы не изменились.</w:t>
      </w:r>
    </w:p>
    <w:p w14:paraId="3F4709AE">
      <w:pPr>
        <w:spacing w:after="0" w:line="240" w:lineRule="auto"/>
        <w:contextualSpacing/>
        <w:jc w:val="both"/>
        <w:rPr>
          <w:sz w:val="24"/>
          <w:szCs w:val="24"/>
        </w:rPr>
      </w:pPr>
    </w:p>
    <w:p w14:paraId="57D0E77F">
      <w:pPr>
        <w:spacing w:after="0" w:line="240" w:lineRule="auto"/>
        <w:contextualSpacing/>
        <w:jc w:val="both"/>
        <w:rPr>
          <w:sz w:val="24"/>
          <w:szCs w:val="24"/>
        </w:rPr>
      </w:pPr>
    </w:p>
    <w:p w14:paraId="065C2351">
      <w:pPr>
        <w:pStyle w:val="3"/>
        <w:keepLines w:val="0"/>
        <w:pageBreakBefore/>
        <w:widowControl w:val="0"/>
        <w:spacing w:before="0" w:line="240" w:lineRule="auto"/>
        <w:ind w:left="0" w:firstLine="709"/>
        <w:contextualSpacing/>
        <w:rPr>
          <w:rFonts w:cs="Times New Roman"/>
          <w:b w:val="0"/>
          <w:sz w:val="24"/>
          <w:szCs w:val="24"/>
        </w:rPr>
      </w:pPr>
      <w:bookmarkStart w:id="253" w:name="_Toc524614800"/>
      <w:bookmarkStart w:id="254" w:name="_Toc524615016"/>
      <w:bookmarkStart w:id="255" w:name="_Toc182813931"/>
      <w:r>
        <w:rPr>
          <w:rFonts w:cs="Times New Roman"/>
          <w:b w:val="0"/>
          <w:sz w:val="24"/>
          <w:szCs w:val="24"/>
        </w:rPr>
        <w:t>Часть 9. Надежность теплоснабжения</w:t>
      </w:r>
      <w:bookmarkEnd w:id="253"/>
      <w:bookmarkEnd w:id="254"/>
      <w:bookmarkEnd w:id="255"/>
    </w:p>
    <w:p w14:paraId="619CFB43">
      <w:pPr>
        <w:pStyle w:val="4"/>
        <w:spacing w:before="0" w:line="240" w:lineRule="auto"/>
        <w:ind w:left="0" w:firstLine="709"/>
        <w:contextualSpacing/>
        <w:rPr>
          <w:rFonts w:cs="Times New Roman"/>
          <w:b w:val="0"/>
          <w:sz w:val="24"/>
        </w:rPr>
      </w:pPr>
      <w:bookmarkStart w:id="256" w:name="_Toc524614801"/>
      <w:bookmarkStart w:id="257" w:name="_Toc524615017"/>
      <w:bookmarkStart w:id="258" w:name="_Toc182813932"/>
      <w:r>
        <w:rPr>
          <w:rFonts w:cs="Times New Roman"/>
          <w:b w:val="0"/>
          <w:sz w:val="24"/>
        </w:rPr>
        <w:t>Описание и значения показателей, определяемых в соответствии с методическими указаниями по разработке схем теплоснабжения</w:t>
      </w:r>
      <w:bookmarkEnd w:id="256"/>
      <w:bookmarkEnd w:id="257"/>
      <w:bookmarkEnd w:id="258"/>
    </w:p>
    <w:p w14:paraId="44EE0FBB">
      <w:pPr>
        <w:spacing w:after="0" w:line="240" w:lineRule="auto"/>
        <w:contextualSpacing/>
        <w:jc w:val="both"/>
        <w:rPr>
          <w:sz w:val="24"/>
          <w:szCs w:val="24"/>
        </w:rPr>
      </w:pPr>
      <w:r>
        <w:rPr>
          <w:sz w:val="24"/>
          <w:szCs w:val="24"/>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котельной производится по следующим критериям:</w:t>
      </w:r>
    </w:p>
    <w:p w14:paraId="37809CB6">
      <w:pPr>
        <w:autoSpaceDE w:val="0"/>
        <w:autoSpaceDN w:val="0"/>
        <w:adjustRightInd w:val="0"/>
        <w:spacing w:after="0" w:line="240" w:lineRule="auto"/>
        <w:contextualSpacing/>
        <w:jc w:val="both"/>
        <w:rPr>
          <w:sz w:val="24"/>
          <w:szCs w:val="24"/>
        </w:rPr>
      </w:pPr>
      <w:r>
        <w:rPr>
          <w:sz w:val="24"/>
          <w:szCs w:val="24"/>
        </w:rPr>
        <w:t>1. Надежность электроснабжения источников тепла (Кэ) характеризуется наличием или отсутствием резервного электропитания:</w:t>
      </w:r>
    </w:p>
    <w:p w14:paraId="32852D06">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наличии второго ввода или автономного источника</w:t>
      </w:r>
    </w:p>
    <w:p w14:paraId="0FEB90D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электроснабжения                                Кэ = 1,0;</w:t>
      </w:r>
    </w:p>
    <w:p w14:paraId="01E8F3A1">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отсутствии резервного электропитания при мощности</w:t>
      </w:r>
    </w:p>
    <w:p w14:paraId="6CF321FD">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отопительной котельной</w:t>
      </w:r>
    </w:p>
    <w:tbl>
      <w:tblPr>
        <w:tblStyle w:val="12"/>
        <w:tblW w:w="0" w:type="auto"/>
        <w:tblInd w:w="0" w:type="dxa"/>
        <w:tblLayout w:type="autofit"/>
        <w:tblCellMar>
          <w:top w:w="0" w:type="dxa"/>
          <w:left w:w="108" w:type="dxa"/>
          <w:bottom w:w="0" w:type="dxa"/>
          <w:right w:w="108" w:type="dxa"/>
        </w:tblCellMar>
      </w:tblPr>
      <w:tblGrid>
        <w:gridCol w:w="4788"/>
        <w:gridCol w:w="4788"/>
      </w:tblGrid>
      <w:tr w14:paraId="34C49529">
        <w:tc>
          <w:tcPr>
            <w:tcW w:w="4788" w:type="dxa"/>
            <w:shd w:val="clear" w:color="auto" w:fill="auto"/>
          </w:tcPr>
          <w:p w14:paraId="000C37B7">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до 5,0 Гкал/ч</w:t>
            </w:r>
          </w:p>
        </w:tc>
        <w:tc>
          <w:tcPr>
            <w:tcW w:w="4788" w:type="dxa"/>
            <w:shd w:val="clear" w:color="auto" w:fill="auto"/>
          </w:tcPr>
          <w:p w14:paraId="69C6CB7B">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Кэ = 0,8</w:t>
            </w:r>
          </w:p>
        </w:tc>
      </w:tr>
      <w:tr w14:paraId="0534A516">
        <w:tblPrEx>
          <w:tblCellMar>
            <w:top w:w="0" w:type="dxa"/>
            <w:left w:w="108" w:type="dxa"/>
            <w:bottom w:w="0" w:type="dxa"/>
            <w:right w:w="108" w:type="dxa"/>
          </w:tblCellMar>
        </w:tblPrEx>
        <w:tc>
          <w:tcPr>
            <w:tcW w:w="4788" w:type="dxa"/>
            <w:shd w:val="clear" w:color="auto" w:fill="auto"/>
          </w:tcPr>
          <w:p w14:paraId="2BB5BE3D">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5,0 до 20 Гкал/ч</w:t>
            </w:r>
          </w:p>
        </w:tc>
        <w:tc>
          <w:tcPr>
            <w:tcW w:w="4788" w:type="dxa"/>
            <w:shd w:val="clear" w:color="auto" w:fill="auto"/>
          </w:tcPr>
          <w:p w14:paraId="565F1242">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Кэ = 0,7</w:t>
            </w:r>
          </w:p>
        </w:tc>
      </w:tr>
      <w:tr w14:paraId="34581591">
        <w:tblPrEx>
          <w:tblCellMar>
            <w:top w:w="0" w:type="dxa"/>
            <w:left w:w="108" w:type="dxa"/>
            <w:bottom w:w="0" w:type="dxa"/>
            <w:right w:w="108" w:type="dxa"/>
          </w:tblCellMar>
        </w:tblPrEx>
        <w:tc>
          <w:tcPr>
            <w:tcW w:w="4788" w:type="dxa"/>
            <w:shd w:val="clear" w:color="auto" w:fill="auto"/>
          </w:tcPr>
          <w:p w14:paraId="2A34AAA9">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20 Гкал/ч</w:t>
            </w:r>
          </w:p>
        </w:tc>
        <w:tc>
          <w:tcPr>
            <w:tcW w:w="4788" w:type="dxa"/>
            <w:shd w:val="clear" w:color="auto" w:fill="auto"/>
          </w:tcPr>
          <w:p w14:paraId="3CCEDB05">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Кэ = 0,6</w:t>
            </w:r>
          </w:p>
        </w:tc>
      </w:tr>
    </w:tbl>
    <w:p w14:paraId="05E6DE15">
      <w:pPr>
        <w:autoSpaceDE w:val="0"/>
        <w:autoSpaceDN w:val="0"/>
        <w:adjustRightInd w:val="0"/>
        <w:spacing w:after="0" w:line="240" w:lineRule="auto"/>
        <w:contextualSpacing/>
        <w:jc w:val="both"/>
        <w:rPr>
          <w:sz w:val="24"/>
          <w:szCs w:val="24"/>
        </w:rPr>
      </w:pPr>
      <w:r>
        <w:rPr>
          <w:sz w:val="24"/>
          <w:szCs w:val="24"/>
        </w:rPr>
        <w:t>2. Надежность водоснабжения источников тепла (Кв) характеризуется наличием или отсутствием резервного водоснабжения:</w:t>
      </w:r>
    </w:p>
    <w:p w14:paraId="626737B7">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14:paraId="0F1D777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отсутствии резервного водоснабжения при мощности отопительной котельной</w:t>
      </w:r>
    </w:p>
    <w:tbl>
      <w:tblPr>
        <w:tblStyle w:val="12"/>
        <w:tblW w:w="9576" w:type="dxa"/>
        <w:tblInd w:w="0" w:type="dxa"/>
        <w:tblLayout w:type="autofit"/>
        <w:tblCellMar>
          <w:top w:w="0" w:type="dxa"/>
          <w:left w:w="108" w:type="dxa"/>
          <w:bottom w:w="0" w:type="dxa"/>
          <w:right w:w="108" w:type="dxa"/>
        </w:tblCellMar>
      </w:tblPr>
      <w:tblGrid>
        <w:gridCol w:w="4788"/>
        <w:gridCol w:w="4788"/>
      </w:tblGrid>
      <w:tr w14:paraId="684C7195">
        <w:tblPrEx>
          <w:tblCellMar>
            <w:top w:w="0" w:type="dxa"/>
            <w:left w:w="108" w:type="dxa"/>
            <w:bottom w:w="0" w:type="dxa"/>
            <w:right w:w="108" w:type="dxa"/>
          </w:tblCellMar>
        </w:tblPrEx>
        <w:tc>
          <w:tcPr>
            <w:tcW w:w="4788" w:type="dxa"/>
            <w:shd w:val="clear" w:color="auto" w:fill="auto"/>
          </w:tcPr>
          <w:p w14:paraId="527F72AC">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до 5,0 Гкал/ч</w:t>
            </w:r>
          </w:p>
        </w:tc>
        <w:tc>
          <w:tcPr>
            <w:tcW w:w="4788" w:type="dxa"/>
            <w:shd w:val="clear" w:color="auto" w:fill="auto"/>
          </w:tcPr>
          <w:p w14:paraId="41BE4AB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Кв = 0,8</w:t>
            </w:r>
          </w:p>
        </w:tc>
      </w:tr>
      <w:tr w14:paraId="5642F1D1">
        <w:tblPrEx>
          <w:tblCellMar>
            <w:top w:w="0" w:type="dxa"/>
            <w:left w:w="108" w:type="dxa"/>
            <w:bottom w:w="0" w:type="dxa"/>
            <w:right w:w="108" w:type="dxa"/>
          </w:tblCellMar>
        </w:tblPrEx>
        <w:tc>
          <w:tcPr>
            <w:tcW w:w="4788" w:type="dxa"/>
            <w:shd w:val="clear" w:color="auto" w:fill="auto"/>
          </w:tcPr>
          <w:p w14:paraId="4BC507B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5,0 до 20 Гкал/ч</w:t>
            </w:r>
          </w:p>
        </w:tc>
        <w:tc>
          <w:tcPr>
            <w:tcW w:w="4788" w:type="dxa"/>
            <w:shd w:val="clear" w:color="auto" w:fill="auto"/>
          </w:tcPr>
          <w:p w14:paraId="466C1658">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Кв = 0,7</w:t>
            </w:r>
          </w:p>
        </w:tc>
      </w:tr>
      <w:tr w14:paraId="25C87757">
        <w:tblPrEx>
          <w:tblCellMar>
            <w:top w:w="0" w:type="dxa"/>
            <w:left w:w="108" w:type="dxa"/>
            <w:bottom w:w="0" w:type="dxa"/>
            <w:right w:w="108" w:type="dxa"/>
          </w:tblCellMar>
        </w:tblPrEx>
        <w:tc>
          <w:tcPr>
            <w:tcW w:w="4788" w:type="dxa"/>
            <w:shd w:val="clear" w:color="auto" w:fill="auto"/>
          </w:tcPr>
          <w:p w14:paraId="70A5A8A4">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20 Гкал/ч</w:t>
            </w:r>
          </w:p>
        </w:tc>
        <w:tc>
          <w:tcPr>
            <w:tcW w:w="4788" w:type="dxa"/>
            <w:shd w:val="clear" w:color="auto" w:fill="auto"/>
          </w:tcPr>
          <w:p w14:paraId="61384633">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Кв = 0,6</w:t>
            </w:r>
          </w:p>
        </w:tc>
      </w:tr>
    </w:tbl>
    <w:p w14:paraId="2D535496">
      <w:pPr>
        <w:autoSpaceDE w:val="0"/>
        <w:autoSpaceDN w:val="0"/>
        <w:adjustRightInd w:val="0"/>
        <w:spacing w:after="0" w:line="240" w:lineRule="auto"/>
        <w:contextualSpacing/>
        <w:jc w:val="both"/>
        <w:rPr>
          <w:sz w:val="24"/>
          <w:szCs w:val="24"/>
        </w:rPr>
      </w:pPr>
      <w:r>
        <w:rPr>
          <w:sz w:val="24"/>
          <w:szCs w:val="24"/>
        </w:rPr>
        <w:t>3. Надежность топливоснабжения источников тепла (Кт) характеризуется наличием или отсутствием резервного топливоснабжения:</w:t>
      </w:r>
    </w:p>
    <w:p w14:paraId="3608BBEA">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наличии резервного топлива            Кт = 1,0;</w:t>
      </w:r>
    </w:p>
    <w:p w14:paraId="52FD17A2">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отсутствии резервного топлива при мощности отопительной котельной</w:t>
      </w:r>
    </w:p>
    <w:tbl>
      <w:tblPr>
        <w:tblStyle w:val="12"/>
        <w:tblW w:w="9576" w:type="dxa"/>
        <w:tblInd w:w="0" w:type="dxa"/>
        <w:tblLayout w:type="autofit"/>
        <w:tblCellMar>
          <w:top w:w="0" w:type="dxa"/>
          <w:left w:w="108" w:type="dxa"/>
          <w:bottom w:w="0" w:type="dxa"/>
          <w:right w:w="108" w:type="dxa"/>
        </w:tblCellMar>
      </w:tblPr>
      <w:tblGrid>
        <w:gridCol w:w="4788"/>
        <w:gridCol w:w="4788"/>
      </w:tblGrid>
      <w:tr w14:paraId="1F8B541C">
        <w:tblPrEx>
          <w:tblCellMar>
            <w:top w:w="0" w:type="dxa"/>
            <w:left w:w="108" w:type="dxa"/>
            <w:bottom w:w="0" w:type="dxa"/>
            <w:right w:w="108" w:type="dxa"/>
          </w:tblCellMar>
        </w:tblPrEx>
        <w:tc>
          <w:tcPr>
            <w:tcW w:w="4788" w:type="dxa"/>
            <w:shd w:val="clear" w:color="auto" w:fill="auto"/>
          </w:tcPr>
          <w:p w14:paraId="6B1B8695">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до 5,0 Гкал/ч</w:t>
            </w:r>
          </w:p>
        </w:tc>
        <w:tc>
          <w:tcPr>
            <w:tcW w:w="4788" w:type="dxa"/>
            <w:shd w:val="clear" w:color="auto" w:fill="auto"/>
          </w:tcPr>
          <w:p w14:paraId="682AB524">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Кт = 1,0</w:t>
            </w:r>
          </w:p>
        </w:tc>
      </w:tr>
      <w:tr w14:paraId="0A30BF8C">
        <w:tblPrEx>
          <w:tblCellMar>
            <w:top w:w="0" w:type="dxa"/>
            <w:left w:w="108" w:type="dxa"/>
            <w:bottom w:w="0" w:type="dxa"/>
            <w:right w:w="108" w:type="dxa"/>
          </w:tblCellMar>
        </w:tblPrEx>
        <w:tc>
          <w:tcPr>
            <w:tcW w:w="4788" w:type="dxa"/>
            <w:shd w:val="clear" w:color="auto" w:fill="auto"/>
          </w:tcPr>
          <w:p w14:paraId="021DD3E2">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5,0 до 20 Гкал/ч</w:t>
            </w:r>
          </w:p>
        </w:tc>
        <w:tc>
          <w:tcPr>
            <w:tcW w:w="4788" w:type="dxa"/>
            <w:shd w:val="clear" w:color="auto" w:fill="auto"/>
          </w:tcPr>
          <w:p w14:paraId="08A7E5E7">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Кт = 0,7</w:t>
            </w:r>
          </w:p>
        </w:tc>
      </w:tr>
      <w:tr w14:paraId="692CF2CC">
        <w:tblPrEx>
          <w:tblCellMar>
            <w:top w:w="0" w:type="dxa"/>
            <w:left w:w="108" w:type="dxa"/>
            <w:bottom w:w="0" w:type="dxa"/>
            <w:right w:w="108" w:type="dxa"/>
          </w:tblCellMar>
        </w:tblPrEx>
        <w:tc>
          <w:tcPr>
            <w:tcW w:w="4788" w:type="dxa"/>
            <w:shd w:val="clear" w:color="auto" w:fill="auto"/>
          </w:tcPr>
          <w:p w14:paraId="5287BA04">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20 Гкал/ч</w:t>
            </w:r>
          </w:p>
        </w:tc>
        <w:tc>
          <w:tcPr>
            <w:tcW w:w="4788" w:type="dxa"/>
            <w:shd w:val="clear" w:color="auto" w:fill="auto"/>
          </w:tcPr>
          <w:p w14:paraId="63C68FF6">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Кт = 0,5</w:t>
            </w:r>
          </w:p>
        </w:tc>
      </w:tr>
    </w:tbl>
    <w:p w14:paraId="2ADD5DDB">
      <w:pPr>
        <w:autoSpaceDE w:val="0"/>
        <w:autoSpaceDN w:val="0"/>
        <w:adjustRightInd w:val="0"/>
        <w:spacing w:after="0" w:line="240" w:lineRule="auto"/>
        <w:contextualSpacing/>
        <w:jc w:val="both"/>
        <w:rPr>
          <w:sz w:val="24"/>
          <w:szCs w:val="24"/>
        </w:rPr>
      </w:pPr>
      <w:r>
        <w:rPr>
          <w:sz w:val="24"/>
          <w:szCs w:val="24"/>
        </w:rPr>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14:paraId="55561356">
      <w:pPr>
        <w:autoSpaceDE w:val="0"/>
        <w:autoSpaceDN w:val="0"/>
        <w:adjustRightInd w:val="0"/>
        <w:spacing w:after="0" w:line="240" w:lineRule="auto"/>
        <w:contextualSpacing/>
        <w:jc w:val="both"/>
        <w:rPr>
          <w:sz w:val="24"/>
          <w:szCs w:val="24"/>
        </w:rPr>
      </w:pPr>
      <w:r>
        <w:rPr>
          <w:sz w:val="24"/>
          <w:szCs w:val="24"/>
        </w:rPr>
        <w:t>Величина этого показателя определяется размером дефицита</w:t>
      </w:r>
    </w:p>
    <w:tbl>
      <w:tblPr>
        <w:tblStyle w:val="12"/>
        <w:tblW w:w="0" w:type="auto"/>
        <w:tblInd w:w="0" w:type="dxa"/>
        <w:tblLayout w:type="autofit"/>
        <w:tblCellMar>
          <w:top w:w="0" w:type="dxa"/>
          <w:left w:w="108" w:type="dxa"/>
          <w:bottom w:w="0" w:type="dxa"/>
          <w:right w:w="108" w:type="dxa"/>
        </w:tblCellMar>
      </w:tblPr>
      <w:tblGrid>
        <w:gridCol w:w="4788"/>
        <w:gridCol w:w="4788"/>
      </w:tblGrid>
      <w:tr w14:paraId="28655D06">
        <w:tblPrEx>
          <w:tblCellMar>
            <w:top w:w="0" w:type="dxa"/>
            <w:left w:w="108" w:type="dxa"/>
            <w:bottom w:w="0" w:type="dxa"/>
            <w:right w:w="108" w:type="dxa"/>
          </w:tblCellMar>
        </w:tblPrEx>
        <w:tc>
          <w:tcPr>
            <w:tcW w:w="4788" w:type="dxa"/>
            <w:shd w:val="clear" w:color="auto" w:fill="auto"/>
          </w:tcPr>
          <w:p w14:paraId="15F6B621">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 10%                                      </w:t>
            </w:r>
          </w:p>
        </w:tc>
        <w:tc>
          <w:tcPr>
            <w:tcW w:w="4788" w:type="dxa"/>
            <w:shd w:val="clear" w:color="auto" w:fill="auto"/>
          </w:tcPr>
          <w:p w14:paraId="2A613406">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Кб = 1,0</w:t>
            </w:r>
          </w:p>
        </w:tc>
      </w:tr>
      <w:tr w14:paraId="2EAB5A2E">
        <w:tblPrEx>
          <w:tblCellMar>
            <w:top w:w="0" w:type="dxa"/>
            <w:left w:w="108" w:type="dxa"/>
            <w:bottom w:w="0" w:type="dxa"/>
            <w:right w:w="108" w:type="dxa"/>
          </w:tblCellMar>
        </w:tblPrEx>
        <w:tc>
          <w:tcPr>
            <w:tcW w:w="4788" w:type="dxa"/>
            <w:shd w:val="clear" w:color="auto" w:fill="auto"/>
          </w:tcPr>
          <w:p w14:paraId="625F31B4">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10 до 20%                               </w:t>
            </w:r>
          </w:p>
        </w:tc>
        <w:tc>
          <w:tcPr>
            <w:tcW w:w="4788" w:type="dxa"/>
            <w:shd w:val="clear" w:color="auto" w:fill="auto"/>
          </w:tcPr>
          <w:p w14:paraId="26ED9D99">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Кб = 0,8</w:t>
            </w:r>
          </w:p>
        </w:tc>
      </w:tr>
      <w:tr w14:paraId="2C476220">
        <w:tblPrEx>
          <w:tblCellMar>
            <w:top w:w="0" w:type="dxa"/>
            <w:left w:w="108" w:type="dxa"/>
            <w:bottom w:w="0" w:type="dxa"/>
            <w:right w:w="108" w:type="dxa"/>
          </w:tblCellMar>
        </w:tblPrEx>
        <w:tc>
          <w:tcPr>
            <w:tcW w:w="4788" w:type="dxa"/>
            <w:shd w:val="clear" w:color="auto" w:fill="auto"/>
          </w:tcPr>
          <w:p w14:paraId="68B1809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20 до 30%                               </w:t>
            </w:r>
          </w:p>
        </w:tc>
        <w:tc>
          <w:tcPr>
            <w:tcW w:w="4788" w:type="dxa"/>
            <w:shd w:val="clear" w:color="auto" w:fill="auto"/>
          </w:tcPr>
          <w:p w14:paraId="6AF05AD4">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Кб = 0,6</w:t>
            </w:r>
          </w:p>
        </w:tc>
      </w:tr>
      <w:tr w14:paraId="56FA946E">
        <w:tblPrEx>
          <w:tblCellMar>
            <w:top w:w="0" w:type="dxa"/>
            <w:left w:w="108" w:type="dxa"/>
            <w:bottom w:w="0" w:type="dxa"/>
            <w:right w:w="108" w:type="dxa"/>
          </w:tblCellMar>
        </w:tblPrEx>
        <w:tc>
          <w:tcPr>
            <w:tcW w:w="4788" w:type="dxa"/>
            <w:shd w:val="clear" w:color="auto" w:fill="auto"/>
          </w:tcPr>
          <w:p w14:paraId="5E02BF2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30%                                     </w:t>
            </w:r>
          </w:p>
        </w:tc>
        <w:tc>
          <w:tcPr>
            <w:tcW w:w="4788" w:type="dxa"/>
            <w:shd w:val="clear" w:color="auto" w:fill="auto"/>
          </w:tcPr>
          <w:p w14:paraId="64FD194C">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Кб = 0,3</w:t>
            </w:r>
          </w:p>
        </w:tc>
      </w:tr>
    </w:tbl>
    <w:p w14:paraId="4D071689">
      <w:pPr>
        <w:autoSpaceDE w:val="0"/>
        <w:autoSpaceDN w:val="0"/>
        <w:adjustRightInd w:val="0"/>
        <w:spacing w:after="0" w:line="240" w:lineRule="auto"/>
        <w:contextualSpacing/>
        <w:jc w:val="both"/>
        <w:rPr>
          <w:sz w:val="24"/>
          <w:szCs w:val="24"/>
        </w:rPr>
      </w:pPr>
      <w:r>
        <w:rPr>
          <w:sz w:val="24"/>
          <w:szCs w:val="24"/>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3A6CFF8B">
      <w:pPr>
        <w:autoSpaceDE w:val="0"/>
        <w:autoSpaceDN w:val="0"/>
        <w:adjustRightInd w:val="0"/>
        <w:spacing w:after="0" w:line="240" w:lineRule="auto"/>
        <w:contextualSpacing/>
        <w:jc w:val="both"/>
        <w:rPr>
          <w:sz w:val="24"/>
          <w:szCs w:val="24"/>
        </w:rPr>
      </w:pPr>
      <w:r>
        <w:rPr>
          <w:sz w:val="24"/>
          <w:szCs w:val="24"/>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4F8B95EA">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резервирование св. 90 до 100% нагрузки Кр = 1,0</w:t>
      </w:r>
    </w:p>
    <w:tbl>
      <w:tblPr>
        <w:tblStyle w:val="12"/>
        <w:tblW w:w="0" w:type="auto"/>
        <w:tblInd w:w="0" w:type="dxa"/>
        <w:tblLayout w:type="autofit"/>
        <w:tblCellMar>
          <w:top w:w="0" w:type="dxa"/>
          <w:left w:w="108" w:type="dxa"/>
          <w:bottom w:w="0" w:type="dxa"/>
          <w:right w:w="108" w:type="dxa"/>
        </w:tblCellMar>
      </w:tblPr>
      <w:tblGrid>
        <w:gridCol w:w="4788"/>
        <w:gridCol w:w="4788"/>
      </w:tblGrid>
      <w:tr w14:paraId="2EE12BB9">
        <w:tblPrEx>
          <w:tblCellMar>
            <w:top w:w="0" w:type="dxa"/>
            <w:left w:w="108" w:type="dxa"/>
            <w:bottom w:w="0" w:type="dxa"/>
            <w:right w:w="108" w:type="dxa"/>
          </w:tblCellMar>
        </w:tblPrEx>
        <w:tc>
          <w:tcPr>
            <w:tcW w:w="4788" w:type="dxa"/>
            <w:shd w:val="clear" w:color="auto" w:fill="auto"/>
          </w:tcPr>
          <w:p w14:paraId="4E111CA8">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св. 70 до 90%</w:t>
            </w:r>
          </w:p>
        </w:tc>
        <w:tc>
          <w:tcPr>
            <w:tcW w:w="4788" w:type="dxa"/>
            <w:shd w:val="clear" w:color="auto" w:fill="auto"/>
          </w:tcPr>
          <w:p w14:paraId="39C471AA">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Кр = 0,7</w:t>
            </w:r>
          </w:p>
        </w:tc>
      </w:tr>
      <w:tr w14:paraId="543A87E3">
        <w:tblPrEx>
          <w:tblCellMar>
            <w:top w:w="0" w:type="dxa"/>
            <w:left w:w="108" w:type="dxa"/>
            <w:bottom w:w="0" w:type="dxa"/>
            <w:right w:w="108" w:type="dxa"/>
          </w:tblCellMar>
        </w:tblPrEx>
        <w:tc>
          <w:tcPr>
            <w:tcW w:w="4788" w:type="dxa"/>
            <w:shd w:val="clear" w:color="auto" w:fill="auto"/>
          </w:tcPr>
          <w:p w14:paraId="13AB31FE">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50 до 70%                               </w:t>
            </w:r>
          </w:p>
        </w:tc>
        <w:tc>
          <w:tcPr>
            <w:tcW w:w="4788" w:type="dxa"/>
            <w:shd w:val="clear" w:color="auto" w:fill="auto"/>
          </w:tcPr>
          <w:p w14:paraId="53DFA408">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Кр = 0,5</w:t>
            </w:r>
          </w:p>
        </w:tc>
      </w:tr>
      <w:tr w14:paraId="38BF6502">
        <w:tblPrEx>
          <w:tblCellMar>
            <w:top w:w="0" w:type="dxa"/>
            <w:left w:w="108" w:type="dxa"/>
            <w:bottom w:w="0" w:type="dxa"/>
            <w:right w:w="108" w:type="dxa"/>
          </w:tblCellMar>
        </w:tblPrEx>
        <w:tc>
          <w:tcPr>
            <w:tcW w:w="4788" w:type="dxa"/>
            <w:shd w:val="clear" w:color="auto" w:fill="auto"/>
          </w:tcPr>
          <w:p w14:paraId="727E2730">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30 до 50%                               </w:t>
            </w:r>
          </w:p>
        </w:tc>
        <w:tc>
          <w:tcPr>
            <w:tcW w:w="4788" w:type="dxa"/>
            <w:shd w:val="clear" w:color="auto" w:fill="auto"/>
          </w:tcPr>
          <w:p w14:paraId="3BD8BBA2">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Кр = 0,3</w:t>
            </w:r>
          </w:p>
        </w:tc>
      </w:tr>
      <w:tr w14:paraId="260B0CE3">
        <w:tblPrEx>
          <w:tblCellMar>
            <w:top w:w="0" w:type="dxa"/>
            <w:left w:w="108" w:type="dxa"/>
            <w:bottom w:w="0" w:type="dxa"/>
            <w:right w:w="108" w:type="dxa"/>
          </w:tblCellMar>
        </w:tblPrEx>
        <w:tc>
          <w:tcPr>
            <w:tcW w:w="4788" w:type="dxa"/>
            <w:shd w:val="clear" w:color="auto" w:fill="auto"/>
          </w:tcPr>
          <w:p w14:paraId="41870885">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менее 30%                                   </w:t>
            </w:r>
          </w:p>
        </w:tc>
        <w:tc>
          <w:tcPr>
            <w:tcW w:w="4788" w:type="dxa"/>
            <w:shd w:val="clear" w:color="auto" w:fill="auto"/>
          </w:tcPr>
          <w:p w14:paraId="1391EAA4">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Кр = 0,2</w:t>
            </w:r>
          </w:p>
        </w:tc>
      </w:tr>
    </w:tbl>
    <w:p w14:paraId="2FF6D91F">
      <w:pPr>
        <w:autoSpaceDE w:val="0"/>
        <w:autoSpaceDN w:val="0"/>
        <w:adjustRightInd w:val="0"/>
        <w:spacing w:after="0" w:line="240" w:lineRule="auto"/>
        <w:contextualSpacing/>
        <w:jc w:val="both"/>
        <w:rPr>
          <w:sz w:val="24"/>
          <w:szCs w:val="24"/>
        </w:rPr>
      </w:pPr>
      <w:r>
        <w:rPr>
          <w:sz w:val="24"/>
          <w:szCs w:val="24"/>
        </w:rP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70BE7745">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при доле ветхих сетей</w:t>
      </w:r>
    </w:p>
    <w:tbl>
      <w:tblPr>
        <w:tblStyle w:val="12"/>
        <w:tblW w:w="0" w:type="auto"/>
        <w:tblInd w:w="0" w:type="dxa"/>
        <w:tblLayout w:type="autofit"/>
        <w:tblCellMar>
          <w:top w:w="0" w:type="dxa"/>
          <w:left w:w="108" w:type="dxa"/>
          <w:bottom w:w="0" w:type="dxa"/>
          <w:right w:w="108" w:type="dxa"/>
        </w:tblCellMar>
      </w:tblPr>
      <w:tblGrid>
        <w:gridCol w:w="4788"/>
        <w:gridCol w:w="4788"/>
      </w:tblGrid>
      <w:tr w14:paraId="3A4B3AB6">
        <w:tblPrEx>
          <w:tblCellMar>
            <w:top w:w="0" w:type="dxa"/>
            <w:left w:w="108" w:type="dxa"/>
            <w:bottom w:w="0" w:type="dxa"/>
            <w:right w:w="108" w:type="dxa"/>
          </w:tblCellMar>
        </w:tblPrEx>
        <w:tc>
          <w:tcPr>
            <w:tcW w:w="4788" w:type="dxa"/>
            <w:shd w:val="clear" w:color="auto" w:fill="auto"/>
          </w:tcPr>
          <w:p w14:paraId="3F0F9BDB">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 10%                                    </w:t>
            </w:r>
          </w:p>
        </w:tc>
        <w:tc>
          <w:tcPr>
            <w:tcW w:w="4788" w:type="dxa"/>
            <w:shd w:val="clear" w:color="auto" w:fill="auto"/>
          </w:tcPr>
          <w:p w14:paraId="26CEC9D1">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Кс = 1,0</w:t>
            </w:r>
          </w:p>
        </w:tc>
      </w:tr>
      <w:tr w14:paraId="02952B2D">
        <w:tblPrEx>
          <w:tblCellMar>
            <w:top w:w="0" w:type="dxa"/>
            <w:left w:w="108" w:type="dxa"/>
            <w:bottom w:w="0" w:type="dxa"/>
            <w:right w:w="108" w:type="dxa"/>
          </w:tblCellMar>
        </w:tblPrEx>
        <w:tc>
          <w:tcPr>
            <w:tcW w:w="4788" w:type="dxa"/>
            <w:shd w:val="clear" w:color="auto" w:fill="auto"/>
          </w:tcPr>
          <w:p w14:paraId="1D041F4D">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10 до 20%                             </w:t>
            </w:r>
          </w:p>
        </w:tc>
        <w:tc>
          <w:tcPr>
            <w:tcW w:w="4788" w:type="dxa"/>
            <w:shd w:val="clear" w:color="auto" w:fill="auto"/>
          </w:tcPr>
          <w:p w14:paraId="23746CB6">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Кс = 0,8</w:t>
            </w:r>
          </w:p>
        </w:tc>
      </w:tr>
      <w:tr w14:paraId="61498979">
        <w:tblPrEx>
          <w:tblCellMar>
            <w:top w:w="0" w:type="dxa"/>
            <w:left w:w="108" w:type="dxa"/>
            <w:bottom w:w="0" w:type="dxa"/>
            <w:right w:w="108" w:type="dxa"/>
          </w:tblCellMar>
        </w:tblPrEx>
        <w:tc>
          <w:tcPr>
            <w:tcW w:w="4788" w:type="dxa"/>
            <w:shd w:val="clear" w:color="auto" w:fill="auto"/>
          </w:tcPr>
          <w:p w14:paraId="1807D7A0">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20 до 30%                             </w:t>
            </w:r>
          </w:p>
        </w:tc>
        <w:tc>
          <w:tcPr>
            <w:tcW w:w="4788" w:type="dxa"/>
            <w:shd w:val="clear" w:color="auto" w:fill="auto"/>
          </w:tcPr>
          <w:p w14:paraId="15C1BAA7">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Кс = 0,6</w:t>
            </w:r>
          </w:p>
        </w:tc>
      </w:tr>
      <w:tr w14:paraId="00E1A396">
        <w:tblPrEx>
          <w:tblCellMar>
            <w:top w:w="0" w:type="dxa"/>
            <w:left w:w="108" w:type="dxa"/>
            <w:bottom w:w="0" w:type="dxa"/>
            <w:right w:w="108" w:type="dxa"/>
          </w:tblCellMar>
        </w:tblPrEx>
        <w:tc>
          <w:tcPr>
            <w:tcW w:w="4788" w:type="dxa"/>
            <w:shd w:val="clear" w:color="auto" w:fill="auto"/>
          </w:tcPr>
          <w:p w14:paraId="2E4EC0F6">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св. 30%                                   </w:t>
            </w:r>
          </w:p>
        </w:tc>
        <w:tc>
          <w:tcPr>
            <w:tcW w:w="4788" w:type="dxa"/>
            <w:shd w:val="clear" w:color="auto" w:fill="auto"/>
          </w:tcPr>
          <w:p w14:paraId="38F8D03C">
            <w:pPr>
              <w:pStyle w:val="203"/>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Кс = 0,5</w:t>
            </w:r>
          </w:p>
        </w:tc>
      </w:tr>
    </w:tbl>
    <w:p w14:paraId="527884E9">
      <w:pPr>
        <w:autoSpaceDE w:val="0"/>
        <w:autoSpaceDN w:val="0"/>
        <w:adjustRightInd w:val="0"/>
        <w:spacing w:after="0" w:line="240" w:lineRule="auto"/>
        <w:contextualSpacing/>
        <w:jc w:val="both"/>
        <w:rPr>
          <w:sz w:val="24"/>
          <w:szCs w:val="24"/>
        </w:rPr>
      </w:pPr>
      <w:r>
        <w:rPr>
          <w:sz w:val="24"/>
          <w:szCs w:val="24"/>
        </w:rPr>
        <w:t xml:space="preserve">7. Показатель надежности конкретной системы теплоснабжения Кнад определяется как средний по частным показателям Кэ </w:t>
      </w:r>
      <w:r>
        <w:fldChar w:fldCharType="begin"/>
      </w:r>
      <w:r>
        <w:instrText xml:space="preserve"> HYPERLINK "consultantplus://offline/ref=F596ABD421B5BF05147DC6DCC3FDE50641AC801D2228D4E750FA93B8BEA54029CBB976427B16A409v2IBM" </w:instrText>
      </w:r>
      <w:r>
        <w:fldChar w:fldCharType="separate"/>
      </w:r>
      <w:r>
        <w:rPr>
          <w:sz w:val="24"/>
          <w:szCs w:val="24"/>
        </w:rPr>
        <w:t>,</w:t>
      </w:r>
      <w:r>
        <w:rPr>
          <w:sz w:val="24"/>
          <w:szCs w:val="24"/>
        </w:rPr>
        <w:fldChar w:fldCharType="end"/>
      </w:r>
      <w:r>
        <w:rPr>
          <w:sz w:val="24"/>
          <w:szCs w:val="24"/>
        </w:rPr>
        <w:t xml:space="preserve"> Кв </w:t>
      </w:r>
      <w:r>
        <w:fldChar w:fldCharType="begin"/>
      </w:r>
      <w:r>
        <w:instrText xml:space="preserve"> HYPERLINK "consultantplus://offline/ref=F596ABD421B5BF05147DC6DCC3FDE50641AC801D2228D4E750FA93B8BEA54029CBB976427B16A406v2I9M" </w:instrText>
      </w:r>
      <w:r>
        <w:fldChar w:fldCharType="separate"/>
      </w:r>
      <w:r>
        <w:rPr>
          <w:sz w:val="24"/>
          <w:szCs w:val="24"/>
        </w:rPr>
        <w:t>,</w:t>
      </w:r>
      <w:r>
        <w:rPr>
          <w:sz w:val="24"/>
          <w:szCs w:val="24"/>
        </w:rPr>
        <w:fldChar w:fldCharType="end"/>
      </w:r>
      <w:r>
        <w:rPr>
          <w:sz w:val="24"/>
          <w:szCs w:val="24"/>
        </w:rPr>
        <w:t xml:space="preserve"> Кт </w:t>
      </w:r>
      <w:r>
        <w:fldChar w:fldCharType="begin"/>
      </w:r>
      <w:r>
        <w:instrText xml:space="preserve"> HYPERLINK "consultantplus://offline/ref=F596ABD421B5BF05147DC6DCC3FDE50641AC801D2228D4E750FA93B8BEA54029CBB976427B16A407v2I9M" </w:instrText>
      </w:r>
      <w:r>
        <w:fldChar w:fldCharType="separate"/>
      </w:r>
      <w:r>
        <w:rPr>
          <w:sz w:val="24"/>
          <w:szCs w:val="24"/>
        </w:rPr>
        <w:t>,</w:t>
      </w:r>
      <w:r>
        <w:rPr>
          <w:sz w:val="24"/>
          <w:szCs w:val="24"/>
        </w:rPr>
        <w:fldChar w:fldCharType="end"/>
      </w:r>
      <w:r>
        <w:rPr>
          <w:sz w:val="24"/>
          <w:szCs w:val="24"/>
        </w:rPr>
        <w:t xml:space="preserve"> Кб </w:t>
      </w:r>
      <w:r>
        <w:fldChar w:fldCharType="begin"/>
      </w:r>
      <w:r>
        <w:instrText xml:space="preserve"> HYPERLINK "consultantplus://offline/ref=F596ABD421B5BF05147DC6DCC3FDE50641AC801D2228D4E750FA93B8BEA54029CBB976427B16A70Ev2IEM" </w:instrText>
      </w:r>
      <w:r>
        <w:fldChar w:fldCharType="separate"/>
      </w:r>
      <w:r>
        <w:rPr>
          <w:sz w:val="24"/>
          <w:szCs w:val="24"/>
        </w:rPr>
        <w:t>,</w:t>
      </w:r>
      <w:r>
        <w:rPr>
          <w:sz w:val="24"/>
          <w:szCs w:val="24"/>
        </w:rPr>
        <w:fldChar w:fldCharType="end"/>
      </w:r>
      <w:r>
        <w:rPr>
          <w:sz w:val="24"/>
          <w:szCs w:val="24"/>
        </w:rPr>
        <w:t xml:space="preserve"> Кр  и Кс.</w:t>
      </w:r>
    </w:p>
    <w:p w14:paraId="0286075C">
      <w:pPr>
        <w:autoSpaceDE w:val="0"/>
        <w:autoSpaceDN w:val="0"/>
        <w:adjustRightInd w:val="0"/>
        <w:spacing w:after="0" w:line="240" w:lineRule="auto"/>
        <w:contextualSpacing/>
        <w:jc w:val="both"/>
        <w:rPr>
          <w:sz w:val="24"/>
          <w:szCs w:val="24"/>
        </w:rPr>
      </w:pPr>
      <w:r>
        <w:rPr>
          <w:sz w:val="24"/>
          <w:szCs w:val="24"/>
        </w:rPr>
        <w:object>
          <v:shape id="_x0000_i1025" o:spt="75" type="#_x0000_t75" style="height:44.25pt;width:223.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14:paraId="4514D363">
      <w:pPr>
        <w:autoSpaceDE w:val="0"/>
        <w:autoSpaceDN w:val="0"/>
        <w:adjustRightInd w:val="0"/>
        <w:spacing w:after="0" w:line="240" w:lineRule="auto"/>
        <w:contextualSpacing/>
        <w:jc w:val="both"/>
        <w:rPr>
          <w:sz w:val="24"/>
          <w:szCs w:val="24"/>
        </w:rPr>
      </w:pPr>
      <w:r>
        <w:rPr>
          <w:sz w:val="24"/>
          <w:szCs w:val="24"/>
        </w:rPr>
        <w:t>где:</w:t>
      </w:r>
    </w:p>
    <w:p w14:paraId="26D50D8F">
      <w:pPr>
        <w:autoSpaceDE w:val="0"/>
        <w:autoSpaceDN w:val="0"/>
        <w:adjustRightInd w:val="0"/>
        <w:spacing w:after="0" w:line="240" w:lineRule="auto"/>
        <w:contextualSpacing/>
        <w:jc w:val="both"/>
        <w:rPr>
          <w:sz w:val="24"/>
          <w:szCs w:val="24"/>
        </w:rPr>
      </w:pPr>
      <w:r>
        <w:rPr>
          <w:sz w:val="24"/>
          <w:szCs w:val="24"/>
        </w:rPr>
        <w:t>n - число показателей, учтенных в числителе.</w:t>
      </w:r>
    </w:p>
    <w:p w14:paraId="5B0DDCD3">
      <w:pPr>
        <w:autoSpaceDE w:val="0"/>
        <w:autoSpaceDN w:val="0"/>
        <w:adjustRightInd w:val="0"/>
        <w:spacing w:after="0" w:line="240" w:lineRule="auto"/>
        <w:contextualSpacing/>
        <w:jc w:val="both"/>
        <w:rPr>
          <w:sz w:val="24"/>
          <w:szCs w:val="24"/>
        </w:rPr>
      </w:pPr>
    </w:p>
    <w:p w14:paraId="0A3F2285">
      <w:pPr>
        <w:autoSpaceDE w:val="0"/>
        <w:autoSpaceDN w:val="0"/>
        <w:adjustRightInd w:val="0"/>
        <w:spacing w:after="0" w:line="240" w:lineRule="auto"/>
        <w:contextualSpacing/>
        <w:jc w:val="both"/>
        <w:rPr>
          <w:sz w:val="24"/>
          <w:szCs w:val="24"/>
        </w:rPr>
      </w:pPr>
      <w:r>
        <w:rPr>
          <w:sz w:val="24"/>
          <w:szCs w:val="24"/>
        </w:rPr>
        <w:t>В зависимости от полученных показателей надежности отдельных систем и системы коммунального теплоснабжения с.п. Верхнеказымский они с точки зрения надежности могут быть оценены как:</w:t>
      </w:r>
    </w:p>
    <w:tbl>
      <w:tblPr>
        <w:tblStyle w:val="12"/>
        <w:tblW w:w="0" w:type="auto"/>
        <w:tblInd w:w="0" w:type="dxa"/>
        <w:tblLayout w:type="autofit"/>
        <w:tblCellMar>
          <w:top w:w="0" w:type="dxa"/>
          <w:left w:w="108" w:type="dxa"/>
          <w:bottom w:w="0" w:type="dxa"/>
          <w:right w:w="108" w:type="dxa"/>
        </w:tblCellMar>
      </w:tblPr>
      <w:tblGrid>
        <w:gridCol w:w="4788"/>
        <w:gridCol w:w="4788"/>
      </w:tblGrid>
      <w:tr w14:paraId="56F8E20D">
        <w:tblPrEx>
          <w:tblCellMar>
            <w:top w:w="0" w:type="dxa"/>
            <w:left w:w="108" w:type="dxa"/>
            <w:bottom w:w="0" w:type="dxa"/>
            <w:right w:w="108" w:type="dxa"/>
          </w:tblCellMar>
        </w:tblPrEx>
        <w:tc>
          <w:tcPr>
            <w:tcW w:w="4788" w:type="dxa"/>
            <w:shd w:val="clear" w:color="auto" w:fill="auto"/>
          </w:tcPr>
          <w:p w14:paraId="5C626F81">
            <w:pPr>
              <w:autoSpaceDE w:val="0"/>
              <w:autoSpaceDN w:val="0"/>
              <w:adjustRightInd w:val="0"/>
              <w:spacing w:after="0" w:line="240" w:lineRule="auto"/>
              <w:contextualSpacing/>
              <w:jc w:val="both"/>
              <w:rPr>
                <w:sz w:val="24"/>
                <w:szCs w:val="24"/>
              </w:rPr>
            </w:pPr>
            <w:r>
              <w:rPr>
                <w:sz w:val="24"/>
                <w:szCs w:val="24"/>
              </w:rPr>
              <w:t>высоконадежные</w:t>
            </w:r>
          </w:p>
        </w:tc>
        <w:tc>
          <w:tcPr>
            <w:tcW w:w="4788" w:type="dxa"/>
            <w:shd w:val="clear" w:color="auto" w:fill="auto"/>
          </w:tcPr>
          <w:p w14:paraId="49671CD7">
            <w:pPr>
              <w:autoSpaceDE w:val="0"/>
              <w:autoSpaceDN w:val="0"/>
              <w:adjustRightInd w:val="0"/>
              <w:spacing w:after="0" w:line="240" w:lineRule="auto"/>
              <w:contextualSpacing/>
              <w:jc w:val="both"/>
              <w:rPr>
                <w:sz w:val="24"/>
                <w:szCs w:val="24"/>
              </w:rPr>
            </w:pPr>
            <w:r>
              <w:rPr>
                <w:sz w:val="24"/>
                <w:szCs w:val="24"/>
              </w:rPr>
              <w:t>при Кнад - более 0,9</w:t>
            </w:r>
          </w:p>
        </w:tc>
      </w:tr>
      <w:tr w14:paraId="113E9CDE">
        <w:tblPrEx>
          <w:tblCellMar>
            <w:top w:w="0" w:type="dxa"/>
            <w:left w:w="108" w:type="dxa"/>
            <w:bottom w:w="0" w:type="dxa"/>
            <w:right w:w="108" w:type="dxa"/>
          </w:tblCellMar>
        </w:tblPrEx>
        <w:tc>
          <w:tcPr>
            <w:tcW w:w="4788" w:type="dxa"/>
            <w:shd w:val="clear" w:color="auto" w:fill="auto"/>
          </w:tcPr>
          <w:p w14:paraId="32412DF6">
            <w:pPr>
              <w:autoSpaceDE w:val="0"/>
              <w:autoSpaceDN w:val="0"/>
              <w:adjustRightInd w:val="0"/>
              <w:spacing w:after="0" w:line="240" w:lineRule="auto"/>
              <w:contextualSpacing/>
              <w:jc w:val="both"/>
              <w:rPr>
                <w:sz w:val="24"/>
                <w:szCs w:val="24"/>
              </w:rPr>
            </w:pPr>
            <w:r>
              <w:rPr>
                <w:sz w:val="24"/>
                <w:szCs w:val="24"/>
              </w:rPr>
              <w:t>надежные</w:t>
            </w:r>
          </w:p>
        </w:tc>
        <w:tc>
          <w:tcPr>
            <w:tcW w:w="4788" w:type="dxa"/>
            <w:shd w:val="clear" w:color="auto" w:fill="auto"/>
          </w:tcPr>
          <w:p w14:paraId="7FA052F5">
            <w:pPr>
              <w:autoSpaceDE w:val="0"/>
              <w:autoSpaceDN w:val="0"/>
              <w:adjustRightInd w:val="0"/>
              <w:spacing w:after="0" w:line="240" w:lineRule="auto"/>
              <w:contextualSpacing/>
              <w:jc w:val="both"/>
              <w:rPr>
                <w:sz w:val="24"/>
                <w:szCs w:val="24"/>
              </w:rPr>
            </w:pPr>
            <w:r>
              <w:rPr>
                <w:sz w:val="24"/>
                <w:szCs w:val="24"/>
              </w:rPr>
              <w:t>Кнад - от 0,75 до 0,89</w:t>
            </w:r>
          </w:p>
        </w:tc>
      </w:tr>
      <w:tr w14:paraId="02B9D883">
        <w:tblPrEx>
          <w:tblCellMar>
            <w:top w:w="0" w:type="dxa"/>
            <w:left w:w="108" w:type="dxa"/>
            <w:bottom w:w="0" w:type="dxa"/>
            <w:right w:w="108" w:type="dxa"/>
          </w:tblCellMar>
        </w:tblPrEx>
        <w:tc>
          <w:tcPr>
            <w:tcW w:w="4788" w:type="dxa"/>
            <w:shd w:val="clear" w:color="auto" w:fill="auto"/>
          </w:tcPr>
          <w:p w14:paraId="3B574E1B">
            <w:pPr>
              <w:autoSpaceDE w:val="0"/>
              <w:autoSpaceDN w:val="0"/>
              <w:adjustRightInd w:val="0"/>
              <w:spacing w:after="0" w:line="240" w:lineRule="auto"/>
              <w:contextualSpacing/>
              <w:jc w:val="both"/>
              <w:rPr>
                <w:sz w:val="24"/>
                <w:szCs w:val="24"/>
              </w:rPr>
            </w:pPr>
            <w:r>
              <w:rPr>
                <w:sz w:val="24"/>
                <w:szCs w:val="24"/>
              </w:rPr>
              <w:t>малонадежные</w:t>
            </w:r>
          </w:p>
        </w:tc>
        <w:tc>
          <w:tcPr>
            <w:tcW w:w="4788" w:type="dxa"/>
            <w:shd w:val="clear" w:color="auto" w:fill="auto"/>
          </w:tcPr>
          <w:p w14:paraId="458C3923">
            <w:pPr>
              <w:autoSpaceDE w:val="0"/>
              <w:autoSpaceDN w:val="0"/>
              <w:adjustRightInd w:val="0"/>
              <w:spacing w:after="0" w:line="240" w:lineRule="auto"/>
              <w:contextualSpacing/>
              <w:jc w:val="both"/>
              <w:rPr>
                <w:sz w:val="24"/>
                <w:szCs w:val="24"/>
              </w:rPr>
            </w:pPr>
            <w:r>
              <w:rPr>
                <w:sz w:val="24"/>
                <w:szCs w:val="24"/>
              </w:rPr>
              <w:t>Кнад - от 0,5 до 0,74</w:t>
            </w:r>
          </w:p>
        </w:tc>
      </w:tr>
      <w:tr w14:paraId="55FBA7C6">
        <w:tblPrEx>
          <w:tblCellMar>
            <w:top w:w="0" w:type="dxa"/>
            <w:left w:w="108" w:type="dxa"/>
            <w:bottom w:w="0" w:type="dxa"/>
            <w:right w:w="108" w:type="dxa"/>
          </w:tblCellMar>
        </w:tblPrEx>
        <w:tc>
          <w:tcPr>
            <w:tcW w:w="4788" w:type="dxa"/>
            <w:shd w:val="clear" w:color="auto" w:fill="auto"/>
          </w:tcPr>
          <w:p w14:paraId="7B86372B">
            <w:pPr>
              <w:autoSpaceDE w:val="0"/>
              <w:autoSpaceDN w:val="0"/>
              <w:adjustRightInd w:val="0"/>
              <w:spacing w:after="0" w:line="240" w:lineRule="auto"/>
              <w:contextualSpacing/>
              <w:jc w:val="both"/>
              <w:rPr>
                <w:sz w:val="24"/>
                <w:szCs w:val="24"/>
              </w:rPr>
            </w:pPr>
            <w:r>
              <w:rPr>
                <w:sz w:val="24"/>
                <w:szCs w:val="24"/>
              </w:rPr>
              <w:t>ненадежные</w:t>
            </w:r>
          </w:p>
        </w:tc>
        <w:tc>
          <w:tcPr>
            <w:tcW w:w="4788" w:type="dxa"/>
            <w:shd w:val="clear" w:color="auto" w:fill="auto"/>
          </w:tcPr>
          <w:p w14:paraId="5EC0BCD3">
            <w:pPr>
              <w:autoSpaceDE w:val="0"/>
              <w:autoSpaceDN w:val="0"/>
              <w:adjustRightInd w:val="0"/>
              <w:spacing w:after="0" w:line="240" w:lineRule="auto"/>
              <w:contextualSpacing/>
              <w:jc w:val="both"/>
              <w:rPr>
                <w:sz w:val="24"/>
                <w:szCs w:val="24"/>
              </w:rPr>
            </w:pPr>
            <w:r>
              <w:rPr>
                <w:sz w:val="24"/>
                <w:szCs w:val="24"/>
              </w:rPr>
              <w:t>Кнад - менее 0,5.</w:t>
            </w:r>
          </w:p>
        </w:tc>
      </w:tr>
    </w:tbl>
    <w:p w14:paraId="622FEE85">
      <w:pPr>
        <w:spacing w:after="0" w:line="240" w:lineRule="auto"/>
        <w:contextualSpacing/>
        <w:jc w:val="both"/>
        <w:rPr>
          <w:sz w:val="24"/>
          <w:szCs w:val="24"/>
        </w:rPr>
      </w:pPr>
    </w:p>
    <w:p w14:paraId="0340DEA8">
      <w:pPr>
        <w:spacing w:after="0" w:line="240" w:lineRule="auto"/>
        <w:contextualSpacing/>
        <w:jc w:val="both"/>
        <w:rPr>
          <w:sz w:val="24"/>
          <w:szCs w:val="24"/>
        </w:rPr>
      </w:pPr>
      <w:r>
        <w:rPr>
          <w:sz w:val="24"/>
          <w:szCs w:val="24"/>
        </w:rPr>
        <w:t>На основании рассчитанного показателя надежности конкретной системы теплоснабжения Kнад ≈ 0,6, следует вывод о том, что рассматриваемая система теплоснабжения от источника теплоснабжения относится к категории малонадежных систем теплоснабжения (имеется огромный износ источников и сетей теплоснабжения).</w:t>
      </w:r>
    </w:p>
    <w:p w14:paraId="2C55E8A8">
      <w:pPr>
        <w:spacing w:after="0" w:line="240" w:lineRule="auto"/>
        <w:contextualSpacing/>
        <w:jc w:val="both"/>
        <w:rPr>
          <w:sz w:val="24"/>
          <w:szCs w:val="24"/>
        </w:rPr>
      </w:pPr>
    </w:p>
    <w:p w14:paraId="4F39853A">
      <w:pPr>
        <w:pStyle w:val="4"/>
        <w:spacing w:before="0" w:line="240" w:lineRule="auto"/>
        <w:ind w:left="0" w:firstLine="709"/>
        <w:contextualSpacing/>
        <w:rPr>
          <w:rFonts w:cs="Times New Roman"/>
          <w:b w:val="0"/>
          <w:sz w:val="24"/>
        </w:rPr>
      </w:pPr>
      <w:bookmarkStart w:id="259" w:name="_Toc524614802"/>
      <w:bookmarkStart w:id="260" w:name="_Toc524615018"/>
      <w:bookmarkStart w:id="261" w:name="_Toc182813933"/>
      <w:r>
        <w:rPr>
          <w:rFonts w:cs="Times New Roman"/>
          <w:b w:val="0"/>
          <w:sz w:val="24"/>
        </w:rPr>
        <w:t>Поток отказов (частоты отказов) участков тепловых сетей</w:t>
      </w:r>
      <w:bookmarkEnd w:id="259"/>
      <w:bookmarkEnd w:id="260"/>
      <w:bookmarkEnd w:id="261"/>
    </w:p>
    <w:p w14:paraId="6BEF4332">
      <w:pPr>
        <w:spacing w:after="0" w:line="240" w:lineRule="auto"/>
        <w:contextualSpacing/>
        <w:jc w:val="both"/>
        <w:rPr>
          <w:sz w:val="24"/>
          <w:szCs w:val="24"/>
        </w:rPr>
      </w:pPr>
      <w:r>
        <w:rPr>
          <w:sz w:val="24"/>
          <w:szCs w:val="24"/>
        </w:rPr>
        <w:t>Информация о количестве инцидентов, технологических и аварийных отказов систем теплоснабжения МУП «БКС» составляет:</w:t>
      </w:r>
    </w:p>
    <w:p w14:paraId="1BE764A8">
      <w:pPr>
        <w:spacing w:after="0" w:line="240" w:lineRule="auto"/>
        <w:contextualSpacing/>
        <w:jc w:val="both"/>
        <w:rPr>
          <w:sz w:val="24"/>
          <w:szCs w:val="24"/>
        </w:rPr>
      </w:pPr>
      <w:r>
        <w:rPr>
          <w:sz w:val="24"/>
          <w:szCs w:val="24"/>
        </w:rPr>
        <w:t>- за 2023 год – 5,</w:t>
      </w:r>
    </w:p>
    <w:p w14:paraId="3F129FCB">
      <w:pPr>
        <w:spacing w:after="0" w:line="240" w:lineRule="auto"/>
        <w:contextualSpacing/>
        <w:jc w:val="both"/>
        <w:rPr>
          <w:sz w:val="24"/>
          <w:szCs w:val="24"/>
        </w:rPr>
      </w:pPr>
      <w:r>
        <w:rPr>
          <w:sz w:val="24"/>
          <w:szCs w:val="24"/>
        </w:rPr>
        <w:t>- за 2024 год – 2.</w:t>
      </w:r>
    </w:p>
    <w:p w14:paraId="145D7F87">
      <w:pPr>
        <w:spacing w:after="0" w:line="240" w:lineRule="auto"/>
        <w:contextualSpacing/>
        <w:jc w:val="both"/>
        <w:rPr>
          <w:sz w:val="24"/>
          <w:szCs w:val="24"/>
        </w:rPr>
      </w:pPr>
    </w:p>
    <w:p w14:paraId="680965D6">
      <w:pPr>
        <w:spacing w:after="0" w:line="240" w:lineRule="auto"/>
        <w:contextualSpacing/>
        <w:jc w:val="both"/>
        <w:rPr>
          <w:sz w:val="24"/>
          <w:szCs w:val="24"/>
        </w:rPr>
      </w:pPr>
      <w:r>
        <w:rPr>
          <w:sz w:val="24"/>
          <w:szCs w:val="24"/>
        </w:rPr>
        <w:t>Как показывает статистика, наибольшее число повреждений на трубопроводах тепловых сетей связаны с заменой хомутов на трубопроводе, заменой задвижек, а также вследствие наружной коррозии металла трубопровода (случаи разрывов сварных швов трубопроводов – единичны).</w:t>
      </w:r>
    </w:p>
    <w:p w14:paraId="1CF35DEB">
      <w:pPr>
        <w:spacing w:after="0" w:line="240" w:lineRule="auto"/>
        <w:contextualSpacing/>
        <w:jc w:val="both"/>
        <w:rPr>
          <w:sz w:val="24"/>
          <w:szCs w:val="24"/>
        </w:rPr>
      </w:pPr>
      <w:r>
        <w:rPr>
          <w:sz w:val="24"/>
          <w:szCs w:val="24"/>
        </w:rPr>
        <w:t>Также значения потока отказов (частоты отказов) участков тепловых сетей определены расчетом надежности в ПРК ZuluThermo 2021 и представлены в электронной модели систем теплоснабжения, являющихся неотъемлемой частью настоящей схемы.</w:t>
      </w:r>
    </w:p>
    <w:p w14:paraId="02F8E4DE">
      <w:pPr>
        <w:spacing w:after="0" w:line="240" w:lineRule="auto"/>
        <w:contextualSpacing/>
        <w:jc w:val="both"/>
        <w:rPr>
          <w:sz w:val="24"/>
          <w:szCs w:val="24"/>
        </w:rPr>
      </w:pPr>
    </w:p>
    <w:p w14:paraId="1792D37C">
      <w:pPr>
        <w:pStyle w:val="4"/>
        <w:spacing w:before="0" w:line="240" w:lineRule="auto"/>
        <w:ind w:left="0" w:firstLine="709"/>
        <w:contextualSpacing/>
        <w:rPr>
          <w:rFonts w:cs="Times New Roman"/>
          <w:b w:val="0"/>
          <w:sz w:val="24"/>
        </w:rPr>
      </w:pPr>
      <w:bookmarkStart w:id="262" w:name="_Toc524614803"/>
      <w:bookmarkStart w:id="263" w:name="_Toc182813934"/>
      <w:bookmarkStart w:id="264" w:name="_Toc524615019"/>
      <w:r>
        <w:rPr>
          <w:rFonts w:cs="Times New Roman"/>
          <w:b w:val="0"/>
          <w:sz w:val="24"/>
        </w:rPr>
        <w:t>Частота отключения потребителей</w:t>
      </w:r>
      <w:bookmarkEnd w:id="262"/>
      <w:bookmarkEnd w:id="263"/>
      <w:bookmarkEnd w:id="264"/>
    </w:p>
    <w:p w14:paraId="4773267F">
      <w:pPr>
        <w:spacing w:after="0" w:line="240" w:lineRule="auto"/>
        <w:contextualSpacing/>
        <w:jc w:val="both"/>
        <w:rPr>
          <w:sz w:val="24"/>
          <w:szCs w:val="24"/>
        </w:rPr>
      </w:pPr>
      <w:r>
        <w:rPr>
          <w:sz w:val="24"/>
          <w:szCs w:val="24"/>
        </w:rPr>
        <w:t>Серьёзных аварий, влияющих на качество оказания услуги теплоснабжения, не происходило. Котельные работают в штатном режиме.</w:t>
      </w:r>
    </w:p>
    <w:p w14:paraId="4C834F0E">
      <w:pPr>
        <w:spacing w:after="0" w:line="240" w:lineRule="auto"/>
        <w:contextualSpacing/>
        <w:jc w:val="both"/>
        <w:rPr>
          <w:sz w:val="24"/>
          <w:szCs w:val="24"/>
        </w:rPr>
      </w:pPr>
      <w:r>
        <w:rPr>
          <w:sz w:val="24"/>
          <w:szCs w:val="24"/>
        </w:rPr>
        <w:t>Также значения частоты отключения потребителей определены расчетом надежности в ПРК ZuluThermo 2021 и представлены в электронной модели систем теплоснабжения, являющихся неотъемлемой частью настоящей схемы.</w:t>
      </w:r>
    </w:p>
    <w:p w14:paraId="2D535D6D">
      <w:pPr>
        <w:spacing w:after="0" w:line="240" w:lineRule="auto"/>
        <w:contextualSpacing/>
        <w:jc w:val="both"/>
        <w:rPr>
          <w:sz w:val="24"/>
          <w:szCs w:val="24"/>
        </w:rPr>
      </w:pPr>
    </w:p>
    <w:p w14:paraId="75A8FD0E">
      <w:pPr>
        <w:pStyle w:val="4"/>
        <w:spacing w:before="0" w:line="240" w:lineRule="auto"/>
        <w:ind w:left="0" w:firstLine="709"/>
        <w:contextualSpacing/>
        <w:rPr>
          <w:rFonts w:cs="Times New Roman"/>
          <w:b w:val="0"/>
          <w:sz w:val="24"/>
        </w:rPr>
      </w:pPr>
      <w:bookmarkStart w:id="265" w:name="_Toc524614804"/>
      <w:bookmarkStart w:id="266" w:name="_Toc524615020"/>
      <w:bookmarkStart w:id="267" w:name="_Toc182813935"/>
      <w:r>
        <w:rPr>
          <w:rFonts w:cs="Times New Roman"/>
          <w:b w:val="0"/>
          <w:sz w:val="24"/>
        </w:rPr>
        <w:t>Поток (частота) и времени восстановления теплоснабжения потребителей после отключений</w:t>
      </w:r>
      <w:bookmarkEnd w:id="265"/>
      <w:bookmarkEnd w:id="266"/>
      <w:bookmarkEnd w:id="267"/>
    </w:p>
    <w:p w14:paraId="2DAA29ED">
      <w:pPr>
        <w:spacing w:after="0" w:line="240" w:lineRule="auto"/>
        <w:contextualSpacing/>
        <w:jc w:val="both"/>
        <w:rPr>
          <w:sz w:val="24"/>
          <w:szCs w:val="24"/>
        </w:rPr>
      </w:pPr>
      <w:r>
        <w:rPr>
          <w:sz w:val="24"/>
          <w:szCs w:val="24"/>
        </w:rPr>
        <w:t>Значения потока (частоты) и времени восстановления теплоснабжения потребителей после отключений определены расчетом надежности в ПРК ZuluThermo 2021 и представлены в электронной модели систем теплоснабжения, являющихся неотъемлемой частью настоящей схемы.</w:t>
      </w:r>
    </w:p>
    <w:p w14:paraId="3C89B6DA">
      <w:pPr>
        <w:spacing w:after="0" w:line="240" w:lineRule="auto"/>
        <w:contextualSpacing/>
        <w:jc w:val="both"/>
        <w:rPr>
          <w:sz w:val="24"/>
          <w:szCs w:val="24"/>
        </w:rPr>
      </w:pPr>
    </w:p>
    <w:p w14:paraId="10F37765">
      <w:pPr>
        <w:pStyle w:val="4"/>
        <w:spacing w:before="0" w:line="240" w:lineRule="auto"/>
        <w:ind w:left="0" w:firstLine="709"/>
        <w:contextualSpacing/>
        <w:rPr>
          <w:rFonts w:cs="Times New Roman"/>
          <w:b w:val="0"/>
          <w:sz w:val="24"/>
        </w:rPr>
      </w:pPr>
      <w:bookmarkStart w:id="268" w:name="_Toc524615021"/>
      <w:bookmarkStart w:id="269" w:name="_Toc524614805"/>
      <w:bookmarkStart w:id="270" w:name="_Toc182813936"/>
      <w:r>
        <w:rPr>
          <w:rFonts w:cs="Times New Roman"/>
          <w:b w:val="0"/>
          <w:sz w:val="24"/>
        </w:rPr>
        <w:t>Графические материалы (карты-схемы тепловых сетей и зон ненормативной надежности и безопасности теплоснабжения</w:t>
      </w:r>
      <w:bookmarkEnd w:id="268"/>
      <w:bookmarkEnd w:id="269"/>
      <w:r>
        <w:rPr>
          <w:rFonts w:cs="Times New Roman"/>
          <w:b w:val="0"/>
          <w:sz w:val="24"/>
        </w:rPr>
        <w:t>)</w:t>
      </w:r>
      <w:bookmarkEnd w:id="270"/>
    </w:p>
    <w:p w14:paraId="64DB1B6E">
      <w:pPr>
        <w:spacing w:after="0" w:line="240" w:lineRule="auto"/>
        <w:contextualSpacing/>
        <w:jc w:val="both"/>
        <w:rPr>
          <w:sz w:val="24"/>
          <w:szCs w:val="24"/>
        </w:rPr>
      </w:pPr>
      <w:r>
        <w:rPr>
          <w:sz w:val="24"/>
          <w:szCs w:val="24"/>
        </w:rPr>
        <w:t>Зоны ненормативной надежности по результатам расчета не выявлены, карты-схемы не приводятся.</w:t>
      </w:r>
    </w:p>
    <w:p w14:paraId="571CE9B4">
      <w:pPr>
        <w:spacing w:after="0" w:line="240" w:lineRule="auto"/>
        <w:contextualSpacing/>
        <w:jc w:val="both"/>
        <w:rPr>
          <w:sz w:val="24"/>
          <w:szCs w:val="24"/>
        </w:rPr>
      </w:pPr>
    </w:p>
    <w:p w14:paraId="64DB0A5C">
      <w:pPr>
        <w:pStyle w:val="4"/>
        <w:spacing w:before="0" w:line="240" w:lineRule="auto"/>
        <w:ind w:left="0" w:firstLine="709"/>
        <w:contextualSpacing/>
        <w:rPr>
          <w:rFonts w:cs="Times New Roman"/>
          <w:b w:val="0"/>
          <w:sz w:val="24"/>
        </w:rPr>
      </w:pPr>
      <w:bookmarkStart w:id="271" w:name="_Toc182813937"/>
      <w:r>
        <w:rPr>
          <w:rFonts w:cs="Times New Roman"/>
          <w:b w:val="0"/>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электроэнергетических системах России»</w:t>
      </w:r>
      <w:bookmarkEnd w:id="271"/>
    </w:p>
    <w:p w14:paraId="1AFBC07E">
      <w:pPr>
        <w:spacing w:after="0" w:line="240" w:lineRule="auto"/>
        <w:contextualSpacing/>
        <w:jc w:val="both"/>
        <w:rPr>
          <w:sz w:val="24"/>
          <w:szCs w:val="24"/>
        </w:rPr>
      </w:pPr>
      <w:r>
        <w:rPr>
          <w:sz w:val="24"/>
          <w:szCs w:val="24"/>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аварийных ситуаций, которые привели:</w:t>
      </w:r>
    </w:p>
    <w:p w14:paraId="5E4EAC79">
      <w:pPr>
        <w:spacing w:after="0" w:line="240" w:lineRule="auto"/>
        <w:contextualSpacing/>
        <w:jc w:val="both"/>
        <w:rPr>
          <w:sz w:val="24"/>
          <w:szCs w:val="24"/>
        </w:rPr>
      </w:pPr>
      <w:r>
        <w:rPr>
          <w:sz w:val="24"/>
          <w:szCs w:val="24"/>
        </w:rPr>
        <w:t>а) к прекращению теплоснабжения потребителей в отопительный период на срок более 24 часов;</w:t>
      </w:r>
    </w:p>
    <w:p w14:paraId="7801ED04">
      <w:pPr>
        <w:spacing w:after="0" w:line="240" w:lineRule="auto"/>
        <w:contextualSpacing/>
        <w:jc w:val="both"/>
        <w:rPr>
          <w:sz w:val="24"/>
          <w:szCs w:val="24"/>
        </w:rPr>
      </w:pPr>
      <w:r>
        <w:rPr>
          <w:sz w:val="24"/>
          <w:szCs w:val="24"/>
        </w:rPr>
        <w:t>6)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2A676C6D">
      <w:pPr>
        <w:spacing w:after="0" w:line="240" w:lineRule="auto"/>
        <w:contextualSpacing/>
        <w:jc w:val="both"/>
        <w:rPr>
          <w:sz w:val="24"/>
          <w:szCs w:val="24"/>
        </w:rPr>
      </w:pPr>
      <w:r>
        <w:rPr>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14:paraId="6B3D3FA5">
      <w:pPr>
        <w:spacing w:after="0" w:line="240" w:lineRule="auto"/>
        <w:contextualSpacing/>
        <w:jc w:val="both"/>
        <w:rPr>
          <w:sz w:val="24"/>
          <w:szCs w:val="24"/>
        </w:rPr>
      </w:pPr>
    </w:p>
    <w:p w14:paraId="250A1092">
      <w:pPr>
        <w:spacing w:after="0" w:line="240" w:lineRule="auto"/>
        <w:contextualSpacing/>
        <w:jc w:val="both"/>
        <w:rPr>
          <w:sz w:val="24"/>
          <w:szCs w:val="24"/>
        </w:rPr>
      </w:pPr>
      <w:r>
        <w:rPr>
          <w:sz w:val="24"/>
          <w:szCs w:val="24"/>
        </w:rPr>
        <w:t>Расследование причин аварийных ситуаций, не повлекших последствия, предусмотренные вышеперечисленным,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03F946FC">
      <w:pPr>
        <w:spacing w:after="0" w:line="240" w:lineRule="auto"/>
        <w:contextualSpacing/>
        <w:jc w:val="both"/>
        <w:rPr>
          <w:sz w:val="24"/>
          <w:szCs w:val="24"/>
        </w:rPr>
      </w:pPr>
      <w:r>
        <w:rPr>
          <w:sz w:val="24"/>
          <w:szCs w:val="24"/>
        </w:rPr>
        <w:t>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электроэнергетических системах России», в системе теплоснабжения не возникало.</w:t>
      </w:r>
    </w:p>
    <w:p w14:paraId="6106D024">
      <w:pPr>
        <w:spacing w:after="0" w:line="240" w:lineRule="auto"/>
        <w:contextualSpacing/>
        <w:jc w:val="both"/>
        <w:rPr>
          <w:sz w:val="24"/>
          <w:szCs w:val="24"/>
        </w:rPr>
      </w:pPr>
    </w:p>
    <w:p w14:paraId="101664FF">
      <w:pPr>
        <w:pStyle w:val="4"/>
        <w:keepNext/>
        <w:spacing w:before="0" w:line="240" w:lineRule="auto"/>
        <w:ind w:left="0" w:firstLine="709"/>
        <w:contextualSpacing/>
        <w:rPr>
          <w:rFonts w:cs="Times New Roman"/>
          <w:b w:val="0"/>
          <w:sz w:val="24"/>
        </w:rPr>
      </w:pPr>
      <w:bookmarkStart w:id="272" w:name="_Toc182813938"/>
      <w:r>
        <w:rPr>
          <w:rFonts w:cs="Times New Roman"/>
          <w:b w:val="0"/>
          <w:sz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272"/>
    </w:p>
    <w:p w14:paraId="37FC70FB">
      <w:pPr>
        <w:spacing w:after="0" w:line="240" w:lineRule="auto"/>
        <w:contextualSpacing/>
        <w:jc w:val="both"/>
        <w:rPr>
          <w:sz w:val="24"/>
          <w:szCs w:val="24"/>
        </w:rPr>
      </w:pPr>
      <w:r>
        <w:rPr>
          <w:sz w:val="24"/>
          <w:szCs w:val="24"/>
        </w:rPr>
        <w:t>Аварийные ситуации,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электроэнергетических системах России», в системе теплоснабжения не возникало.</w:t>
      </w:r>
    </w:p>
    <w:p w14:paraId="65EBB66F">
      <w:pPr>
        <w:spacing w:after="0" w:line="240" w:lineRule="auto"/>
        <w:contextualSpacing/>
        <w:jc w:val="both"/>
        <w:rPr>
          <w:sz w:val="24"/>
          <w:szCs w:val="24"/>
        </w:rPr>
      </w:pPr>
      <w:r>
        <w:rPr>
          <w:sz w:val="24"/>
          <w:szCs w:val="24"/>
        </w:rPr>
        <w:t>В рамках актуализации Схемы теплоснабжения разработан План действий по ликвидации последствий аварийных ситуаций с применением электронного моделирования системы теплоснабжения с.п. Верхнеказымский (Приложение 1).</w:t>
      </w:r>
    </w:p>
    <w:p w14:paraId="012B29DB">
      <w:pPr>
        <w:spacing w:after="0" w:line="240" w:lineRule="auto"/>
        <w:contextualSpacing/>
        <w:jc w:val="both"/>
        <w:rPr>
          <w:sz w:val="24"/>
          <w:szCs w:val="24"/>
        </w:rPr>
      </w:pPr>
    </w:p>
    <w:p w14:paraId="7F22D25C">
      <w:pPr>
        <w:pStyle w:val="4"/>
        <w:spacing w:before="0" w:line="240" w:lineRule="auto"/>
        <w:ind w:left="0" w:firstLine="709"/>
        <w:contextualSpacing/>
        <w:rPr>
          <w:rFonts w:cs="Times New Roman"/>
          <w:b w:val="0"/>
          <w:sz w:val="24"/>
        </w:rPr>
      </w:pPr>
      <w:bookmarkStart w:id="273" w:name="_Toc524614808"/>
      <w:bookmarkStart w:id="274" w:name="_Toc524615024"/>
      <w:bookmarkStart w:id="275" w:name="_Toc182813939"/>
      <w:bookmarkStart w:id="276" w:name="_Toc15640842"/>
      <w:bookmarkStart w:id="277" w:name="_Hlk15651345"/>
      <w:r>
        <w:rPr>
          <w:rFonts w:cs="Times New Roman"/>
          <w:b w:val="0"/>
          <w:sz w:val="24"/>
        </w:rPr>
        <w:t xml:space="preserve">Описание изменений </w:t>
      </w:r>
      <w:bookmarkEnd w:id="273"/>
      <w:bookmarkEnd w:id="274"/>
      <w:r>
        <w:rPr>
          <w:rFonts w:cs="Times New Roman"/>
          <w:b w:val="0"/>
          <w:sz w:val="24"/>
        </w:rP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bookmarkEnd w:id="275"/>
      <w:bookmarkEnd w:id="276"/>
    </w:p>
    <w:bookmarkEnd w:id="277"/>
    <w:p w14:paraId="0EFD2207">
      <w:pPr>
        <w:spacing w:after="0" w:line="240" w:lineRule="auto"/>
        <w:contextualSpacing/>
        <w:jc w:val="both"/>
        <w:rPr>
          <w:sz w:val="24"/>
          <w:szCs w:val="24"/>
        </w:rPr>
      </w:pPr>
      <w:r>
        <w:rPr>
          <w:sz w:val="24"/>
          <w:szCs w:val="24"/>
        </w:rPr>
        <w:t>Изменения в надежности теплоснабжения для каждой системы теплоснабжения, предшествующий разработке схемы теплоснабжения, не зафиксированы.</w:t>
      </w:r>
    </w:p>
    <w:p w14:paraId="5AFCBC3C">
      <w:pPr>
        <w:spacing w:after="0" w:line="240" w:lineRule="auto"/>
        <w:contextualSpacing/>
        <w:jc w:val="both"/>
        <w:rPr>
          <w:sz w:val="24"/>
          <w:szCs w:val="24"/>
        </w:rPr>
      </w:pPr>
    </w:p>
    <w:p w14:paraId="14397C69">
      <w:pPr>
        <w:pStyle w:val="3"/>
        <w:keepLines w:val="0"/>
        <w:pageBreakBefore/>
        <w:widowControl w:val="0"/>
        <w:spacing w:before="0" w:line="240" w:lineRule="auto"/>
        <w:ind w:left="0" w:firstLine="709"/>
        <w:contextualSpacing/>
        <w:rPr>
          <w:rFonts w:cs="Times New Roman"/>
          <w:b w:val="0"/>
          <w:sz w:val="24"/>
          <w:szCs w:val="24"/>
        </w:rPr>
      </w:pPr>
      <w:bookmarkStart w:id="278" w:name="_Toc524615025"/>
      <w:bookmarkStart w:id="279" w:name="_Toc182813940"/>
      <w:bookmarkStart w:id="280" w:name="_Toc524614809"/>
      <w:r>
        <w:rPr>
          <w:rFonts w:cs="Times New Roman"/>
          <w:b w:val="0"/>
          <w:sz w:val="24"/>
          <w:szCs w:val="24"/>
        </w:rPr>
        <w:t>Часть 10. Технико-экономические показатели теплоснабжающих и теплосетевых организаций</w:t>
      </w:r>
      <w:bookmarkEnd w:id="278"/>
      <w:bookmarkEnd w:id="279"/>
      <w:bookmarkEnd w:id="280"/>
    </w:p>
    <w:p w14:paraId="393F524F">
      <w:pPr>
        <w:pStyle w:val="4"/>
        <w:spacing w:before="0" w:line="240" w:lineRule="auto"/>
        <w:ind w:left="0" w:firstLine="709"/>
        <w:contextualSpacing/>
        <w:rPr>
          <w:rFonts w:cs="Times New Roman"/>
          <w:b w:val="0"/>
          <w:sz w:val="24"/>
        </w:rPr>
      </w:pPr>
      <w:bookmarkStart w:id="281" w:name="_Toc15640844"/>
      <w:bookmarkStart w:id="282" w:name="_Toc524614810"/>
      <w:bookmarkStart w:id="283" w:name="_Toc524615026"/>
      <w:bookmarkStart w:id="284" w:name="_Toc182813941"/>
      <w:bookmarkStart w:id="285" w:name="_Hlk15651361"/>
      <w:r>
        <w:rPr>
          <w:rFonts w:cs="Times New Roman"/>
          <w:b w:val="0"/>
          <w:sz w:val="24"/>
        </w:rPr>
        <w:t>Описание показателей хозяйственной деятельности теплоснабжающих и теплосетевых организаций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w:t>
      </w:r>
      <w:bookmarkEnd w:id="281"/>
      <w:bookmarkEnd w:id="282"/>
      <w:bookmarkEnd w:id="283"/>
      <w:r>
        <w:rPr>
          <w:rFonts w:cs="Times New Roman"/>
          <w:b w:val="0"/>
          <w:sz w:val="24"/>
        </w:rPr>
        <w:t xml:space="preserve"> и органами регулирования</w:t>
      </w:r>
      <w:bookmarkEnd w:id="284"/>
    </w:p>
    <w:bookmarkEnd w:id="285"/>
    <w:p w14:paraId="3F330599">
      <w:pPr>
        <w:pStyle w:val="58"/>
        <w:widowControl w:val="0"/>
        <w:spacing w:before="0" w:after="0" w:line="240" w:lineRule="auto"/>
        <w:ind w:firstLine="709"/>
        <w:contextualSpacing/>
        <w:rPr>
          <w:sz w:val="24"/>
          <w:szCs w:val="24"/>
        </w:rPr>
      </w:pPr>
      <w:r>
        <w:rPr>
          <w:sz w:val="24"/>
          <w:szCs w:val="24"/>
        </w:rPr>
        <w:t>Функциональная структура теплоснабжения с.п. Верхнеказымский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4C9E1BA2">
      <w:pPr>
        <w:spacing w:after="0" w:line="240" w:lineRule="auto"/>
        <w:contextualSpacing/>
        <w:jc w:val="both"/>
        <w:rPr>
          <w:sz w:val="24"/>
          <w:szCs w:val="24"/>
        </w:rPr>
      </w:pPr>
      <w:r>
        <w:rPr>
          <w:sz w:val="24"/>
          <w:szCs w:val="24"/>
        </w:rPr>
        <w:t>Зоной действия источника теплоснабжения является территория с.п. Верхнеказымский или ее часть, границы которой устанавливаются закрытыми секционирующими задвижками тепловой сети системы теплоснабжения.</w:t>
      </w:r>
    </w:p>
    <w:p w14:paraId="307DDFEE">
      <w:pPr>
        <w:pStyle w:val="58"/>
        <w:widowControl w:val="0"/>
        <w:spacing w:before="0" w:after="0" w:line="240" w:lineRule="auto"/>
        <w:ind w:firstLine="709"/>
        <w:contextualSpacing/>
        <w:rPr>
          <w:sz w:val="24"/>
          <w:szCs w:val="24"/>
        </w:rPr>
      </w:pPr>
      <w:r>
        <w:rPr>
          <w:sz w:val="24"/>
          <w:szCs w:val="24"/>
        </w:rPr>
        <w:t>В с.п. Верхнеказымский преобладает централизованное теплоснабжение от крупных котельных, в эксплуатации организаций:</w:t>
      </w:r>
    </w:p>
    <w:p w14:paraId="664CFEFE">
      <w:pPr>
        <w:pStyle w:val="153"/>
        <w:numPr>
          <w:ilvl w:val="0"/>
          <w:numId w:val="37"/>
        </w:numPr>
        <w:tabs>
          <w:tab w:val="left" w:pos="1134"/>
        </w:tabs>
        <w:ind w:left="0" w:firstLine="709"/>
        <w:rPr>
          <w:rFonts w:eastAsia="Arial"/>
          <w:spacing w:val="-5"/>
          <w:sz w:val="24"/>
          <w:szCs w:val="24"/>
        </w:rPr>
      </w:pPr>
      <w:r>
        <w:rPr>
          <w:rFonts w:eastAsia="Arial"/>
          <w:spacing w:val="-5"/>
          <w:sz w:val="24"/>
          <w:szCs w:val="24"/>
        </w:rPr>
        <w:t>МУП «БКС»;</w:t>
      </w:r>
    </w:p>
    <w:p w14:paraId="35C0647F">
      <w:pPr>
        <w:pStyle w:val="153"/>
        <w:numPr>
          <w:ilvl w:val="0"/>
          <w:numId w:val="37"/>
        </w:numPr>
        <w:tabs>
          <w:tab w:val="left" w:pos="1134"/>
        </w:tabs>
        <w:ind w:left="0" w:firstLine="709"/>
        <w:rPr>
          <w:rFonts w:eastAsia="Arial"/>
          <w:spacing w:val="-5"/>
          <w:sz w:val="24"/>
          <w:szCs w:val="24"/>
        </w:rPr>
      </w:pPr>
      <w:r>
        <w:rPr>
          <w:rFonts w:eastAsia="Arial"/>
          <w:spacing w:val="-5"/>
          <w:sz w:val="24"/>
          <w:szCs w:val="24"/>
        </w:rPr>
        <w:t>ООО «Газпром трансгаз Югорск» Верхнеказымское ЛПУ МГ.</w:t>
      </w:r>
    </w:p>
    <w:p w14:paraId="1F2F0C73">
      <w:pPr>
        <w:spacing w:after="0" w:line="240" w:lineRule="auto"/>
        <w:contextualSpacing/>
        <w:jc w:val="both"/>
        <w:rPr>
          <w:sz w:val="24"/>
          <w:szCs w:val="24"/>
        </w:rPr>
      </w:pPr>
    </w:p>
    <w:p w14:paraId="4F83DAD3">
      <w:pPr>
        <w:spacing w:after="0" w:line="240" w:lineRule="auto"/>
        <w:contextualSpacing/>
        <w:jc w:val="both"/>
        <w:rPr>
          <w:sz w:val="24"/>
          <w:szCs w:val="24"/>
        </w:rPr>
      </w:pPr>
      <w:r>
        <w:rPr>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4BDAC7E0">
      <w:pPr>
        <w:spacing w:after="0" w:line="240" w:lineRule="auto"/>
        <w:contextualSpacing/>
        <w:jc w:val="both"/>
        <w:rPr>
          <w:sz w:val="24"/>
          <w:szCs w:val="24"/>
        </w:rPr>
      </w:pPr>
      <w:r>
        <w:rPr>
          <w:sz w:val="24"/>
          <w:szCs w:val="24"/>
        </w:rPr>
        <w:t>а)</w:t>
      </w:r>
      <w:r>
        <w:rPr>
          <w:sz w:val="24"/>
          <w:szCs w:val="24"/>
        </w:rPr>
        <w:tab/>
      </w:r>
      <w:r>
        <w:rPr>
          <w:sz w:val="24"/>
          <w:szCs w:val="24"/>
        </w:rPr>
        <w:t>о ценах (тарифах) на регулируемые товары и услуги и надбавках к этим ценам (тарифам);</w:t>
      </w:r>
    </w:p>
    <w:p w14:paraId="00F8DE58">
      <w:pPr>
        <w:spacing w:after="0" w:line="240" w:lineRule="auto"/>
        <w:contextualSpacing/>
        <w:jc w:val="both"/>
        <w:rPr>
          <w:sz w:val="24"/>
          <w:szCs w:val="24"/>
        </w:rPr>
      </w:pPr>
      <w:r>
        <w:rPr>
          <w:sz w:val="24"/>
          <w:szCs w:val="24"/>
        </w:rPr>
        <w:t>б)</w:t>
      </w:r>
      <w:r>
        <w:rPr>
          <w:sz w:val="24"/>
          <w:szCs w:val="24"/>
        </w:rPr>
        <w:tab/>
      </w:r>
      <w:r>
        <w:rPr>
          <w:sz w:val="24"/>
          <w:szCs w:val="24"/>
        </w:rP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6C3DF33B">
      <w:pPr>
        <w:spacing w:after="0" w:line="240" w:lineRule="auto"/>
        <w:contextualSpacing/>
        <w:jc w:val="both"/>
        <w:rPr>
          <w:sz w:val="24"/>
          <w:szCs w:val="24"/>
        </w:rPr>
      </w:pPr>
      <w:r>
        <w:rPr>
          <w:sz w:val="24"/>
          <w:szCs w:val="24"/>
        </w:rPr>
        <w:t>в)</w:t>
      </w:r>
      <w:r>
        <w:rPr>
          <w:sz w:val="24"/>
          <w:szCs w:val="24"/>
        </w:rPr>
        <w:tab/>
      </w:r>
      <w:r>
        <w:rPr>
          <w:sz w:val="24"/>
          <w:szCs w:val="24"/>
        </w:rP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07B7B23E">
      <w:pPr>
        <w:spacing w:after="0" w:line="240" w:lineRule="auto"/>
        <w:contextualSpacing/>
        <w:jc w:val="both"/>
        <w:rPr>
          <w:sz w:val="24"/>
          <w:szCs w:val="24"/>
        </w:rPr>
      </w:pPr>
      <w:r>
        <w:rPr>
          <w:sz w:val="24"/>
          <w:szCs w:val="24"/>
        </w:rPr>
        <w:t>г)</w:t>
      </w:r>
      <w:r>
        <w:rPr>
          <w:sz w:val="24"/>
          <w:szCs w:val="24"/>
        </w:rPr>
        <w:tab/>
      </w:r>
      <w:r>
        <w:rPr>
          <w:sz w:val="24"/>
          <w:szCs w:val="24"/>
        </w:rPr>
        <w:t>об инвестиционных программах и отчетах об их реализации;</w:t>
      </w:r>
    </w:p>
    <w:p w14:paraId="5688A2A8">
      <w:pPr>
        <w:spacing w:after="0" w:line="240" w:lineRule="auto"/>
        <w:contextualSpacing/>
        <w:jc w:val="both"/>
        <w:rPr>
          <w:sz w:val="24"/>
          <w:szCs w:val="24"/>
        </w:rPr>
      </w:pPr>
      <w:r>
        <w:rPr>
          <w:sz w:val="24"/>
          <w:szCs w:val="24"/>
        </w:rPr>
        <w:t>д)</w:t>
      </w:r>
      <w:r>
        <w:rPr>
          <w:sz w:val="24"/>
          <w:szCs w:val="24"/>
        </w:rPr>
        <w:tab/>
      </w:r>
      <w:r>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742C132A">
      <w:pPr>
        <w:spacing w:after="0" w:line="240" w:lineRule="auto"/>
        <w:contextualSpacing/>
        <w:jc w:val="both"/>
        <w:rPr>
          <w:sz w:val="24"/>
          <w:szCs w:val="24"/>
        </w:rPr>
      </w:pPr>
      <w:r>
        <w:rPr>
          <w:sz w:val="24"/>
          <w:szCs w:val="24"/>
        </w:rPr>
        <w:t>е)</w:t>
      </w:r>
      <w:r>
        <w:rPr>
          <w:sz w:val="24"/>
          <w:szCs w:val="24"/>
        </w:rPr>
        <w:tab/>
      </w:r>
      <w:r>
        <w:rPr>
          <w:sz w:val="24"/>
          <w:szCs w:val="24"/>
        </w:rPr>
        <w:t>об условиях, на которых осуществляется поставка регулируемых товаров и (или) оказание регулируемых услуг;</w:t>
      </w:r>
    </w:p>
    <w:p w14:paraId="2704CB82">
      <w:pPr>
        <w:spacing w:after="0" w:line="240" w:lineRule="auto"/>
        <w:contextualSpacing/>
        <w:jc w:val="both"/>
        <w:rPr>
          <w:sz w:val="24"/>
          <w:szCs w:val="24"/>
        </w:rPr>
      </w:pPr>
      <w:r>
        <w:rPr>
          <w:sz w:val="24"/>
          <w:szCs w:val="24"/>
        </w:rPr>
        <w:t>ж)</w:t>
      </w:r>
      <w:r>
        <w:rPr>
          <w:sz w:val="24"/>
          <w:szCs w:val="24"/>
        </w:rPr>
        <w:tab/>
      </w:r>
      <w:r>
        <w:rPr>
          <w:sz w:val="24"/>
          <w:szCs w:val="24"/>
        </w:rPr>
        <w:t>о порядке выполнения технологических, технических и других мероприятий, связанных с подключением к системе теплоснабжения.</w:t>
      </w:r>
    </w:p>
    <w:p w14:paraId="4341D954">
      <w:pPr>
        <w:spacing w:after="0" w:line="240" w:lineRule="auto"/>
        <w:contextualSpacing/>
        <w:jc w:val="both"/>
        <w:rPr>
          <w:sz w:val="24"/>
          <w:szCs w:val="24"/>
        </w:rPr>
      </w:pPr>
    </w:p>
    <w:p w14:paraId="62D21910">
      <w:pPr>
        <w:spacing w:after="0" w:line="240" w:lineRule="auto"/>
        <w:contextualSpacing/>
        <w:jc w:val="both"/>
        <w:rPr>
          <w:sz w:val="24"/>
          <w:szCs w:val="24"/>
        </w:rPr>
      </w:pPr>
      <w:r>
        <w:rPr>
          <w:sz w:val="24"/>
          <w:szCs w:val="24"/>
        </w:rPr>
        <w:t xml:space="preserve">МУП «БКС» и </w:t>
      </w:r>
      <w:r>
        <w:rPr>
          <w:rFonts w:eastAsia="Arial"/>
          <w:spacing w:val="-5"/>
          <w:sz w:val="24"/>
          <w:szCs w:val="24"/>
        </w:rPr>
        <w:t xml:space="preserve">ООО «Газпром трансгаз Югорск» </w:t>
      </w:r>
      <w:r>
        <w:rPr>
          <w:sz w:val="24"/>
          <w:szCs w:val="24"/>
        </w:rPr>
        <w:t>раскрывают информацию путем опубликования на официальном сайте в сети «Интернет» органа исполнительной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в случае и объемах, которые предусмотрены Стандартами.</w:t>
      </w:r>
    </w:p>
    <w:p w14:paraId="6583A8F7">
      <w:pPr>
        <w:spacing w:after="0" w:line="240" w:lineRule="auto"/>
        <w:contextualSpacing/>
        <w:jc w:val="both"/>
        <w:rPr>
          <w:sz w:val="24"/>
          <w:szCs w:val="24"/>
        </w:rPr>
      </w:pPr>
      <w:r>
        <w:rPr>
          <w:sz w:val="24"/>
          <w:szCs w:val="24"/>
        </w:rPr>
        <w:t xml:space="preserve">Основные технико-экономические показатели деятельности МУП «БКС» и </w:t>
      </w:r>
      <w:r>
        <w:rPr>
          <w:rFonts w:eastAsia="Arial"/>
          <w:spacing w:val="-5"/>
          <w:sz w:val="24"/>
          <w:szCs w:val="24"/>
        </w:rPr>
        <w:t xml:space="preserve">ООО «Газпром трансгаз Югорск» </w:t>
      </w:r>
      <w:r>
        <w:rPr>
          <w:sz w:val="24"/>
          <w:szCs w:val="24"/>
        </w:rPr>
        <w:t>за 2023 г., приведены в таблицах 40-41.</w:t>
      </w:r>
    </w:p>
    <w:p w14:paraId="0198D8F0">
      <w:pPr>
        <w:widowControl w:val="0"/>
        <w:spacing w:after="0" w:line="240" w:lineRule="auto"/>
        <w:ind w:firstLine="0"/>
        <w:contextualSpacing/>
        <w:jc w:val="both"/>
        <w:rPr>
          <w:sz w:val="24"/>
          <w:szCs w:val="24"/>
        </w:rPr>
      </w:pPr>
    </w:p>
    <w:p w14:paraId="4608658B">
      <w:pPr>
        <w:pStyle w:val="43"/>
        <w:widowControl w:val="0"/>
        <w:spacing w:before="0" w:after="0" w:line="240" w:lineRule="auto"/>
        <w:ind w:firstLine="0"/>
        <w:contextualSpacing/>
        <w:rPr>
          <w:rFonts w:cs="Times New Roman"/>
          <w:b w:val="0"/>
          <w:sz w:val="24"/>
          <w:szCs w:val="24"/>
        </w:rPr>
      </w:pPr>
      <w:bookmarkStart w:id="286" w:name="_Hlk181694753"/>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40</w:t>
      </w:r>
      <w:r>
        <w:rPr>
          <w:rFonts w:cs="Times New Roman"/>
          <w:b w:val="0"/>
          <w:sz w:val="24"/>
          <w:szCs w:val="24"/>
        </w:rPr>
        <w:fldChar w:fldCharType="end"/>
      </w:r>
      <w:r>
        <w:rPr>
          <w:rFonts w:cs="Times New Roman"/>
          <w:b w:val="0"/>
          <w:sz w:val="24"/>
          <w:szCs w:val="24"/>
        </w:rPr>
        <w:t xml:space="preserve"> – Результаты финансово-хозяйственной деятельности МУП «БКС»</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6"/>
        <w:gridCol w:w="857"/>
        <w:gridCol w:w="1421"/>
      </w:tblGrid>
      <w:tr w14:paraId="298D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825" w:type="pct"/>
            <w:shd w:val="clear" w:color="auto" w:fill="auto"/>
            <w:noWrap/>
            <w:tcMar>
              <w:left w:w="28" w:type="dxa"/>
              <w:right w:w="28" w:type="dxa"/>
            </w:tcMar>
            <w:vAlign w:val="center"/>
          </w:tcPr>
          <w:p w14:paraId="219872AE">
            <w:pPr>
              <w:spacing w:after="0" w:line="240" w:lineRule="auto"/>
              <w:ind w:firstLine="0"/>
              <w:contextualSpacing/>
              <w:jc w:val="center"/>
              <w:rPr>
                <w:bCs/>
                <w:color w:val="000000"/>
                <w:sz w:val="20"/>
                <w:szCs w:val="20"/>
              </w:rPr>
            </w:pPr>
            <w:r>
              <w:rPr>
                <w:bCs/>
                <w:color w:val="000000"/>
                <w:sz w:val="20"/>
                <w:szCs w:val="20"/>
              </w:rPr>
              <w:t>Наименование показателя</w:t>
            </w:r>
          </w:p>
        </w:tc>
        <w:tc>
          <w:tcPr>
            <w:tcW w:w="442" w:type="pct"/>
            <w:shd w:val="clear" w:color="auto" w:fill="auto"/>
            <w:noWrap/>
            <w:tcMar>
              <w:left w:w="28" w:type="dxa"/>
              <w:right w:w="28" w:type="dxa"/>
            </w:tcMar>
            <w:vAlign w:val="center"/>
          </w:tcPr>
          <w:p w14:paraId="23E16724">
            <w:pPr>
              <w:spacing w:after="0" w:line="240" w:lineRule="auto"/>
              <w:ind w:firstLine="0"/>
              <w:contextualSpacing/>
              <w:jc w:val="center"/>
              <w:rPr>
                <w:bCs/>
                <w:color w:val="000000"/>
                <w:sz w:val="20"/>
                <w:szCs w:val="20"/>
              </w:rPr>
            </w:pPr>
            <w:r>
              <w:rPr>
                <w:bCs/>
                <w:color w:val="000000"/>
                <w:sz w:val="20"/>
                <w:szCs w:val="20"/>
              </w:rPr>
              <w:t>Код</w:t>
            </w:r>
          </w:p>
        </w:tc>
        <w:tc>
          <w:tcPr>
            <w:tcW w:w="733" w:type="pct"/>
            <w:shd w:val="clear" w:color="auto" w:fill="auto"/>
            <w:noWrap/>
            <w:tcMar>
              <w:left w:w="28" w:type="dxa"/>
              <w:right w:w="28" w:type="dxa"/>
            </w:tcMar>
            <w:vAlign w:val="center"/>
          </w:tcPr>
          <w:p w14:paraId="0C151E7C">
            <w:pPr>
              <w:spacing w:after="0" w:line="240" w:lineRule="auto"/>
              <w:ind w:firstLine="0"/>
              <w:contextualSpacing/>
              <w:jc w:val="center"/>
              <w:rPr>
                <w:bCs/>
                <w:color w:val="000000"/>
                <w:sz w:val="20"/>
                <w:szCs w:val="20"/>
              </w:rPr>
            </w:pPr>
            <w:r>
              <w:rPr>
                <w:bCs/>
                <w:color w:val="000000"/>
                <w:sz w:val="20"/>
                <w:szCs w:val="20"/>
              </w:rPr>
              <w:t>31.12.23</w:t>
            </w:r>
          </w:p>
        </w:tc>
      </w:tr>
      <w:tr w14:paraId="1DBB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41CB07F0">
            <w:pPr>
              <w:spacing w:after="0" w:line="240" w:lineRule="auto"/>
              <w:ind w:firstLine="0"/>
              <w:contextualSpacing/>
              <w:jc w:val="center"/>
              <w:rPr>
                <w:bCs/>
                <w:color w:val="000000"/>
                <w:sz w:val="20"/>
                <w:szCs w:val="20"/>
              </w:rPr>
            </w:pPr>
            <w:r>
              <w:rPr>
                <w:bCs/>
                <w:color w:val="000000"/>
                <w:sz w:val="20"/>
                <w:szCs w:val="20"/>
              </w:rPr>
              <w:t>АКТИВ</w:t>
            </w:r>
          </w:p>
        </w:tc>
      </w:tr>
      <w:tr w14:paraId="3DE6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3204144C">
            <w:pPr>
              <w:spacing w:after="0" w:line="240" w:lineRule="auto"/>
              <w:ind w:firstLine="0"/>
              <w:contextualSpacing/>
              <w:jc w:val="center"/>
              <w:rPr>
                <w:bCs/>
                <w:color w:val="000000"/>
                <w:sz w:val="20"/>
                <w:szCs w:val="20"/>
              </w:rPr>
            </w:pPr>
            <w:r>
              <w:rPr>
                <w:bCs/>
                <w:color w:val="000000"/>
                <w:sz w:val="20"/>
                <w:szCs w:val="20"/>
              </w:rPr>
              <w:t>I. ВНЕОБОРОТНЫЕ АКТИВЫ</w:t>
            </w:r>
          </w:p>
        </w:tc>
      </w:tr>
      <w:tr w14:paraId="5AEC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F32BF00">
            <w:pPr>
              <w:spacing w:after="0" w:line="240" w:lineRule="auto"/>
              <w:ind w:firstLine="0"/>
              <w:contextualSpacing/>
              <w:rPr>
                <w:color w:val="000000"/>
                <w:sz w:val="20"/>
                <w:szCs w:val="20"/>
              </w:rPr>
            </w:pPr>
            <w:r>
              <w:rPr>
                <w:color w:val="000000"/>
                <w:sz w:val="20"/>
                <w:szCs w:val="20"/>
              </w:rPr>
              <w:t>Нематериальные активы</w:t>
            </w:r>
          </w:p>
        </w:tc>
        <w:tc>
          <w:tcPr>
            <w:tcW w:w="442" w:type="pct"/>
            <w:shd w:val="clear" w:color="auto" w:fill="auto"/>
            <w:noWrap/>
            <w:tcMar>
              <w:left w:w="28" w:type="dxa"/>
              <w:right w:w="28" w:type="dxa"/>
            </w:tcMar>
            <w:vAlign w:val="center"/>
          </w:tcPr>
          <w:p w14:paraId="072F4B4E">
            <w:pPr>
              <w:spacing w:after="0" w:line="240" w:lineRule="auto"/>
              <w:ind w:firstLine="0"/>
              <w:contextualSpacing/>
              <w:jc w:val="center"/>
              <w:rPr>
                <w:color w:val="000000"/>
                <w:sz w:val="20"/>
                <w:szCs w:val="20"/>
              </w:rPr>
            </w:pPr>
            <w:r>
              <w:rPr>
                <w:color w:val="000000"/>
                <w:sz w:val="20"/>
                <w:szCs w:val="20"/>
              </w:rPr>
              <w:t>1110</w:t>
            </w:r>
          </w:p>
        </w:tc>
        <w:tc>
          <w:tcPr>
            <w:tcW w:w="733" w:type="pct"/>
            <w:shd w:val="clear" w:color="auto" w:fill="auto"/>
            <w:noWrap/>
            <w:tcMar>
              <w:left w:w="28" w:type="dxa"/>
              <w:right w:w="28" w:type="dxa"/>
            </w:tcMar>
            <w:vAlign w:val="center"/>
          </w:tcPr>
          <w:p w14:paraId="39BC9C3A">
            <w:pPr>
              <w:spacing w:after="0" w:line="240" w:lineRule="auto"/>
              <w:ind w:firstLine="0"/>
              <w:contextualSpacing/>
              <w:jc w:val="center"/>
              <w:rPr>
                <w:color w:val="000000"/>
                <w:sz w:val="20"/>
                <w:szCs w:val="20"/>
              </w:rPr>
            </w:pPr>
            <w:r>
              <w:rPr>
                <w:color w:val="000000"/>
                <w:sz w:val="20"/>
                <w:szCs w:val="20"/>
              </w:rPr>
              <w:t>-</w:t>
            </w:r>
          </w:p>
        </w:tc>
      </w:tr>
      <w:tr w14:paraId="111D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1DCBE88">
            <w:pPr>
              <w:spacing w:after="0" w:line="240" w:lineRule="auto"/>
              <w:ind w:firstLine="0"/>
              <w:contextualSpacing/>
              <w:rPr>
                <w:color w:val="000000"/>
                <w:sz w:val="20"/>
                <w:szCs w:val="20"/>
              </w:rPr>
            </w:pPr>
            <w:r>
              <w:rPr>
                <w:color w:val="000000"/>
                <w:sz w:val="20"/>
                <w:szCs w:val="20"/>
              </w:rPr>
              <w:t>Результаты исследований и разработок</w:t>
            </w:r>
          </w:p>
        </w:tc>
        <w:tc>
          <w:tcPr>
            <w:tcW w:w="442" w:type="pct"/>
            <w:shd w:val="clear" w:color="auto" w:fill="auto"/>
            <w:noWrap/>
            <w:tcMar>
              <w:left w:w="28" w:type="dxa"/>
              <w:right w:w="28" w:type="dxa"/>
            </w:tcMar>
            <w:vAlign w:val="center"/>
          </w:tcPr>
          <w:p w14:paraId="33DFF8EA">
            <w:pPr>
              <w:spacing w:after="0" w:line="240" w:lineRule="auto"/>
              <w:ind w:firstLine="0"/>
              <w:contextualSpacing/>
              <w:jc w:val="center"/>
              <w:rPr>
                <w:color w:val="000000"/>
                <w:sz w:val="20"/>
                <w:szCs w:val="20"/>
              </w:rPr>
            </w:pPr>
            <w:r>
              <w:rPr>
                <w:color w:val="000000"/>
                <w:sz w:val="20"/>
                <w:szCs w:val="20"/>
              </w:rPr>
              <w:t>1120</w:t>
            </w:r>
          </w:p>
        </w:tc>
        <w:tc>
          <w:tcPr>
            <w:tcW w:w="733" w:type="pct"/>
            <w:shd w:val="clear" w:color="auto" w:fill="auto"/>
            <w:noWrap/>
            <w:tcMar>
              <w:left w:w="28" w:type="dxa"/>
              <w:right w:w="28" w:type="dxa"/>
            </w:tcMar>
            <w:vAlign w:val="center"/>
          </w:tcPr>
          <w:p w14:paraId="78884DFC">
            <w:pPr>
              <w:spacing w:after="0" w:line="240" w:lineRule="auto"/>
              <w:ind w:firstLine="0"/>
              <w:contextualSpacing/>
              <w:jc w:val="center"/>
              <w:rPr>
                <w:color w:val="000000"/>
                <w:sz w:val="20"/>
                <w:szCs w:val="20"/>
              </w:rPr>
            </w:pPr>
            <w:r>
              <w:rPr>
                <w:color w:val="000000"/>
                <w:sz w:val="20"/>
                <w:szCs w:val="20"/>
              </w:rPr>
              <w:t>-</w:t>
            </w:r>
          </w:p>
        </w:tc>
      </w:tr>
      <w:tr w14:paraId="4C42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289BFB3">
            <w:pPr>
              <w:spacing w:after="0" w:line="240" w:lineRule="auto"/>
              <w:ind w:firstLine="0"/>
              <w:contextualSpacing/>
              <w:rPr>
                <w:color w:val="000000"/>
                <w:sz w:val="20"/>
                <w:szCs w:val="20"/>
              </w:rPr>
            </w:pPr>
            <w:r>
              <w:rPr>
                <w:color w:val="000000"/>
                <w:sz w:val="20"/>
                <w:szCs w:val="20"/>
              </w:rPr>
              <w:t>Нематериальные поисковые активы</w:t>
            </w:r>
          </w:p>
        </w:tc>
        <w:tc>
          <w:tcPr>
            <w:tcW w:w="442" w:type="pct"/>
            <w:shd w:val="clear" w:color="auto" w:fill="auto"/>
            <w:noWrap/>
            <w:tcMar>
              <w:left w:w="28" w:type="dxa"/>
              <w:right w:w="28" w:type="dxa"/>
            </w:tcMar>
            <w:vAlign w:val="center"/>
          </w:tcPr>
          <w:p w14:paraId="2CA1819D">
            <w:pPr>
              <w:spacing w:after="0" w:line="240" w:lineRule="auto"/>
              <w:ind w:firstLine="0"/>
              <w:contextualSpacing/>
              <w:jc w:val="center"/>
              <w:rPr>
                <w:color w:val="000000"/>
                <w:sz w:val="20"/>
                <w:szCs w:val="20"/>
              </w:rPr>
            </w:pPr>
            <w:r>
              <w:rPr>
                <w:color w:val="000000"/>
                <w:sz w:val="20"/>
                <w:szCs w:val="20"/>
              </w:rPr>
              <w:t>1130</w:t>
            </w:r>
          </w:p>
        </w:tc>
        <w:tc>
          <w:tcPr>
            <w:tcW w:w="733" w:type="pct"/>
            <w:shd w:val="clear" w:color="auto" w:fill="auto"/>
            <w:noWrap/>
            <w:tcMar>
              <w:left w:w="28" w:type="dxa"/>
              <w:right w:w="28" w:type="dxa"/>
            </w:tcMar>
            <w:vAlign w:val="center"/>
          </w:tcPr>
          <w:p w14:paraId="09598627">
            <w:pPr>
              <w:spacing w:after="0" w:line="240" w:lineRule="auto"/>
              <w:ind w:firstLine="0"/>
              <w:contextualSpacing/>
              <w:jc w:val="center"/>
              <w:rPr>
                <w:color w:val="000000"/>
                <w:sz w:val="20"/>
                <w:szCs w:val="20"/>
              </w:rPr>
            </w:pPr>
            <w:r>
              <w:rPr>
                <w:color w:val="000000"/>
                <w:sz w:val="20"/>
                <w:szCs w:val="20"/>
              </w:rPr>
              <w:t>-</w:t>
            </w:r>
          </w:p>
        </w:tc>
      </w:tr>
      <w:tr w14:paraId="13DC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5BBB0BA">
            <w:pPr>
              <w:spacing w:after="0" w:line="240" w:lineRule="auto"/>
              <w:ind w:firstLine="0"/>
              <w:contextualSpacing/>
              <w:rPr>
                <w:color w:val="000000"/>
                <w:sz w:val="20"/>
                <w:szCs w:val="20"/>
              </w:rPr>
            </w:pPr>
            <w:r>
              <w:rPr>
                <w:color w:val="000000"/>
                <w:sz w:val="20"/>
                <w:szCs w:val="20"/>
              </w:rPr>
              <w:t>Материальные поисковые активы</w:t>
            </w:r>
          </w:p>
        </w:tc>
        <w:tc>
          <w:tcPr>
            <w:tcW w:w="442" w:type="pct"/>
            <w:shd w:val="clear" w:color="auto" w:fill="auto"/>
            <w:noWrap/>
            <w:tcMar>
              <w:left w:w="28" w:type="dxa"/>
              <w:right w:w="28" w:type="dxa"/>
            </w:tcMar>
            <w:vAlign w:val="center"/>
          </w:tcPr>
          <w:p w14:paraId="72D437DD">
            <w:pPr>
              <w:spacing w:after="0" w:line="240" w:lineRule="auto"/>
              <w:ind w:firstLine="0"/>
              <w:contextualSpacing/>
              <w:jc w:val="center"/>
              <w:rPr>
                <w:color w:val="000000"/>
                <w:sz w:val="20"/>
                <w:szCs w:val="20"/>
              </w:rPr>
            </w:pPr>
            <w:r>
              <w:rPr>
                <w:color w:val="000000"/>
                <w:sz w:val="20"/>
                <w:szCs w:val="20"/>
              </w:rPr>
              <w:t>1140</w:t>
            </w:r>
          </w:p>
        </w:tc>
        <w:tc>
          <w:tcPr>
            <w:tcW w:w="733" w:type="pct"/>
            <w:shd w:val="clear" w:color="auto" w:fill="auto"/>
            <w:noWrap/>
            <w:tcMar>
              <w:left w:w="28" w:type="dxa"/>
              <w:right w:w="28" w:type="dxa"/>
            </w:tcMar>
            <w:vAlign w:val="center"/>
          </w:tcPr>
          <w:p w14:paraId="7110891A">
            <w:pPr>
              <w:spacing w:after="0" w:line="240" w:lineRule="auto"/>
              <w:ind w:firstLine="0"/>
              <w:contextualSpacing/>
              <w:jc w:val="center"/>
              <w:rPr>
                <w:color w:val="000000"/>
                <w:sz w:val="20"/>
                <w:szCs w:val="20"/>
              </w:rPr>
            </w:pPr>
            <w:r>
              <w:rPr>
                <w:color w:val="000000"/>
                <w:sz w:val="20"/>
                <w:szCs w:val="20"/>
              </w:rPr>
              <w:t>-</w:t>
            </w:r>
          </w:p>
        </w:tc>
      </w:tr>
      <w:tr w14:paraId="56F5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21CA108">
            <w:pPr>
              <w:spacing w:after="0" w:line="240" w:lineRule="auto"/>
              <w:ind w:firstLine="0"/>
              <w:contextualSpacing/>
              <w:rPr>
                <w:color w:val="000000"/>
                <w:sz w:val="20"/>
                <w:szCs w:val="20"/>
              </w:rPr>
            </w:pPr>
            <w:r>
              <w:rPr>
                <w:color w:val="000000"/>
                <w:sz w:val="20"/>
                <w:szCs w:val="20"/>
              </w:rPr>
              <w:t>Основные средства</w:t>
            </w:r>
          </w:p>
        </w:tc>
        <w:tc>
          <w:tcPr>
            <w:tcW w:w="442" w:type="pct"/>
            <w:shd w:val="clear" w:color="auto" w:fill="auto"/>
            <w:noWrap/>
            <w:tcMar>
              <w:left w:w="28" w:type="dxa"/>
              <w:right w:w="28" w:type="dxa"/>
            </w:tcMar>
            <w:vAlign w:val="center"/>
          </w:tcPr>
          <w:p w14:paraId="75F3E986">
            <w:pPr>
              <w:spacing w:after="0" w:line="240" w:lineRule="auto"/>
              <w:ind w:firstLine="0"/>
              <w:contextualSpacing/>
              <w:jc w:val="center"/>
              <w:rPr>
                <w:color w:val="000000"/>
                <w:sz w:val="20"/>
                <w:szCs w:val="20"/>
              </w:rPr>
            </w:pPr>
            <w:r>
              <w:rPr>
                <w:color w:val="000000"/>
                <w:sz w:val="20"/>
                <w:szCs w:val="20"/>
              </w:rPr>
              <w:t>1150</w:t>
            </w:r>
          </w:p>
        </w:tc>
        <w:tc>
          <w:tcPr>
            <w:tcW w:w="733" w:type="pct"/>
            <w:shd w:val="clear" w:color="auto" w:fill="auto"/>
            <w:noWrap/>
            <w:tcMar>
              <w:left w:w="28" w:type="dxa"/>
              <w:right w:w="28" w:type="dxa"/>
            </w:tcMar>
            <w:vAlign w:val="center"/>
          </w:tcPr>
          <w:p w14:paraId="09852CAC">
            <w:pPr>
              <w:spacing w:after="0" w:line="240" w:lineRule="auto"/>
              <w:ind w:firstLine="0"/>
              <w:contextualSpacing/>
              <w:jc w:val="center"/>
              <w:rPr>
                <w:color w:val="000000"/>
                <w:sz w:val="20"/>
                <w:szCs w:val="20"/>
              </w:rPr>
            </w:pPr>
            <w:r>
              <w:rPr>
                <w:color w:val="000000"/>
                <w:sz w:val="20"/>
                <w:szCs w:val="20"/>
              </w:rPr>
              <w:t>424506</w:t>
            </w:r>
          </w:p>
        </w:tc>
      </w:tr>
      <w:tr w14:paraId="4021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65BB803">
            <w:pPr>
              <w:spacing w:after="0" w:line="240" w:lineRule="auto"/>
              <w:ind w:firstLine="0"/>
              <w:contextualSpacing/>
              <w:rPr>
                <w:color w:val="000000"/>
                <w:sz w:val="20"/>
                <w:szCs w:val="20"/>
              </w:rPr>
            </w:pPr>
            <w:r>
              <w:rPr>
                <w:color w:val="000000"/>
                <w:sz w:val="20"/>
                <w:szCs w:val="20"/>
              </w:rPr>
              <w:t>Доходные вложения в материальные ценности</w:t>
            </w:r>
          </w:p>
        </w:tc>
        <w:tc>
          <w:tcPr>
            <w:tcW w:w="442" w:type="pct"/>
            <w:shd w:val="clear" w:color="auto" w:fill="auto"/>
            <w:noWrap/>
            <w:tcMar>
              <w:left w:w="28" w:type="dxa"/>
              <w:right w:w="28" w:type="dxa"/>
            </w:tcMar>
            <w:vAlign w:val="center"/>
          </w:tcPr>
          <w:p w14:paraId="3D556E35">
            <w:pPr>
              <w:spacing w:after="0" w:line="240" w:lineRule="auto"/>
              <w:ind w:firstLine="0"/>
              <w:contextualSpacing/>
              <w:jc w:val="center"/>
              <w:rPr>
                <w:color w:val="000000"/>
                <w:sz w:val="20"/>
                <w:szCs w:val="20"/>
              </w:rPr>
            </w:pPr>
            <w:r>
              <w:rPr>
                <w:color w:val="000000"/>
                <w:sz w:val="20"/>
                <w:szCs w:val="20"/>
              </w:rPr>
              <w:t>1160</w:t>
            </w:r>
          </w:p>
        </w:tc>
        <w:tc>
          <w:tcPr>
            <w:tcW w:w="733" w:type="pct"/>
            <w:shd w:val="clear" w:color="auto" w:fill="auto"/>
            <w:noWrap/>
            <w:tcMar>
              <w:left w:w="28" w:type="dxa"/>
              <w:right w:w="28" w:type="dxa"/>
            </w:tcMar>
            <w:vAlign w:val="center"/>
          </w:tcPr>
          <w:p w14:paraId="5C534D7F">
            <w:pPr>
              <w:spacing w:after="0" w:line="240" w:lineRule="auto"/>
              <w:ind w:firstLine="0"/>
              <w:contextualSpacing/>
              <w:jc w:val="center"/>
              <w:rPr>
                <w:color w:val="000000"/>
                <w:sz w:val="20"/>
                <w:szCs w:val="20"/>
              </w:rPr>
            </w:pPr>
            <w:r>
              <w:rPr>
                <w:color w:val="000000"/>
                <w:sz w:val="20"/>
                <w:szCs w:val="20"/>
              </w:rPr>
              <w:t>-</w:t>
            </w:r>
          </w:p>
        </w:tc>
      </w:tr>
      <w:tr w14:paraId="2917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ED5AFA6">
            <w:pPr>
              <w:spacing w:after="0" w:line="240" w:lineRule="auto"/>
              <w:ind w:firstLine="0"/>
              <w:contextualSpacing/>
              <w:rPr>
                <w:color w:val="000000"/>
                <w:sz w:val="20"/>
                <w:szCs w:val="20"/>
              </w:rPr>
            </w:pPr>
            <w:r>
              <w:rPr>
                <w:color w:val="000000"/>
                <w:sz w:val="20"/>
                <w:szCs w:val="20"/>
              </w:rPr>
              <w:t>Финансовые вложения</w:t>
            </w:r>
          </w:p>
        </w:tc>
        <w:tc>
          <w:tcPr>
            <w:tcW w:w="442" w:type="pct"/>
            <w:shd w:val="clear" w:color="auto" w:fill="auto"/>
            <w:noWrap/>
            <w:tcMar>
              <w:left w:w="28" w:type="dxa"/>
              <w:right w:w="28" w:type="dxa"/>
            </w:tcMar>
            <w:vAlign w:val="center"/>
          </w:tcPr>
          <w:p w14:paraId="0CC3EF62">
            <w:pPr>
              <w:spacing w:after="0" w:line="240" w:lineRule="auto"/>
              <w:ind w:firstLine="0"/>
              <w:contextualSpacing/>
              <w:jc w:val="center"/>
              <w:rPr>
                <w:color w:val="000000"/>
                <w:sz w:val="20"/>
                <w:szCs w:val="20"/>
              </w:rPr>
            </w:pPr>
            <w:r>
              <w:rPr>
                <w:color w:val="000000"/>
                <w:sz w:val="20"/>
                <w:szCs w:val="20"/>
              </w:rPr>
              <w:t>1170</w:t>
            </w:r>
          </w:p>
        </w:tc>
        <w:tc>
          <w:tcPr>
            <w:tcW w:w="733" w:type="pct"/>
            <w:shd w:val="clear" w:color="auto" w:fill="auto"/>
            <w:noWrap/>
            <w:tcMar>
              <w:left w:w="28" w:type="dxa"/>
              <w:right w:w="28" w:type="dxa"/>
            </w:tcMar>
            <w:vAlign w:val="center"/>
          </w:tcPr>
          <w:p w14:paraId="596082A9">
            <w:pPr>
              <w:spacing w:after="0" w:line="240" w:lineRule="auto"/>
              <w:ind w:firstLine="0"/>
              <w:contextualSpacing/>
              <w:jc w:val="center"/>
              <w:rPr>
                <w:color w:val="000000"/>
                <w:sz w:val="20"/>
                <w:szCs w:val="20"/>
              </w:rPr>
            </w:pPr>
            <w:r>
              <w:rPr>
                <w:color w:val="000000"/>
                <w:sz w:val="20"/>
                <w:szCs w:val="20"/>
              </w:rPr>
              <w:t>-</w:t>
            </w:r>
          </w:p>
        </w:tc>
      </w:tr>
      <w:tr w14:paraId="7FAC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287BEF6">
            <w:pPr>
              <w:spacing w:after="0" w:line="240" w:lineRule="auto"/>
              <w:ind w:firstLine="0"/>
              <w:contextualSpacing/>
              <w:rPr>
                <w:color w:val="000000"/>
                <w:sz w:val="20"/>
                <w:szCs w:val="20"/>
              </w:rPr>
            </w:pPr>
            <w:r>
              <w:rPr>
                <w:color w:val="000000"/>
                <w:sz w:val="20"/>
                <w:szCs w:val="20"/>
              </w:rPr>
              <w:t>Отложенные налоговые активы</w:t>
            </w:r>
          </w:p>
        </w:tc>
        <w:tc>
          <w:tcPr>
            <w:tcW w:w="442" w:type="pct"/>
            <w:shd w:val="clear" w:color="auto" w:fill="auto"/>
            <w:noWrap/>
            <w:tcMar>
              <w:left w:w="28" w:type="dxa"/>
              <w:right w:w="28" w:type="dxa"/>
            </w:tcMar>
            <w:vAlign w:val="center"/>
          </w:tcPr>
          <w:p w14:paraId="39EA8C95">
            <w:pPr>
              <w:spacing w:after="0" w:line="240" w:lineRule="auto"/>
              <w:ind w:firstLine="0"/>
              <w:contextualSpacing/>
              <w:jc w:val="center"/>
              <w:rPr>
                <w:color w:val="000000"/>
                <w:sz w:val="20"/>
                <w:szCs w:val="20"/>
              </w:rPr>
            </w:pPr>
            <w:r>
              <w:rPr>
                <w:color w:val="000000"/>
                <w:sz w:val="20"/>
                <w:szCs w:val="20"/>
              </w:rPr>
              <w:t>1180</w:t>
            </w:r>
          </w:p>
        </w:tc>
        <w:tc>
          <w:tcPr>
            <w:tcW w:w="733" w:type="pct"/>
            <w:shd w:val="clear" w:color="auto" w:fill="auto"/>
            <w:noWrap/>
            <w:tcMar>
              <w:left w:w="28" w:type="dxa"/>
              <w:right w:w="28" w:type="dxa"/>
            </w:tcMar>
            <w:vAlign w:val="center"/>
          </w:tcPr>
          <w:p w14:paraId="70600DA0">
            <w:pPr>
              <w:spacing w:after="0" w:line="240" w:lineRule="auto"/>
              <w:ind w:firstLine="0"/>
              <w:contextualSpacing/>
              <w:jc w:val="center"/>
              <w:rPr>
                <w:color w:val="000000"/>
                <w:sz w:val="20"/>
                <w:szCs w:val="20"/>
              </w:rPr>
            </w:pPr>
            <w:r>
              <w:rPr>
                <w:color w:val="000000"/>
                <w:sz w:val="20"/>
                <w:szCs w:val="20"/>
              </w:rPr>
              <w:t>13660</w:t>
            </w:r>
          </w:p>
        </w:tc>
      </w:tr>
      <w:tr w14:paraId="2BBF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EEED302">
            <w:pPr>
              <w:spacing w:after="0" w:line="240" w:lineRule="auto"/>
              <w:ind w:firstLine="0"/>
              <w:contextualSpacing/>
              <w:rPr>
                <w:color w:val="000000"/>
                <w:sz w:val="20"/>
                <w:szCs w:val="20"/>
              </w:rPr>
            </w:pPr>
            <w:r>
              <w:rPr>
                <w:color w:val="000000"/>
                <w:sz w:val="20"/>
                <w:szCs w:val="20"/>
              </w:rPr>
              <w:t>Прочие внеоборотные активы</w:t>
            </w:r>
          </w:p>
        </w:tc>
        <w:tc>
          <w:tcPr>
            <w:tcW w:w="442" w:type="pct"/>
            <w:shd w:val="clear" w:color="auto" w:fill="auto"/>
            <w:noWrap/>
            <w:tcMar>
              <w:left w:w="28" w:type="dxa"/>
              <w:right w:w="28" w:type="dxa"/>
            </w:tcMar>
            <w:vAlign w:val="center"/>
          </w:tcPr>
          <w:p w14:paraId="2F322CAD">
            <w:pPr>
              <w:spacing w:after="0" w:line="240" w:lineRule="auto"/>
              <w:ind w:firstLine="0"/>
              <w:contextualSpacing/>
              <w:jc w:val="center"/>
              <w:rPr>
                <w:color w:val="000000"/>
                <w:sz w:val="20"/>
                <w:szCs w:val="20"/>
              </w:rPr>
            </w:pPr>
            <w:r>
              <w:rPr>
                <w:color w:val="000000"/>
                <w:sz w:val="20"/>
                <w:szCs w:val="20"/>
              </w:rPr>
              <w:t>1190</w:t>
            </w:r>
          </w:p>
        </w:tc>
        <w:tc>
          <w:tcPr>
            <w:tcW w:w="733" w:type="pct"/>
            <w:shd w:val="clear" w:color="auto" w:fill="auto"/>
            <w:noWrap/>
            <w:tcMar>
              <w:left w:w="28" w:type="dxa"/>
              <w:right w:w="28" w:type="dxa"/>
            </w:tcMar>
            <w:vAlign w:val="center"/>
          </w:tcPr>
          <w:p w14:paraId="5BA4616D">
            <w:pPr>
              <w:spacing w:after="0" w:line="240" w:lineRule="auto"/>
              <w:ind w:firstLine="0"/>
              <w:contextualSpacing/>
              <w:jc w:val="center"/>
              <w:rPr>
                <w:color w:val="000000"/>
                <w:sz w:val="20"/>
                <w:szCs w:val="20"/>
              </w:rPr>
            </w:pPr>
            <w:r>
              <w:rPr>
                <w:color w:val="000000"/>
                <w:sz w:val="20"/>
                <w:szCs w:val="20"/>
              </w:rPr>
              <w:t>-</w:t>
            </w:r>
          </w:p>
        </w:tc>
      </w:tr>
      <w:tr w14:paraId="68E6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D921B77">
            <w:pPr>
              <w:spacing w:after="0" w:line="240" w:lineRule="auto"/>
              <w:ind w:firstLine="0"/>
              <w:contextualSpacing/>
              <w:rPr>
                <w:color w:val="000000"/>
                <w:sz w:val="20"/>
                <w:szCs w:val="20"/>
              </w:rPr>
            </w:pPr>
            <w:r>
              <w:rPr>
                <w:color w:val="000000"/>
                <w:sz w:val="20"/>
                <w:szCs w:val="20"/>
              </w:rPr>
              <w:t>Итого по разделу I</w:t>
            </w:r>
          </w:p>
        </w:tc>
        <w:tc>
          <w:tcPr>
            <w:tcW w:w="442" w:type="pct"/>
            <w:shd w:val="clear" w:color="auto" w:fill="auto"/>
            <w:noWrap/>
            <w:tcMar>
              <w:left w:w="28" w:type="dxa"/>
              <w:right w:w="28" w:type="dxa"/>
            </w:tcMar>
            <w:vAlign w:val="center"/>
          </w:tcPr>
          <w:p w14:paraId="0A078123">
            <w:pPr>
              <w:spacing w:after="0" w:line="240" w:lineRule="auto"/>
              <w:ind w:firstLine="0"/>
              <w:contextualSpacing/>
              <w:jc w:val="center"/>
              <w:rPr>
                <w:color w:val="000000"/>
                <w:sz w:val="20"/>
                <w:szCs w:val="20"/>
              </w:rPr>
            </w:pPr>
            <w:r>
              <w:rPr>
                <w:color w:val="000000"/>
                <w:sz w:val="20"/>
                <w:szCs w:val="20"/>
              </w:rPr>
              <w:t>1100</w:t>
            </w:r>
          </w:p>
        </w:tc>
        <w:tc>
          <w:tcPr>
            <w:tcW w:w="733" w:type="pct"/>
            <w:shd w:val="clear" w:color="auto" w:fill="auto"/>
            <w:noWrap/>
            <w:tcMar>
              <w:left w:w="28" w:type="dxa"/>
              <w:right w:w="28" w:type="dxa"/>
            </w:tcMar>
            <w:vAlign w:val="center"/>
          </w:tcPr>
          <w:p w14:paraId="152EB4F9">
            <w:pPr>
              <w:spacing w:after="0" w:line="240" w:lineRule="auto"/>
              <w:ind w:firstLine="0"/>
              <w:contextualSpacing/>
              <w:jc w:val="center"/>
              <w:rPr>
                <w:color w:val="000000"/>
                <w:sz w:val="20"/>
                <w:szCs w:val="20"/>
              </w:rPr>
            </w:pPr>
            <w:r>
              <w:rPr>
                <w:color w:val="000000"/>
                <w:sz w:val="20"/>
                <w:szCs w:val="20"/>
              </w:rPr>
              <w:t>438166</w:t>
            </w:r>
          </w:p>
        </w:tc>
      </w:tr>
      <w:tr w14:paraId="4C27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3BDA4F89">
            <w:pPr>
              <w:spacing w:after="0" w:line="240" w:lineRule="auto"/>
              <w:ind w:firstLine="0"/>
              <w:contextualSpacing/>
              <w:jc w:val="center"/>
              <w:rPr>
                <w:bCs/>
                <w:color w:val="000000"/>
                <w:sz w:val="20"/>
                <w:szCs w:val="20"/>
              </w:rPr>
            </w:pPr>
            <w:r>
              <w:rPr>
                <w:bCs/>
                <w:color w:val="000000"/>
                <w:sz w:val="20"/>
                <w:szCs w:val="20"/>
              </w:rPr>
              <w:t>II. ОБОРОТНЫЕ АКТИВЫ</w:t>
            </w:r>
          </w:p>
        </w:tc>
      </w:tr>
      <w:tr w14:paraId="4507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69418A3">
            <w:pPr>
              <w:spacing w:after="0" w:line="240" w:lineRule="auto"/>
              <w:ind w:firstLine="0"/>
              <w:contextualSpacing/>
              <w:rPr>
                <w:color w:val="000000"/>
                <w:sz w:val="20"/>
                <w:szCs w:val="20"/>
              </w:rPr>
            </w:pPr>
            <w:r>
              <w:rPr>
                <w:color w:val="000000"/>
                <w:sz w:val="20"/>
                <w:szCs w:val="20"/>
              </w:rPr>
              <w:t>Запасы</w:t>
            </w:r>
          </w:p>
        </w:tc>
        <w:tc>
          <w:tcPr>
            <w:tcW w:w="442" w:type="pct"/>
            <w:shd w:val="clear" w:color="auto" w:fill="auto"/>
            <w:noWrap/>
            <w:tcMar>
              <w:left w:w="28" w:type="dxa"/>
              <w:right w:w="28" w:type="dxa"/>
            </w:tcMar>
            <w:vAlign w:val="center"/>
          </w:tcPr>
          <w:p w14:paraId="0E12F72E">
            <w:pPr>
              <w:spacing w:after="0" w:line="240" w:lineRule="auto"/>
              <w:ind w:firstLine="0"/>
              <w:contextualSpacing/>
              <w:jc w:val="center"/>
              <w:rPr>
                <w:color w:val="000000"/>
                <w:sz w:val="20"/>
                <w:szCs w:val="20"/>
              </w:rPr>
            </w:pPr>
            <w:r>
              <w:rPr>
                <w:color w:val="000000"/>
                <w:sz w:val="20"/>
                <w:szCs w:val="20"/>
              </w:rPr>
              <w:t>1210</w:t>
            </w:r>
          </w:p>
        </w:tc>
        <w:tc>
          <w:tcPr>
            <w:tcW w:w="733" w:type="pct"/>
            <w:shd w:val="clear" w:color="auto" w:fill="auto"/>
            <w:noWrap/>
            <w:tcMar>
              <w:left w:w="28" w:type="dxa"/>
              <w:right w:w="28" w:type="dxa"/>
            </w:tcMar>
            <w:vAlign w:val="center"/>
          </w:tcPr>
          <w:p w14:paraId="00544D31">
            <w:pPr>
              <w:spacing w:after="0" w:line="240" w:lineRule="auto"/>
              <w:ind w:firstLine="0"/>
              <w:contextualSpacing/>
              <w:jc w:val="center"/>
              <w:rPr>
                <w:color w:val="000000"/>
                <w:sz w:val="20"/>
                <w:szCs w:val="20"/>
              </w:rPr>
            </w:pPr>
            <w:r>
              <w:rPr>
                <w:color w:val="000000"/>
                <w:sz w:val="20"/>
                <w:szCs w:val="20"/>
              </w:rPr>
              <w:t>13964</w:t>
            </w:r>
          </w:p>
        </w:tc>
      </w:tr>
      <w:tr w14:paraId="07FC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78C84AE">
            <w:pPr>
              <w:spacing w:after="0" w:line="240" w:lineRule="auto"/>
              <w:ind w:firstLine="0"/>
              <w:contextualSpacing/>
              <w:rPr>
                <w:color w:val="000000"/>
                <w:sz w:val="20"/>
                <w:szCs w:val="20"/>
              </w:rPr>
            </w:pPr>
            <w:r>
              <w:rPr>
                <w:color w:val="000000"/>
                <w:sz w:val="20"/>
                <w:szCs w:val="20"/>
              </w:rPr>
              <w:t>Налог на добавленную стоимость по приобретенным ценностям</w:t>
            </w:r>
          </w:p>
        </w:tc>
        <w:tc>
          <w:tcPr>
            <w:tcW w:w="442" w:type="pct"/>
            <w:shd w:val="clear" w:color="auto" w:fill="auto"/>
            <w:noWrap/>
            <w:tcMar>
              <w:left w:w="28" w:type="dxa"/>
              <w:right w:w="28" w:type="dxa"/>
            </w:tcMar>
            <w:vAlign w:val="center"/>
          </w:tcPr>
          <w:p w14:paraId="0D08F199">
            <w:pPr>
              <w:spacing w:after="0" w:line="240" w:lineRule="auto"/>
              <w:ind w:firstLine="0"/>
              <w:contextualSpacing/>
              <w:jc w:val="center"/>
              <w:rPr>
                <w:color w:val="000000"/>
                <w:sz w:val="20"/>
                <w:szCs w:val="20"/>
              </w:rPr>
            </w:pPr>
            <w:r>
              <w:rPr>
                <w:color w:val="000000"/>
                <w:sz w:val="20"/>
                <w:szCs w:val="20"/>
              </w:rPr>
              <w:t>1220</w:t>
            </w:r>
          </w:p>
        </w:tc>
        <w:tc>
          <w:tcPr>
            <w:tcW w:w="733" w:type="pct"/>
            <w:shd w:val="clear" w:color="auto" w:fill="auto"/>
            <w:noWrap/>
            <w:tcMar>
              <w:left w:w="28" w:type="dxa"/>
              <w:right w:w="28" w:type="dxa"/>
            </w:tcMar>
            <w:vAlign w:val="center"/>
          </w:tcPr>
          <w:p w14:paraId="4FE29F88">
            <w:pPr>
              <w:spacing w:after="0" w:line="240" w:lineRule="auto"/>
              <w:ind w:firstLine="0"/>
              <w:contextualSpacing/>
              <w:jc w:val="center"/>
              <w:rPr>
                <w:color w:val="000000"/>
                <w:sz w:val="20"/>
                <w:szCs w:val="20"/>
              </w:rPr>
            </w:pPr>
            <w:r>
              <w:rPr>
                <w:color w:val="000000"/>
                <w:sz w:val="20"/>
                <w:szCs w:val="20"/>
              </w:rPr>
              <w:t>-</w:t>
            </w:r>
          </w:p>
        </w:tc>
      </w:tr>
      <w:tr w14:paraId="72DF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CE35D1C">
            <w:pPr>
              <w:spacing w:after="0" w:line="240" w:lineRule="auto"/>
              <w:ind w:firstLine="0"/>
              <w:contextualSpacing/>
              <w:rPr>
                <w:color w:val="000000"/>
                <w:sz w:val="20"/>
                <w:szCs w:val="20"/>
              </w:rPr>
            </w:pPr>
            <w:r>
              <w:rPr>
                <w:color w:val="000000"/>
                <w:sz w:val="20"/>
                <w:szCs w:val="20"/>
              </w:rPr>
              <w:t>Дебиторская задолженность</w:t>
            </w:r>
          </w:p>
        </w:tc>
        <w:tc>
          <w:tcPr>
            <w:tcW w:w="442" w:type="pct"/>
            <w:shd w:val="clear" w:color="auto" w:fill="auto"/>
            <w:noWrap/>
            <w:tcMar>
              <w:left w:w="28" w:type="dxa"/>
              <w:right w:w="28" w:type="dxa"/>
            </w:tcMar>
            <w:vAlign w:val="center"/>
          </w:tcPr>
          <w:p w14:paraId="0A9F311B">
            <w:pPr>
              <w:spacing w:after="0" w:line="240" w:lineRule="auto"/>
              <w:ind w:firstLine="0"/>
              <w:contextualSpacing/>
              <w:jc w:val="center"/>
              <w:rPr>
                <w:color w:val="000000"/>
                <w:sz w:val="20"/>
                <w:szCs w:val="20"/>
              </w:rPr>
            </w:pPr>
            <w:r>
              <w:rPr>
                <w:color w:val="000000"/>
                <w:sz w:val="20"/>
                <w:szCs w:val="20"/>
              </w:rPr>
              <w:t>1230</w:t>
            </w:r>
          </w:p>
        </w:tc>
        <w:tc>
          <w:tcPr>
            <w:tcW w:w="733" w:type="pct"/>
            <w:shd w:val="clear" w:color="auto" w:fill="auto"/>
            <w:noWrap/>
            <w:tcMar>
              <w:left w:w="28" w:type="dxa"/>
              <w:right w:w="28" w:type="dxa"/>
            </w:tcMar>
            <w:vAlign w:val="center"/>
          </w:tcPr>
          <w:p w14:paraId="0747BEA6">
            <w:pPr>
              <w:spacing w:after="0" w:line="240" w:lineRule="auto"/>
              <w:ind w:firstLine="0"/>
              <w:contextualSpacing/>
              <w:jc w:val="center"/>
              <w:rPr>
                <w:color w:val="000000"/>
                <w:sz w:val="20"/>
                <w:szCs w:val="20"/>
              </w:rPr>
            </w:pPr>
            <w:r>
              <w:rPr>
                <w:color w:val="000000"/>
                <w:sz w:val="20"/>
                <w:szCs w:val="20"/>
              </w:rPr>
              <w:t>58493</w:t>
            </w:r>
          </w:p>
        </w:tc>
      </w:tr>
      <w:tr w14:paraId="089D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ADB9678">
            <w:pPr>
              <w:spacing w:after="0" w:line="240" w:lineRule="auto"/>
              <w:ind w:firstLine="0"/>
              <w:contextualSpacing/>
              <w:rPr>
                <w:color w:val="000000"/>
                <w:sz w:val="20"/>
                <w:szCs w:val="20"/>
              </w:rPr>
            </w:pPr>
            <w:r>
              <w:rPr>
                <w:color w:val="000000"/>
                <w:sz w:val="20"/>
                <w:szCs w:val="20"/>
              </w:rPr>
              <w:t>Финансовые вложения (за исключением денежных эквивалентов)</w:t>
            </w:r>
          </w:p>
        </w:tc>
        <w:tc>
          <w:tcPr>
            <w:tcW w:w="442" w:type="pct"/>
            <w:shd w:val="clear" w:color="auto" w:fill="auto"/>
            <w:noWrap/>
            <w:tcMar>
              <w:left w:w="28" w:type="dxa"/>
              <w:right w:w="28" w:type="dxa"/>
            </w:tcMar>
            <w:vAlign w:val="center"/>
          </w:tcPr>
          <w:p w14:paraId="7E576B88">
            <w:pPr>
              <w:spacing w:after="0" w:line="240" w:lineRule="auto"/>
              <w:ind w:firstLine="0"/>
              <w:contextualSpacing/>
              <w:jc w:val="center"/>
              <w:rPr>
                <w:color w:val="000000"/>
                <w:sz w:val="20"/>
                <w:szCs w:val="20"/>
              </w:rPr>
            </w:pPr>
            <w:r>
              <w:rPr>
                <w:color w:val="000000"/>
                <w:sz w:val="20"/>
                <w:szCs w:val="20"/>
              </w:rPr>
              <w:t>1240</w:t>
            </w:r>
          </w:p>
        </w:tc>
        <w:tc>
          <w:tcPr>
            <w:tcW w:w="733" w:type="pct"/>
            <w:shd w:val="clear" w:color="auto" w:fill="auto"/>
            <w:noWrap/>
            <w:tcMar>
              <w:left w:w="28" w:type="dxa"/>
              <w:right w:w="28" w:type="dxa"/>
            </w:tcMar>
            <w:vAlign w:val="center"/>
          </w:tcPr>
          <w:p w14:paraId="2577FE03">
            <w:pPr>
              <w:spacing w:after="0" w:line="240" w:lineRule="auto"/>
              <w:ind w:firstLine="0"/>
              <w:contextualSpacing/>
              <w:jc w:val="center"/>
              <w:rPr>
                <w:color w:val="000000"/>
                <w:sz w:val="20"/>
                <w:szCs w:val="20"/>
              </w:rPr>
            </w:pPr>
            <w:r>
              <w:rPr>
                <w:color w:val="000000"/>
                <w:sz w:val="20"/>
                <w:szCs w:val="20"/>
              </w:rPr>
              <w:t>-</w:t>
            </w:r>
          </w:p>
        </w:tc>
      </w:tr>
      <w:tr w14:paraId="4328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5046978">
            <w:pPr>
              <w:spacing w:after="0" w:line="240" w:lineRule="auto"/>
              <w:ind w:firstLine="0"/>
              <w:contextualSpacing/>
              <w:rPr>
                <w:color w:val="000000"/>
                <w:sz w:val="20"/>
                <w:szCs w:val="20"/>
              </w:rPr>
            </w:pPr>
            <w:r>
              <w:rPr>
                <w:color w:val="000000"/>
                <w:sz w:val="20"/>
                <w:szCs w:val="20"/>
              </w:rPr>
              <w:t>Денежные средства и денежные эквиваленты</w:t>
            </w:r>
          </w:p>
        </w:tc>
        <w:tc>
          <w:tcPr>
            <w:tcW w:w="442" w:type="pct"/>
            <w:shd w:val="clear" w:color="auto" w:fill="auto"/>
            <w:noWrap/>
            <w:tcMar>
              <w:left w:w="28" w:type="dxa"/>
              <w:right w:w="28" w:type="dxa"/>
            </w:tcMar>
            <w:vAlign w:val="center"/>
          </w:tcPr>
          <w:p w14:paraId="6C5E6C97">
            <w:pPr>
              <w:spacing w:after="0" w:line="240" w:lineRule="auto"/>
              <w:ind w:firstLine="0"/>
              <w:contextualSpacing/>
              <w:jc w:val="center"/>
              <w:rPr>
                <w:color w:val="000000"/>
                <w:sz w:val="20"/>
                <w:szCs w:val="20"/>
              </w:rPr>
            </w:pPr>
            <w:r>
              <w:rPr>
                <w:color w:val="000000"/>
                <w:sz w:val="20"/>
                <w:szCs w:val="20"/>
              </w:rPr>
              <w:t>1250</w:t>
            </w:r>
          </w:p>
        </w:tc>
        <w:tc>
          <w:tcPr>
            <w:tcW w:w="733" w:type="pct"/>
            <w:shd w:val="clear" w:color="auto" w:fill="auto"/>
            <w:noWrap/>
            <w:tcMar>
              <w:left w:w="28" w:type="dxa"/>
              <w:right w:w="28" w:type="dxa"/>
            </w:tcMar>
            <w:vAlign w:val="center"/>
          </w:tcPr>
          <w:p w14:paraId="42E6194C">
            <w:pPr>
              <w:spacing w:after="0" w:line="240" w:lineRule="auto"/>
              <w:ind w:firstLine="0"/>
              <w:contextualSpacing/>
              <w:jc w:val="center"/>
              <w:rPr>
                <w:color w:val="000000"/>
                <w:sz w:val="20"/>
                <w:szCs w:val="20"/>
              </w:rPr>
            </w:pPr>
            <w:r>
              <w:rPr>
                <w:color w:val="000000"/>
                <w:sz w:val="20"/>
                <w:szCs w:val="20"/>
              </w:rPr>
              <w:t>6702</w:t>
            </w:r>
          </w:p>
        </w:tc>
      </w:tr>
      <w:tr w14:paraId="1430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040D952">
            <w:pPr>
              <w:spacing w:after="0" w:line="240" w:lineRule="auto"/>
              <w:ind w:firstLine="0"/>
              <w:contextualSpacing/>
              <w:rPr>
                <w:color w:val="000000"/>
                <w:sz w:val="20"/>
                <w:szCs w:val="20"/>
              </w:rPr>
            </w:pPr>
            <w:r>
              <w:rPr>
                <w:color w:val="000000"/>
                <w:sz w:val="20"/>
                <w:szCs w:val="20"/>
              </w:rPr>
              <w:t>Прочие оборотные активы</w:t>
            </w:r>
          </w:p>
        </w:tc>
        <w:tc>
          <w:tcPr>
            <w:tcW w:w="442" w:type="pct"/>
            <w:shd w:val="clear" w:color="auto" w:fill="auto"/>
            <w:noWrap/>
            <w:tcMar>
              <w:left w:w="28" w:type="dxa"/>
              <w:right w:w="28" w:type="dxa"/>
            </w:tcMar>
            <w:vAlign w:val="center"/>
          </w:tcPr>
          <w:p w14:paraId="45D7FDC8">
            <w:pPr>
              <w:spacing w:after="0" w:line="240" w:lineRule="auto"/>
              <w:ind w:firstLine="0"/>
              <w:contextualSpacing/>
              <w:jc w:val="center"/>
              <w:rPr>
                <w:color w:val="000000"/>
                <w:sz w:val="20"/>
                <w:szCs w:val="20"/>
              </w:rPr>
            </w:pPr>
            <w:r>
              <w:rPr>
                <w:color w:val="000000"/>
                <w:sz w:val="20"/>
                <w:szCs w:val="20"/>
              </w:rPr>
              <w:t>1260</w:t>
            </w:r>
          </w:p>
        </w:tc>
        <w:tc>
          <w:tcPr>
            <w:tcW w:w="733" w:type="pct"/>
            <w:shd w:val="clear" w:color="auto" w:fill="auto"/>
            <w:noWrap/>
            <w:tcMar>
              <w:left w:w="28" w:type="dxa"/>
              <w:right w:w="28" w:type="dxa"/>
            </w:tcMar>
            <w:vAlign w:val="center"/>
          </w:tcPr>
          <w:p w14:paraId="322BFFFF">
            <w:pPr>
              <w:spacing w:after="0" w:line="240" w:lineRule="auto"/>
              <w:ind w:firstLine="0"/>
              <w:contextualSpacing/>
              <w:jc w:val="center"/>
              <w:rPr>
                <w:color w:val="000000"/>
                <w:sz w:val="20"/>
                <w:szCs w:val="20"/>
              </w:rPr>
            </w:pPr>
            <w:r>
              <w:rPr>
                <w:color w:val="000000"/>
                <w:sz w:val="20"/>
                <w:szCs w:val="20"/>
              </w:rPr>
              <w:t>482</w:t>
            </w:r>
          </w:p>
        </w:tc>
      </w:tr>
      <w:tr w14:paraId="45B5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C9A505D">
            <w:pPr>
              <w:spacing w:after="0" w:line="240" w:lineRule="auto"/>
              <w:ind w:firstLine="0"/>
              <w:contextualSpacing/>
              <w:rPr>
                <w:color w:val="000000"/>
                <w:sz w:val="20"/>
                <w:szCs w:val="20"/>
              </w:rPr>
            </w:pPr>
            <w:r>
              <w:rPr>
                <w:color w:val="000000"/>
                <w:sz w:val="20"/>
                <w:szCs w:val="20"/>
              </w:rPr>
              <w:t>Итого по разделу II</w:t>
            </w:r>
          </w:p>
        </w:tc>
        <w:tc>
          <w:tcPr>
            <w:tcW w:w="442" w:type="pct"/>
            <w:shd w:val="clear" w:color="auto" w:fill="auto"/>
            <w:noWrap/>
            <w:tcMar>
              <w:left w:w="28" w:type="dxa"/>
              <w:right w:w="28" w:type="dxa"/>
            </w:tcMar>
            <w:vAlign w:val="center"/>
          </w:tcPr>
          <w:p w14:paraId="2E9F5066">
            <w:pPr>
              <w:spacing w:after="0" w:line="240" w:lineRule="auto"/>
              <w:ind w:firstLine="0"/>
              <w:contextualSpacing/>
              <w:jc w:val="center"/>
              <w:rPr>
                <w:color w:val="000000"/>
                <w:sz w:val="20"/>
                <w:szCs w:val="20"/>
              </w:rPr>
            </w:pPr>
            <w:r>
              <w:rPr>
                <w:color w:val="000000"/>
                <w:sz w:val="20"/>
                <w:szCs w:val="20"/>
              </w:rPr>
              <w:t>1200</w:t>
            </w:r>
          </w:p>
        </w:tc>
        <w:tc>
          <w:tcPr>
            <w:tcW w:w="733" w:type="pct"/>
            <w:shd w:val="clear" w:color="auto" w:fill="auto"/>
            <w:noWrap/>
            <w:tcMar>
              <w:left w:w="28" w:type="dxa"/>
              <w:right w:w="28" w:type="dxa"/>
            </w:tcMar>
            <w:vAlign w:val="center"/>
          </w:tcPr>
          <w:p w14:paraId="789C8BD0">
            <w:pPr>
              <w:spacing w:after="0" w:line="240" w:lineRule="auto"/>
              <w:ind w:firstLine="0"/>
              <w:contextualSpacing/>
              <w:jc w:val="center"/>
              <w:rPr>
                <w:color w:val="000000"/>
                <w:sz w:val="20"/>
                <w:szCs w:val="20"/>
              </w:rPr>
            </w:pPr>
            <w:r>
              <w:rPr>
                <w:color w:val="000000"/>
                <w:sz w:val="20"/>
                <w:szCs w:val="20"/>
              </w:rPr>
              <w:t>79641</w:t>
            </w:r>
          </w:p>
        </w:tc>
      </w:tr>
      <w:tr w14:paraId="507A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26767FE">
            <w:pPr>
              <w:spacing w:after="0" w:line="240" w:lineRule="auto"/>
              <w:ind w:firstLine="0"/>
              <w:contextualSpacing/>
              <w:rPr>
                <w:color w:val="000000"/>
                <w:sz w:val="20"/>
                <w:szCs w:val="20"/>
              </w:rPr>
            </w:pPr>
            <w:r>
              <w:rPr>
                <w:color w:val="000000"/>
                <w:sz w:val="20"/>
                <w:szCs w:val="20"/>
              </w:rPr>
              <w:t>БАЛАНС</w:t>
            </w:r>
          </w:p>
        </w:tc>
        <w:tc>
          <w:tcPr>
            <w:tcW w:w="442" w:type="pct"/>
            <w:shd w:val="clear" w:color="auto" w:fill="auto"/>
            <w:noWrap/>
            <w:tcMar>
              <w:left w:w="28" w:type="dxa"/>
              <w:right w:w="28" w:type="dxa"/>
            </w:tcMar>
            <w:vAlign w:val="center"/>
          </w:tcPr>
          <w:p w14:paraId="334FE04A">
            <w:pPr>
              <w:spacing w:after="0" w:line="240" w:lineRule="auto"/>
              <w:ind w:firstLine="0"/>
              <w:contextualSpacing/>
              <w:jc w:val="center"/>
              <w:rPr>
                <w:color w:val="000000"/>
                <w:sz w:val="20"/>
                <w:szCs w:val="20"/>
              </w:rPr>
            </w:pPr>
            <w:r>
              <w:rPr>
                <w:color w:val="000000"/>
                <w:sz w:val="20"/>
                <w:szCs w:val="20"/>
              </w:rPr>
              <w:t>1600</w:t>
            </w:r>
          </w:p>
        </w:tc>
        <w:tc>
          <w:tcPr>
            <w:tcW w:w="733" w:type="pct"/>
            <w:shd w:val="clear" w:color="auto" w:fill="auto"/>
            <w:noWrap/>
            <w:tcMar>
              <w:left w:w="28" w:type="dxa"/>
              <w:right w:w="28" w:type="dxa"/>
            </w:tcMar>
            <w:vAlign w:val="center"/>
          </w:tcPr>
          <w:p w14:paraId="742E99BB">
            <w:pPr>
              <w:spacing w:after="0" w:line="240" w:lineRule="auto"/>
              <w:ind w:firstLine="0"/>
              <w:contextualSpacing/>
              <w:jc w:val="center"/>
              <w:rPr>
                <w:color w:val="000000"/>
                <w:sz w:val="20"/>
                <w:szCs w:val="20"/>
              </w:rPr>
            </w:pPr>
            <w:r>
              <w:rPr>
                <w:color w:val="000000"/>
                <w:sz w:val="20"/>
                <w:szCs w:val="20"/>
              </w:rPr>
              <w:t>517807</w:t>
            </w:r>
          </w:p>
        </w:tc>
      </w:tr>
      <w:tr w14:paraId="7F24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588594AA">
            <w:pPr>
              <w:spacing w:after="0" w:line="240" w:lineRule="auto"/>
              <w:ind w:firstLine="0"/>
              <w:contextualSpacing/>
              <w:jc w:val="center"/>
              <w:rPr>
                <w:bCs/>
                <w:color w:val="000000"/>
                <w:sz w:val="20"/>
                <w:szCs w:val="20"/>
              </w:rPr>
            </w:pPr>
            <w:r>
              <w:rPr>
                <w:bCs/>
                <w:color w:val="000000"/>
                <w:sz w:val="20"/>
                <w:szCs w:val="20"/>
              </w:rPr>
              <w:t>ПАССИВ</w:t>
            </w:r>
          </w:p>
        </w:tc>
      </w:tr>
      <w:tr w14:paraId="6809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6ED24BFE">
            <w:pPr>
              <w:spacing w:after="0" w:line="240" w:lineRule="auto"/>
              <w:ind w:firstLine="0"/>
              <w:contextualSpacing/>
              <w:jc w:val="center"/>
              <w:rPr>
                <w:bCs/>
                <w:color w:val="000000"/>
                <w:sz w:val="20"/>
                <w:szCs w:val="20"/>
              </w:rPr>
            </w:pPr>
            <w:r>
              <w:rPr>
                <w:bCs/>
                <w:color w:val="000000"/>
                <w:sz w:val="20"/>
                <w:szCs w:val="20"/>
              </w:rPr>
              <w:t>III. КАПИТАЛ И РЕЗЕРВЫ</w:t>
            </w:r>
          </w:p>
        </w:tc>
      </w:tr>
      <w:tr w14:paraId="5975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F945C93">
            <w:pPr>
              <w:spacing w:after="0" w:line="240" w:lineRule="auto"/>
              <w:ind w:firstLine="0"/>
              <w:contextualSpacing/>
              <w:rPr>
                <w:color w:val="000000"/>
                <w:sz w:val="20"/>
                <w:szCs w:val="20"/>
              </w:rPr>
            </w:pPr>
            <w:r>
              <w:rPr>
                <w:color w:val="000000"/>
                <w:sz w:val="20"/>
                <w:szCs w:val="20"/>
              </w:rPr>
              <w:t>Уставный капитал (складочный капитал, уставный фонд, вклады товарищей)</w:t>
            </w:r>
          </w:p>
        </w:tc>
        <w:tc>
          <w:tcPr>
            <w:tcW w:w="442" w:type="pct"/>
            <w:shd w:val="clear" w:color="auto" w:fill="auto"/>
            <w:noWrap/>
            <w:tcMar>
              <w:left w:w="28" w:type="dxa"/>
              <w:right w:w="28" w:type="dxa"/>
            </w:tcMar>
            <w:vAlign w:val="center"/>
          </w:tcPr>
          <w:p w14:paraId="0BE7F0B0">
            <w:pPr>
              <w:spacing w:after="0" w:line="240" w:lineRule="auto"/>
              <w:ind w:firstLine="0"/>
              <w:contextualSpacing/>
              <w:jc w:val="center"/>
              <w:rPr>
                <w:color w:val="000000"/>
                <w:sz w:val="20"/>
                <w:szCs w:val="20"/>
              </w:rPr>
            </w:pPr>
            <w:r>
              <w:rPr>
                <w:color w:val="000000"/>
                <w:sz w:val="20"/>
                <w:szCs w:val="20"/>
              </w:rPr>
              <w:t>1310</w:t>
            </w:r>
          </w:p>
        </w:tc>
        <w:tc>
          <w:tcPr>
            <w:tcW w:w="733" w:type="pct"/>
            <w:shd w:val="clear" w:color="auto" w:fill="auto"/>
            <w:noWrap/>
            <w:tcMar>
              <w:left w:w="28" w:type="dxa"/>
              <w:right w:w="28" w:type="dxa"/>
            </w:tcMar>
            <w:vAlign w:val="center"/>
          </w:tcPr>
          <w:p w14:paraId="434919D6">
            <w:pPr>
              <w:spacing w:after="0" w:line="240" w:lineRule="auto"/>
              <w:ind w:firstLine="0"/>
              <w:contextualSpacing/>
              <w:jc w:val="center"/>
              <w:rPr>
                <w:color w:val="000000"/>
                <w:sz w:val="20"/>
                <w:szCs w:val="20"/>
              </w:rPr>
            </w:pPr>
            <w:r>
              <w:rPr>
                <w:color w:val="000000"/>
                <w:sz w:val="20"/>
                <w:szCs w:val="20"/>
              </w:rPr>
              <w:t>3000</w:t>
            </w:r>
          </w:p>
        </w:tc>
      </w:tr>
      <w:tr w14:paraId="4606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EA5F48C">
            <w:pPr>
              <w:spacing w:after="0" w:line="240" w:lineRule="auto"/>
              <w:ind w:firstLine="0"/>
              <w:contextualSpacing/>
              <w:rPr>
                <w:color w:val="000000"/>
                <w:sz w:val="20"/>
                <w:szCs w:val="20"/>
              </w:rPr>
            </w:pPr>
            <w:r>
              <w:rPr>
                <w:color w:val="000000"/>
                <w:sz w:val="20"/>
                <w:szCs w:val="20"/>
              </w:rPr>
              <w:t>Собственные акции, выкупленные у акционеров</w:t>
            </w:r>
          </w:p>
        </w:tc>
        <w:tc>
          <w:tcPr>
            <w:tcW w:w="442" w:type="pct"/>
            <w:shd w:val="clear" w:color="auto" w:fill="auto"/>
            <w:noWrap/>
            <w:tcMar>
              <w:left w:w="28" w:type="dxa"/>
              <w:right w:w="28" w:type="dxa"/>
            </w:tcMar>
            <w:vAlign w:val="center"/>
          </w:tcPr>
          <w:p w14:paraId="4BF3EB43">
            <w:pPr>
              <w:spacing w:after="0" w:line="240" w:lineRule="auto"/>
              <w:ind w:firstLine="0"/>
              <w:contextualSpacing/>
              <w:jc w:val="center"/>
              <w:rPr>
                <w:color w:val="000000"/>
                <w:sz w:val="20"/>
                <w:szCs w:val="20"/>
              </w:rPr>
            </w:pPr>
            <w:r>
              <w:rPr>
                <w:color w:val="000000"/>
                <w:sz w:val="20"/>
                <w:szCs w:val="20"/>
              </w:rPr>
              <w:t>1320</w:t>
            </w:r>
          </w:p>
        </w:tc>
        <w:tc>
          <w:tcPr>
            <w:tcW w:w="733" w:type="pct"/>
            <w:shd w:val="clear" w:color="auto" w:fill="auto"/>
            <w:noWrap/>
            <w:tcMar>
              <w:left w:w="28" w:type="dxa"/>
              <w:right w:w="28" w:type="dxa"/>
            </w:tcMar>
            <w:vAlign w:val="center"/>
          </w:tcPr>
          <w:p w14:paraId="5BAB370C">
            <w:pPr>
              <w:spacing w:after="0" w:line="240" w:lineRule="auto"/>
              <w:ind w:firstLine="0"/>
              <w:contextualSpacing/>
              <w:jc w:val="center"/>
              <w:rPr>
                <w:color w:val="000000"/>
                <w:sz w:val="20"/>
                <w:szCs w:val="20"/>
              </w:rPr>
            </w:pPr>
            <w:r>
              <w:rPr>
                <w:color w:val="000000"/>
                <w:sz w:val="20"/>
                <w:szCs w:val="20"/>
              </w:rPr>
              <w:t>-</w:t>
            </w:r>
          </w:p>
        </w:tc>
      </w:tr>
      <w:tr w14:paraId="06F6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729EF0F">
            <w:pPr>
              <w:spacing w:after="0" w:line="240" w:lineRule="auto"/>
              <w:ind w:firstLine="0"/>
              <w:contextualSpacing/>
              <w:rPr>
                <w:color w:val="000000"/>
                <w:sz w:val="20"/>
                <w:szCs w:val="20"/>
              </w:rPr>
            </w:pPr>
            <w:r>
              <w:rPr>
                <w:color w:val="000000"/>
                <w:sz w:val="20"/>
                <w:szCs w:val="20"/>
              </w:rPr>
              <w:t>Переоценка внеоборотных активов</w:t>
            </w:r>
          </w:p>
        </w:tc>
        <w:tc>
          <w:tcPr>
            <w:tcW w:w="442" w:type="pct"/>
            <w:shd w:val="clear" w:color="auto" w:fill="auto"/>
            <w:noWrap/>
            <w:tcMar>
              <w:left w:w="28" w:type="dxa"/>
              <w:right w:w="28" w:type="dxa"/>
            </w:tcMar>
            <w:vAlign w:val="center"/>
          </w:tcPr>
          <w:p w14:paraId="748CCF3B">
            <w:pPr>
              <w:spacing w:after="0" w:line="240" w:lineRule="auto"/>
              <w:ind w:firstLine="0"/>
              <w:contextualSpacing/>
              <w:jc w:val="center"/>
              <w:rPr>
                <w:color w:val="000000"/>
                <w:sz w:val="20"/>
                <w:szCs w:val="20"/>
              </w:rPr>
            </w:pPr>
            <w:r>
              <w:rPr>
                <w:color w:val="000000"/>
                <w:sz w:val="20"/>
                <w:szCs w:val="20"/>
              </w:rPr>
              <w:t>1340</w:t>
            </w:r>
          </w:p>
        </w:tc>
        <w:tc>
          <w:tcPr>
            <w:tcW w:w="733" w:type="pct"/>
            <w:shd w:val="clear" w:color="auto" w:fill="auto"/>
            <w:noWrap/>
            <w:tcMar>
              <w:left w:w="28" w:type="dxa"/>
              <w:right w:w="28" w:type="dxa"/>
            </w:tcMar>
            <w:vAlign w:val="center"/>
          </w:tcPr>
          <w:p w14:paraId="11057238">
            <w:pPr>
              <w:spacing w:after="0" w:line="240" w:lineRule="auto"/>
              <w:ind w:firstLine="0"/>
              <w:contextualSpacing/>
              <w:jc w:val="center"/>
              <w:rPr>
                <w:color w:val="000000"/>
                <w:sz w:val="20"/>
                <w:szCs w:val="20"/>
              </w:rPr>
            </w:pPr>
            <w:r>
              <w:rPr>
                <w:color w:val="000000"/>
                <w:sz w:val="20"/>
                <w:szCs w:val="20"/>
              </w:rPr>
              <w:t>475608</w:t>
            </w:r>
          </w:p>
        </w:tc>
      </w:tr>
      <w:tr w14:paraId="05FA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59F92D5">
            <w:pPr>
              <w:spacing w:after="0" w:line="240" w:lineRule="auto"/>
              <w:ind w:firstLine="0"/>
              <w:contextualSpacing/>
              <w:rPr>
                <w:color w:val="000000"/>
                <w:sz w:val="20"/>
                <w:szCs w:val="20"/>
              </w:rPr>
            </w:pPr>
            <w:r>
              <w:rPr>
                <w:color w:val="000000"/>
                <w:sz w:val="20"/>
                <w:szCs w:val="20"/>
              </w:rPr>
              <w:t>Добавочный капитал (без переоценки)</w:t>
            </w:r>
          </w:p>
        </w:tc>
        <w:tc>
          <w:tcPr>
            <w:tcW w:w="442" w:type="pct"/>
            <w:shd w:val="clear" w:color="auto" w:fill="auto"/>
            <w:noWrap/>
            <w:tcMar>
              <w:left w:w="28" w:type="dxa"/>
              <w:right w:w="28" w:type="dxa"/>
            </w:tcMar>
            <w:vAlign w:val="center"/>
          </w:tcPr>
          <w:p w14:paraId="63E0DD5E">
            <w:pPr>
              <w:spacing w:after="0" w:line="240" w:lineRule="auto"/>
              <w:ind w:firstLine="0"/>
              <w:contextualSpacing/>
              <w:jc w:val="center"/>
              <w:rPr>
                <w:color w:val="000000"/>
                <w:sz w:val="20"/>
                <w:szCs w:val="20"/>
              </w:rPr>
            </w:pPr>
            <w:r>
              <w:rPr>
                <w:color w:val="000000"/>
                <w:sz w:val="20"/>
                <w:szCs w:val="20"/>
              </w:rPr>
              <w:t>1350</w:t>
            </w:r>
          </w:p>
        </w:tc>
        <w:tc>
          <w:tcPr>
            <w:tcW w:w="733" w:type="pct"/>
            <w:shd w:val="clear" w:color="auto" w:fill="auto"/>
            <w:noWrap/>
            <w:tcMar>
              <w:left w:w="28" w:type="dxa"/>
              <w:right w:w="28" w:type="dxa"/>
            </w:tcMar>
            <w:vAlign w:val="center"/>
          </w:tcPr>
          <w:p w14:paraId="03625276">
            <w:pPr>
              <w:spacing w:after="0" w:line="240" w:lineRule="auto"/>
              <w:ind w:firstLine="0"/>
              <w:contextualSpacing/>
              <w:jc w:val="center"/>
              <w:rPr>
                <w:color w:val="000000"/>
                <w:sz w:val="20"/>
                <w:szCs w:val="20"/>
              </w:rPr>
            </w:pPr>
            <w:r>
              <w:rPr>
                <w:color w:val="000000"/>
                <w:sz w:val="20"/>
                <w:szCs w:val="20"/>
              </w:rPr>
              <w:t>-</w:t>
            </w:r>
          </w:p>
        </w:tc>
      </w:tr>
      <w:tr w14:paraId="19D7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9CE2D94">
            <w:pPr>
              <w:spacing w:after="0" w:line="240" w:lineRule="auto"/>
              <w:ind w:firstLine="0"/>
              <w:contextualSpacing/>
              <w:rPr>
                <w:color w:val="000000"/>
                <w:sz w:val="20"/>
                <w:szCs w:val="20"/>
              </w:rPr>
            </w:pPr>
            <w:r>
              <w:rPr>
                <w:color w:val="000000"/>
                <w:sz w:val="20"/>
                <w:szCs w:val="20"/>
              </w:rPr>
              <w:t>Резервный капитал</w:t>
            </w:r>
          </w:p>
        </w:tc>
        <w:tc>
          <w:tcPr>
            <w:tcW w:w="442" w:type="pct"/>
            <w:shd w:val="clear" w:color="auto" w:fill="auto"/>
            <w:noWrap/>
            <w:tcMar>
              <w:left w:w="28" w:type="dxa"/>
              <w:right w:w="28" w:type="dxa"/>
            </w:tcMar>
            <w:vAlign w:val="center"/>
          </w:tcPr>
          <w:p w14:paraId="52855FFE">
            <w:pPr>
              <w:spacing w:after="0" w:line="240" w:lineRule="auto"/>
              <w:ind w:firstLine="0"/>
              <w:contextualSpacing/>
              <w:jc w:val="center"/>
              <w:rPr>
                <w:color w:val="000000"/>
                <w:sz w:val="20"/>
                <w:szCs w:val="20"/>
              </w:rPr>
            </w:pPr>
            <w:r>
              <w:rPr>
                <w:color w:val="000000"/>
                <w:sz w:val="20"/>
                <w:szCs w:val="20"/>
              </w:rPr>
              <w:t>1360</w:t>
            </w:r>
          </w:p>
        </w:tc>
        <w:tc>
          <w:tcPr>
            <w:tcW w:w="733" w:type="pct"/>
            <w:shd w:val="clear" w:color="auto" w:fill="auto"/>
            <w:noWrap/>
            <w:tcMar>
              <w:left w:w="28" w:type="dxa"/>
              <w:right w:w="28" w:type="dxa"/>
            </w:tcMar>
            <w:vAlign w:val="center"/>
          </w:tcPr>
          <w:p w14:paraId="0476594F">
            <w:pPr>
              <w:spacing w:after="0" w:line="240" w:lineRule="auto"/>
              <w:ind w:firstLine="0"/>
              <w:contextualSpacing/>
              <w:jc w:val="center"/>
              <w:rPr>
                <w:color w:val="000000"/>
                <w:sz w:val="20"/>
                <w:szCs w:val="20"/>
              </w:rPr>
            </w:pPr>
            <w:r>
              <w:rPr>
                <w:color w:val="000000"/>
                <w:sz w:val="20"/>
                <w:szCs w:val="20"/>
              </w:rPr>
              <w:t>-</w:t>
            </w:r>
          </w:p>
        </w:tc>
      </w:tr>
      <w:tr w14:paraId="5EA0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0C51A7F">
            <w:pPr>
              <w:spacing w:after="0" w:line="240" w:lineRule="auto"/>
              <w:ind w:firstLine="0"/>
              <w:contextualSpacing/>
              <w:rPr>
                <w:color w:val="000000"/>
                <w:sz w:val="20"/>
                <w:szCs w:val="20"/>
              </w:rPr>
            </w:pPr>
            <w:r>
              <w:rPr>
                <w:color w:val="000000"/>
                <w:sz w:val="20"/>
                <w:szCs w:val="20"/>
              </w:rPr>
              <w:t>Нераспределенная прибыль (непокрытый убыток)</w:t>
            </w:r>
          </w:p>
        </w:tc>
        <w:tc>
          <w:tcPr>
            <w:tcW w:w="442" w:type="pct"/>
            <w:shd w:val="clear" w:color="auto" w:fill="auto"/>
            <w:noWrap/>
            <w:tcMar>
              <w:left w:w="28" w:type="dxa"/>
              <w:right w:w="28" w:type="dxa"/>
            </w:tcMar>
            <w:vAlign w:val="center"/>
          </w:tcPr>
          <w:p w14:paraId="67A64870">
            <w:pPr>
              <w:spacing w:after="0" w:line="240" w:lineRule="auto"/>
              <w:ind w:firstLine="0"/>
              <w:contextualSpacing/>
              <w:jc w:val="center"/>
              <w:rPr>
                <w:color w:val="000000"/>
                <w:sz w:val="20"/>
                <w:szCs w:val="20"/>
              </w:rPr>
            </w:pPr>
            <w:r>
              <w:rPr>
                <w:color w:val="000000"/>
                <w:sz w:val="20"/>
                <w:szCs w:val="20"/>
              </w:rPr>
              <w:t>1370</w:t>
            </w:r>
          </w:p>
        </w:tc>
        <w:tc>
          <w:tcPr>
            <w:tcW w:w="733" w:type="pct"/>
            <w:shd w:val="clear" w:color="auto" w:fill="auto"/>
            <w:noWrap/>
            <w:tcMar>
              <w:left w:w="28" w:type="dxa"/>
              <w:right w:w="28" w:type="dxa"/>
            </w:tcMar>
            <w:vAlign w:val="center"/>
          </w:tcPr>
          <w:p w14:paraId="66B286BA">
            <w:pPr>
              <w:spacing w:after="0" w:line="240" w:lineRule="auto"/>
              <w:ind w:firstLine="0"/>
              <w:contextualSpacing/>
              <w:jc w:val="center"/>
              <w:rPr>
                <w:color w:val="000000"/>
                <w:sz w:val="20"/>
                <w:szCs w:val="20"/>
              </w:rPr>
            </w:pPr>
            <w:r>
              <w:rPr>
                <w:color w:val="000000"/>
                <w:sz w:val="20"/>
                <w:szCs w:val="20"/>
              </w:rPr>
              <w:t>(56120)</w:t>
            </w:r>
          </w:p>
        </w:tc>
      </w:tr>
      <w:tr w14:paraId="5EB4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CAB2BC6">
            <w:pPr>
              <w:spacing w:after="0" w:line="240" w:lineRule="auto"/>
              <w:ind w:firstLine="0"/>
              <w:contextualSpacing/>
              <w:rPr>
                <w:color w:val="000000"/>
                <w:sz w:val="20"/>
                <w:szCs w:val="20"/>
              </w:rPr>
            </w:pPr>
            <w:r>
              <w:rPr>
                <w:color w:val="000000"/>
                <w:sz w:val="20"/>
                <w:szCs w:val="20"/>
              </w:rPr>
              <w:t>Итого по разделу III</w:t>
            </w:r>
          </w:p>
        </w:tc>
        <w:tc>
          <w:tcPr>
            <w:tcW w:w="442" w:type="pct"/>
            <w:shd w:val="clear" w:color="auto" w:fill="auto"/>
            <w:noWrap/>
            <w:tcMar>
              <w:left w:w="28" w:type="dxa"/>
              <w:right w:w="28" w:type="dxa"/>
            </w:tcMar>
            <w:vAlign w:val="center"/>
          </w:tcPr>
          <w:p w14:paraId="540AB6A9">
            <w:pPr>
              <w:spacing w:after="0" w:line="240" w:lineRule="auto"/>
              <w:ind w:firstLine="0"/>
              <w:contextualSpacing/>
              <w:jc w:val="center"/>
              <w:rPr>
                <w:color w:val="000000"/>
                <w:sz w:val="20"/>
                <w:szCs w:val="20"/>
              </w:rPr>
            </w:pPr>
            <w:r>
              <w:rPr>
                <w:color w:val="000000"/>
                <w:sz w:val="20"/>
                <w:szCs w:val="20"/>
              </w:rPr>
              <w:t>1300</w:t>
            </w:r>
          </w:p>
        </w:tc>
        <w:tc>
          <w:tcPr>
            <w:tcW w:w="733" w:type="pct"/>
            <w:shd w:val="clear" w:color="auto" w:fill="auto"/>
            <w:noWrap/>
            <w:tcMar>
              <w:left w:w="28" w:type="dxa"/>
              <w:right w:w="28" w:type="dxa"/>
            </w:tcMar>
            <w:vAlign w:val="center"/>
          </w:tcPr>
          <w:p w14:paraId="57E64766">
            <w:pPr>
              <w:spacing w:after="0" w:line="240" w:lineRule="auto"/>
              <w:ind w:firstLine="0"/>
              <w:contextualSpacing/>
              <w:jc w:val="center"/>
              <w:rPr>
                <w:color w:val="000000"/>
                <w:sz w:val="20"/>
                <w:szCs w:val="20"/>
              </w:rPr>
            </w:pPr>
            <w:r>
              <w:rPr>
                <w:color w:val="000000"/>
                <w:sz w:val="20"/>
                <w:szCs w:val="20"/>
              </w:rPr>
              <w:t>422488</w:t>
            </w:r>
          </w:p>
        </w:tc>
      </w:tr>
      <w:tr w14:paraId="6407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54B3DC8A">
            <w:pPr>
              <w:spacing w:after="0" w:line="240" w:lineRule="auto"/>
              <w:ind w:firstLine="0"/>
              <w:contextualSpacing/>
              <w:jc w:val="center"/>
              <w:rPr>
                <w:bCs/>
                <w:color w:val="000000"/>
                <w:sz w:val="20"/>
                <w:szCs w:val="20"/>
              </w:rPr>
            </w:pPr>
            <w:r>
              <w:rPr>
                <w:bCs/>
                <w:color w:val="000000"/>
                <w:sz w:val="20"/>
                <w:szCs w:val="20"/>
              </w:rPr>
              <w:t>IV. ДОЛГОСРОЧНЫЕ ОБЯЗАТЕЛЬСТВА</w:t>
            </w:r>
          </w:p>
        </w:tc>
      </w:tr>
      <w:tr w14:paraId="2921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0360BDA">
            <w:pPr>
              <w:spacing w:after="0" w:line="240" w:lineRule="auto"/>
              <w:ind w:firstLine="0"/>
              <w:contextualSpacing/>
              <w:rPr>
                <w:color w:val="000000"/>
                <w:sz w:val="20"/>
                <w:szCs w:val="20"/>
              </w:rPr>
            </w:pPr>
            <w:r>
              <w:rPr>
                <w:color w:val="000000"/>
                <w:sz w:val="20"/>
                <w:szCs w:val="20"/>
              </w:rPr>
              <w:t>Заемные средства</w:t>
            </w:r>
          </w:p>
        </w:tc>
        <w:tc>
          <w:tcPr>
            <w:tcW w:w="442" w:type="pct"/>
            <w:shd w:val="clear" w:color="auto" w:fill="auto"/>
            <w:noWrap/>
            <w:tcMar>
              <w:left w:w="28" w:type="dxa"/>
              <w:right w:w="28" w:type="dxa"/>
            </w:tcMar>
            <w:vAlign w:val="center"/>
          </w:tcPr>
          <w:p w14:paraId="7D50BBB5">
            <w:pPr>
              <w:spacing w:after="0" w:line="240" w:lineRule="auto"/>
              <w:ind w:firstLine="0"/>
              <w:contextualSpacing/>
              <w:jc w:val="center"/>
              <w:rPr>
                <w:color w:val="000000"/>
                <w:sz w:val="20"/>
                <w:szCs w:val="20"/>
              </w:rPr>
            </w:pPr>
            <w:r>
              <w:rPr>
                <w:color w:val="000000"/>
                <w:sz w:val="20"/>
                <w:szCs w:val="20"/>
              </w:rPr>
              <w:t>1410</w:t>
            </w:r>
          </w:p>
        </w:tc>
        <w:tc>
          <w:tcPr>
            <w:tcW w:w="733" w:type="pct"/>
            <w:shd w:val="clear" w:color="auto" w:fill="auto"/>
            <w:noWrap/>
            <w:tcMar>
              <w:left w:w="28" w:type="dxa"/>
              <w:right w:w="28" w:type="dxa"/>
            </w:tcMar>
            <w:vAlign w:val="center"/>
          </w:tcPr>
          <w:p w14:paraId="3A19E01B">
            <w:pPr>
              <w:spacing w:after="0" w:line="240" w:lineRule="auto"/>
              <w:ind w:firstLine="0"/>
              <w:contextualSpacing/>
              <w:jc w:val="center"/>
              <w:rPr>
                <w:color w:val="000000"/>
                <w:sz w:val="20"/>
                <w:szCs w:val="20"/>
              </w:rPr>
            </w:pPr>
            <w:r>
              <w:rPr>
                <w:color w:val="000000"/>
                <w:sz w:val="20"/>
                <w:szCs w:val="20"/>
              </w:rPr>
              <w:t>-</w:t>
            </w:r>
          </w:p>
        </w:tc>
      </w:tr>
      <w:tr w14:paraId="626E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943D9AE">
            <w:pPr>
              <w:spacing w:after="0" w:line="240" w:lineRule="auto"/>
              <w:ind w:firstLine="0"/>
              <w:contextualSpacing/>
              <w:rPr>
                <w:color w:val="000000"/>
                <w:sz w:val="20"/>
                <w:szCs w:val="20"/>
              </w:rPr>
            </w:pPr>
            <w:r>
              <w:rPr>
                <w:color w:val="000000"/>
                <w:sz w:val="20"/>
                <w:szCs w:val="20"/>
              </w:rPr>
              <w:t>Отложенные налоговые обязательства</w:t>
            </w:r>
          </w:p>
        </w:tc>
        <w:tc>
          <w:tcPr>
            <w:tcW w:w="442" w:type="pct"/>
            <w:shd w:val="clear" w:color="auto" w:fill="auto"/>
            <w:noWrap/>
            <w:tcMar>
              <w:left w:w="28" w:type="dxa"/>
              <w:right w:w="28" w:type="dxa"/>
            </w:tcMar>
            <w:vAlign w:val="center"/>
          </w:tcPr>
          <w:p w14:paraId="2F29C3FD">
            <w:pPr>
              <w:spacing w:after="0" w:line="240" w:lineRule="auto"/>
              <w:ind w:firstLine="0"/>
              <w:contextualSpacing/>
              <w:jc w:val="center"/>
              <w:rPr>
                <w:color w:val="000000"/>
                <w:sz w:val="20"/>
                <w:szCs w:val="20"/>
              </w:rPr>
            </w:pPr>
            <w:r>
              <w:rPr>
                <w:color w:val="000000"/>
                <w:sz w:val="20"/>
                <w:szCs w:val="20"/>
              </w:rPr>
              <w:t>1420</w:t>
            </w:r>
          </w:p>
        </w:tc>
        <w:tc>
          <w:tcPr>
            <w:tcW w:w="733" w:type="pct"/>
            <w:shd w:val="clear" w:color="auto" w:fill="auto"/>
            <w:noWrap/>
            <w:tcMar>
              <w:left w:w="28" w:type="dxa"/>
              <w:right w:w="28" w:type="dxa"/>
            </w:tcMar>
            <w:vAlign w:val="center"/>
          </w:tcPr>
          <w:p w14:paraId="4B94CDAB">
            <w:pPr>
              <w:spacing w:after="0" w:line="240" w:lineRule="auto"/>
              <w:ind w:firstLine="0"/>
              <w:contextualSpacing/>
              <w:jc w:val="center"/>
              <w:rPr>
                <w:color w:val="000000"/>
                <w:sz w:val="20"/>
                <w:szCs w:val="20"/>
              </w:rPr>
            </w:pPr>
            <w:r>
              <w:rPr>
                <w:color w:val="000000"/>
                <w:sz w:val="20"/>
                <w:szCs w:val="20"/>
              </w:rPr>
              <w:t>229</w:t>
            </w:r>
          </w:p>
        </w:tc>
      </w:tr>
      <w:tr w14:paraId="56AC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7A91852">
            <w:pPr>
              <w:spacing w:after="0" w:line="240" w:lineRule="auto"/>
              <w:ind w:firstLine="0"/>
              <w:contextualSpacing/>
              <w:rPr>
                <w:color w:val="000000"/>
                <w:sz w:val="20"/>
                <w:szCs w:val="20"/>
              </w:rPr>
            </w:pPr>
            <w:r>
              <w:rPr>
                <w:color w:val="000000"/>
                <w:sz w:val="20"/>
                <w:szCs w:val="20"/>
              </w:rPr>
              <w:t>Оценочные обязательства</w:t>
            </w:r>
          </w:p>
        </w:tc>
        <w:tc>
          <w:tcPr>
            <w:tcW w:w="442" w:type="pct"/>
            <w:shd w:val="clear" w:color="auto" w:fill="auto"/>
            <w:noWrap/>
            <w:tcMar>
              <w:left w:w="28" w:type="dxa"/>
              <w:right w:w="28" w:type="dxa"/>
            </w:tcMar>
            <w:vAlign w:val="center"/>
          </w:tcPr>
          <w:p w14:paraId="2F64CD8B">
            <w:pPr>
              <w:spacing w:after="0" w:line="240" w:lineRule="auto"/>
              <w:ind w:firstLine="0"/>
              <w:contextualSpacing/>
              <w:jc w:val="center"/>
              <w:rPr>
                <w:color w:val="000000"/>
                <w:sz w:val="20"/>
                <w:szCs w:val="20"/>
              </w:rPr>
            </w:pPr>
            <w:r>
              <w:rPr>
                <w:color w:val="000000"/>
                <w:sz w:val="20"/>
                <w:szCs w:val="20"/>
              </w:rPr>
              <w:t>1430</w:t>
            </w:r>
          </w:p>
        </w:tc>
        <w:tc>
          <w:tcPr>
            <w:tcW w:w="733" w:type="pct"/>
            <w:shd w:val="clear" w:color="auto" w:fill="auto"/>
            <w:noWrap/>
            <w:tcMar>
              <w:left w:w="28" w:type="dxa"/>
              <w:right w:w="28" w:type="dxa"/>
            </w:tcMar>
            <w:vAlign w:val="center"/>
          </w:tcPr>
          <w:p w14:paraId="40B220A1">
            <w:pPr>
              <w:spacing w:after="0" w:line="240" w:lineRule="auto"/>
              <w:ind w:firstLine="0"/>
              <w:contextualSpacing/>
              <w:jc w:val="center"/>
              <w:rPr>
                <w:color w:val="000000"/>
                <w:sz w:val="20"/>
                <w:szCs w:val="20"/>
              </w:rPr>
            </w:pPr>
            <w:r>
              <w:rPr>
                <w:color w:val="000000"/>
                <w:sz w:val="20"/>
                <w:szCs w:val="20"/>
              </w:rPr>
              <w:t>-</w:t>
            </w:r>
          </w:p>
        </w:tc>
      </w:tr>
      <w:tr w14:paraId="49C4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8905FBB">
            <w:pPr>
              <w:spacing w:after="0" w:line="240" w:lineRule="auto"/>
              <w:ind w:firstLine="0"/>
              <w:contextualSpacing/>
              <w:rPr>
                <w:color w:val="000000"/>
                <w:sz w:val="20"/>
                <w:szCs w:val="20"/>
              </w:rPr>
            </w:pPr>
            <w:r>
              <w:rPr>
                <w:color w:val="000000"/>
                <w:sz w:val="20"/>
                <w:szCs w:val="20"/>
              </w:rPr>
              <w:t>Прочие обязательства</w:t>
            </w:r>
          </w:p>
        </w:tc>
        <w:tc>
          <w:tcPr>
            <w:tcW w:w="442" w:type="pct"/>
            <w:shd w:val="clear" w:color="auto" w:fill="auto"/>
            <w:noWrap/>
            <w:tcMar>
              <w:left w:w="28" w:type="dxa"/>
              <w:right w:w="28" w:type="dxa"/>
            </w:tcMar>
            <w:vAlign w:val="center"/>
          </w:tcPr>
          <w:p w14:paraId="0DEF60CF">
            <w:pPr>
              <w:spacing w:after="0" w:line="240" w:lineRule="auto"/>
              <w:ind w:firstLine="0"/>
              <w:contextualSpacing/>
              <w:jc w:val="center"/>
              <w:rPr>
                <w:color w:val="000000"/>
                <w:sz w:val="20"/>
                <w:szCs w:val="20"/>
              </w:rPr>
            </w:pPr>
            <w:r>
              <w:rPr>
                <w:color w:val="000000"/>
                <w:sz w:val="20"/>
                <w:szCs w:val="20"/>
              </w:rPr>
              <w:t>1450</w:t>
            </w:r>
          </w:p>
        </w:tc>
        <w:tc>
          <w:tcPr>
            <w:tcW w:w="733" w:type="pct"/>
            <w:shd w:val="clear" w:color="auto" w:fill="auto"/>
            <w:noWrap/>
            <w:tcMar>
              <w:left w:w="28" w:type="dxa"/>
              <w:right w:w="28" w:type="dxa"/>
            </w:tcMar>
            <w:vAlign w:val="center"/>
          </w:tcPr>
          <w:p w14:paraId="23C3FD43">
            <w:pPr>
              <w:spacing w:after="0" w:line="240" w:lineRule="auto"/>
              <w:ind w:firstLine="0"/>
              <w:contextualSpacing/>
              <w:jc w:val="center"/>
              <w:rPr>
                <w:color w:val="000000"/>
                <w:sz w:val="20"/>
                <w:szCs w:val="20"/>
              </w:rPr>
            </w:pPr>
            <w:r>
              <w:rPr>
                <w:color w:val="000000"/>
                <w:sz w:val="20"/>
                <w:szCs w:val="20"/>
              </w:rPr>
              <w:t>-</w:t>
            </w:r>
          </w:p>
        </w:tc>
      </w:tr>
      <w:tr w14:paraId="1948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FA13235">
            <w:pPr>
              <w:spacing w:after="0" w:line="240" w:lineRule="auto"/>
              <w:ind w:firstLine="0"/>
              <w:contextualSpacing/>
              <w:rPr>
                <w:color w:val="000000"/>
                <w:sz w:val="20"/>
                <w:szCs w:val="20"/>
              </w:rPr>
            </w:pPr>
            <w:r>
              <w:rPr>
                <w:color w:val="000000"/>
                <w:sz w:val="20"/>
                <w:szCs w:val="20"/>
              </w:rPr>
              <w:t>Итого по разделу IV</w:t>
            </w:r>
          </w:p>
        </w:tc>
        <w:tc>
          <w:tcPr>
            <w:tcW w:w="442" w:type="pct"/>
            <w:shd w:val="clear" w:color="auto" w:fill="auto"/>
            <w:noWrap/>
            <w:tcMar>
              <w:left w:w="28" w:type="dxa"/>
              <w:right w:w="28" w:type="dxa"/>
            </w:tcMar>
            <w:vAlign w:val="center"/>
          </w:tcPr>
          <w:p w14:paraId="7239A6E4">
            <w:pPr>
              <w:spacing w:after="0" w:line="240" w:lineRule="auto"/>
              <w:ind w:firstLine="0"/>
              <w:contextualSpacing/>
              <w:jc w:val="center"/>
              <w:rPr>
                <w:color w:val="000000"/>
                <w:sz w:val="20"/>
                <w:szCs w:val="20"/>
              </w:rPr>
            </w:pPr>
            <w:r>
              <w:rPr>
                <w:color w:val="000000"/>
                <w:sz w:val="20"/>
                <w:szCs w:val="20"/>
              </w:rPr>
              <w:t>1400</w:t>
            </w:r>
          </w:p>
        </w:tc>
        <w:tc>
          <w:tcPr>
            <w:tcW w:w="733" w:type="pct"/>
            <w:shd w:val="clear" w:color="auto" w:fill="auto"/>
            <w:noWrap/>
            <w:tcMar>
              <w:left w:w="28" w:type="dxa"/>
              <w:right w:w="28" w:type="dxa"/>
            </w:tcMar>
            <w:vAlign w:val="center"/>
          </w:tcPr>
          <w:p w14:paraId="4FDA1D14">
            <w:pPr>
              <w:spacing w:after="0" w:line="240" w:lineRule="auto"/>
              <w:ind w:firstLine="0"/>
              <w:contextualSpacing/>
              <w:jc w:val="center"/>
              <w:rPr>
                <w:color w:val="000000"/>
                <w:sz w:val="20"/>
                <w:szCs w:val="20"/>
              </w:rPr>
            </w:pPr>
            <w:r>
              <w:rPr>
                <w:color w:val="000000"/>
                <w:sz w:val="20"/>
                <w:szCs w:val="20"/>
              </w:rPr>
              <w:t>229</w:t>
            </w:r>
          </w:p>
        </w:tc>
      </w:tr>
      <w:tr w14:paraId="27B6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1FB11E67">
            <w:pPr>
              <w:spacing w:after="0" w:line="240" w:lineRule="auto"/>
              <w:ind w:firstLine="0"/>
              <w:contextualSpacing/>
              <w:jc w:val="center"/>
              <w:rPr>
                <w:bCs/>
                <w:color w:val="000000"/>
                <w:sz w:val="20"/>
                <w:szCs w:val="20"/>
              </w:rPr>
            </w:pPr>
            <w:r>
              <w:rPr>
                <w:bCs/>
                <w:color w:val="000000"/>
                <w:sz w:val="20"/>
                <w:szCs w:val="20"/>
              </w:rPr>
              <w:t>V. КРАТКОСРОЧНЫЕ ОБЯЗАТЕЛЬСТВА</w:t>
            </w:r>
          </w:p>
        </w:tc>
      </w:tr>
      <w:tr w14:paraId="7C26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4ABF2CC">
            <w:pPr>
              <w:spacing w:after="0" w:line="240" w:lineRule="auto"/>
              <w:ind w:firstLine="0"/>
              <w:contextualSpacing/>
              <w:rPr>
                <w:color w:val="000000"/>
                <w:sz w:val="20"/>
                <w:szCs w:val="20"/>
              </w:rPr>
            </w:pPr>
            <w:r>
              <w:rPr>
                <w:color w:val="000000"/>
                <w:sz w:val="20"/>
                <w:szCs w:val="20"/>
              </w:rPr>
              <w:t>Заемные средства</w:t>
            </w:r>
          </w:p>
        </w:tc>
        <w:tc>
          <w:tcPr>
            <w:tcW w:w="442" w:type="pct"/>
            <w:shd w:val="clear" w:color="auto" w:fill="auto"/>
            <w:noWrap/>
            <w:tcMar>
              <w:left w:w="28" w:type="dxa"/>
              <w:right w:w="28" w:type="dxa"/>
            </w:tcMar>
            <w:vAlign w:val="center"/>
          </w:tcPr>
          <w:p w14:paraId="14A7167B">
            <w:pPr>
              <w:spacing w:after="0" w:line="240" w:lineRule="auto"/>
              <w:ind w:firstLine="0"/>
              <w:contextualSpacing/>
              <w:jc w:val="center"/>
              <w:rPr>
                <w:color w:val="000000"/>
                <w:sz w:val="20"/>
                <w:szCs w:val="20"/>
              </w:rPr>
            </w:pPr>
            <w:r>
              <w:rPr>
                <w:color w:val="000000"/>
                <w:sz w:val="20"/>
                <w:szCs w:val="20"/>
              </w:rPr>
              <w:t>1510</w:t>
            </w:r>
          </w:p>
        </w:tc>
        <w:tc>
          <w:tcPr>
            <w:tcW w:w="733" w:type="pct"/>
            <w:shd w:val="clear" w:color="auto" w:fill="auto"/>
            <w:noWrap/>
            <w:tcMar>
              <w:left w:w="28" w:type="dxa"/>
              <w:right w:w="28" w:type="dxa"/>
            </w:tcMar>
            <w:vAlign w:val="center"/>
          </w:tcPr>
          <w:p w14:paraId="5817FC7F">
            <w:pPr>
              <w:spacing w:after="0" w:line="240" w:lineRule="auto"/>
              <w:ind w:firstLine="0"/>
              <w:contextualSpacing/>
              <w:jc w:val="center"/>
              <w:rPr>
                <w:color w:val="000000"/>
                <w:sz w:val="20"/>
                <w:szCs w:val="20"/>
              </w:rPr>
            </w:pPr>
            <w:r>
              <w:rPr>
                <w:color w:val="000000"/>
                <w:sz w:val="20"/>
                <w:szCs w:val="20"/>
              </w:rPr>
              <w:t>-</w:t>
            </w:r>
          </w:p>
        </w:tc>
      </w:tr>
      <w:tr w14:paraId="1F27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A3FD777">
            <w:pPr>
              <w:spacing w:after="0" w:line="240" w:lineRule="auto"/>
              <w:ind w:firstLine="0"/>
              <w:contextualSpacing/>
              <w:rPr>
                <w:color w:val="000000"/>
                <w:sz w:val="20"/>
                <w:szCs w:val="20"/>
              </w:rPr>
            </w:pPr>
            <w:r>
              <w:rPr>
                <w:color w:val="000000"/>
                <w:sz w:val="20"/>
                <w:szCs w:val="20"/>
              </w:rPr>
              <w:t>Кредиторская задолженность</w:t>
            </w:r>
          </w:p>
        </w:tc>
        <w:tc>
          <w:tcPr>
            <w:tcW w:w="442" w:type="pct"/>
            <w:shd w:val="clear" w:color="auto" w:fill="auto"/>
            <w:noWrap/>
            <w:tcMar>
              <w:left w:w="28" w:type="dxa"/>
              <w:right w:w="28" w:type="dxa"/>
            </w:tcMar>
            <w:vAlign w:val="center"/>
          </w:tcPr>
          <w:p w14:paraId="1884DF91">
            <w:pPr>
              <w:spacing w:after="0" w:line="240" w:lineRule="auto"/>
              <w:ind w:firstLine="0"/>
              <w:contextualSpacing/>
              <w:jc w:val="center"/>
              <w:rPr>
                <w:color w:val="000000"/>
                <w:sz w:val="20"/>
                <w:szCs w:val="20"/>
              </w:rPr>
            </w:pPr>
            <w:r>
              <w:rPr>
                <w:color w:val="000000"/>
                <w:sz w:val="20"/>
                <w:szCs w:val="20"/>
              </w:rPr>
              <w:t>1520</w:t>
            </w:r>
          </w:p>
        </w:tc>
        <w:tc>
          <w:tcPr>
            <w:tcW w:w="733" w:type="pct"/>
            <w:shd w:val="clear" w:color="auto" w:fill="auto"/>
            <w:noWrap/>
            <w:tcMar>
              <w:left w:w="28" w:type="dxa"/>
              <w:right w:w="28" w:type="dxa"/>
            </w:tcMar>
            <w:vAlign w:val="center"/>
          </w:tcPr>
          <w:p w14:paraId="04A48702">
            <w:pPr>
              <w:spacing w:after="0" w:line="240" w:lineRule="auto"/>
              <w:ind w:firstLine="0"/>
              <w:contextualSpacing/>
              <w:jc w:val="center"/>
              <w:rPr>
                <w:color w:val="000000"/>
                <w:sz w:val="20"/>
                <w:szCs w:val="20"/>
              </w:rPr>
            </w:pPr>
            <w:r>
              <w:rPr>
                <w:color w:val="000000"/>
                <w:sz w:val="20"/>
                <w:szCs w:val="20"/>
              </w:rPr>
              <w:t>88395</w:t>
            </w:r>
          </w:p>
        </w:tc>
      </w:tr>
      <w:tr w14:paraId="20F7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4F32AE7">
            <w:pPr>
              <w:spacing w:after="0" w:line="240" w:lineRule="auto"/>
              <w:ind w:firstLine="0"/>
              <w:contextualSpacing/>
              <w:rPr>
                <w:color w:val="000000"/>
                <w:sz w:val="20"/>
                <w:szCs w:val="20"/>
              </w:rPr>
            </w:pPr>
            <w:r>
              <w:rPr>
                <w:color w:val="000000"/>
                <w:sz w:val="20"/>
                <w:szCs w:val="20"/>
              </w:rPr>
              <w:t>Доходы будущих периодов</w:t>
            </w:r>
          </w:p>
        </w:tc>
        <w:tc>
          <w:tcPr>
            <w:tcW w:w="442" w:type="pct"/>
            <w:shd w:val="clear" w:color="auto" w:fill="auto"/>
            <w:noWrap/>
            <w:tcMar>
              <w:left w:w="28" w:type="dxa"/>
              <w:right w:w="28" w:type="dxa"/>
            </w:tcMar>
            <w:vAlign w:val="center"/>
          </w:tcPr>
          <w:p w14:paraId="09915E30">
            <w:pPr>
              <w:spacing w:after="0" w:line="240" w:lineRule="auto"/>
              <w:ind w:firstLine="0"/>
              <w:contextualSpacing/>
              <w:jc w:val="center"/>
              <w:rPr>
                <w:color w:val="000000"/>
                <w:sz w:val="20"/>
                <w:szCs w:val="20"/>
              </w:rPr>
            </w:pPr>
            <w:r>
              <w:rPr>
                <w:color w:val="000000"/>
                <w:sz w:val="20"/>
                <w:szCs w:val="20"/>
              </w:rPr>
              <w:t>1530</w:t>
            </w:r>
          </w:p>
        </w:tc>
        <w:tc>
          <w:tcPr>
            <w:tcW w:w="733" w:type="pct"/>
            <w:shd w:val="clear" w:color="auto" w:fill="auto"/>
            <w:noWrap/>
            <w:tcMar>
              <w:left w:w="28" w:type="dxa"/>
              <w:right w:w="28" w:type="dxa"/>
            </w:tcMar>
            <w:vAlign w:val="center"/>
          </w:tcPr>
          <w:p w14:paraId="6B134A02">
            <w:pPr>
              <w:spacing w:after="0" w:line="240" w:lineRule="auto"/>
              <w:ind w:firstLine="0"/>
              <w:contextualSpacing/>
              <w:jc w:val="center"/>
              <w:rPr>
                <w:color w:val="000000"/>
                <w:sz w:val="20"/>
                <w:szCs w:val="20"/>
              </w:rPr>
            </w:pPr>
            <w:r>
              <w:rPr>
                <w:color w:val="000000"/>
                <w:sz w:val="20"/>
                <w:szCs w:val="20"/>
              </w:rPr>
              <w:t>-</w:t>
            </w:r>
          </w:p>
        </w:tc>
      </w:tr>
      <w:tr w14:paraId="2A8E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8E3DC28">
            <w:pPr>
              <w:spacing w:after="0" w:line="240" w:lineRule="auto"/>
              <w:ind w:firstLine="0"/>
              <w:contextualSpacing/>
              <w:rPr>
                <w:color w:val="000000"/>
                <w:sz w:val="20"/>
                <w:szCs w:val="20"/>
              </w:rPr>
            </w:pPr>
            <w:r>
              <w:rPr>
                <w:color w:val="000000"/>
                <w:sz w:val="20"/>
                <w:szCs w:val="20"/>
              </w:rPr>
              <w:t>Оценочные обязательства</w:t>
            </w:r>
          </w:p>
        </w:tc>
        <w:tc>
          <w:tcPr>
            <w:tcW w:w="442" w:type="pct"/>
            <w:shd w:val="clear" w:color="auto" w:fill="auto"/>
            <w:noWrap/>
            <w:tcMar>
              <w:left w:w="28" w:type="dxa"/>
              <w:right w:w="28" w:type="dxa"/>
            </w:tcMar>
            <w:vAlign w:val="center"/>
          </w:tcPr>
          <w:p w14:paraId="36FAE6D6">
            <w:pPr>
              <w:spacing w:after="0" w:line="240" w:lineRule="auto"/>
              <w:ind w:firstLine="0"/>
              <w:contextualSpacing/>
              <w:jc w:val="center"/>
              <w:rPr>
                <w:color w:val="000000"/>
                <w:sz w:val="20"/>
                <w:szCs w:val="20"/>
              </w:rPr>
            </w:pPr>
            <w:r>
              <w:rPr>
                <w:color w:val="000000"/>
                <w:sz w:val="20"/>
                <w:szCs w:val="20"/>
              </w:rPr>
              <w:t>1540</w:t>
            </w:r>
          </w:p>
        </w:tc>
        <w:tc>
          <w:tcPr>
            <w:tcW w:w="733" w:type="pct"/>
            <w:shd w:val="clear" w:color="auto" w:fill="auto"/>
            <w:noWrap/>
            <w:tcMar>
              <w:left w:w="28" w:type="dxa"/>
              <w:right w:w="28" w:type="dxa"/>
            </w:tcMar>
            <w:vAlign w:val="center"/>
          </w:tcPr>
          <w:p w14:paraId="46FACE36">
            <w:pPr>
              <w:spacing w:after="0" w:line="240" w:lineRule="auto"/>
              <w:ind w:firstLine="0"/>
              <w:contextualSpacing/>
              <w:jc w:val="center"/>
              <w:rPr>
                <w:color w:val="000000"/>
                <w:sz w:val="20"/>
                <w:szCs w:val="20"/>
              </w:rPr>
            </w:pPr>
            <w:r>
              <w:rPr>
                <w:color w:val="000000"/>
                <w:sz w:val="20"/>
                <w:szCs w:val="20"/>
              </w:rPr>
              <w:t>6695</w:t>
            </w:r>
          </w:p>
        </w:tc>
      </w:tr>
      <w:tr w14:paraId="7406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2E5C166">
            <w:pPr>
              <w:spacing w:after="0" w:line="240" w:lineRule="auto"/>
              <w:ind w:firstLine="0"/>
              <w:contextualSpacing/>
              <w:rPr>
                <w:color w:val="000000"/>
                <w:sz w:val="20"/>
                <w:szCs w:val="20"/>
              </w:rPr>
            </w:pPr>
            <w:r>
              <w:rPr>
                <w:color w:val="000000"/>
                <w:sz w:val="20"/>
                <w:szCs w:val="20"/>
              </w:rPr>
              <w:t>Прочие обязательства</w:t>
            </w:r>
          </w:p>
        </w:tc>
        <w:tc>
          <w:tcPr>
            <w:tcW w:w="442" w:type="pct"/>
            <w:shd w:val="clear" w:color="auto" w:fill="auto"/>
            <w:noWrap/>
            <w:tcMar>
              <w:left w:w="28" w:type="dxa"/>
              <w:right w:w="28" w:type="dxa"/>
            </w:tcMar>
            <w:vAlign w:val="center"/>
          </w:tcPr>
          <w:p w14:paraId="361FFB4E">
            <w:pPr>
              <w:spacing w:after="0" w:line="240" w:lineRule="auto"/>
              <w:ind w:firstLine="0"/>
              <w:contextualSpacing/>
              <w:jc w:val="center"/>
              <w:rPr>
                <w:color w:val="000000"/>
                <w:sz w:val="20"/>
                <w:szCs w:val="20"/>
              </w:rPr>
            </w:pPr>
            <w:r>
              <w:rPr>
                <w:color w:val="000000"/>
                <w:sz w:val="20"/>
                <w:szCs w:val="20"/>
              </w:rPr>
              <w:t>1550</w:t>
            </w:r>
          </w:p>
        </w:tc>
        <w:tc>
          <w:tcPr>
            <w:tcW w:w="733" w:type="pct"/>
            <w:shd w:val="clear" w:color="auto" w:fill="auto"/>
            <w:noWrap/>
            <w:tcMar>
              <w:left w:w="28" w:type="dxa"/>
              <w:right w:w="28" w:type="dxa"/>
            </w:tcMar>
            <w:vAlign w:val="center"/>
          </w:tcPr>
          <w:p w14:paraId="32B04A21">
            <w:pPr>
              <w:spacing w:after="0" w:line="240" w:lineRule="auto"/>
              <w:ind w:firstLine="0"/>
              <w:contextualSpacing/>
              <w:jc w:val="center"/>
              <w:rPr>
                <w:color w:val="000000"/>
                <w:sz w:val="20"/>
                <w:szCs w:val="20"/>
              </w:rPr>
            </w:pPr>
            <w:r>
              <w:rPr>
                <w:color w:val="000000"/>
                <w:sz w:val="20"/>
                <w:szCs w:val="20"/>
              </w:rPr>
              <w:t>-</w:t>
            </w:r>
          </w:p>
        </w:tc>
      </w:tr>
      <w:tr w14:paraId="0F79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01196A3">
            <w:pPr>
              <w:spacing w:after="0" w:line="240" w:lineRule="auto"/>
              <w:ind w:firstLine="0"/>
              <w:contextualSpacing/>
              <w:rPr>
                <w:color w:val="000000"/>
                <w:sz w:val="20"/>
                <w:szCs w:val="20"/>
              </w:rPr>
            </w:pPr>
            <w:r>
              <w:rPr>
                <w:color w:val="000000"/>
                <w:sz w:val="20"/>
                <w:szCs w:val="20"/>
              </w:rPr>
              <w:t>Итого по разделу V</w:t>
            </w:r>
          </w:p>
        </w:tc>
        <w:tc>
          <w:tcPr>
            <w:tcW w:w="442" w:type="pct"/>
            <w:shd w:val="clear" w:color="auto" w:fill="auto"/>
            <w:noWrap/>
            <w:tcMar>
              <w:left w:w="28" w:type="dxa"/>
              <w:right w:w="28" w:type="dxa"/>
            </w:tcMar>
            <w:vAlign w:val="center"/>
          </w:tcPr>
          <w:p w14:paraId="229ABA7E">
            <w:pPr>
              <w:spacing w:after="0" w:line="240" w:lineRule="auto"/>
              <w:ind w:firstLine="0"/>
              <w:contextualSpacing/>
              <w:jc w:val="center"/>
              <w:rPr>
                <w:color w:val="000000"/>
                <w:sz w:val="20"/>
                <w:szCs w:val="20"/>
              </w:rPr>
            </w:pPr>
            <w:r>
              <w:rPr>
                <w:color w:val="000000"/>
                <w:sz w:val="20"/>
                <w:szCs w:val="20"/>
              </w:rPr>
              <w:t>1500</w:t>
            </w:r>
          </w:p>
        </w:tc>
        <w:tc>
          <w:tcPr>
            <w:tcW w:w="733" w:type="pct"/>
            <w:shd w:val="clear" w:color="auto" w:fill="auto"/>
            <w:noWrap/>
            <w:tcMar>
              <w:left w:w="28" w:type="dxa"/>
              <w:right w:w="28" w:type="dxa"/>
            </w:tcMar>
            <w:vAlign w:val="center"/>
          </w:tcPr>
          <w:p w14:paraId="18B362C0">
            <w:pPr>
              <w:spacing w:after="0" w:line="240" w:lineRule="auto"/>
              <w:ind w:firstLine="0"/>
              <w:contextualSpacing/>
              <w:jc w:val="center"/>
              <w:rPr>
                <w:color w:val="000000"/>
                <w:sz w:val="20"/>
                <w:szCs w:val="20"/>
              </w:rPr>
            </w:pPr>
            <w:r>
              <w:rPr>
                <w:color w:val="000000"/>
                <w:sz w:val="20"/>
                <w:szCs w:val="20"/>
              </w:rPr>
              <w:t>95090</w:t>
            </w:r>
          </w:p>
        </w:tc>
      </w:tr>
      <w:tr w14:paraId="0108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581A061">
            <w:pPr>
              <w:spacing w:after="0" w:line="240" w:lineRule="auto"/>
              <w:ind w:firstLine="0"/>
              <w:contextualSpacing/>
              <w:rPr>
                <w:color w:val="000000"/>
                <w:sz w:val="20"/>
                <w:szCs w:val="20"/>
              </w:rPr>
            </w:pPr>
            <w:r>
              <w:rPr>
                <w:color w:val="000000"/>
                <w:sz w:val="20"/>
                <w:szCs w:val="20"/>
              </w:rPr>
              <w:t>БАЛАНС</w:t>
            </w:r>
          </w:p>
        </w:tc>
        <w:tc>
          <w:tcPr>
            <w:tcW w:w="442" w:type="pct"/>
            <w:shd w:val="clear" w:color="auto" w:fill="auto"/>
            <w:noWrap/>
            <w:tcMar>
              <w:left w:w="28" w:type="dxa"/>
              <w:right w:w="28" w:type="dxa"/>
            </w:tcMar>
            <w:vAlign w:val="center"/>
          </w:tcPr>
          <w:p w14:paraId="2CFBCC6D">
            <w:pPr>
              <w:spacing w:after="0" w:line="240" w:lineRule="auto"/>
              <w:ind w:firstLine="0"/>
              <w:contextualSpacing/>
              <w:jc w:val="center"/>
              <w:rPr>
                <w:color w:val="000000"/>
                <w:sz w:val="20"/>
                <w:szCs w:val="20"/>
              </w:rPr>
            </w:pPr>
            <w:r>
              <w:rPr>
                <w:color w:val="000000"/>
                <w:sz w:val="20"/>
                <w:szCs w:val="20"/>
              </w:rPr>
              <w:t>1700</w:t>
            </w:r>
          </w:p>
        </w:tc>
        <w:tc>
          <w:tcPr>
            <w:tcW w:w="733" w:type="pct"/>
            <w:shd w:val="clear" w:color="auto" w:fill="auto"/>
            <w:noWrap/>
            <w:tcMar>
              <w:left w:w="28" w:type="dxa"/>
              <w:right w:w="28" w:type="dxa"/>
            </w:tcMar>
            <w:vAlign w:val="center"/>
          </w:tcPr>
          <w:p w14:paraId="1F254551">
            <w:pPr>
              <w:spacing w:after="0" w:line="240" w:lineRule="auto"/>
              <w:ind w:firstLine="0"/>
              <w:contextualSpacing/>
              <w:jc w:val="center"/>
              <w:rPr>
                <w:color w:val="000000"/>
                <w:sz w:val="20"/>
                <w:szCs w:val="20"/>
              </w:rPr>
            </w:pPr>
            <w:r>
              <w:rPr>
                <w:color w:val="000000"/>
                <w:sz w:val="20"/>
                <w:szCs w:val="20"/>
              </w:rPr>
              <w:t>517807</w:t>
            </w:r>
          </w:p>
        </w:tc>
      </w:tr>
      <w:tr w14:paraId="22DA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64803BD2">
            <w:pPr>
              <w:spacing w:after="0" w:line="240" w:lineRule="auto"/>
              <w:ind w:firstLine="0"/>
              <w:contextualSpacing/>
              <w:jc w:val="center"/>
              <w:rPr>
                <w:color w:val="000000"/>
                <w:sz w:val="20"/>
                <w:szCs w:val="20"/>
              </w:rPr>
            </w:pPr>
            <w:r>
              <w:rPr>
                <w:color w:val="000000"/>
                <w:sz w:val="20"/>
                <w:szCs w:val="20"/>
              </w:rPr>
              <w:t>Финансовые результаты</w:t>
            </w:r>
          </w:p>
        </w:tc>
      </w:tr>
      <w:tr w14:paraId="1F64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F079B3F">
            <w:pPr>
              <w:spacing w:after="0" w:line="240" w:lineRule="auto"/>
              <w:ind w:firstLine="0"/>
              <w:contextualSpacing/>
              <w:rPr>
                <w:color w:val="000000"/>
                <w:sz w:val="20"/>
                <w:szCs w:val="20"/>
              </w:rPr>
            </w:pPr>
            <w:r>
              <w:rPr>
                <w:color w:val="000000"/>
                <w:sz w:val="20"/>
                <w:szCs w:val="20"/>
              </w:rPr>
              <w:t>Выручка</w:t>
            </w:r>
          </w:p>
        </w:tc>
        <w:tc>
          <w:tcPr>
            <w:tcW w:w="442" w:type="pct"/>
            <w:shd w:val="clear" w:color="auto" w:fill="auto"/>
            <w:noWrap/>
            <w:tcMar>
              <w:left w:w="28" w:type="dxa"/>
              <w:right w:w="28" w:type="dxa"/>
            </w:tcMar>
            <w:vAlign w:val="center"/>
          </w:tcPr>
          <w:p w14:paraId="0236E62E">
            <w:pPr>
              <w:spacing w:after="0" w:line="240" w:lineRule="auto"/>
              <w:ind w:firstLine="0"/>
              <w:contextualSpacing/>
              <w:jc w:val="center"/>
              <w:rPr>
                <w:color w:val="000000"/>
                <w:sz w:val="20"/>
                <w:szCs w:val="20"/>
              </w:rPr>
            </w:pPr>
            <w:r>
              <w:rPr>
                <w:color w:val="000000"/>
                <w:sz w:val="20"/>
                <w:szCs w:val="20"/>
              </w:rPr>
              <w:t>2110</w:t>
            </w:r>
          </w:p>
        </w:tc>
        <w:tc>
          <w:tcPr>
            <w:tcW w:w="733" w:type="pct"/>
            <w:shd w:val="clear" w:color="auto" w:fill="auto"/>
            <w:noWrap/>
            <w:tcMar>
              <w:left w:w="28" w:type="dxa"/>
              <w:right w:w="28" w:type="dxa"/>
            </w:tcMar>
            <w:vAlign w:val="center"/>
          </w:tcPr>
          <w:p w14:paraId="781ED714">
            <w:pPr>
              <w:spacing w:after="0" w:line="240" w:lineRule="auto"/>
              <w:ind w:firstLine="0"/>
              <w:contextualSpacing/>
              <w:jc w:val="center"/>
              <w:rPr>
                <w:color w:val="000000"/>
                <w:sz w:val="20"/>
                <w:szCs w:val="20"/>
              </w:rPr>
            </w:pPr>
            <w:r>
              <w:rPr>
                <w:color w:val="000000"/>
                <w:sz w:val="20"/>
                <w:szCs w:val="20"/>
              </w:rPr>
              <w:t>343956</w:t>
            </w:r>
          </w:p>
        </w:tc>
      </w:tr>
      <w:tr w14:paraId="4B4D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176E1B9">
            <w:pPr>
              <w:spacing w:after="0" w:line="240" w:lineRule="auto"/>
              <w:ind w:firstLine="0"/>
              <w:contextualSpacing/>
              <w:rPr>
                <w:color w:val="000000"/>
                <w:sz w:val="20"/>
                <w:szCs w:val="20"/>
              </w:rPr>
            </w:pPr>
            <w:r>
              <w:rPr>
                <w:color w:val="000000"/>
                <w:sz w:val="20"/>
                <w:szCs w:val="20"/>
              </w:rPr>
              <w:t>Себестоимость продаж</w:t>
            </w:r>
          </w:p>
        </w:tc>
        <w:tc>
          <w:tcPr>
            <w:tcW w:w="442" w:type="pct"/>
            <w:shd w:val="clear" w:color="auto" w:fill="auto"/>
            <w:noWrap/>
            <w:tcMar>
              <w:left w:w="28" w:type="dxa"/>
              <w:right w:w="28" w:type="dxa"/>
            </w:tcMar>
            <w:vAlign w:val="center"/>
          </w:tcPr>
          <w:p w14:paraId="6C15620D">
            <w:pPr>
              <w:spacing w:after="0" w:line="240" w:lineRule="auto"/>
              <w:ind w:firstLine="0"/>
              <w:contextualSpacing/>
              <w:jc w:val="center"/>
              <w:rPr>
                <w:color w:val="000000"/>
                <w:sz w:val="20"/>
                <w:szCs w:val="20"/>
              </w:rPr>
            </w:pPr>
            <w:r>
              <w:rPr>
                <w:color w:val="000000"/>
                <w:sz w:val="20"/>
                <w:szCs w:val="20"/>
              </w:rPr>
              <w:t>2120</w:t>
            </w:r>
          </w:p>
        </w:tc>
        <w:tc>
          <w:tcPr>
            <w:tcW w:w="733" w:type="pct"/>
            <w:shd w:val="clear" w:color="auto" w:fill="auto"/>
            <w:noWrap/>
            <w:tcMar>
              <w:left w:w="28" w:type="dxa"/>
              <w:right w:w="28" w:type="dxa"/>
            </w:tcMar>
            <w:vAlign w:val="center"/>
          </w:tcPr>
          <w:p w14:paraId="1664616D">
            <w:pPr>
              <w:spacing w:after="0" w:line="240" w:lineRule="auto"/>
              <w:ind w:firstLine="0"/>
              <w:contextualSpacing/>
              <w:jc w:val="center"/>
              <w:rPr>
                <w:color w:val="000000"/>
                <w:sz w:val="20"/>
                <w:szCs w:val="20"/>
              </w:rPr>
            </w:pPr>
            <w:r>
              <w:rPr>
                <w:color w:val="000000"/>
                <w:sz w:val="20"/>
                <w:szCs w:val="20"/>
              </w:rPr>
              <w:t>(429293)</w:t>
            </w:r>
          </w:p>
        </w:tc>
      </w:tr>
      <w:tr w14:paraId="68AA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DED253D">
            <w:pPr>
              <w:spacing w:after="0" w:line="240" w:lineRule="auto"/>
              <w:ind w:firstLine="0"/>
              <w:contextualSpacing/>
              <w:rPr>
                <w:color w:val="000000"/>
                <w:sz w:val="20"/>
                <w:szCs w:val="20"/>
              </w:rPr>
            </w:pPr>
            <w:r>
              <w:rPr>
                <w:color w:val="000000"/>
                <w:sz w:val="20"/>
                <w:szCs w:val="20"/>
              </w:rPr>
              <w:t>Валовая прибыль (убыток)</w:t>
            </w:r>
          </w:p>
        </w:tc>
        <w:tc>
          <w:tcPr>
            <w:tcW w:w="442" w:type="pct"/>
            <w:shd w:val="clear" w:color="auto" w:fill="auto"/>
            <w:noWrap/>
            <w:tcMar>
              <w:left w:w="28" w:type="dxa"/>
              <w:right w:w="28" w:type="dxa"/>
            </w:tcMar>
            <w:vAlign w:val="center"/>
          </w:tcPr>
          <w:p w14:paraId="6149E648">
            <w:pPr>
              <w:spacing w:after="0" w:line="240" w:lineRule="auto"/>
              <w:ind w:firstLine="0"/>
              <w:contextualSpacing/>
              <w:jc w:val="center"/>
              <w:rPr>
                <w:color w:val="000000"/>
                <w:sz w:val="20"/>
                <w:szCs w:val="20"/>
              </w:rPr>
            </w:pPr>
            <w:r>
              <w:rPr>
                <w:color w:val="000000"/>
                <w:sz w:val="20"/>
                <w:szCs w:val="20"/>
              </w:rPr>
              <w:t>2100</w:t>
            </w:r>
          </w:p>
        </w:tc>
        <w:tc>
          <w:tcPr>
            <w:tcW w:w="733" w:type="pct"/>
            <w:shd w:val="clear" w:color="auto" w:fill="auto"/>
            <w:noWrap/>
            <w:tcMar>
              <w:left w:w="28" w:type="dxa"/>
              <w:right w:w="28" w:type="dxa"/>
            </w:tcMar>
            <w:vAlign w:val="center"/>
          </w:tcPr>
          <w:p w14:paraId="28626313">
            <w:pPr>
              <w:spacing w:after="0" w:line="240" w:lineRule="auto"/>
              <w:ind w:firstLine="0"/>
              <w:contextualSpacing/>
              <w:jc w:val="center"/>
              <w:rPr>
                <w:color w:val="000000"/>
                <w:sz w:val="20"/>
                <w:szCs w:val="20"/>
              </w:rPr>
            </w:pPr>
            <w:r>
              <w:rPr>
                <w:color w:val="000000"/>
                <w:sz w:val="20"/>
                <w:szCs w:val="20"/>
              </w:rPr>
              <w:t>(85337)</w:t>
            </w:r>
          </w:p>
        </w:tc>
      </w:tr>
      <w:tr w14:paraId="28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CB6FE90">
            <w:pPr>
              <w:spacing w:after="0" w:line="240" w:lineRule="auto"/>
              <w:ind w:firstLine="0"/>
              <w:contextualSpacing/>
              <w:rPr>
                <w:color w:val="000000"/>
                <w:sz w:val="20"/>
                <w:szCs w:val="20"/>
              </w:rPr>
            </w:pPr>
            <w:r>
              <w:rPr>
                <w:color w:val="000000"/>
                <w:sz w:val="20"/>
                <w:szCs w:val="20"/>
              </w:rPr>
              <w:t>Коммерческие расходы</w:t>
            </w:r>
          </w:p>
        </w:tc>
        <w:tc>
          <w:tcPr>
            <w:tcW w:w="442" w:type="pct"/>
            <w:shd w:val="clear" w:color="auto" w:fill="auto"/>
            <w:noWrap/>
            <w:tcMar>
              <w:left w:w="28" w:type="dxa"/>
              <w:right w:w="28" w:type="dxa"/>
            </w:tcMar>
            <w:vAlign w:val="center"/>
          </w:tcPr>
          <w:p w14:paraId="1B764004">
            <w:pPr>
              <w:spacing w:after="0" w:line="240" w:lineRule="auto"/>
              <w:ind w:firstLine="0"/>
              <w:contextualSpacing/>
              <w:jc w:val="center"/>
              <w:rPr>
                <w:color w:val="000000"/>
                <w:sz w:val="20"/>
                <w:szCs w:val="20"/>
              </w:rPr>
            </w:pPr>
            <w:r>
              <w:rPr>
                <w:color w:val="000000"/>
                <w:sz w:val="20"/>
                <w:szCs w:val="20"/>
              </w:rPr>
              <w:t>2210</w:t>
            </w:r>
          </w:p>
        </w:tc>
        <w:tc>
          <w:tcPr>
            <w:tcW w:w="733" w:type="pct"/>
            <w:shd w:val="clear" w:color="auto" w:fill="auto"/>
            <w:noWrap/>
            <w:tcMar>
              <w:left w:w="28" w:type="dxa"/>
              <w:right w:w="28" w:type="dxa"/>
            </w:tcMar>
            <w:vAlign w:val="center"/>
          </w:tcPr>
          <w:p w14:paraId="7699234D">
            <w:pPr>
              <w:spacing w:after="0" w:line="240" w:lineRule="auto"/>
              <w:ind w:firstLine="0"/>
              <w:contextualSpacing/>
              <w:jc w:val="center"/>
              <w:rPr>
                <w:color w:val="000000"/>
                <w:sz w:val="20"/>
                <w:szCs w:val="20"/>
              </w:rPr>
            </w:pPr>
            <w:r>
              <w:rPr>
                <w:color w:val="000000"/>
                <w:sz w:val="20"/>
                <w:szCs w:val="20"/>
              </w:rPr>
              <w:t>-</w:t>
            </w:r>
          </w:p>
        </w:tc>
      </w:tr>
      <w:tr w14:paraId="41C2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35EE192">
            <w:pPr>
              <w:spacing w:after="0" w:line="240" w:lineRule="auto"/>
              <w:ind w:firstLine="0"/>
              <w:contextualSpacing/>
              <w:rPr>
                <w:color w:val="000000"/>
                <w:sz w:val="20"/>
                <w:szCs w:val="20"/>
              </w:rPr>
            </w:pPr>
            <w:r>
              <w:rPr>
                <w:color w:val="000000"/>
                <w:sz w:val="20"/>
                <w:szCs w:val="20"/>
              </w:rPr>
              <w:t>Управленческие расходы</w:t>
            </w:r>
          </w:p>
        </w:tc>
        <w:tc>
          <w:tcPr>
            <w:tcW w:w="442" w:type="pct"/>
            <w:shd w:val="clear" w:color="auto" w:fill="auto"/>
            <w:noWrap/>
            <w:tcMar>
              <w:left w:w="28" w:type="dxa"/>
              <w:right w:w="28" w:type="dxa"/>
            </w:tcMar>
            <w:vAlign w:val="center"/>
          </w:tcPr>
          <w:p w14:paraId="72A9C45D">
            <w:pPr>
              <w:spacing w:after="0" w:line="240" w:lineRule="auto"/>
              <w:ind w:firstLine="0"/>
              <w:contextualSpacing/>
              <w:jc w:val="center"/>
              <w:rPr>
                <w:color w:val="000000"/>
                <w:sz w:val="20"/>
                <w:szCs w:val="20"/>
              </w:rPr>
            </w:pPr>
            <w:r>
              <w:rPr>
                <w:color w:val="000000"/>
                <w:sz w:val="20"/>
                <w:szCs w:val="20"/>
              </w:rPr>
              <w:t>2220</w:t>
            </w:r>
          </w:p>
        </w:tc>
        <w:tc>
          <w:tcPr>
            <w:tcW w:w="733" w:type="pct"/>
            <w:shd w:val="clear" w:color="auto" w:fill="auto"/>
            <w:noWrap/>
            <w:tcMar>
              <w:left w:w="28" w:type="dxa"/>
              <w:right w:w="28" w:type="dxa"/>
            </w:tcMar>
            <w:vAlign w:val="center"/>
          </w:tcPr>
          <w:p w14:paraId="61A73126">
            <w:pPr>
              <w:spacing w:after="0" w:line="240" w:lineRule="auto"/>
              <w:ind w:firstLine="0"/>
              <w:contextualSpacing/>
              <w:jc w:val="center"/>
              <w:rPr>
                <w:color w:val="000000"/>
                <w:sz w:val="20"/>
                <w:szCs w:val="20"/>
              </w:rPr>
            </w:pPr>
            <w:r>
              <w:rPr>
                <w:color w:val="000000"/>
                <w:sz w:val="20"/>
                <w:szCs w:val="20"/>
              </w:rPr>
              <w:t>(43283)</w:t>
            </w:r>
          </w:p>
        </w:tc>
      </w:tr>
      <w:tr w14:paraId="7FEE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23658FC">
            <w:pPr>
              <w:spacing w:after="0" w:line="240" w:lineRule="auto"/>
              <w:ind w:firstLine="0"/>
              <w:contextualSpacing/>
              <w:rPr>
                <w:color w:val="000000"/>
                <w:sz w:val="20"/>
                <w:szCs w:val="20"/>
              </w:rPr>
            </w:pPr>
            <w:r>
              <w:rPr>
                <w:color w:val="000000"/>
                <w:sz w:val="20"/>
                <w:szCs w:val="20"/>
              </w:rPr>
              <w:t>Прибыль (убыток) от продаж</w:t>
            </w:r>
          </w:p>
        </w:tc>
        <w:tc>
          <w:tcPr>
            <w:tcW w:w="442" w:type="pct"/>
            <w:shd w:val="clear" w:color="auto" w:fill="auto"/>
            <w:noWrap/>
            <w:tcMar>
              <w:left w:w="28" w:type="dxa"/>
              <w:right w:w="28" w:type="dxa"/>
            </w:tcMar>
            <w:vAlign w:val="center"/>
          </w:tcPr>
          <w:p w14:paraId="0DAD0078">
            <w:pPr>
              <w:spacing w:after="0" w:line="240" w:lineRule="auto"/>
              <w:ind w:firstLine="0"/>
              <w:contextualSpacing/>
              <w:jc w:val="center"/>
              <w:rPr>
                <w:color w:val="000000"/>
                <w:sz w:val="20"/>
                <w:szCs w:val="20"/>
              </w:rPr>
            </w:pPr>
            <w:r>
              <w:rPr>
                <w:color w:val="000000"/>
                <w:sz w:val="20"/>
                <w:szCs w:val="20"/>
              </w:rPr>
              <w:t>2200</w:t>
            </w:r>
          </w:p>
        </w:tc>
        <w:tc>
          <w:tcPr>
            <w:tcW w:w="733" w:type="pct"/>
            <w:shd w:val="clear" w:color="auto" w:fill="auto"/>
            <w:noWrap/>
            <w:tcMar>
              <w:left w:w="28" w:type="dxa"/>
              <w:right w:w="28" w:type="dxa"/>
            </w:tcMar>
            <w:vAlign w:val="center"/>
          </w:tcPr>
          <w:p w14:paraId="1157F561">
            <w:pPr>
              <w:spacing w:after="0" w:line="240" w:lineRule="auto"/>
              <w:ind w:firstLine="0"/>
              <w:contextualSpacing/>
              <w:jc w:val="center"/>
              <w:rPr>
                <w:color w:val="000000"/>
                <w:sz w:val="20"/>
                <w:szCs w:val="20"/>
              </w:rPr>
            </w:pPr>
            <w:r>
              <w:rPr>
                <w:color w:val="000000"/>
                <w:sz w:val="20"/>
                <w:szCs w:val="20"/>
              </w:rPr>
              <w:t>(128620)</w:t>
            </w:r>
          </w:p>
        </w:tc>
      </w:tr>
      <w:tr w14:paraId="13C7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AC89F1E">
            <w:pPr>
              <w:spacing w:after="0" w:line="240" w:lineRule="auto"/>
              <w:ind w:firstLine="0"/>
              <w:contextualSpacing/>
              <w:rPr>
                <w:color w:val="000000"/>
                <w:sz w:val="20"/>
                <w:szCs w:val="20"/>
              </w:rPr>
            </w:pPr>
            <w:r>
              <w:rPr>
                <w:color w:val="000000"/>
                <w:sz w:val="20"/>
                <w:szCs w:val="20"/>
              </w:rPr>
              <w:t>Доходы от участия в других организациях</w:t>
            </w:r>
          </w:p>
        </w:tc>
        <w:tc>
          <w:tcPr>
            <w:tcW w:w="442" w:type="pct"/>
            <w:shd w:val="clear" w:color="auto" w:fill="auto"/>
            <w:noWrap/>
            <w:tcMar>
              <w:left w:w="28" w:type="dxa"/>
              <w:right w:w="28" w:type="dxa"/>
            </w:tcMar>
            <w:vAlign w:val="center"/>
          </w:tcPr>
          <w:p w14:paraId="1A0D78BB">
            <w:pPr>
              <w:spacing w:after="0" w:line="240" w:lineRule="auto"/>
              <w:ind w:firstLine="0"/>
              <w:contextualSpacing/>
              <w:jc w:val="center"/>
              <w:rPr>
                <w:color w:val="000000"/>
                <w:sz w:val="20"/>
                <w:szCs w:val="20"/>
              </w:rPr>
            </w:pPr>
            <w:r>
              <w:rPr>
                <w:color w:val="000000"/>
                <w:sz w:val="20"/>
                <w:szCs w:val="20"/>
              </w:rPr>
              <w:t>2310</w:t>
            </w:r>
          </w:p>
        </w:tc>
        <w:tc>
          <w:tcPr>
            <w:tcW w:w="733" w:type="pct"/>
            <w:shd w:val="clear" w:color="auto" w:fill="auto"/>
            <w:noWrap/>
            <w:tcMar>
              <w:left w:w="28" w:type="dxa"/>
              <w:right w:w="28" w:type="dxa"/>
            </w:tcMar>
            <w:vAlign w:val="center"/>
          </w:tcPr>
          <w:p w14:paraId="3555DA1B">
            <w:pPr>
              <w:spacing w:after="0" w:line="240" w:lineRule="auto"/>
              <w:ind w:firstLine="0"/>
              <w:contextualSpacing/>
              <w:jc w:val="center"/>
              <w:rPr>
                <w:color w:val="000000"/>
                <w:sz w:val="20"/>
                <w:szCs w:val="20"/>
              </w:rPr>
            </w:pPr>
            <w:r>
              <w:rPr>
                <w:color w:val="000000"/>
                <w:sz w:val="20"/>
                <w:szCs w:val="20"/>
              </w:rPr>
              <w:t>-</w:t>
            </w:r>
          </w:p>
        </w:tc>
      </w:tr>
      <w:tr w14:paraId="6840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F36BE86">
            <w:pPr>
              <w:spacing w:after="0" w:line="240" w:lineRule="auto"/>
              <w:ind w:firstLine="0"/>
              <w:contextualSpacing/>
              <w:rPr>
                <w:color w:val="000000"/>
                <w:sz w:val="20"/>
                <w:szCs w:val="20"/>
              </w:rPr>
            </w:pPr>
            <w:r>
              <w:rPr>
                <w:color w:val="000000"/>
                <w:sz w:val="20"/>
                <w:szCs w:val="20"/>
              </w:rPr>
              <w:t>Проценты к получению</w:t>
            </w:r>
          </w:p>
        </w:tc>
        <w:tc>
          <w:tcPr>
            <w:tcW w:w="442" w:type="pct"/>
            <w:shd w:val="clear" w:color="auto" w:fill="auto"/>
            <w:noWrap/>
            <w:tcMar>
              <w:left w:w="28" w:type="dxa"/>
              <w:right w:w="28" w:type="dxa"/>
            </w:tcMar>
            <w:vAlign w:val="center"/>
          </w:tcPr>
          <w:p w14:paraId="484083DA">
            <w:pPr>
              <w:spacing w:after="0" w:line="240" w:lineRule="auto"/>
              <w:ind w:firstLine="0"/>
              <w:contextualSpacing/>
              <w:jc w:val="center"/>
              <w:rPr>
                <w:color w:val="000000"/>
                <w:sz w:val="20"/>
                <w:szCs w:val="20"/>
              </w:rPr>
            </w:pPr>
            <w:r>
              <w:rPr>
                <w:color w:val="000000"/>
                <w:sz w:val="20"/>
                <w:szCs w:val="20"/>
              </w:rPr>
              <w:t>2320</w:t>
            </w:r>
          </w:p>
        </w:tc>
        <w:tc>
          <w:tcPr>
            <w:tcW w:w="733" w:type="pct"/>
            <w:shd w:val="clear" w:color="auto" w:fill="auto"/>
            <w:noWrap/>
            <w:tcMar>
              <w:left w:w="28" w:type="dxa"/>
              <w:right w:w="28" w:type="dxa"/>
            </w:tcMar>
            <w:vAlign w:val="center"/>
          </w:tcPr>
          <w:p w14:paraId="518D0342">
            <w:pPr>
              <w:spacing w:after="0" w:line="240" w:lineRule="auto"/>
              <w:ind w:firstLine="0"/>
              <w:contextualSpacing/>
              <w:jc w:val="center"/>
              <w:rPr>
                <w:color w:val="000000"/>
                <w:sz w:val="20"/>
                <w:szCs w:val="20"/>
              </w:rPr>
            </w:pPr>
            <w:r>
              <w:rPr>
                <w:color w:val="000000"/>
                <w:sz w:val="20"/>
                <w:szCs w:val="20"/>
              </w:rPr>
              <w:t>15</w:t>
            </w:r>
          </w:p>
        </w:tc>
      </w:tr>
      <w:tr w14:paraId="7607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8AE6678">
            <w:pPr>
              <w:spacing w:after="0" w:line="240" w:lineRule="auto"/>
              <w:ind w:firstLine="0"/>
              <w:contextualSpacing/>
              <w:rPr>
                <w:color w:val="000000"/>
                <w:sz w:val="20"/>
                <w:szCs w:val="20"/>
              </w:rPr>
            </w:pPr>
            <w:r>
              <w:rPr>
                <w:color w:val="000000"/>
                <w:sz w:val="20"/>
                <w:szCs w:val="20"/>
              </w:rPr>
              <w:t>Проценты к уплате</w:t>
            </w:r>
          </w:p>
        </w:tc>
        <w:tc>
          <w:tcPr>
            <w:tcW w:w="442" w:type="pct"/>
            <w:shd w:val="clear" w:color="auto" w:fill="auto"/>
            <w:noWrap/>
            <w:tcMar>
              <w:left w:w="28" w:type="dxa"/>
              <w:right w:w="28" w:type="dxa"/>
            </w:tcMar>
            <w:vAlign w:val="center"/>
          </w:tcPr>
          <w:p w14:paraId="6A5B8F7D">
            <w:pPr>
              <w:spacing w:after="0" w:line="240" w:lineRule="auto"/>
              <w:ind w:firstLine="0"/>
              <w:contextualSpacing/>
              <w:jc w:val="center"/>
              <w:rPr>
                <w:color w:val="000000"/>
                <w:sz w:val="20"/>
                <w:szCs w:val="20"/>
              </w:rPr>
            </w:pPr>
            <w:r>
              <w:rPr>
                <w:color w:val="000000"/>
                <w:sz w:val="20"/>
                <w:szCs w:val="20"/>
              </w:rPr>
              <w:t>2330</w:t>
            </w:r>
          </w:p>
        </w:tc>
        <w:tc>
          <w:tcPr>
            <w:tcW w:w="733" w:type="pct"/>
            <w:shd w:val="clear" w:color="auto" w:fill="auto"/>
            <w:noWrap/>
            <w:tcMar>
              <w:left w:w="28" w:type="dxa"/>
              <w:right w:w="28" w:type="dxa"/>
            </w:tcMar>
            <w:vAlign w:val="center"/>
          </w:tcPr>
          <w:p w14:paraId="09534383">
            <w:pPr>
              <w:spacing w:after="0" w:line="240" w:lineRule="auto"/>
              <w:ind w:firstLine="0"/>
              <w:contextualSpacing/>
              <w:jc w:val="center"/>
              <w:rPr>
                <w:color w:val="000000"/>
                <w:sz w:val="20"/>
                <w:szCs w:val="20"/>
              </w:rPr>
            </w:pPr>
            <w:r>
              <w:rPr>
                <w:color w:val="000000"/>
                <w:sz w:val="20"/>
                <w:szCs w:val="20"/>
              </w:rPr>
              <w:t>(11)</w:t>
            </w:r>
          </w:p>
        </w:tc>
      </w:tr>
      <w:tr w14:paraId="5157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98B46C0">
            <w:pPr>
              <w:spacing w:after="0" w:line="240" w:lineRule="auto"/>
              <w:ind w:firstLine="0"/>
              <w:contextualSpacing/>
              <w:rPr>
                <w:color w:val="000000"/>
                <w:sz w:val="20"/>
                <w:szCs w:val="20"/>
              </w:rPr>
            </w:pPr>
            <w:r>
              <w:rPr>
                <w:color w:val="000000"/>
                <w:sz w:val="20"/>
                <w:szCs w:val="20"/>
              </w:rPr>
              <w:t>Прочие доходы</w:t>
            </w:r>
          </w:p>
        </w:tc>
        <w:tc>
          <w:tcPr>
            <w:tcW w:w="442" w:type="pct"/>
            <w:shd w:val="clear" w:color="auto" w:fill="auto"/>
            <w:noWrap/>
            <w:tcMar>
              <w:left w:w="28" w:type="dxa"/>
              <w:right w:w="28" w:type="dxa"/>
            </w:tcMar>
            <w:vAlign w:val="center"/>
          </w:tcPr>
          <w:p w14:paraId="68C66E2B">
            <w:pPr>
              <w:spacing w:after="0" w:line="240" w:lineRule="auto"/>
              <w:ind w:firstLine="0"/>
              <w:contextualSpacing/>
              <w:jc w:val="center"/>
              <w:rPr>
                <w:color w:val="000000"/>
                <w:sz w:val="20"/>
                <w:szCs w:val="20"/>
              </w:rPr>
            </w:pPr>
            <w:r>
              <w:rPr>
                <w:color w:val="000000"/>
                <w:sz w:val="20"/>
                <w:szCs w:val="20"/>
              </w:rPr>
              <w:t>2340</w:t>
            </w:r>
          </w:p>
        </w:tc>
        <w:tc>
          <w:tcPr>
            <w:tcW w:w="733" w:type="pct"/>
            <w:shd w:val="clear" w:color="auto" w:fill="auto"/>
            <w:noWrap/>
            <w:tcMar>
              <w:left w:w="28" w:type="dxa"/>
              <w:right w:w="28" w:type="dxa"/>
            </w:tcMar>
            <w:vAlign w:val="center"/>
          </w:tcPr>
          <w:p w14:paraId="596D252F">
            <w:pPr>
              <w:spacing w:after="0" w:line="240" w:lineRule="auto"/>
              <w:ind w:firstLine="0"/>
              <w:contextualSpacing/>
              <w:jc w:val="center"/>
              <w:rPr>
                <w:color w:val="000000"/>
                <w:sz w:val="20"/>
                <w:szCs w:val="20"/>
              </w:rPr>
            </w:pPr>
            <w:r>
              <w:rPr>
                <w:color w:val="000000"/>
                <w:sz w:val="20"/>
                <w:szCs w:val="20"/>
              </w:rPr>
              <w:t>78984</w:t>
            </w:r>
          </w:p>
        </w:tc>
      </w:tr>
      <w:tr w14:paraId="7052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ACC10AE">
            <w:pPr>
              <w:spacing w:after="0" w:line="240" w:lineRule="auto"/>
              <w:ind w:firstLine="0"/>
              <w:contextualSpacing/>
              <w:rPr>
                <w:color w:val="000000"/>
                <w:sz w:val="20"/>
                <w:szCs w:val="20"/>
              </w:rPr>
            </w:pPr>
            <w:r>
              <w:rPr>
                <w:color w:val="000000"/>
                <w:sz w:val="20"/>
                <w:szCs w:val="20"/>
              </w:rPr>
              <w:t>Прочие расходы</w:t>
            </w:r>
          </w:p>
        </w:tc>
        <w:tc>
          <w:tcPr>
            <w:tcW w:w="442" w:type="pct"/>
            <w:shd w:val="clear" w:color="auto" w:fill="auto"/>
            <w:noWrap/>
            <w:tcMar>
              <w:left w:w="28" w:type="dxa"/>
              <w:right w:w="28" w:type="dxa"/>
            </w:tcMar>
            <w:vAlign w:val="center"/>
          </w:tcPr>
          <w:p w14:paraId="68186BD9">
            <w:pPr>
              <w:spacing w:after="0" w:line="240" w:lineRule="auto"/>
              <w:ind w:firstLine="0"/>
              <w:contextualSpacing/>
              <w:jc w:val="center"/>
              <w:rPr>
                <w:color w:val="000000"/>
                <w:sz w:val="20"/>
                <w:szCs w:val="20"/>
              </w:rPr>
            </w:pPr>
            <w:r>
              <w:rPr>
                <w:color w:val="000000"/>
                <w:sz w:val="20"/>
                <w:szCs w:val="20"/>
              </w:rPr>
              <w:t>2350</w:t>
            </w:r>
          </w:p>
        </w:tc>
        <w:tc>
          <w:tcPr>
            <w:tcW w:w="733" w:type="pct"/>
            <w:shd w:val="clear" w:color="auto" w:fill="auto"/>
            <w:noWrap/>
            <w:tcMar>
              <w:left w:w="28" w:type="dxa"/>
              <w:right w:w="28" w:type="dxa"/>
            </w:tcMar>
            <w:vAlign w:val="center"/>
          </w:tcPr>
          <w:p w14:paraId="1E9762AF">
            <w:pPr>
              <w:spacing w:after="0" w:line="240" w:lineRule="auto"/>
              <w:ind w:firstLine="0"/>
              <w:contextualSpacing/>
              <w:jc w:val="center"/>
              <w:rPr>
                <w:color w:val="000000"/>
                <w:sz w:val="20"/>
                <w:szCs w:val="20"/>
              </w:rPr>
            </w:pPr>
            <w:r>
              <w:rPr>
                <w:color w:val="000000"/>
                <w:sz w:val="20"/>
                <w:szCs w:val="20"/>
              </w:rPr>
              <w:t>(23391)</w:t>
            </w:r>
          </w:p>
        </w:tc>
      </w:tr>
      <w:tr w14:paraId="0E90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0623B1C">
            <w:pPr>
              <w:spacing w:after="0" w:line="240" w:lineRule="auto"/>
              <w:ind w:firstLine="0"/>
              <w:contextualSpacing/>
              <w:rPr>
                <w:color w:val="000000"/>
                <w:sz w:val="20"/>
                <w:szCs w:val="20"/>
              </w:rPr>
            </w:pPr>
            <w:r>
              <w:rPr>
                <w:color w:val="000000"/>
                <w:sz w:val="20"/>
                <w:szCs w:val="20"/>
              </w:rPr>
              <w:t>Прибыль (убыток) до налогообложения</w:t>
            </w:r>
          </w:p>
        </w:tc>
        <w:tc>
          <w:tcPr>
            <w:tcW w:w="442" w:type="pct"/>
            <w:shd w:val="clear" w:color="auto" w:fill="auto"/>
            <w:noWrap/>
            <w:tcMar>
              <w:left w:w="28" w:type="dxa"/>
              <w:right w:w="28" w:type="dxa"/>
            </w:tcMar>
            <w:vAlign w:val="center"/>
          </w:tcPr>
          <w:p w14:paraId="389E1800">
            <w:pPr>
              <w:spacing w:after="0" w:line="240" w:lineRule="auto"/>
              <w:ind w:firstLine="0"/>
              <w:contextualSpacing/>
              <w:jc w:val="center"/>
              <w:rPr>
                <w:color w:val="000000"/>
                <w:sz w:val="20"/>
                <w:szCs w:val="20"/>
              </w:rPr>
            </w:pPr>
            <w:r>
              <w:rPr>
                <w:color w:val="000000"/>
                <w:sz w:val="20"/>
                <w:szCs w:val="20"/>
              </w:rPr>
              <w:t>2300</w:t>
            </w:r>
          </w:p>
        </w:tc>
        <w:tc>
          <w:tcPr>
            <w:tcW w:w="733" w:type="pct"/>
            <w:shd w:val="clear" w:color="auto" w:fill="auto"/>
            <w:noWrap/>
            <w:tcMar>
              <w:left w:w="28" w:type="dxa"/>
              <w:right w:w="28" w:type="dxa"/>
            </w:tcMar>
            <w:vAlign w:val="center"/>
          </w:tcPr>
          <w:p w14:paraId="6072A9A0">
            <w:pPr>
              <w:spacing w:after="0" w:line="240" w:lineRule="auto"/>
              <w:ind w:firstLine="0"/>
              <w:contextualSpacing/>
              <w:jc w:val="center"/>
              <w:rPr>
                <w:color w:val="000000"/>
                <w:sz w:val="20"/>
                <w:szCs w:val="20"/>
              </w:rPr>
            </w:pPr>
            <w:r>
              <w:rPr>
                <w:color w:val="000000"/>
                <w:sz w:val="20"/>
                <w:szCs w:val="20"/>
              </w:rPr>
              <w:t>(73023)</w:t>
            </w:r>
          </w:p>
        </w:tc>
      </w:tr>
      <w:tr w14:paraId="623A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1878946">
            <w:pPr>
              <w:spacing w:after="0" w:line="240" w:lineRule="auto"/>
              <w:ind w:firstLine="0"/>
              <w:contextualSpacing/>
              <w:rPr>
                <w:color w:val="000000"/>
                <w:sz w:val="20"/>
                <w:szCs w:val="20"/>
              </w:rPr>
            </w:pPr>
            <w:r>
              <w:rPr>
                <w:color w:val="000000"/>
                <w:sz w:val="20"/>
                <w:szCs w:val="20"/>
              </w:rPr>
              <w:t>Налог на прибыль</w:t>
            </w:r>
          </w:p>
        </w:tc>
        <w:tc>
          <w:tcPr>
            <w:tcW w:w="442" w:type="pct"/>
            <w:shd w:val="clear" w:color="auto" w:fill="auto"/>
            <w:noWrap/>
            <w:tcMar>
              <w:left w:w="28" w:type="dxa"/>
              <w:right w:w="28" w:type="dxa"/>
            </w:tcMar>
            <w:vAlign w:val="center"/>
          </w:tcPr>
          <w:p w14:paraId="7CA4CD5D">
            <w:pPr>
              <w:spacing w:after="0" w:line="240" w:lineRule="auto"/>
              <w:ind w:firstLine="0"/>
              <w:contextualSpacing/>
              <w:jc w:val="center"/>
              <w:rPr>
                <w:color w:val="000000"/>
                <w:sz w:val="20"/>
                <w:szCs w:val="20"/>
              </w:rPr>
            </w:pPr>
            <w:r>
              <w:rPr>
                <w:color w:val="000000"/>
                <w:sz w:val="20"/>
                <w:szCs w:val="20"/>
              </w:rPr>
              <w:t>2410</w:t>
            </w:r>
          </w:p>
        </w:tc>
        <w:tc>
          <w:tcPr>
            <w:tcW w:w="733" w:type="pct"/>
            <w:shd w:val="clear" w:color="auto" w:fill="auto"/>
            <w:noWrap/>
            <w:tcMar>
              <w:left w:w="28" w:type="dxa"/>
              <w:right w:w="28" w:type="dxa"/>
            </w:tcMar>
            <w:vAlign w:val="center"/>
          </w:tcPr>
          <w:p w14:paraId="5EACB7F3">
            <w:pPr>
              <w:spacing w:after="0" w:line="240" w:lineRule="auto"/>
              <w:ind w:firstLine="0"/>
              <w:contextualSpacing/>
              <w:jc w:val="center"/>
              <w:rPr>
                <w:color w:val="000000"/>
                <w:sz w:val="20"/>
                <w:szCs w:val="20"/>
              </w:rPr>
            </w:pPr>
            <w:r>
              <w:rPr>
                <w:color w:val="000000"/>
                <w:sz w:val="20"/>
                <w:szCs w:val="20"/>
              </w:rPr>
              <w:t>13431</w:t>
            </w:r>
          </w:p>
        </w:tc>
      </w:tr>
      <w:tr w14:paraId="4456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DC2525A">
            <w:pPr>
              <w:spacing w:after="0" w:line="240" w:lineRule="auto"/>
              <w:ind w:firstLine="0"/>
              <w:contextualSpacing/>
              <w:rPr>
                <w:color w:val="000000"/>
                <w:sz w:val="20"/>
                <w:szCs w:val="20"/>
              </w:rPr>
            </w:pPr>
            <w:r>
              <w:rPr>
                <w:color w:val="000000"/>
                <w:sz w:val="20"/>
                <w:szCs w:val="20"/>
              </w:rPr>
              <w:t>текущий налог на прибыль (до 2020 г. это стр. 2410)</w:t>
            </w:r>
          </w:p>
        </w:tc>
        <w:tc>
          <w:tcPr>
            <w:tcW w:w="442" w:type="pct"/>
            <w:shd w:val="clear" w:color="auto" w:fill="auto"/>
            <w:noWrap/>
            <w:tcMar>
              <w:left w:w="28" w:type="dxa"/>
              <w:right w:w="28" w:type="dxa"/>
            </w:tcMar>
            <w:vAlign w:val="center"/>
          </w:tcPr>
          <w:p w14:paraId="2C0C6996">
            <w:pPr>
              <w:spacing w:after="0" w:line="240" w:lineRule="auto"/>
              <w:ind w:firstLine="0"/>
              <w:contextualSpacing/>
              <w:jc w:val="center"/>
              <w:rPr>
                <w:color w:val="000000"/>
                <w:sz w:val="20"/>
                <w:szCs w:val="20"/>
              </w:rPr>
            </w:pPr>
            <w:r>
              <w:rPr>
                <w:color w:val="000000"/>
                <w:sz w:val="20"/>
                <w:szCs w:val="20"/>
              </w:rPr>
              <w:t>2411</w:t>
            </w:r>
          </w:p>
        </w:tc>
        <w:tc>
          <w:tcPr>
            <w:tcW w:w="733" w:type="pct"/>
            <w:shd w:val="clear" w:color="auto" w:fill="auto"/>
            <w:noWrap/>
            <w:tcMar>
              <w:left w:w="28" w:type="dxa"/>
              <w:right w:w="28" w:type="dxa"/>
            </w:tcMar>
            <w:vAlign w:val="center"/>
          </w:tcPr>
          <w:p w14:paraId="235DDFF0">
            <w:pPr>
              <w:spacing w:after="0" w:line="240" w:lineRule="auto"/>
              <w:ind w:firstLine="0"/>
              <w:contextualSpacing/>
              <w:jc w:val="center"/>
              <w:rPr>
                <w:color w:val="000000"/>
                <w:sz w:val="20"/>
                <w:szCs w:val="20"/>
              </w:rPr>
            </w:pPr>
            <w:r>
              <w:rPr>
                <w:color w:val="000000"/>
                <w:sz w:val="20"/>
                <w:szCs w:val="20"/>
              </w:rPr>
              <w:t>-</w:t>
            </w:r>
          </w:p>
        </w:tc>
      </w:tr>
      <w:tr w14:paraId="2D39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4BD40E2">
            <w:pPr>
              <w:spacing w:after="0" w:line="240" w:lineRule="auto"/>
              <w:ind w:firstLine="0"/>
              <w:contextualSpacing/>
              <w:rPr>
                <w:color w:val="000000"/>
                <w:sz w:val="20"/>
                <w:szCs w:val="20"/>
              </w:rPr>
            </w:pPr>
            <w:r>
              <w:rPr>
                <w:color w:val="000000"/>
                <w:sz w:val="20"/>
                <w:szCs w:val="20"/>
              </w:rPr>
              <w:t>отложенный налог на прибыль</w:t>
            </w:r>
          </w:p>
        </w:tc>
        <w:tc>
          <w:tcPr>
            <w:tcW w:w="442" w:type="pct"/>
            <w:shd w:val="clear" w:color="auto" w:fill="auto"/>
            <w:noWrap/>
            <w:tcMar>
              <w:left w:w="28" w:type="dxa"/>
              <w:right w:w="28" w:type="dxa"/>
            </w:tcMar>
            <w:vAlign w:val="center"/>
          </w:tcPr>
          <w:p w14:paraId="1C794D9F">
            <w:pPr>
              <w:spacing w:after="0" w:line="240" w:lineRule="auto"/>
              <w:ind w:firstLine="0"/>
              <w:contextualSpacing/>
              <w:jc w:val="center"/>
              <w:rPr>
                <w:color w:val="000000"/>
                <w:sz w:val="20"/>
                <w:szCs w:val="20"/>
              </w:rPr>
            </w:pPr>
            <w:r>
              <w:rPr>
                <w:color w:val="000000"/>
                <w:sz w:val="20"/>
                <w:szCs w:val="20"/>
              </w:rPr>
              <w:t>2412</w:t>
            </w:r>
          </w:p>
        </w:tc>
        <w:tc>
          <w:tcPr>
            <w:tcW w:w="733" w:type="pct"/>
            <w:shd w:val="clear" w:color="auto" w:fill="auto"/>
            <w:noWrap/>
            <w:tcMar>
              <w:left w:w="28" w:type="dxa"/>
              <w:right w:w="28" w:type="dxa"/>
            </w:tcMar>
            <w:vAlign w:val="center"/>
          </w:tcPr>
          <w:p w14:paraId="1B069D6F">
            <w:pPr>
              <w:spacing w:after="0" w:line="240" w:lineRule="auto"/>
              <w:ind w:firstLine="0"/>
              <w:contextualSpacing/>
              <w:jc w:val="center"/>
              <w:rPr>
                <w:color w:val="000000"/>
                <w:sz w:val="20"/>
                <w:szCs w:val="20"/>
              </w:rPr>
            </w:pPr>
            <w:r>
              <w:rPr>
                <w:color w:val="000000"/>
                <w:sz w:val="20"/>
                <w:szCs w:val="20"/>
              </w:rPr>
              <w:t>13431</w:t>
            </w:r>
          </w:p>
        </w:tc>
      </w:tr>
      <w:tr w14:paraId="6A18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C5A53B5">
            <w:pPr>
              <w:spacing w:after="0" w:line="240" w:lineRule="auto"/>
              <w:ind w:firstLine="0"/>
              <w:contextualSpacing/>
              <w:rPr>
                <w:color w:val="000000"/>
                <w:sz w:val="20"/>
                <w:szCs w:val="20"/>
              </w:rPr>
            </w:pPr>
            <w:r>
              <w:rPr>
                <w:color w:val="000000"/>
                <w:sz w:val="20"/>
                <w:szCs w:val="20"/>
              </w:rPr>
              <w:t>Изменение отложенных налоговых обязательств</w:t>
            </w:r>
          </w:p>
        </w:tc>
        <w:tc>
          <w:tcPr>
            <w:tcW w:w="442" w:type="pct"/>
            <w:shd w:val="clear" w:color="auto" w:fill="auto"/>
            <w:noWrap/>
            <w:tcMar>
              <w:left w:w="28" w:type="dxa"/>
              <w:right w:w="28" w:type="dxa"/>
            </w:tcMar>
            <w:vAlign w:val="center"/>
          </w:tcPr>
          <w:p w14:paraId="657AE294">
            <w:pPr>
              <w:spacing w:after="0" w:line="240" w:lineRule="auto"/>
              <w:ind w:firstLine="0"/>
              <w:contextualSpacing/>
              <w:jc w:val="center"/>
              <w:rPr>
                <w:color w:val="000000"/>
                <w:sz w:val="20"/>
                <w:szCs w:val="20"/>
              </w:rPr>
            </w:pPr>
            <w:r>
              <w:rPr>
                <w:color w:val="000000"/>
                <w:sz w:val="20"/>
                <w:szCs w:val="20"/>
              </w:rPr>
              <w:t>2430</w:t>
            </w:r>
          </w:p>
        </w:tc>
        <w:tc>
          <w:tcPr>
            <w:tcW w:w="733" w:type="pct"/>
            <w:shd w:val="clear" w:color="auto" w:fill="auto"/>
            <w:noWrap/>
            <w:tcMar>
              <w:left w:w="28" w:type="dxa"/>
              <w:right w:w="28" w:type="dxa"/>
            </w:tcMar>
            <w:vAlign w:val="center"/>
          </w:tcPr>
          <w:p w14:paraId="587C0D27">
            <w:pPr>
              <w:spacing w:after="0" w:line="240" w:lineRule="auto"/>
              <w:ind w:firstLine="0"/>
              <w:contextualSpacing/>
              <w:jc w:val="center"/>
              <w:rPr>
                <w:color w:val="000000"/>
                <w:sz w:val="20"/>
                <w:szCs w:val="20"/>
              </w:rPr>
            </w:pPr>
            <w:r>
              <w:rPr>
                <w:color w:val="000000"/>
                <w:sz w:val="20"/>
                <w:szCs w:val="20"/>
              </w:rPr>
              <w:t>-</w:t>
            </w:r>
          </w:p>
        </w:tc>
      </w:tr>
      <w:tr w14:paraId="5DA8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97EEA8C">
            <w:pPr>
              <w:spacing w:after="0" w:line="240" w:lineRule="auto"/>
              <w:ind w:firstLine="0"/>
              <w:contextualSpacing/>
              <w:rPr>
                <w:color w:val="000000"/>
                <w:sz w:val="20"/>
                <w:szCs w:val="20"/>
              </w:rPr>
            </w:pPr>
            <w:r>
              <w:rPr>
                <w:color w:val="000000"/>
                <w:sz w:val="20"/>
                <w:szCs w:val="20"/>
              </w:rPr>
              <w:t>Изменение отложенных налоговых активов</w:t>
            </w:r>
          </w:p>
        </w:tc>
        <w:tc>
          <w:tcPr>
            <w:tcW w:w="442" w:type="pct"/>
            <w:shd w:val="clear" w:color="auto" w:fill="auto"/>
            <w:noWrap/>
            <w:tcMar>
              <w:left w:w="28" w:type="dxa"/>
              <w:right w:w="28" w:type="dxa"/>
            </w:tcMar>
            <w:vAlign w:val="center"/>
          </w:tcPr>
          <w:p w14:paraId="4FE0AC21">
            <w:pPr>
              <w:spacing w:after="0" w:line="240" w:lineRule="auto"/>
              <w:ind w:firstLine="0"/>
              <w:contextualSpacing/>
              <w:jc w:val="center"/>
              <w:rPr>
                <w:color w:val="000000"/>
                <w:sz w:val="20"/>
                <w:szCs w:val="20"/>
              </w:rPr>
            </w:pPr>
            <w:r>
              <w:rPr>
                <w:color w:val="000000"/>
                <w:sz w:val="20"/>
                <w:szCs w:val="20"/>
              </w:rPr>
              <w:t>2450</w:t>
            </w:r>
          </w:p>
        </w:tc>
        <w:tc>
          <w:tcPr>
            <w:tcW w:w="733" w:type="pct"/>
            <w:shd w:val="clear" w:color="auto" w:fill="auto"/>
            <w:noWrap/>
            <w:tcMar>
              <w:left w:w="28" w:type="dxa"/>
              <w:right w:w="28" w:type="dxa"/>
            </w:tcMar>
            <w:vAlign w:val="center"/>
          </w:tcPr>
          <w:p w14:paraId="29DD8D8A">
            <w:pPr>
              <w:spacing w:after="0" w:line="240" w:lineRule="auto"/>
              <w:ind w:firstLine="0"/>
              <w:contextualSpacing/>
              <w:jc w:val="center"/>
              <w:rPr>
                <w:color w:val="000000"/>
                <w:sz w:val="20"/>
                <w:szCs w:val="20"/>
              </w:rPr>
            </w:pPr>
            <w:r>
              <w:rPr>
                <w:color w:val="000000"/>
                <w:sz w:val="20"/>
                <w:szCs w:val="20"/>
              </w:rPr>
              <w:t>-</w:t>
            </w:r>
          </w:p>
        </w:tc>
      </w:tr>
      <w:tr w14:paraId="5228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C389781">
            <w:pPr>
              <w:spacing w:after="0" w:line="240" w:lineRule="auto"/>
              <w:ind w:firstLine="0"/>
              <w:contextualSpacing/>
              <w:rPr>
                <w:color w:val="000000"/>
                <w:sz w:val="20"/>
                <w:szCs w:val="20"/>
              </w:rPr>
            </w:pPr>
            <w:r>
              <w:rPr>
                <w:color w:val="000000"/>
                <w:sz w:val="20"/>
                <w:szCs w:val="20"/>
              </w:rPr>
              <w:t>Прочее</w:t>
            </w:r>
          </w:p>
        </w:tc>
        <w:tc>
          <w:tcPr>
            <w:tcW w:w="442" w:type="pct"/>
            <w:shd w:val="clear" w:color="auto" w:fill="auto"/>
            <w:noWrap/>
            <w:tcMar>
              <w:left w:w="28" w:type="dxa"/>
              <w:right w:w="28" w:type="dxa"/>
            </w:tcMar>
            <w:vAlign w:val="center"/>
          </w:tcPr>
          <w:p w14:paraId="17B84728">
            <w:pPr>
              <w:spacing w:after="0" w:line="240" w:lineRule="auto"/>
              <w:ind w:firstLine="0"/>
              <w:contextualSpacing/>
              <w:jc w:val="center"/>
              <w:rPr>
                <w:color w:val="000000"/>
                <w:sz w:val="20"/>
                <w:szCs w:val="20"/>
              </w:rPr>
            </w:pPr>
            <w:r>
              <w:rPr>
                <w:color w:val="000000"/>
                <w:sz w:val="20"/>
                <w:szCs w:val="20"/>
              </w:rPr>
              <w:t>2460</w:t>
            </w:r>
          </w:p>
        </w:tc>
        <w:tc>
          <w:tcPr>
            <w:tcW w:w="733" w:type="pct"/>
            <w:shd w:val="clear" w:color="auto" w:fill="auto"/>
            <w:noWrap/>
            <w:tcMar>
              <w:left w:w="28" w:type="dxa"/>
              <w:right w:w="28" w:type="dxa"/>
            </w:tcMar>
            <w:vAlign w:val="center"/>
          </w:tcPr>
          <w:p w14:paraId="23C8A733">
            <w:pPr>
              <w:spacing w:after="0" w:line="240" w:lineRule="auto"/>
              <w:ind w:firstLine="0"/>
              <w:contextualSpacing/>
              <w:jc w:val="center"/>
              <w:rPr>
                <w:color w:val="000000"/>
                <w:sz w:val="20"/>
                <w:szCs w:val="20"/>
              </w:rPr>
            </w:pPr>
            <w:r>
              <w:rPr>
                <w:color w:val="000000"/>
                <w:sz w:val="20"/>
                <w:szCs w:val="20"/>
              </w:rPr>
              <w:t>(308)</w:t>
            </w:r>
          </w:p>
        </w:tc>
      </w:tr>
      <w:tr w14:paraId="5D71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67BB0B5">
            <w:pPr>
              <w:spacing w:after="0" w:line="240" w:lineRule="auto"/>
              <w:ind w:firstLine="0"/>
              <w:contextualSpacing/>
              <w:rPr>
                <w:color w:val="000000"/>
                <w:sz w:val="20"/>
                <w:szCs w:val="20"/>
              </w:rPr>
            </w:pPr>
            <w:r>
              <w:rPr>
                <w:color w:val="000000"/>
                <w:sz w:val="20"/>
                <w:szCs w:val="20"/>
              </w:rPr>
              <w:t>Чистая прибыль (убыток)</w:t>
            </w:r>
          </w:p>
        </w:tc>
        <w:tc>
          <w:tcPr>
            <w:tcW w:w="442" w:type="pct"/>
            <w:shd w:val="clear" w:color="auto" w:fill="auto"/>
            <w:noWrap/>
            <w:tcMar>
              <w:left w:w="28" w:type="dxa"/>
              <w:right w:w="28" w:type="dxa"/>
            </w:tcMar>
            <w:vAlign w:val="center"/>
          </w:tcPr>
          <w:p w14:paraId="04A1618E">
            <w:pPr>
              <w:spacing w:after="0" w:line="240" w:lineRule="auto"/>
              <w:ind w:firstLine="0"/>
              <w:contextualSpacing/>
              <w:jc w:val="center"/>
              <w:rPr>
                <w:color w:val="000000"/>
                <w:sz w:val="20"/>
                <w:szCs w:val="20"/>
              </w:rPr>
            </w:pPr>
            <w:r>
              <w:rPr>
                <w:color w:val="000000"/>
                <w:sz w:val="20"/>
                <w:szCs w:val="20"/>
              </w:rPr>
              <w:t>2400</w:t>
            </w:r>
          </w:p>
        </w:tc>
        <w:tc>
          <w:tcPr>
            <w:tcW w:w="733" w:type="pct"/>
            <w:shd w:val="clear" w:color="auto" w:fill="auto"/>
            <w:noWrap/>
            <w:tcMar>
              <w:left w:w="28" w:type="dxa"/>
              <w:right w:w="28" w:type="dxa"/>
            </w:tcMar>
            <w:vAlign w:val="center"/>
          </w:tcPr>
          <w:p w14:paraId="6BDF3F35">
            <w:pPr>
              <w:spacing w:after="0" w:line="240" w:lineRule="auto"/>
              <w:ind w:firstLine="0"/>
              <w:contextualSpacing/>
              <w:jc w:val="center"/>
              <w:rPr>
                <w:color w:val="000000"/>
                <w:sz w:val="20"/>
                <w:szCs w:val="20"/>
              </w:rPr>
            </w:pPr>
            <w:r>
              <w:rPr>
                <w:color w:val="000000"/>
                <w:sz w:val="20"/>
                <w:szCs w:val="20"/>
              </w:rPr>
              <w:t>(59900)</w:t>
            </w:r>
          </w:p>
        </w:tc>
      </w:tr>
      <w:tr w14:paraId="1FAB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3D6E4C6A">
            <w:pPr>
              <w:spacing w:after="0" w:line="240" w:lineRule="auto"/>
              <w:ind w:firstLine="0"/>
              <w:contextualSpacing/>
              <w:jc w:val="center"/>
              <w:rPr>
                <w:bCs/>
                <w:color w:val="000000"/>
                <w:sz w:val="20"/>
                <w:szCs w:val="20"/>
              </w:rPr>
            </w:pPr>
            <w:r>
              <w:rPr>
                <w:bCs/>
                <w:color w:val="000000"/>
                <w:sz w:val="20"/>
                <w:szCs w:val="20"/>
              </w:rPr>
              <w:t>СПРАВОЧНО</w:t>
            </w:r>
          </w:p>
        </w:tc>
      </w:tr>
      <w:tr w14:paraId="5E49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362215F">
            <w:pPr>
              <w:spacing w:after="0" w:line="240" w:lineRule="auto"/>
              <w:ind w:firstLine="0"/>
              <w:contextualSpacing/>
              <w:rPr>
                <w:color w:val="000000"/>
                <w:sz w:val="20"/>
                <w:szCs w:val="20"/>
              </w:rPr>
            </w:pPr>
            <w:r>
              <w:rPr>
                <w:color w:val="000000"/>
                <w:sz w:val="20"/>
                <w:szCs w:val="20"/>
              </w:rPr>
              <w:t>Результат от переоценки внеоборотных активов, не включаемый в чистую прибыль (убыток) периода</w:t>
            </w:r>
          </w:p>
        </w:tc>
        <w:tc>
          <w:tcPr>
            <w:tcW w:w="442" w:type="pct"/>
            <w:shd w:val="clear" w:color="auto" w:fill="auto"/>
            <w:noWrap/>
            <w:tcMar>
              <w:left w:w="28" w:type="dxa"/>
              <w:right w:w="28" w:type="dxa"/>
            </w:tcMar>
            <w:vAlign w:val="center"/>
          </w:tcPr>
          <w:p w14:paraId="3C8CA238">
            <w:pPr>
              <w:spacing w:after="0" w:line="240" w:lineRule="auto"/>
              <w:ind w:firstLine="0"/>
              <w:contextualSpacing/>
              <w:jc w:val="center"/>
              <w:rPr>
                <w:color w:val="000000"/>
                <w:sz w:val="20"/>
                <w:szCs w:val="20"/>
              </w:rPr>
            </w:pPr>
            <w:r>
              <w:rPr>
                <w:color w:val="000000"/>
                <w:sz w:val="20"/>
                <w:szCs w:val="20"/>
              </w:rPr>
              <w:t>2510</w:t>
            </w:r>
          </w:p>
        </w:tc>
        <w:tc>
          <w:tcPr>
            <w:tcW w:w="733" w:type="pct"/>
            <w:shd w:val="clear" w:color="auto" w:fill="auto"/>
            <w:noWrap/>
            <w:tcMar>
              <w:left w:w="28" w:type="dxa"/>
              <w:right w:w="28" w:type="dxa"/>
            </w:tcMar>
            <w:vAlign w:val="center"/>
          </w:tcPr>
          <w:p w14:paraId="568AB572">
            <w:pPr>
              <w:spacing w:after="0" w:line="240" w:lineRule="auto"/>
              <w:ind w:firstLine="0"/>
              <w:contextualSpacing/>
              <w:jc w:val="center"/>
              <w:rPr>
                <w:color w:val="000000"/>
                <w:sz w:val="20"/>
                <w:szCs w:val="20"/>
              </w:rPr>
            </w:pPr>
            <w:r>
              <w:rPr>
                <w:color w:val="000000"/>
                <w:sz w:val="20"/>
                <w:szCs w:val="20"/>
              </w:rPr>
              <w:t>-</w:t>
            </w:r>
          </w:p>
        </w:tc>
      </w:tr>
      <w:tr w14:paraId="1CEA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BCE1E05">
            <w:pPr>
              <w:spacing w:after="0" w:line="240" w:lineRule="auto"/>
              <w:ind w:firstLine="0"/>
              <w:contextualSpacing/>
              <w:rPr>
                <w:color w:val="000000"/>
                <w:sz w:val="20"/>
                <w:szCs w:val="20"/>
              </w:rPr>
            </w:pPr>
            <w:r>
              <w:rPr>
                <w:color w:val="000000"/>
                <w:sz w:val="20"/>
                <w:szCs w:val="20"/>
              </w:rPr>
              <w:t>Результат от прочих операций, не включаемый в чистую прибыль (убыток) периода</w:t>
            </w:r>
          </w:p>
        </w:tc>
        <w:tc>
          <w:tcPr>
            <w:tcW w:w="442" w:type="pct"/>
            <w:shd w:val="clear" w:color="auto" w:fill="auto"/>
            <w:noWrap/>
            <w:tcMar>
              <w:left w:w="28" w:type="dxa"/>
              <w:right w:w="28" w:type="dxa"/>
            </w:tcMar>
            <w:vAlign w:val="center"/>
          </w:tcPr>
          <w:p w14:paraId="1B1F6854">
            <w:pPr>
              <w:spacing w:after="0" w:line="240" w:lineRule="auto"/>
              <w:ind w:firstLine="0"/>
              <w:contextualSpacing/>
              <w:jc w:val="center"/>
              <w:rPr>
                <w:color w:val="000000"/>
                <w:sz w:val="20"/>
                <w:szCs w:val="20"/>
              </w:rPr>
            </w:pPr>
            <w:r>
              <w:rPr>
                <w:color w:val="000000"/>
                <w:sz w:val="20"/>
                <w:szCs w:val="20"/>
              </w:rPr>
              <w:t>2520</w:t>
            </w:r>
          </w:p>
        </w:tc>
        <w:tc>
          <w:tcPr>
            <w:tcW w:w="733" w:type="pct"/>
            <w:shd w:val="clear" w:color="auto" w:fill="auto"/>
            <w:noWrap/>
            <w:tcMar>
              <w:left w:w="28" w:type="dxa"/>
              <w:right w:w="28" w:type="dxa"/>
            </w:tcMar>
            <w:vAlign w:val="center"/>
          </w:tcPr>
          <w:p w14:paraId="49A57AAB">
            <w:pPr>
              <w:spacing w:after="0" w:line="240" w:lineRule="auto"/>
              <w:ind w:firstLine="0"/>
              <w:contextualSpacing/>
              <w:jc w:val="center"/>
              <w:rPr>
                <w:color w:val="000000"/>
                <w:sz w:val="20"/>
                <w:szCs w:val="20"/>
              </w:rPr>
            </w:pPr>
            <w:r>
              <w:rPr>
                <w:color w:val="000000"/>
                <w:sz w:val="20"/>
                <w:szCs w:val="20"/>
              </w:rPr>
              <w:t>-</w:t>
            </w:r>
          </w:p>
        </w:tc>
      </w:tr>
      <w:tr w14:paraId="5F53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78C166C">
            <w:pPr>
              <w:spacing w:after="0" w:line="240" w:lineRule="auto"/>
              <w:ind w:firstLine="0"/>
              <w:contextualSpacing/>
              <w:rPr>
                <w:color w:val="000000"/>
                <w:sz w:val="20"/>
                <w:szCs w:val="20"/>
              </w:rPr>
            </w:pPr>
            <w:r>
              <w:rPr>
                <w:color w:val="000000"/>
                <w:sz w:val="20"/>
                <w:szCs w:val="20"/>
              </w:rPr>
              <w:t>Совокупный финансовый результат периода</w:t>
            </w:r>
          </w:p>
        </w:tc>
        <w:tc>
          <w:tcPr>
            <w:tcW w:w="442" w:type="pct"/>
            <w:shd w:val="clear" w:color="auto" w:fill="auto"/>
            <w:noWrap/>
            <w:tcMar>
              <w:left w:w="28" w:type="dxa"/>
              <w:right w:w="28" w:type="dxa"/>
            </w:tcMar>
            <w:vAlign w:val="center"/>
          </w:tcPr>
          <w:p w14:paraId="6C0AE973">
            <w:pPr>
              <w:spacing w:after="0" w:line="240" w:lineRule="auto"/>
              <w:ind w:firstLine="0"/>
              <w:contextualSpacing/>
              <w:jc w:val="center"/>
              <w:rPr>
                <w:color w:val="000000"/>
                <w:sz w:val="20"/>
                <w:szCs w:val="20"/>
              </w:rPr>
            </w:pPr>
            <w:r>
              <w:rPr>
                <w:color w:val="000000"/>
                <w:sz w:val="20"/>
                <w:szCs w:val="20"/>
              </w:rPr>
              <w:t>2500</w:t>
            </w:r>
          </w:p>
        </w:tc>
        <w:tc>
          <w:tcPr>
            <w:tcW w:w="733" w:type="pct"/>
            <w:shd w:val="clear" w:color="auto" w:fill="auto"/>
            <w:noWrap/>
            <w:tcMar>
              <w:left w:w="28" w:type="dxa"/>
              <w:right w:w="28" w:type="dxa"/>
            </w:tcMar>
            <w:vAlign w:val="center"/>
          </w:tcPr>
          <w:p w14:paraId="767598DE">
            <w:pPr>
              <w:spacing w:after="0" w:line="240" w:lineRule="auto"/>
              <w:ind w:firstLine="0"/>
              <w:contextualSpacing/>
              <w:jc w:val="center"/>
              <w:rPr>
                <w:color w:val="000000"/>
                <w:sz w:val="20"/>
                <w:szCs w:val="20"/>
              </w:rPr>
            </w:pPr>
            <w:r>
              <w:rPr>
                <w:color w:val="000000"/>
                <w:sz w:val="20"/>
                <w:szCs w:val="20"/>
              </w:rPr>
              <w:t>(59900)</w:t>
            </w:r>
          </w:p>
        </w:tc>
      </w:tr>
    </w:tbl>
    <w:p w14:paraId="725ED1DA">
      <w:pPr>
        <w:widowControl w:val="0"/>
        <w:spacing w:after="0" w:line="240" w:lineRule="auto"/>
        <w:ind w:firstLine="0"/>
        <w:contextualSpacing/>
        <w:rPr>
          <w:sz w:val="24"/>
          <w:szCs w:val="24"/>
          <w:lang w:eastAsia="en-US"/>
        </w:rPr>
      </w:pPr>
    </w:p>
    <w:bookmarkEnd w:id="286"/>
    <w:p w14:paraId="7D2C6B2B">
      <w:pPr>
        <w:pStyle w:val="43"/>
        <w:widowControl w:val="0"/>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41</w:t>
      </w:r>
      <w:r>
        <w:rPr>
          <w:rFonts w:cs="Times New Roman"/>
          <w:b w:val="0"/>
          <w:sz w:val="24"/>
          <w:szCs w:val="24"/>
        </w:rPr>
        <w:fldChar w:fldCharType="end"/>
      </w:r>
      <w:r>
        <w:rPr>
          <w:rFonts w:cs="Times New Roman"/>
          <w:b w:val="0"/>
          <w:sz w:val="24"/>
          <w:szCs w:val="24"/>
        </w:rPr>
        <w:t xml:space="preserve"> – Результаты финансово-хозяйственной деятельности ООО «Газпром трансгаз Югорск»</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6"/>
        <w:gridCol w:w="857"/>
        <w:gridCol w:w="1421"/>
      </w:tblGrid>
      <w:tr w14:paraId="6394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825" w:type="pct"/>
            <w:shd w:val="clear" w:color="auto" w:fill="auto"/>
            <w:noWrap/>
            <w:tcMar>
              <w:left w:w="28" w:type="dxa"/>
              <w:right w:w="28" w:type="dxa"/>
            </w:tcMar>
            <w:vAlign w:val="center"/>
          </w:tcPr>
          <w:p w14:paraId="40F24531">
            <w:pPr>
              <w:spacing w:after="0" w:line="240" w:lineRule="auto"/>
              <w:ind w:firstLine="0"/>
              <w:jc w:val="center"/>
              <w:rPr>
                <w:bCs/>
                <w:color w:val="000000"/>
                <w:sz w:val="20"/>
                <w:szCs w:val="20"/>
              </w:rPr>
            </w:pPr>
            <w:r>
              <w:rPr>
                <w:bCs/>
                <w:color w:val="000000"/>
                <w:sz w:val="20"/>
                <w:szCs w:val="20"/>
              </w:rPr>
              <w:t>Наименование показателя</w:t>
            </w:r>
          </w:p>
        </w:tc>
        <w:tc>
          <w:tcPr>
            <w:tcW w:w="442" w:type="pct"/>
            <w:shd w:val="clear" w:color="auto" w:fill="auto"/>
            <w:noWrap/>
            <w:tcMar>
              <w:left w:w="28" w:type="dxa"/>
              <w:right w:w="28" w:type="dxa"/>
            </w:tcMar>
            <w:vAlign w:val="center"/>
          </w:tcPr>
          <w:p w14:paraId="100E5B7C">
            <w:pPr>
              <w:spacing w:after="0" w:line="240" w:lineRule="auto"/>
              <w:ind w:firstLine="0"/>
              <w:jc w:val="center"/>
              <w:rPr>
                <w:bCs/>
                <w:color w:val="000000"/>
                <w:sz w:val="20"/>
                <w:szCs w:val="20"/>
              </w:rPr>
            </w:pPr>
            <w:r>
              <w:rPr>
                <w:bCs/>
                <w:color w:val="000000"/>
                <w:sz w:val="20"/>
                <w:szCs w:val="20"/>
              </w:rPr>
              <w:t>Код</w:t>
            </w:r>
          </w:p>
        </w:tc>
        <w:tc>
          <w:tcPr>
            <w:tcW w:w="733" w:type="pct"/>
            <w:shd w:val="clear" w:color="auto" w:fill="auto"/>
            <w:noWrap/>
            <w:tcMar>
              <w:left w:w="28" w:type="dxa"/>
              <w:right w:w="28" w:type="dxa"/>
            </w:tcMar>
            <w:vAlign w:val="center"/>
          </w:tcPr>
          <w:p w14:paraId="475EAF4C">
            <w:pPr>
              <w:spacing w:after="0" w:line="240" w:lineRule="auto"/>
              <w:ind w:firstLine="0"/>
              <w:jc w:val="center"/>
              <w:rPr>
                <w:bCs/>
                <w:color w:val="000000"/>
                <w:sz w:val="20"/>
                <w:szCs w:val="20"/>
              </w:rPr>
            </w:pPr>
            <w:r>
              <w:rPr>
                <w:bCs/>
                <w:color w:val="000000"/>
                <w:sz w:val="20"/>
                <w:szCs w:val="20"/>
              </w:rPr>
              <w:t>31.12.23</w:t>
            </w:r>
          </w:p>
        </w:tc>
      </w:tr>
      <w:tr w14:paraId="10B4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0E5CC630">
            <w:pPr>
              <w:spacing w:after="0" w:line="240" w:lineRule="auto"/>
              <w:ind w:firstLine="0"/>
              <w:jc w:val="center"/>
              <w:rPr>
                <w:bCs/>
                <w:color w:val="000000"/>
                <w:sz w:val="20"/>
                <w:szCs w:val="20"/>
              </w:rPr>
            </w:pPr>
            <w:r>
              <w:rPr>
                <w:bCs/>
                <w:color w:val="000000"/>
                <w:sz w:val="20"/>
                <w:szCs w:val="20"/>
              </w:rPr>
              <w:t>АКТИВ</w:t>
            </w:r>
          </w:p>
        </w:tc>
      </w:tr>
      <w:tr w14:paraId="446E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26F690BF">
            <w:pPr>
              <w:spacing w:after="0" w:line="240" w:lineRule="auto"/>
              <w:ind w:firstLine="0"/>
              <w:jc w:val="center"/>
              <w:rPr>
                <w:bCs/>
                <w:color w:val="000000"/>
                <w:sz w:val="20"/>
                <w:szCs w:val="20"/>
              </w:rPr>
            </w:pPr>
            <w:r>
              <w:rPr>
                <w:bCs/>
                <w:color w:val="000000"/>
                <w:sz w:val="20"/>
                <w:szCs w:val="20"/>
              </w:rPr>
              <w:t>I. ВНЕОБОРОТНЫЕ АКТИВЫ</w:t>
            </w:r>
          </w:p>
        </w:tc>
      </w:tr>
      <w:tr w14:paraId="36D9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91A5650">
            <w:pPr>
              <w:spacing w:after="0" w:line="240" w:lineRule="auto"/>
              <w:ind w:firstLine="0"/>
              <w:rPr>
                <w:color w:val="000000"/>
                <w:sz w:val="20"/>
                <w:szCs w:val="20"/>
              </w:rPr>
            </w:pPr>
            <w:r>
              <w:rPr>
                <w:color w:val="000000"/>
                <w:sz w:val="20"/>
                <w:szCs w:val="20"/>
              </w:rPr>
              <w:t>Нематериальные активы</w:t>
            </w:r>
          </w:p>
        </w:tc>
        <w:tc>
          <w:tcPr>
            <w:tcW w:w="442" w:type="pct"/>
            <w:shd w:val="clear" w:color="auto" w:fill="auto"/>
            <w:noWrap/>
            <w:tcMar>
              <w:left w:w="28" w:type="dxa"/>
              <w:right w:w="28" w:type="dxa"/>
            </w:tcMar>
            <w:vAlign w:val="center"/>
          </w:tcPr>
          <w:p w14:paraId="15AF53C4">
            <w:pPr>
              <w:spacing w:after="0" w:line="240" w:lineRule="auto"/>
              <w:ind w:firstLine="0"/>
              <w:jc w:val="center"/>
              <w:rPr>
                <w:color w:val="000000"/>
                <w:sz w:val="20"/>
                <w:szCs w:val="20"/>
              </w:rPr>
            </w:pPr>
            <w:r>
              <w:rPr>
                <w:color w:val="000000"/>
                <w:sz w:val="20"/>
                <w:szCs w:val="20"/>
              </w:rPr>
              <w:t>1110</w:t>
            </w:r>
          </w:p>
        </w:tc>
        <w:tc>
          <w:tcPr>
            <w:tcW w:w="733" w:type="pct"/>
            <w:shd w:val="clear" w:color="auto" w:fill="auto"/>
            <w:noWrap/>
            <w:tcMar>
              <w:left w:w="28" w:type="dxa"/>
              <w:right w:w="28" w:type="dxa"/>
            </w:tcMar>
            <w:vAlign w:val="center"/>
          </w:tcPr>
          <w:p w14:paraId="6B05C003">
            <w:pPr>
              <w:spacing w:after="0" w:line="240" w:lineRule="auto"/>
              <w:ind w:firstLine="0"/>
              <w:jc w:val="center"/>
              <w:rPr>
                <w:color w:val="000000"/>
                <w:sz w:val="20"/>
                <w:szCs w:val="20"/>
              </w:rPr>
            </w:pPr>
            <w:r>
              <w:rPr>
                <w:color w:val="000000"/>
                <w:sz w:val="20"/>
                <w:szCs w:val="20"/>
              </w:rPr>
              <w:t>610114</w:t>
            </w:r>
          </w:p>
        </w:tc>
      </w:tr>
      <w:tr w14:paraId="1299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09483D2">
            <w:pPr>
              <w:spacing w:after="0" w:line="240" w:lineRule="auto"/>
              <w:ind w:firstLine="0"/>
              <w:rPr>
                <w:color w:val="000000"/>
                <w:sz w:val="20"/>
                <w:szCs w:val="20"/>
              </w:rPr>
            </w:pPr>
            <w:r>
              <w:rPr>
                <w:color w:val="000000"/>
                <w:sz w:val="20"/>
                <w:szCs w:val="20"/>
              </w:rPr>
              <w:t>Результаты исследований и разработок</w:t>
            </w:r>
          </w:p>
        </w:tc>
        <w:tc>
          <w:tcPr>
            <w:tcW w:w="442" w:type="pct"/>
            <w:shd w:val="clear" w:color="auto" w:fill="auto"/>
            <w:noWrap/>
            <w:tcMar>
              <w:left w:w="28" w:type="dxa"/>
              <w:right w:w="28" w:type="dxa"/>
            </w:tcMar>
            <w:vAlign w:val="center"/>
          </w:tcPr>
          <w:p w14:paraId="1C4C9A00">
            <w:pPr>
              <w:spacing w:after="0" w:line="240" w:lineRule="auto"/>
              <w:ind w:firstLine="0"/>
              <w:jc w:val="center"/>
              <w:rPr>
                <w:color w:val="000000"/>
                <w:sz w:val="20"/>
                <w:szCs w:val="20"/>
              </w:rPr>
            </w:pPr>
            <w:r>
              <w:rPr>
                <w:color w:val="000000"/>
                <w:sz w:val="20"/>
                <w:szCs w:val="20"/>
              </w:rPr>
              <w:t>1120</w:t>
            </w:r>
          </w:p>
        </w:tc>
        <w:tc>
          <w:tcPr>
            <w:tcW w:w="733" w:type="pct"/>
            <w:shd w:val="clear" w:color="auto" w:fill="auto"/>
            <w:noWrap/>
            <w:tcMar>
              <w:left w:w="28" w:type="dxa"/>
              <w:right w:w="28" w:type="dxa"/>
            </w:tcMar>
            <w:vAlign w:val="center"/>
          </w:tcPr>
          <w:p w14:paraId="2CC8CB1E">
            <w:pPr>
              <w:spacing w:after="0" w:line="240" w:lineRule="auto"/>
              <w:ind w:firstLine="0"/>
              <w:jc w:val="center"/>
              <w:rPr>
                <w:color w:val="000000"/>
                <w:sz w:val="20"/>
                <w:szCs w:val="20"/>
              </w:rPr>
            </w:pPr>
            <w:r>
              <w:rPr>
                <w:color w:val="000000"/>
                <w:sz w:val="20"/>
                <w:szCs w:val="20"/>
              </w:rPr>
              <w:t>-</w:t>
            </w:r>
          </w:p>
        </w:tc>
      </w:tr>
      <w:tr w14:paraId="6C9F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04311FD">
            <w:pPr>
              <w:spacing w:after="0" w:line="240" w:lineRule="auto"/>
              <w:ind w:firstLine="0"/>
              <w:rPr>
                <w:color w:val="000000"/>
                <w:sz w:val="20"/>
                <w:szCs w:val="20"/>
              </w:rPr>
            </w:pPr>
            <w:r>
              <w:rPr>
                <w:color w:val="000000"/>
                <w:sz w:val="20"/>
                <w:szCs w:val="20"/>
              </w:rPr>
              <w:t>Нематериальные поисковые активы</w:t>
            </w:r>
          </w:p>
        </w:tc>
        <w:tc>
          <w:tcPr>
            <w:tcW w:w="442" w:type="pct"/>
            <w:shd w:val="clear" w:color="auto" w:fill="auto"/>
            <w:noWrap/>
            <w:tcMar>
              <w:left w:w="28" w:type="dxa"/>
              <w:right w:w="28" w:type="dxa"/>
            </w:tcMar>
            <w:vAlign w:val="center"/>
          </w:tcPr>
          <w:p w14:paraId="56EC6479">
            <w:pPr>
              <w:spacing w:after="0" w:line="240" w:lineRule="auto"/>
              <w:ind w:firstLine="0"/>
              <w:jc w:val="center"/>
              <w:rPr>
                <w:color w:val="000000"/>
                <w:sz w:val="20"/>
                <w:szCs w:val="20"/>
              </w:rPr>
            </w:pPr>
            <w:r>
              <w:rPr>
                <w:color w:val="000000"/>
                <w:sz w:val="20"/>
                <w:szCs w:val="20"/>
              </w:rPr>
              <w:t>1130</w:t>
            </w:r>
          </w:p>
        </w:tc>
        <w:tc>
          <w:tcPr>
            <w:tcW w:w="733" w:type="pct"/>
            <w:shd w:val="clear" w:color="auto" w:fill="auto"/>
            <w:noWrap/>
            <w:tcMar>
              <w:left w:w="28" w:type="dxa"/>
              <w:right w:w="28" w:type="dxa"/>
            </w:tcMar>
            <w:vAlign w:val="center"/>
          </w:tcPr>
          <w:p w14:paraId="3A12C096">
            <w:pPr>
              <w:spacing w:after="0" w:line="240" w:lineRule="auto"/>
              <w:ind w:firstLine="0"/>
              <w:jc w:val="center"/>
              <w:rPr>
                <w:color w:val="000000"/>
                <w:sz w:val="20"/>
                <w:szCs w:val="20"/>
              </w:rPr>
            </w:pPr>
            <w:r>
              <w:rPr>
                <w:color w:val="000000"/>
                <w:sz w:val="20"/>
                <w:szCs w:val="20"/>
              </w:rPr>
              <w:t>-</w:t>
            </w:r>
          </w:p>
        </w:tc>
      </w:tr>
      <w:tr w14:paraId="6492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233D005">
            <w:pPr>
              <w:spacing w:after="0" w:line="240" w:lineRule="auto"/>
              <w:ind w:firstLine="0"/>
              <w:rPr>
                <w:color w:val="000000"/>
                <w:sz w:val="20"/>
                <w:szCs w:val="20"/>
              </w:rPr>
            </w:pPr>
            <w:r>
              <w:rPr>
                <w:color w:val="000000"/>
                <w:sz w:val="20"/>
                <w:szCs w:val="20"/>
              </w:rPr>
              <w:t>Материальные поисковые активы</w:t>
            </w:r>
          </w:p>
        </w:tc>
        <w:tc>
          <w:tcPr>
            <w:tcW w:w="442" w:type="pct"/>
            <w:shd w:val="clear" w:color="auto" w:fill="auto"/>
            <w:noWrap/>
            <w:tcMar>
              <w:left w:w="28" w:type="dxa"/>
              <w:right w:w="28" w:type="dxa"/>
            </w:tcMar>
            <w:vAlign w:val="center"/>
          </w:tcPr>
          <w:p w14:paraId="00DFE9D2">
            <w:pPr>
              <w:spacing w:after="0" w:line="240" w:lineRule="auto"/>
              <w:ind w:firstLine="0"/>
              <w:jc w:val="center"/>
              <w:rPr>
                <w:color w:val="000000"/>
                <w:sz w:val="20"/>
                <w:szCs w:val="20"/>
              </w:rPr>
            </w:pPr>
            <w:r>
              <w:rPr>
                <w:color w:val="000000"/>
                <w:sz w:val="20"/>
                <w:szCs w:val="20"/>
              </w:rPr>
              <w:t>1140</w:t>
            </w:r>
          </w:p>
        </w:tc>
        <w:tc>
          <w:tcPr>
            <w:tcW w:w="733" w:type="pct"/>
            <w:shd w:val="clear" w:color="auto" w:fill="auto"/>
            <w:noWrap/>
            <w:tcMar>
              <w:left w:w="28" w:type="dxa"/>
              <w:right w:w="28" w:type="dxa"/>
            </w:tcMar>
            <w:vAlign w:val="center"/>
          </w:tcPr>
          <w:p w14:paraId="395AE19D">
            <w:pPr>
              <w:spacing w:after="0" w:line="240" w:lineRule="auto"/>
              <w:ind w:firstLine="0"/>
              <w:jc w:val="center"/>
              <w:rPr>
                <w:color w:val="000000"/>
                <w:sz w:val="20"/>
                <w:szCs w:val="20"/>
              </w:rPr>
            </w:pPr>
            <w:r>
              <w:rPr>
                <w:color w:val="000000"/>
                <w:sz w:val="20"/>
                <w:szCs w:val="20"/>
              </w:rPr>
              <w:t>-</w:t>
            </w:r>
          </w:p>
        </w:tc>
      </w:tr>
      <w:tr w14:paraId="7A40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538BBFE">
            <w:pPr>
              <w:spacing w:after="0" w:line="240" w:lineRule="auto"/>
              <w:ind w:firstLine="0"/>
              <w:rPr>
                <w:color w:val="000000"/>
                <w:sz w:val="20"/>
                <w:szCs w:val="20"/>
              </w:rPr>
            </w:pPr>
            <w:r>
              <w:rPr>
                <w:color w:val="000000"/>
                <w:sz w:val="20"/>
                <w:szCs w:val="20"/>
              </w:rPr>
              <w:t>Основные средства</w:t>
            </w:r>
          </w:p>
        </w:tc>
        <w:tc>
          <w:tcPr>
            <w:tcW w:w="442" w:type="pct"/>
            <w:shd w:val="clear" w:color="auto" w:fill="auto"/>
            <w:noWrap/>
            <w:tcMar>
              <w:left w:w="28" w:type="dxa"/>
              <w:right w:w="28" w:type="dxa"/>
            </w:tcMar>
            <w:vAlign w:val="center"/>
          </w:tcPr>
          <w:p w14:paraId="12F40F1A">
            <w:pPr>
              <w:spacing w:after="0" w:line="240" w:lineRule="auto"/>
              <w:ind w:firstLine="0"/>
              <w:jc w:val="center"/>
              <w:rPr>
                <w:color w:val="000000"/>
                <w:sz w:val="20"/>
                <w:szCs w:val="20"/>
              </w:rPr>
            </w:pPr>
            <w:r>
              <w:rPr>
                <w:color w:val="000000"/>
                <w:sz w:val="20"/>
                <w:szCs w:val="20"/>
              </w:rPr>
              <w:t>1150</w:t>
            </w:r>
          </w:p>
        </w:tc>
        <w:tc>
          <w:tcPr>
            <w:tcW w:w="733" w:type="pct"/>
            <w:shd w:val="clear" w:color="auto" w:fill="auto"/>
            <w:noWrap/>
            <w:tcMar>
              <w:left w:w="28" w:type="dxa"/>
              <w:right w:w="28" w:type="dxa"/>
            </w:tcMar>
            <w:vAlign w:val="center"/>
          </w:tcPr>
          <w:p w14:paraId="7A8F0D5C">
            <w:pPr>
              <w:spacing w:after="0" w:line="240" w:lineRule="auto"/>
              <w:ind w:firstLine="0"/>
              <w:jc w:val="center"/>
              <w:rPr>
                <w:color w:val="000000"/>
                <w:sz w:val="20"/>
                <w:szCs w:val="20"/>
              </w:rPr>
            </w:pPr>
            <w:r>
              <w:rPr>
                <w:color w:val="000000"/>
                <w:sz w:val="20"/>
                <w:szCs w:val="20"/>
              </w:rPr>
              <w:t>106199768</w:t>
            </w:r>
          </w:p>
        </w:tc>
      </w:tr>
      <w:tr w14:paraId="29CD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E1D5491">
            <w:pPr>
              <w:spacing w:after="0" w:line="240" w:lineRule="auto"/>
              <w:ind w:firstLine="0"/>
              <w:rPr>
                <w:color w:val="000000"/>
                <w:sz w:val="20"/>
                <w:szCs w:val="20"/>
              </w:rPr>
            </w:pPr>
            <w:r>
              <w:rPr>
                <w:color w:val="000000"/>
                <w:sz w:val="20"/>
                <w:szCs w:val="20"/>
              </w:rPr>
              <w:t>Доходные вложения в материальные ценности</w:t>
            </w:r>
          </w:p>
        </w:tc>
        <w:tc>
          <w:tcPr>
            <w:tcW w:w="442" w:type="pct"/>
            <w:shd w:val="clear" w:color="auto" w:fill="auto"/>
            <w:noWrap/>
            <w:tcMar>
              <w:left w:w="28" w:type="dxa"/>
              <w:right w:w="28" w:type="dxa"/>
            </w:tcMar>
            <w:vAlign w:val="center"/>
          </w:tcPr>
          <w:p w14:paraId="1D843A24">
            <w:pPr>
              <w:spacing w:after="0" w:line="240" w:lineRule="auto"/>
              <w:ind w:firstLine="0"/>
              <w:jc w:val="center"/>
              <w:rPr>
                <w:color w:val="000000"/>
                <w:sz w:val="20"/>
                <w:szCs w:val="20"/>
              </w:rPr>
            </w:pPr>
            <w:r>
              <w:rPr>
                <w:color w:val="000000"/>
                <w:sz w:val="20"/>
                <w:szCs w:val="20"/>
              </w:rPr>
              <w:t>1160</w:t>
            </w:r>
          </w:p>
        </w:tc>
        <w:tc>
          <w:tcPr>
            <w:tcW w:w="733" w:type="pct"/>
            <w:shd w:val="clear" w:color="auto" w:fill="auto"/>
            <w:noWrap/>
            <w:tcMar>
              <w:left w:w="28" w:type="dxa"/>
              <w:right w:w="28" w:type="dxa"/>
            </w:tcMar>
            <w:vAlign w:val="center"/>
          </w:tcPr>
          <w:p w14:paraId="3E7E6DB4">
            <w:pPr>
              <w:spacing w:after="0" w:line="240" w:lineRule="auto"/>
              <w:ind w:firstLine="0"/>
              <w:jc w:val="center"/>
              <w:rPr>
                <w:color w:val="000000"/>
                <w:sz w:val="20"/>
                <w:szCs w:val="20"/>
              </w:rPr>
            </w:pPr>
            <w:r>
              <w:rPr>
                <w:color w:val="000000"/>
                <w:sz w:val="20"/>
                <w:szCs w:val="20"/>
              </w:rPr>
              <w:t>-</w:t>
            </w:r>
          </w:p>
        </w:tc>
      </w:tr>
      <w:tr w14:paraId="0E56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477E8C1">
            <w:pPr>
              <w:spacing w:after="0" w:line="240" w:lineRule="auto"/>
              <w:ind w:firstLine="0"/>
              <w:rPr>
                <w:color w:val="000000"/>
                <w:sz w:val="20"/>
                <w:szCs w:val="20"/>
              </w:rPr>
            </w:pPr>
            <w:r>
              <w:rPr>
                <w:color w:val="000000"/>
                <w:sz w:val="20"/>
                <w:szCs w:val="20"/>
              </w:rPr>
              <w:t>Финансовые вложения</w:t>
            </w:r>
          </w:p>
        </w:tc>
        <w:tc>
          <w:tcPr>
            <w:tcW w:w="442" w:type="pct"/>
            <w:shd w:val="clear" w:color="auto" w:fill="auto"/>
            <w:noWrap/>
            <w:tcMar>
              <w:left w:w="28" w:type="dxa"/>
              <w:right w:w="28" w:type="dxa"/>
            </w:tcMar>
            <w:vAlign w:val="center"/>
          </w:tcPr>
          <w:p w14:paraId="7B2D51DE">
            <w:pPr>
              <w:spacing w:after="0" w:line="240" w:lineRule="auto"/>
              <w:ind w:firstLine="0"/>
              <w:jc w:val="center"/>
              <w:rPr>
                <w:color w:val="000000"/>
                <w:sz w:val="20"/>
                <w:szCs w:val="20"/>
              </w:rPr>
            </w:pPr>
            <w:r>
              <w:rPr>
                <w:color w:val="000000"/>
                <w:sz w:val="20"/>
                <w:szCs w:val="20"/>
              </w:rPr>
              <w:t>1170</w:t>
            </w:r>
          </w:p>
        </w:tc>
        <w:tc>
          <w:tcPr>
            <w:tcW w:w="733" w:type="pct"/>
            <w:shd w:val="clear" w:color="auto" w:fill="auto"/>
            <w:noWrap/>
            <w:tcMar>
              <w:left w:w="28" w:type="dxa"/>
              <w:right w:w="28" w:type="dxa"/>
            </w:tcMar>
            <w:vAlign w:val="center"/>
          </w:tcPr>
          <w:p w14:paraId="3FF107E4">
            <w:pPr>
              <w:spacing w:after="0" w:line="240" w:lineRule="auto"/>
              <w:ind w:firstLine="0"/>
              <w:jc w:val="center"/>
              <w:rPr>
                <w:color w:val="000000"/>
                <w:sz w:val="20"/>
                <w:szCs w:val="20"/>
              </w:rPr>
            </w:pPr>
            <w:r>
              <w:rPr>
                <w:color w:val="000000"/>
                <w:sz w:val="20"/>
                <w:szCs w:val="20"/>
              </w:rPr>
              <w:t>233561</w:t>
            </w:r>
          </w:p>
        </w:tc>
      </w:tr>
      <w:tr w14:paraId="1504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DFE4DCB">
            <w:pPr>
              <w:spacing w:after="0" w:line="240" w:lineRule="auto"/>
              <w:ind w:firstLine="0"/>
              <w:rPr>
                <w:color w:val="000000"/>
                <w:sz w:val="20"/>
                <w:szCs w:val="20"/>
              </w:rPr>
            </w:pPr>
            <w:r>
              <w:rPr>
                <w:color w:val="000000"/>
                <w:sz w:val="20"/>
                <w:szCs w:val="20"/>
              </w:rPr>
              <w:t>Отложенные налоговые активы</w:t>
            </w:r>
          </w:p>
        </w:tc>
        <w:tc>
          <w:tcPr>
            <w:tcW w:w="442" w:type="pct"/>
            <w:shd w:val="clear" w:color="auto" w:fill="auto"/>
            <w:noWrap/>
            <w:tcMar>
              <w:left w:w="28" w:type="dxa"/>
              <w:right w:w="28" w:type="dxa"/>
            </w:tcMar>
            <w:vAlign w:val="center"/>
          </w:tcPr>
          <w:p w14:paraId="6E6C44F4">
            <w:pPr>
              <w:spacing w:after="0" w:line="240" w:lineRule="auto"/>
              <w:ind w:firstLine="0"/>
              <w:jc w:val="center"/>
              <w:rPr>
                <w:color w:val="000000"/>
                <w:sz w:val="20"/>
                <w:szCs w:val="20"/>
              </w:rPr>
            </w:pPr>
            <w:r>
              <w:rPr>
                <w:color w:val="000000"/>
                <w:sz w:val="20"/>
                <w:szCs w:val="20"/>
              </w:rPr>
              <w:t>1180</w:t>
            </w:r>
          </w:p>
        </w:tc>
        <w:tc>
          <w:tcPr>
            <w:tcW w:w="733" w:type="pct"/>
            <w:shd w:val="clear" w:color="auto" w:fill="auto"/>
            <w:noWrap/>
            <w:tcMar>
              <w:left w:w="28" w:type="dxa"/>
              <w:right w:w="28" w:type="dxa"/>
            </w:tcMar>
            <w:vAlign w:val="center"/>
          </w:tcPr>
          <w:p w14:paraId="2B607B67">
            <w:pPr>
              <w:spacing w:after="0" w:line="240" w:lineRule="auto"/>
              <w:ind w:firstLine="0"/>
              <w:jc w:val="center"/>
              <w:rPr>
                <w:color w:val="000000"/>
                <w:sz w:val="20"/>
                <w:szCs w:val="20"/>
              </w:rPr>
            </w:pPr>
            <w:r>
              <w:rPr>
                <w:color w:val="000000"/>
                <w:sz w:val="20"/>
                <w:szCs w:val="20"/>
              </w:rPr>
              <w:t>2741280</w:t>
            </w:r>
          </w:p>
        </w:tc>
      </w:tr>
      <w:tr w14:paraId="4540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191767C">
            <w:pPr>
              <w:spacing w:after="0" w:line="240" w:lineRule="auto"/>
              <w:ind w:firstLine="0"/>
              <w:rPr>
                <w:color w:val="000000"/>
                <w:sz w:val="20"/>
                <w:szCs w:val="20"/>
              </w:rPr>
            </w:pPr>
            <w:r>
              <w:rPr>
                <w:color w:val="000000"/>
                <w:sz w:val="20"/>
                <w:szCs w:val="20"/>
              </w:rPr>
              <w:t>Прочие внеоборотные активы</w:t>
            </w:r>
          </w:p>
        </w:tc>
        <w:tc>
          <w:tcPr>
            <w:tcW w:w="442" w:type="pct"/>
            <w:shd w:val="clear" w:color="auto" w:fill="auto"/>
            <w:noWrap/>
            <w:tcMar>
              <w:left w:w="28" w:type="dxa"/>
              <w:right w:w="28" w:type="dxa"/>
            </w:tcMar>
            <w:vAlign w:val="center"/>
          </w:tcPr>
          <w:p w14:paraId="1AC00A0E">
            <w:pPr>
              <w:spacing w:after="0" w:line="240" w:lineRule="auto"/>
              <w:ind w:firstLine="0"/>
              <w:jc w:val="center"/>
              <w:rPr>
                <w:color w:val="000000"/>
                <w:sz w:val="20"/>
                <w:szCs w:val="20"/>
              </w:rPr>
            </w:pPr>
            <w:r>
              <w:rPr>
                <w:color w:val="000000"/>
                <w:sz w:val="20"/>
                <w:szCs w:val="20"/>
              </w:rPr>
              <w:t>1190</w:t>
            </w:r>
          </w:p>
        </w:tc>
        <w:tc>
          <w:tcPr>
            <w:tcW w:w="733" w:type="pct"/>
            <w:shd w:val="clear" w:color="auto" w:fill="auto"/>
            <w:noWrap/>
            <w:tcMar>
              <w:left w:w="28" w:type="dxa"/>
              <w:right w:w="28" w:type="dxa"/>
            </w:tcMar>
            <w:vAlign w:val="center"/>
          </w:tcPr>
          <w:p w14:paraId="1404329A">
            <w:pPr>
              <w:spacing w:after="0" w:line="240" w:lineRule="auto"/>
              <w:ind w:firstLine="0"/>
              <w:jc w:val="center"/>
              <w:rPr>
                <w:color w:val="000000"/>
                <w:sz w:val="20"/>
                <w:szCs w:val="20"/>
              </w:rPr>
            </w:pPr>
            <w:r>
              <w:rPr>
                <w:color w:val="000000"/>
                <w:sz w:val="20"/>
                <w:szCs w:val="20"/>
              </w:rPr>
              <w:t>414112</w:t>
            </w:r>
          </w:p>
        </w:tc>
      </w:tr>
      <w:tr w14:paraId="7B43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9D7C1F7">
            <w:pPr>
              <w:spacing w:after="0" w:line="240" w:lineRule="auto"/>
              <w:ind w:firstLine="0"/>
              <w:rPr>
                <w:color w:val="000000"/>
                <w:sz w:val="20"/>
                <w:szCs w:val="20"/>
              </w:rPr>
            </w:pPr>
            <w:r>
              <w:rPr>
                <w:color w:val="000000"/>
                <w:sz w:val="20"/>
                <w:szCs w:val="20"/>
              </w:rPr>
              <w:t>Итого по разделу I</w:t>
            </w:r>
          </w:p>
        </w:tc>
        <w:tc>
          <w:tcPr>
            <w:tcW w:w="442" w:type="pct"/>
            <w:shd w:val="clear" w:color="auto" w:fill="auto"/>
            <w:noWrap/>
            <w:tcMar>
              <w:left w:w="28" w:type="dxa"/>
              <w:right w:w="28" w:type="dxa"/>
            </w:tcMar>
            <w:vAlign w:val="center"/>
          </w:tcPr>
          <w:p w14:paraId="365B8560">
            <w:pPr>
              <w:spacing w:after="0" w:line="240" w:lineRule="auto"/>
              <w:ind w:firstLine="0"/>
              <w:jc w:val="center"/>
              <w:rPr>
                <w:color w:val="000000"/>
                <w:sz w:val="20"/>
                <w:szCs w:val="20"/>
              </w:rPr>
            </w:pPr>
            <w:r>
              <w:rPr>
                <w:color w:val="000000"/>
                <w:sz w:val="20"/>
                <w:szCs w:val="20"/>
              </w:rPr>
              <w:t>1100</w:t>
            </w:r>
          </w:p>
        </w:tc>
        <w:tc>
          <w:tcPr>
            <w:tcW w:w="733" w:type="pct"/>
            <w:shd w:val="clear" w:color="auto" w:fill="auto"/>
            <w:noWrap/>
            <w:tcMar>
              <w:left w:w="28" w:type="dxa"/>
              <w:right w:w="28" w:type="dxa"/>
            </w:tcMar>
            <w:vAlign w:val="center"/>
          </w:tcPr>
          <w:p w14:paraId="6A3A6AA9">
            <w:pPr>
              <w:spacing w:after="0" w:line="240" w:lineRule="auto"/>
              <w:ind w:firstLine="0"/>
              <w:jc w:val="center"/>
              <w:rPr>
                <w:color w:val="000000"/>
                <w:sz w:val="20"/>
                <w:szCs w:val="20"/>
              </w:rPr>
            </w:pPr>
            <w:r>
              <w:rPr>
                <w:color w:val="000000"/>
                <w:sz w:val="20"/>
                <w:szCs w:val="20"/>
              </w:rPr>
              <w:t>110198835</w:t>
            </w:r>
          </w:p>
        </w:tc>
      </w:tr>
      <w:tr w14:paraId="06A9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72A0F366">
            <w:pPr>
              <w:spacing w:after="0" w:line="240" w:lineRule="auto"/>
              <w:ind w:firstLine="0"/>
              <w:jc w:val="center"/>
              <w:rPr>
                <w:bCs/>
                <w:color w:val="000000"/>
                <w:sz w:val="20"/>
                <w:szCs w:val="20"/>
              </w:rPr>
            </w:pPr>
            <w:r>
              <w:rPr>
                <w:bCs/>
                <w:color w:val="000000"/>
                <w:sz w:val="20"/>
                <w:szCs w:val="20"/>
              </w:rPr>
              <w:t>II. ОБОРОТНЫЕ АКТИВЫ</w:t>
            </w:r>
          </w:p>
        </w:tc>
      </w:tr>
      <w:tr w14:paraId="36C2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80CBB48">
            <w:pPr>
              <w:spacing w:after="0" w:line="240" w:lineRule="auto"/>
              <w:ind w:firstLine="0"/>
              <w:rPr>
                <w:color w:val="000000"/>
                <w:sz w:val="20"/>
                <w:szCs w:val="20"/>
              </w:rPr>
            </w:pPr>
            <w:r>
              <w:rPr>
                <w:color w:val="000000"/>
                <w:sz w:val="20"/>
                <w:szCs w:val="20"/>
              </w:rPr>
              <w:t>Запасы</w:t>
            </w:r>
          </w:p>
        </w:tc>
        <w:tc>
          <w:tcPr>
            <w:tcW w:w="442" w:type="pct"/>
            <w:shd w:val="clear" w:color="auto" w:fill="auto"/>
            <w:noWrap/>
            <w:tcMar>
              <w:left w:w="28" w:type="dxa"/>
              <w:right w:w="28" w:type="dxa"/>
            </w:tcMar>
            <w:vAlign w:val="center"/>
          </w:tcPr>
          <w:p w14:paraId="7CD85ECF">
            <w:pPr>
              <w:spacing w:after="0" w:line="240" w:lineRule="auto"/>
              <w:ind w:firstLine="0"/>
              <w:jc w:val="center"/>
              <w:rPr>
                <w:color w:val="000000"/>
                <w:sz w:val="20"/>
                <w:szCs w:val="20"/>
              </w:rPr>
            </w:pPr>
            <w:r>
              <w:rPr>
                <w:color w:val="000000"/>
                <w:sz w:val="20"/>
                <w:szCs w:val="20"/>
              </w:rPr>
              <w:t>1210</w:t>
            </w:r>
          </w:p>
        </w:tc>
        <w:tc>
          <w:tcPr>
            <w:tcW w:w="733" w:type="pct"/>
            <w:shd w:val="clear" w:color="auto" w:fill="auto"/>
            <w:noWrap/>
            <w:tcMar>
              <w:left w:w="28" w:type="dxa"/>
              <w:right w:w="28" w:type="dxa"/>
            </w:tcMar>
            <w:vAlign w:val="center"/>
          </w:tcPr>
          <w:p w14:paraId="27F4EF5F">
            <w:pPr>
              <w:spacing w:after="0" w:line="240" w:lineRule="auto"/>
              <w:ind w:firstLine="0"/>
              <w:jc w:val="center"/>
              <w:rPr>
                <w:color w:val="000000"/>
                <w:sz w:val="20"/>
                <w:szCs w:val="20"/>
              </w:rPr>
            </w:pPr>
            <w:r>
              <w:rPr>
                <w:color w:val="000000"/>
                <w:sz w:val="20"/>
                <w:szCs w:val="20"/>
              </w:rPr>
              <w:t>25838431</w:t>
            </w:r>
          </w:p>
        </w:tc>
      </w:tr>
      <w:tr w14:paraId="0968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0DDAAD7">
            <w:pPr>
              <w:spacing w:after="0" w:line="240" w:lineRule="auto"/>
              <w:ind w:firstLine="0"/>
              <w:rPr>
                <w:color w:val="000000"/>
                <w:sz w:val="20"/>
                <w:szCs w:val="20"/>
              </w:rPr>
            </w:pPr>
            <w:r>
              <w:rPr>
                <w:color w:val="000000"/>
                <w:sz w:val="20"/>
                <w:szCs w:val="20"/>
              </w:rPr>
              <w:t>Налог на добавленную стоимость по приобретенным ценностям</w:t>
            </w:r>
          </w:p>
        </w:tc>
        <w:tc>
          <w:tcPr>
            <w:tcW w:w="442" w:type="pct"/>
            <w:shd w:val="clear" w:color="auto" w:fill="auto"/>
            <w:noWrap/>
            <w:tcMar>
              <w:left w:w="28" w:type="dxa"/>
              <w:right w:w="28" w:type="dxa"/>
            </w:tcMar>
            <w:vAlign w:val="center"/>
          </w:tcPr>
          <w:p w14:paraId="13AFADD6">
            <w:pPr>
              <w:spacing w:after="0" w:line="240" w:lineRule="auto"/>
              <w:ind w:firstLine="0"/>
              <w:jc w:val="center"/>
              <w:rPr>
                <w:color w:val="000000"/>
                <w:sz w:val="20"/>
                <w:szCs w:val="20"/>
              </w:rPr>
            </w:pPr>
            <w:r>
              <w:rPr>
                <w:color w:val="000000"/>
                <w:sz w:val="20"/>
                <w:szCs w:val="20"/>
              </w:rPr>
              <w:t>1220</w:t>
            </w:r>
          </w:p>
        </w:tc>
        <w:tc>
          <w:tcPr>
            <w:tcW w:w="733" w:type="pct"/>
            <w:shd w:val="clear" w:color="auto" w:fill="auto"/>
            <w:noWrap/>
            <w:tcMar>
              <w:left w:w="28" w:type="dxa"/>
              <w:right w:w="28" w:type="dxa"/>
            </w:tcMar>
            <w:vAlign w:val="center"/>
          </w:tcPr>
          <w:p w14:paraId="4557E50A">
            <w:pPr>
              <w:spacing w:after="0" w:line="240" w:lineRule="auto"/>
              <w:ind w:firstLine="0"/>
              <w:jc w:val="center"/>
              <w:rPr>
                <w:color w:val="000000"/>
                <w:sz w:val="20"/>
                <w:szCs w:val="20"/>
              </w:rPr>
            </w:pPr>
            <w:r>
              <w:rPr>
                <w:color w:val="000000"/>
                <w:sz w:val="20"/>
                <w:szCs w:val="20"/>
              </w:rPr>
              <w:t>4830</w:t>
            </w:r>
          </w:p>
        </w:tc>
      </w:tr>
      <w:tr w14:paraId="1D8B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74714E7">
            <w:pPr>
              <w:spacing w:after="0" w:line="240" w:lineRule="auto"/>
              <w:ind w:firstLine="0"/>
              <w:rPr>
                <w:color w:val="000000"/>
                <w:sz w:val="20"/>
                <w:szCs w:val="20"/>
              </w:rPr>
            </w:pPr>
            <w:r>
              <w:rPr>
                <w:color w:val="000000"/>
                <w:sz w:val="20"/>
                <w:szCs w:val="20"/>
              </w:rPr>
              <w:t>Дебиторская задолженность</w:t>
            </w:r>
          </w:p>
        </w:tc>
        <w:tc>
          <w:tcPr>
            <w:tcW w:w="442" w:type="pct"/>
            <w:shd w:val="clear" w:color="auto" w:fill="auto"/>
            <w:noWrap/>
            <w:tcMar>
              <w:left w:w="28" w:type="dxa"/>
              <w:right w:w="28" w:type="dxa"/>
            </w:tcMar>
            <w:vAlign w:val="center"/>
          </w:tcPr>
          <w:p w14:paraId="6722D881">
            <w:pPr>
              <w:spacing w:after="0" w:line="240" w:lineRule="auto"/>
              <w:ind w:firstLine="0"/>
              <w:jc w:val="center"/>
              <w:rPr>
                <w:color w:val="000000"/>
                <w:sz w:val="20"/>
                <w:szCs w:val="20"/>
              </w:rPr>
            </w:pPr>
            <w:r>
              <w:rPr>
                <w:color w:val="000000"/>
                <w:sz w:val="20"/>
                <w:szCs w:val="20"/>
              </w:rPr>
              <w:t>1230</w:t>
            </w:r>
          </w:p>
        </w:tc>
        <w:tc>
          <w:tcPr>
            <w:tcW w:w="733" w:type="pct"/>
            <w:shd w:val="clear" w:color="auto" w:fill="auto"/>
            <w:noWrap/>
            <w:tcMar>
              <w:left w:w="28" w:type="dxa"/>
              <w:right w:w="28" w:type="dxa"/>
            </w:tcMar>
            <w:vAlign w:val="center"/>
          </w:tcPr>
          <w:p w14:paraId="353E42F8">
            <w:pPr>
              <w:spacing w:after="0" w:line="240" w:lineRule="auto"/>
              <w:ind w:firstLine="0"/>
              <w:jc w:val="center"/>
              <w:rPr>
                <w:color w:val="000000"/>
                <w:sz w:val="20"/>
                <w:szCs w:val="20"/>
              </w:rPr>
            </w:pPr>
            <w:r>
              <w:rPr>
                <w:color w:val="000000"/>
                <w:sz w:val="20"/>
                <w:szCs w:val="20"/>
              </w:rPr>
              <w:t>53690283</w:t>
            </w:r>
          </w:p>
        </w:tc>
      </w:tr>
      <w:tr w14:paraId="347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2E19F67">
            <w:pPr>
              <w:spacing w:after="0" w:line="240" w:lineRule="auto"/>
              <w:ind w:firstLine="0"/>
              <w:rPr>
                <w:color w:val="000000"/>
                <w:sz w:val="20"/>
                <w:szCs w:val="20"/>
              </w:rPr>
            </w:pPr>
            <w:r>
              <w:rPr>
                <w:color w:val="000000"/>
                <w:sz w:val="20"/>
                <w:szCs w:val="20"/>
              </w:rPr>
              <w:t>Финансовые вложения (за исключением денежных эквивалентов)</w:t>
            </w:r>
          </w:p>
        </w:tc>
        <w:tc>
          <w:tcPr>
            <w:tcW w:w="442" w:type="pct"/>
            <w:shd w:val="clear" w:color="auto" w:fill="auto"/>
            <w:noWrap/>
            <w:tcMar>
              <w:left w:w="28" w:type="dxa"/>
              <w:right w:w="28" w:type="dxa"/>
            </w:tcMar>
            <w:vAlign w:val="center"/>
          </w:tcPr>
          <w:p w14:paraId="7CD33071">
            <w:pPr>
              <w:spacing w:after="0" w:line="240" w:lineRule="auto"/>
              <w:ind w:firstLine="0"/>
              <w:jc w:val="center"/>
              <w:rPr>
                <w:color w:val="000000"/>
                <w:sz w:val="20"/>
                <w:szCs w:val="20"/>
              </w:rPr>
            </w:pPr>
            <w:r>
              <w:rPr>
                <w:color w:val="000000"/>
                <w:sz w:val="20"/>
                <w:szCs w:val="20"/>
              </w:rPr>
              <w:t>1240</w:t>
            </w:r>
          </w:p>
        </w:tc>
        <w:tc>
          <w:tcPr>
            <w:tcW w:w="733" w:type="pct"/>
            <w:shd w:val="clear" w:color="auto" w:fill="auto"/>
            <w:noWrap/>
            <w:tcMar>
              <w:left w:w="28" w:type="dxa"/>
              <w:right w:w="28" w:type="dxa"/>
            </w:tcMar>
            <w:vAlign w:val="center"/>
          </w:tcPr>
          <w:p w14:paraId="29AD895A">
            <w:pPr>
              <w:spacing w:after="0" w:line="240" w:lineRule="auto"/>
              <w:ind w:firstLine="0"/>
              <w:jc w:val="center"/>
              <w:rPr>
                <w:color w:val="000000"/>
                <w:sz w:val="20"/>
                <w:szCs w:val="20"/>
              </w:rPr>
            </w:pPr>
            <w:r>
              <w:rPr>
                <w:color w:val="000000"/>
                <w:sz w:val="20"/>
                <w:szCs w:val="20"/>
              </w:rPr>
              <w:t>-</w:t>
            </w:r>
          </w:p>
        </w:tc>
      </w:tr>
      <w:tr w14:paraId="6894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ACAFB12">
            <w:pPr>
              <w:spacing w:after="0" w:line="240" w:lineRule="auto"/>
              <w:ind w:firstLine="0"/>
              <w:rPr>
                <w:color w:val="000000"/>
                <w:sz w:val="20"/>
                <w:szCs w:val="20"/>
              </w:rPr>
            </w:pPr>
            <w:r>
              <w:rPr>
                <w:color w:val="000000"/>
                <w:sz w:val="20"/>
                <w:szCs w:val="20"/>
              </w:rPr>
              <w:t>Денежные средства и денежные эквиваленты</w:t>
            </w:r>
          </w:p>
        </w:tc>
        <w:tc>
          <w:tcPr>
            <w:tcW w:w="442" w:type="pct"/>
            <w:shd w:val="clear" w:color="auto" w:fill="auto"/>
            <w:noWrap/>
            <w:tcMar>
              <w:left w:w="28" w:type="dxa"/>
              <w:right w:w="28" w:type="dxa"/>
            </w:tcMar>
            <w:vAlign w:val="center"/>
          </w:tcPr>
          <w:p w14:paraId="78BCA8A8">
            <w:pPr>
              <w:spacing w:after="0" w:line="240" w:lineRule="auto"/>
              <w:ind w:firstLine="0"/>
              <w:jc w:val="center"/>
              <w:rPr>
                <w:color w:val="000000"/>
                <w:sz w:val="20"/>
                <w:szCs w:val="20"/>
              </w:rPr>
            </w:pPr>
            <w:r>
              <w:rPr>
                <w:color w:val="000000"/>
                <w:sz w:val="20"/>
                <w:szCs w:val="20"/>
              </w:rPr>
              <w:t>1250</w:t>
            </w:r>
          </w:p>
        </w:tc>
        <w:tc>
          <w:tcPr>
            <w:tcW w:w="733" w:type="pct"/>
            <w:shd w:val="clear" w:color="auto" w:fill="auto"/>
            <w:noWrap/>
            <w:tcMar>
              <w:left w:w="28" w:type="dxa"/>
              <w:right w:w="28" w:type="dxa"/>
            </w:tcMar>
            <w:vAlign w:val="center"/>
          </w:tcPr>
          <w:p w14:paraId="19D47F1A">
            <w:pPr>
              <w:spacing w:after="0" w:line="240" w:lineRule="auto"/>
              <w:ind w:firstLine="0"/>
              <w:jc w:val="center"/>
              <w:rPr>
                <w:color w:val="000000"/>
                <w:sz w:val="20"/>
                <w:szCs w:val="20"/>
              </w:rPr>
            </w:pPr>
            <w:r>
              <w:rPr>
                <w:color w:val="000000"/>
                <w:sz w:val="20"/>
                <w:szCs w:val="20"/>
              </w:rPr>
              <w:t>1034</w:t>
            </w:r>
          </w:p>
        </w:tc>
      </w:tr>
      <w:tr w14:paraId="114C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1492C18">
            <w:pPr>
              <w:spacing w:after="0" w:line="240" w:lineRule="auto"/>
              <w:ind w:firstLine="0"/>
              <w:rPr>
                <w:color w:val="000000"/>
                <w:sz w:val="20"/>
                <w:szCs w:val="20"/>
              </w:rPr>
            </w:pPr>
            <w:r>
              <w:rPr>
                <w:color w:val="000000"/>
                <w:sz w:val="20"/>
                <w:szCs w:val="20"/>
              </w:rPr>
              <w:t>Прочие оборотные активы</w:t>
            </w:r>
          </w:p>
        </w:tc>
        <w:tc>
          <w:tcPr>
            <w:tcW w:w="442" w:type="pct"/>
            <w:shd w:val="clear" w:color="auto" w:fill="auto"/>
            <w:noWrap/>
            <w:tcMar>
              <w:left w:w="28" w:type="dxa"/>
              <w:right w:w="28" w:type="dxa"/>
            </w:tcMar>
            <w:vAlign w:val="center"/>
          </w:tcPr>
          <w:p w14:paraId="51073EEB">
            <w:pPr>
              <w:spacing w:after="0" w:line="240" w:lineRule="auto"/>
              <w:ind w:firstLine="0"/>
              <w:jc w:val="center"/>
              <w:rPr>
                <w:color w:val="000000"/>
                <w:sz w:val="20"/>
                <w:szCs w:val="20"/>
              </w:rPr>
            </w:pPr>
            <w:r>
              <w:rPr>
                <w:color w:val="000000"/>
                <w:sz w:val="20"/>
                <w:szCs w:val="20"/>
              </w:rPr>
              <w:t>1260</w:t>
            </w:r>
          </w:p>
        </w:tc>
        <w:tc>
          <w:tcPr>
            <w:tcW w:w="733" w:type="pct"/>
            <w:shd w:val="clear" w:color="auto" w:fill="auto"/>
            <w:noWrap/>
            <w:tcMar>
              <w:left w:w="28" w:type="dxa"/>
              <w:right w:w="28" w:type="dxa"/>
            </w:tcMar>
            <w:vAlign w:val="center"/>
          </w:tcPr>
          <w:p w14:paraId="308CEB80">
            <w:pPr>
              <w:spacing w:after="0" w:line="240" w:lineRule="auto"/>
              <w:ind w:firstLine="0"/>
              <w:jc w:val="center"/>
              <w:rPr>
                <w:color w:val="000000"/>
                <w:sz w:val="20"/>
                <w:szCs w:val="20"/>
              </w:rPr>
            </w:pPr>
            <w:r>
              <w:rPr>
                <w:color w:val="000000"/>
                <w:sz w:val="20"/>
                <w:szCs w:val="20"/>
              </w:rPr>
              <w:t>1158923</w:t>
            </w:r>
          </w:p>
        </w:tc>
      </w:tr>
      <w:tr w14:paraId="4FBD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772ADE8">
            <w:pPr>
              <w:spacing w:after="0" w:line="240" w:lineRule="auto"/>
              <w:ind w:firstLine="0"/>
              <w:rPr>
                <w:color w:val="000000"/>
                <w:sz w:val="20"/>
                <w:szCs w:val="20"/>
              </w:rPr>
            </w:pPr>
            <w:r>
              <w:rPr>
                <w:color w:val="000000"/>
                <w:sz w:val="20"/>
                <w:szCs w:val="20"/>
              </w:rPr>
              <w:t>Итого по разделу II</w:t>
            </w:r>
          </w:p>
        </w:tc>
        <w:tc>
          <w:tcPr>
            <w:tcW w:w="442" w:type="pct"/>
            <w:shd w:val="clear" w:color="auto" w:fill="auto"/>
            <w:noWrap/>
            <w:tcMar>
              <w:left w:w="28" w:type="dxa"/>
              <w:right w:w="28" w:type="dxa"/>
            </w:tcMar>
            <w:vAlign w:val="center"/>
          </w:tcPr>
          <w:p w14:paraId="0532B6E6">
            <w:pPr>
              <w:spacing w:after="0" w:line="240" w:lineRule="auto"/>
              <w:ind w:firstLine="0"/>
              <w:jc w:val="center"/>
              <w:rPr>
                <w:color w:val="000000"/>
                <w:sz w:val="20"/>
                <w:szCs w:val="20"/>
              </w:rPr>
            </w:pPr>
            <w:r>
              <w:rPr>
                <w:color w:val="000000"/>
                <w:sz w:val="20"/>
                <w:szCs w:val="20"/>
              </w:rPr>
              <w:t>1200</w:t>
            </w:r>
          </w:p>
        </w:tc>
        <w:tc>
          <w:tcPr>
            <w:tcW w:w="733" w:type="pct"/>
            <w:shd w:val="clear" w:color="auto" w:fill="auto"/>
            <w:noWrap/>
            <w:tcMar>
              <w:left w:w="28" w:type="dxa"/>
              <w:right w:w="28" w:type="dxa"/>
            </w:tcMar>
            <w:vAlign w:val="center"/>
          </w:tcPr>
          <w:p w14:paraId="54D843EE">
            <w:pPr>
              <w:spacing w:after="0" w:line="240" w:lineRule="auto"/>
              <w:ind w:firstLine="0"/>
              <w:jc w:val="center"/>
              <w:rPr>
                <w:color w:val="000000"/>
                <w:sz w:val="20"/>
                <w:szCs w:val="20"/>
              </w:rPr>
            </w:pPr>
            <w:r>
              <w:rPr>
                <w:color w:val="000000"/>
                <w:sz w:val="20"/>
                <w:szCs w:val="20"/>
              </w:rPr>
              <w:t>80693501</w:t>
            </w:r>
          </w:p>
        </w:tc>
      </w:tr>
      <w:tr w14:paraId="6C2F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986917E">
            <w:pPr>
              <w:spacing w:after="0" w:line="240" w:lineRule="auto"/>
              <w:ind w:firstLine="0"/>
              <w:rPr>
                <w:color w:val="000000"/>
                <w:sz w:val="20"/>
                <w:szCs w:val="20"/>
              </w:rPr>
            </w:pPr>
            <w:r>
              <w:rPr>
                <w:color w:val="000000"/>
                <w:sz w:val="20"/>
                <w:szCs w:val="20"/>
              </w:rPr>
              <w:t>БАЛАНС</w:t>
            </w:r>
          </w:p>
        </w:tc>
        <w:tc>
          <w:tcPr>
            <w:tcW w:w="442" w:type="pct"/>
            <w:shd w:val="clear" w:color="auto" w:fill="auto"/>
            <w:noWrap/>
            <w:tcMar>
              <w:left w:w="28" w:type="dxa"/>
              <w:right w:w="28" w:type="dxa"/>
            </w:tcMar>
            <w:vAlign w:val="center"/>
          </w:tcPr>
          <w:p w14:paraId="1215687F">
            <w:pPr>
              <w:spacing w:after="0" w:line="240" w:lineRule="auto"/>
              <w:ind w:firstLine="0"/>
              <w:jc w:val="center"/>
              <w:rPr>
                <w:color w:val="000000"/>
                <w:sz w:val="20"/>
                <w:szCs w:val="20"/>
              </w:rPr>
            </w:pPr>
            <w:r>
              <w:rPr>
                <w:color w:val="000000"/>
                <w:sz w:val="20"/>
                <w:szCs w:val="20"/>
              </w:rPr>
              <w:t>1600</w:t>
            </w:r>
          </w:p>
        </w:tc>
        <w:tc>
          <w:tcPr>
            <w:tcW w:w="733" w:type="pct"/>
            <w:shd w:val="clear" w:color="auto" w:fill="auto"/>
            <w:noWrap/>
            <w:tcMar>
              <w:left w:w="28" w:type="dxa"/>
              <w:right w:w="28" w:type="dxa"/>
            </w:tcMar>
            <w:vAlign w:val="center"/>
          </w:tcPr>
          <w:p w14:paraId="4F5A5EB5">
            <w:pPr>
              <w:spacing w:after="0" w:line="240" w:lineRule="auto"/>
              <w:ind w:firstLine="0"/>
              <w:jc w:val="center"/>
              <w:rPr>
                <w:color w:val="000000"/>
                <w:sz w:val="20"/>
                <w:szCs w:val="20"/>
              </w:rPr>
            </w:pPr>
            <w:r>
              <w:rPr>
                <w:color w:val="000000"/>
                <w:sz w:val="20"/>
                <w:szCs w:val="20"/>
              </w:rPr>
              <w:t>190892336</w:t>
            </w:r>
          </w:p>
        </w:tc>
      </w:tr>
      <w:tr w14:paraId="603B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153FB1AF">
            <w:pPr>
              <w:spacing w:after="0" w:line="240" w:lineRule="auto"/>
              <w:ind w:firstLine="0"/>
              <w:jc w:val="center"/>
              <w:rPr>
                <w:bCs/>
                <w:color w:val="000000"/>
                <w:sz w:val="20"/>
                <w:szCs w:val="20"/>
              </w:rPr>
            </w:pPr>
            <w:r>
              <w:rPr>
                <w:bCs/>
                <w:color w:val="000000"/>
                <w:sz w:val="20"/>
                <w:szCs w:val="20"/>
              </w:rPr>
              <w:t>ПАССИВ</w:t>
            </w:r>
          </w:p>
        </w:tc>
      </w:tr>
      <w:tr w14:paraId="379D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75380C24">
            <w:pPr>
              <w:spacing w:after="0" w:line="240" w:lineRule="auto"/>
              <w:ind w:firstLine="0"/>
              <w:jc w:val="center"/>
              <w:rPr>
                <w:bCs/>
                <w:color w:val="000000"/>
                <w:sz w:val="20"/>
                <w:szCs w:val="20"/>
              </w:rPr>
            </w:pPr>
            <w:r>
              <w:rPr>
                <w:bCs/>
                <w:color w:val="000000"/>
                <w:sz w:val="20"/>
                <w:szCs w:val="20"/>
              </w:rPr>
              <w:t>III. КАПИТАЛ И РЕЗЕРВЫ</w:t>
            </w:r>
          </w:p>
        </w:tc>
      </w:tr>
      <w:tr w14:paraId="76AD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E58FC97">
            <w:pPr>
              <w:spacing w:after="0" w:line="240" w:lineRule="auto"/>
              <w:ind w:firstLine="0"/>
              <w:rPr>
                <w:color w:val="000000"/>
                <w:sz w:val="20"/>
                <w:szCs w:val="20"/>
              </w:rPr>
            </w:pPr>
            <w:r>
              <w:rPr>
                <w:color w:val="000000"/>
                <w:sz w:val="20"/>
                <w:szCs w:val="20"/>
              </w:rPr>
              <w:t>Уставный капитал (складочный капитал, уставный фонд, вклады товарищей)</w:t>
            </w:r>
          </w:p>
        </w:tc>
        <w:tc>
          <w:tcPr>
            <w:tcW w:w="442" w:type="pct"/>
            <w:shd w:val="clear" w:color="auto" w:fill="auto"/>
            <w:noWrap/>
            <w:tcMar>
              <w:left w:w="28" w:type="dxa"/>
              <w:right w:w="28" w:type="dxa"/>
            </w:tcMar>
            <w:vAlign w:val="center"/>
          </w:tcPr>
          <w:p w14:paraId="6606DC08">
            <w:pPr>
              <w:spacing w:after="0" w:line="240" w:lineRule="auto"/>
              <w:ind w:firstLine="0"/>
              <w:jc w:val="center"/>
              <w:rPr>
                <w:color w:val="000000"/>
                <w:sz w:val="20"/>
                <w:szCs w:val="20"/>
              </w:rPr>
            </w:pPr>
            <w:r>
              <w:rPr>
                <w:color w:val="000000"/>
                <w:sz w:val="20"/>
                <w:szCs w:val="20"/>
              </w:rPr>
              <w:t>1310</w:t>
            </w:r>
          </w:p>
        </w:tc>
        <w:tc>
          <w:tcPr>
            <w:tcW w:w="733" w:type="pct"/>
            <w:shd w:val="clear" w:color="auto" w:fill="auto"/>
            <w:noWrap/>
            <w:tcMar>
              <w:left w:w="28" w:type="dxa"/>
              <w:right w:w="28" w:type="dxa"/>
            </w:tcMar>
            <w:vAlign w:val="center"/>
          </w:tcPr>
          <w:p w14:paraId="7E207538">
            <w:pPr>
              <w:spacing w:after="0" w:line="240" w:lineRule="auto"/>
              <w:ind w:firstLine="0"/>
              <w:jc w:val="center"/>
              <w:rPr>
                <w:color w:val="000000"/>
                <w:sz w:val="20"/>
                <w:szCs w:val="20"/>
              </w:rPr>
            </w:pPr>
            <w:r>
              <w:rPr>
                <w:color w:val="000000"/>
                <w:sz w:val="20"/>
                <w:szCs w:val="20"/>
              </w:rPr>
              <w:t>24771850</w:t>
            </w:r>
          </w:p>
        </w:tc>
      </w:tr>
      <w:tr w14:paraId="4F8E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8BC31BB">
            <w:pPr>
              <w:spacing w:after="0" w:line="240" w:lineRule="auto"/>
              <w:ind w:firstLine="0"/>
              <w:rPr>
                <w:color w:val="000000"/>
                <w:sz w:val="20"/>
                <w:szCs w:val="20"/>
              </w:rPr>
            </w:pPr>
            <w:r>
              <w:rPr>
                <w:color w:val="000000"/>
                <w:sz w:val="20"/>
                <w:szCs w:val="20"/>
              </w:rPr>
              <w:t>Собственные акции, выкупленные у акционеров</w:t>
            </w:r>
          </w:p>
        </w:tc>
        <w:tc>
          <w:tcPr>
            <w:tcW w:w="442" w:type="pct"/>
            <w:shd w:val="clear" w:color="auto" w:fill="auto"/>
            <w:noWrap/>
            <w:tcMar>
              <w:left w:w="28" w:type="dxa"/>
              <w:right w:w="28" w:type="dxa"/>
            </w:tcMar>
            <w:vAlign w:val="center"/>
          </w:tcPr>
          <w:p w14:paraId="5C609A9C">
            <w:pPr>
              <w:spacing w:after="0" w:line="240" w:lineRule="auto"/>
              <w:ind w:firstLine="0"/>
              <w:jc w:val="center"/>
              <w:rPr>
                <w:color w:val="000000"/>
                <w:sz w:val="20"/>
                <w:szCs w:val="20"/>
              </w:rPr>
            </w:pPr>
            <w:r>
              <w:rPr>
                <w:color w:val="000000"/>
                <w:sz w:val="20"/>
                <w:szCs w:val="20"/>
              </w:rPr>
              <w:t>1320</w:t>
            </w:r>
          </w:p>
        </w:tc>
        <w:tc>
          <w:tcPr>
            <w:tcW w:w="733" w:type="pct"/>
            <w:shd w:val="clear" w:color="auto" w:fill="auto"/>
            <w:noWrap/>
            <w:tcMar>
              <w:left w:w="28" w:type="dxa"/>
              <w:right w:w="28" w:type="dxa"/>
            </w:tcMar>
            <w:vAlign w:val="center"/>
          </w:tcPr>
          <w:p w14:paraId="4D7C7094">
            <w:pPr>
              <w:spacing w:after="0" w:line="240" w:lineRule="auto"/>
              <w:ind w:firstLine="0"/>
              <w:jc w:val="center"/>
              <w:rPr>
                <w:color w:val="000000"/>
                <w:sz w:val="20"/>
                <w:szCs w:val="20"/>
              </w:rPr>
            </w:pPr>
            <w:r>
              <w:rPr>
                <w:color w:val="000000"/>
                <w:sz w:val="20"/>
                <w:szCs w:val="20"/>
              </w:rPr>
              <w:t>-</w:t>
            </w:r>
          </w:p>
        </w:tc>
      </w:tr>
      <w:tr w14:paraId="4B62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8970A1E">
            <w:pPr>
              <w:spacing w:after="0" w:line="240" w:lineRule="auto"/>
              <w:ind w:firstLine="0"/>
              <w:rPr>
                <w:color w:val="000000"/>
                <w:sz w:val="20"/>
                <w:szCs w:val="20"/>
              </w:rPr>
            </w:pPr>
            <w:r>
              <w:rPr>
                <w:color w:val="000000"/>
                <w:sz w:val="20"/>
                <w:szCs w:val="20"/>
              </w:rPr>
              <w:t>Переоценка внеоборотных активов</w:t>
            </w:r>
          </w:p>
        </w:tc>
        <w:tc>
          <w:tcPr>
            <w:tcW w:w="442" w:type="pct"/>
            <w:shd w:val="clear" w:color="auto" w:fill="auto"/>
            <w:noWrap/>
            <w:tcMar>
              <w:left w:w="28" w:type="dxa"/>
              <w:right w:w="28" w:type="dxa"/>
            </w:tcMar>
            <w:vAlign w:val="center"/>
          </w:tcPr>
          <w:p w14:paraId="2B3A22BE">
            <w:pPr>
              <w:spacing w:after="0" w:line="240" w:lineRule="auto"/>
              <w:ind w:firstLine="0"/>
              <w:jc w:val="center"/>
              <w:rPr>
                <w:color w:val="000000"/>
                <w:sz w:val="20"/>
                <w:szCs w:val="20"/>
              </w:rPr>
            </w:pPr>
            <w:r>
              <w:rPr>
                <w:color w:val="000000"/>
                <w:sz w:val="20"/>
                <w:szCs w:val="20"/>
              </w:rPr>
              <w:t>1340</w:t>
            </w:r>
          </w:p>
        </w:tc>
        <w:tc>
          <w:tcPr>
            <w:tcW w:w="733" w:type="pct"/>
            <w:shd w:val="clear" w:color="auto" w:fill="auto"/>
            <w:noWrap/>
            <w:tcMar>
              <w:left w:w="28" w:type="dxa"/>
              <w:right w:w="28" w:type="dxa"/>
            </w:tcMar>
            <w:vAlign w:val="center"/>
          </w:tcPr>
          <w:p w14:paraId="3EA71AA5">
            <w:pPr>
              <w:spacing w:after="0" w:line="240" w:lineRule="auto"/>
              <w:ind w:firstLine="0"/>
              <w:jc w:val="center"/>
              <w:rPr>
                <w:color w:val="000000"/>
                <w:sz w:val="20"/>
                <w:szCs w:val="20"/>
              </w:rPr>
            </w:pPr>
            <w:r>
              <w:rPr>
                <w:color w:val="000000"/>
                <w:sz w:val="20"/>
                <w:szCs w:val="20"/>
              </w:rPr>
              <w:t>-</w:t>
            </w:r>
          </w:p>
        </w:tc>
      </w:tr>
      <w:tr w14:paraId="2AA1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D103C85">
            <w:pPr>
              <w:spacing w:after="0" w:line="240" w:lineRule="auto"/>
              <w:ind w:firstLine="0"/>
              <w:rPr>
                <w:color w:val="000000"/>
                <w:sz w:val="20"/>
                <w:szCs w:val="20"/>
              </w:rPr>
            </w:pPr>
            <w:r>
              <w:rPr>
                <w:color w:val="000000"/>
                <w:sz w:val="20"/>
                <w:szCs w:val="20"/>
              </w:rPr>
              <w:t>Добавочный капитал (без переоценки)</w:t>
            </w:r>
          </w:p>
        </w:tc>
        <w:tc>
          <w:tcPr>
            <w:tcW w:w="442" w:type="pct"/>
            <w:shd w:val="clear" w:color="auto" w:fill="auto"/>
            <w:noWrap/>
            <w:tcMar>
              <w:left w:w="28" w:type="dxa"/>
              <w:right w:w="28" w:type="dxa"/>
            </w:tcMar>
            <w:vAlign w:val="center"/>
          </w:tcPr>
          <w:p w14:paraId="35944EB7">
            <w:pPr>
              <w:spacing w:after="0" w:line="240" w:lineRule="auto"/>
              <w:ind w:firstLine="0"/>
              <w:jc w:val="center"/>
              <w:rPr>
                <w:color w:val="000000"/>
                <w:sz w:val="20"/>
                <w:szCs w:val="20"/>
              </w:rPr>
            </w:pPr>
            <w:r>
              <w:rPr>
                <w:color w:val="000000"/>
                <w:sz w:val="20"/>
                <w:szCs w:val="20"/>
              </w:rPr>
              <w:t>1350</w:t>
            </w:r>
          </w:p>
        </w:tc>
        <w:tc>
          <w:tcPr>
            <w:tcW w:w="733" w:type="pct"/>
            <w:shd w:val="clear" w:color="auto" w:fill="auto"/>
            <w:noWrap/>
            <w:tcMar>
              <w:left w:w="28" w:type="dxa"/>
              <w:right w:w="28" w:type="dxa"/>
            </w:tcMar>
            <w:vAlign w:val="center"/>
          </w:tcPr>
          <w:p w14:paraId="698991E4">
            <w:pPr>
              <w:spacing w:after="0" w:line="240" w:lineRule="auto"/>
              <w:ind w:firstLine="0"/>
              <w:jc w:val="center"/>
              <w:rPr>
                <w:color w:val="000000"/>
                <w:sz w:val="20"/>
                <w:szCs w:val="20"/>
              </w:rPr>
            </w:pPr>
            <w:r>
              <w:rPr>
                <w:color w:val="000000"/>
                <w:sz w:val="20"/>
                <w:szCs w:val="20"/>
              </w:rPr>
              <w:t>1615000</w:t>
            </w:r>
          </w:p>
        </w:tc>
      </w:tr>
      <w:tr w14:paraId="3C41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20A6F6E">
            <w:pPr>
              <w:spacing w:after="0" w:line="240" w:lineRule="auto"/>
              <w:ind w:firstLine="0"/>
              <w:rPr>
                <w:color w:val="000000"/>
                <w:sz w:val="20"/>
                <w:szCs w:val="20"/>
              </w:rPr>
            </w:pPr>
            <w:r>
              <w:rPr>
                <w:color w:val="000000"/>
                <w:sz w:val="20"/>
                <w:szCs w:val="20"/>
              </w:rPr>
              <w:t>Резервный капитал</w:t>
            </w:r>
          </w:p>
        </w:tc>
        <w:tc>
          <w:tcPr>
            <w:tcW w:w="442" w:type="pct"/>
            <w:shd w:val="clear" w:color="auto" w:fill="auto"/>
            <w:noWrap/>
            <w:tcMar>
              <w:left w:w="28" w:type="dxa"/>
              <w:right w:w="28" w:type="dxa"/>
            </w:tcMar>
            <w:vAlign w:val="center"/>
          </w:tcPr>
          <w:p w14:paraId="74BBEE71">
            <w:pPr>
              <w:spacing w:after="0" w:line="240" w:lineRule="auto"/>
              <w:ind w:firstLine="0"/>
              <w:jc w:val="center"/>
              <w:rPr>
                <w:color w:val="000000"/>
                <w:sz w:val="20"/>
                <w:szCs w:val="20"/>
              </w:rPr>
            </w:pPr>
            <w:r>
              <w:rPr>
                <w:color w:val="000000"/>
                <w:sz w:val="20"/>
                <w:szCs w:val="20"/>
              </w:rPr>
              <w:t>1360</w:t>
            </w:r>
          </w:p>
        </w:tc>
        <w:tc>
          <w:tcPr>
            <w:tcW w:w="733" w:type="pct"/>
            <w:shd w:val="clear" w:color="auto" w:fill="auto"/>
            <w:noWrap/>
            <w:tcMar>
              <w:left w:w="28" w:type="dxa"/>
              <w:right w:w="28" w:type="dxa"/>
            </w:tcMar>
            <w:vAlign w:val="center"/>
          </w:tcPr>
          <w:p w14:paraId="37603F2A">
            <w:pPr>
              <w:spacing w:after="0" w:line="240" w:lineRule="auto"/>
              <w:ind w:firstLine="0"/>
              <w:jc w:val="center"/>
              <w:rPr>
                <w:color w:val="000000"/>
                <w:sz w:val="20"/>
                <w:szCs w:val="20"/>
              </w:rPr>
            </w:pPr>
            <w:r>
              <w:rPr>
                <w:color w:val="000000"/>
                <w:sz w:val="20"/>
                <w:szCs w:val="20"/>
              </w:rPr>
              <w:t>2722821</w:t>
            </w:r>
          </w:p>
        </w:tc>
      </w:tr>
      <w:tr w14:paraId="15CA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8FA8E89">
            <w:pPr>
              <w:spacing w:after="0" w:line="240" w:lineRule="auto"/>
              <w:ind w:firstLine="0"/>
              <w:rPr>
                <w:color w:val="000000"/>
                <w:sz w:val="20"/>
                <w:szCs w:val="20"/>
              </w:rPr>
            </w:pPr>
            <w:r>
              <w:rPr>
                <w:color w:val="000000"/>
                <w:sz w:val="20"/>
                <w:szCs w:val="20"/>
              </w:rPr>
              <w:t>Нераспределенная прибыль (непокрытый убыток)</w:t>
            </w:r>
          </w:p>
        </w:tc>
        <w:tc>
          <w:tcPr>
            <w:tcW w:w="442" w:type="pct"/>
            <w:shd w:val="clear" w:color="auto" w:fill="auto"/>
            <w:noWrap/>
            <w:tcMar>
              <w:left w:w="28" w:type="dxa"/>
              <w:right w:w="28" w:type="dxa"/>
            </w:tcMar>
            <w:vAlign w:val="center"/>
          </w:tcPr>
          <w:p w14:paraId="51EDAE24">
            <w:pPr>
              <w:spacing w:after="0" w:line="240" w:lineRule="auto"/>
              <w:ind w:firstLine="0"/>
              <w:jc w:val="center"/>
              <w:rPr>
                <w:color w:val="000000"/>
                <w:sz w:val="20"/>
                <w:szCs w:val="20"/>
              </w:rPr>
            </w:pPr>
            <w:r>
              <w:rPr>
                <w:color w:val="000000"/>
                <w:sz w:val="20"/>
                <w:szCs w:val="20"/>
              </w:rPr>
              <w:t>1370</w:t>
            </w:r>
          </w:p>
        </w:tc>
        <w:tc>
          <w:tcPr>
            <w:tcW w:w="733" w:type="pct"/>
            <w:shd w:val="clear" w:color="auto" w:fill="auto"/>
            <w:noWrap/>
            <w:tcMar>
              <w:left w:w="28" w:type="dxa"/>
              <w:right w:w="28" w:type="dxa"/>
            </w:tcMar>
            <w:vAlign w:val="center"/>
          </w:tcPr>
          <w:p w14:paraId="00440467">
            <w:pPr>
              <w:spacing w:after="0" w:line="240" w:lineRule="auto"/>
              <w:ind w:firstLine="0"/>
              <w:jc w:val="center"/>
              <w:rPr>
                <w:color w:val="000000"/>
                <w:sz w:val="20"/>
                <w:szCs w:val="20"/>
              </w:rPr>
            </w:pPr>
            <w:r>
              <w:rPr>
                <w:color w:val="000000"/>
                <w:sz w:val="20"/>
                <w:szCs w:val="20"/>
              </w:rPr>
              <w:t>83873988</w:t>
            </w:r>
          </w:p>
        </w:tc>
      </w:tr>
      <w:tr w14:paraId="776C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1175EBB">
            <w:pPr>
              <w:spacing w:after="0" w:line="240" w:lineRule="auto"/>
              <w:ind w:firstLine="0"/>
              <w:rPr>
                <w:color w:val="000000"/>
                <w:sz w:val="20"/>
                <w:szCs w:val="20"/>
              </w:rPr>
            </w:pPr>
            <w:r>
              <w:rPr>
                <w:color w:val="000000"/>
                <w:sz w:val="20"/>
                <w:szCs w:val="20"/>
              </w:rPr>
              <w:t>Итого по разделу III</w:t>
            </w:r>
          </w:p>
        </w:tc>
        <w:tc>
          <w:tcPr>
            <w:tcW w:w="442" w:type="pct"/>
            <w:shd w:val="clear" w:color="auto" w:fill="auto"/>
            <w:noWrap/>
            <w:tcMar>
              <w:left w:w="28" w:type="dxa"/>
              <w:right w:w="28" w:type="dxa"/>
            </w:tcMar>
            <w:vAlign w:val="center"/>
          </w:tcPr>
          <w:p w14:paraId="470A23D7">
            <w:pPr>
              <w:spacing w:after="0" w:line="240" w:lineRule="auto"/>
              <w:ind w:firstLine="0"/>
              <w:jc w:val="center"/>
              <w:rPr>
                <w:color w:val="000000"/>
                <w:sz w:val="20"/>
                <w:szCs w:val="20"/>
              </w:rPr>
            </w:pPr>
            <w:r>
              <w:rPr>
                <w:color w:val="000000"/>
                <w:sz w:val="20"/>
                <w:szCs w:val="20"/>
              </w:rPr>
              <w:t>1300</w:t>
            </w:r>
          </w:p>
        </w:tc>
        <w:tc>
          <w:tcPr>
            <w:tcW w:w="733" w:type="pct"/>
            <w:shd w:val="clear" w:color="auto" w:fill="auto"/>
            <w:noWrap/>
            <w:tcMar>
              <w:left w:w="28" w:type="dxa"/>
              <w:right w:w="28" w:type="dxa"/>
            </w:tcMar>
            <w:vAlign w:val="center"/>
          </w:tcPr>
          <w:p w14:paraId="337AE1B1">
            <w:pPr>
              <w:spacing w:after="0" w:line="240" w:lineRule="auto"/>
              <w:ind w:firstLine="0"/>
              <w:jc w:val="center"/>
              <w:rPr>
                <w:color w:val="000000"/>
                <w:sz w:val="20"/>
                <w:szCs w:val="20"/>
              </w:rPr>
            </w:pPr>
            <w:r>
              <w:rPr>
                <w:color w:val="000000"/>
                <w:sz w:val="20"/>
                <w:szCs w:val="20"/>
              </w:rPr>
              <w:t>112983659</w:t>
            </w:r>
          </w:p>
        </w:tc>
      </w:tr>
      <w:tr w14:paraId="4B74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7E8C641A">
            <w:pPr>
              <w:spacing w:after="0" w:line="240" w:lineRule="auto"/>
              <w:ind w:firstLine="0"/>
              <w:jc w:val="center"/>
              <w:rPr>
                <w:bCs/>
                <w:color w:val="000000"/>
                <w:sz w:val="20"/>
                <w:szCs w:val="20"/>
              </w:rPr>
            </w:pPr>
            <w:r>
              <w:rPr>
                <w:bCs/>
                <w:color w:val="000000"/>
                <w:sz w:val="20"/>
                <w:szCs w:val="20"/>
              </w:rPr>
              <w:t>IV. ДОЛГОСРОЧНЫЕ ОБЯЗАТЕЛЬСТВА</w:t>
            </w:r>
          </w:p>
        </w:tc>
      </w:tr>
      <w:tr w14:paraId="28EC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4B7F89A">
            <w:pPr>
              <w:spacing w:after="0" w:line="240" w:lineRule="auto"/>
              <w:ind w:firstLine="0"/>
              <w:rPr>
                <w:color w:val="000000"/>
                <w:sz w:val="20"/>
                <w:szCs w:val="20"/>
              </w:rPr>
            </w:pPr>
            <w:r>
              <w:rPr>
                <w:color w:val="000000"/>
                <w:sz w:val="20"/>
                <w:szCs w:val="20"/>
              </w:rPr>
              <w:t>Заемные средства</w:t>
            </w:r>
          </w:p>
        </w:tc>
        <w:tc>
          <w:tcPr>
            <w:tcW w:w="442" w:type="pct"/>
            <w:shd w:val="clear" w:color="auto" w:fill="auto"/>
            <w:noWrap/>
            <w:tcMar>
              <w:left w:w="28" w:type="dxa"/>
              <w:right w:w="28" w:type="dxa"/>
            </w:tcMar>
            <w:vAlign w:val="center"/>
          </w:tcPr>
          <w:p w14:paraId="5273833D">
            <w:pPr>
              <w:spacing w:after="0" w:line="240" w:lineRule="auto"/>
              <w:ind w:firstLine="0"/>
              <w:jc w:val="center"/>
              <w:rPr>
                <w:color w:val="000000"/>
                <w:sz w:val="20"/>
                <w:szCs w:val="20"/>
              </w:rPr>
            </w:pPr>
            <w:r>
              <w:rPr>
                <w:color w:val="000000"/>
                <w:sz w:val="20"/>
                <w:szCs w:val="20"/>
              </w:rPr>
              <w:t>1410</w:t>
            </w:r>
          </w:p>
        </w:tc>
        <w:tc>
          <w:tcPr>
            <w:tcW w:w="733" w:type="pct"/>
            <w:shd w:val="clear" w:color="auto" w:fill="auto"/>
            <w:noWrap/>
            <w:tcMar>
              <w:left w:w="28" w:type="dxa"/>
              <w:right w:w="28" w:type="dxa"/>
            </w:tcMar>
            <w:vAlign w:val="center"/>
          </w:tcPr>
          <w:p w14:paraId="1068D223">
            <w:pPr>
              <w:spacing w:after="0" w:line="240" w:lineRule="auto"/>
              <w:ind w:firstLine="0"/>
              <w:jc w:val="center"/>
              <w:rPr>
                <w:color w:val="000000"/>
                <w:sz w:val="20"/>
                <w:szCs w:val="20"/>
              </w:rPr>
            </w:pPr>
            <w:r>
              <w:rPr>
                <w:color w:val="000000"/>
                <w:sz w:val="20"/>
                <w:szCs w:val="20"/>
              </w:rPr>
              <w:t>-</w:t>
            </w:r>
          </w:p>
        </w:tc>
      </w:tr>
      <w:tr w14:paraId="7C0B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63DCFB7">
            <w:pPr>
              <w:spacing w:after="0" w:line="240" w:lineRule="auto"/>
              <w:ind w:firstLine="0"/>
              <w:rPr>
                <w:color w:val="000000"/>
                <w:sz w:val="20"/>
                <w:szCs w:val="20"/>
              </w:rPr>
            </w:pPr>
            <w:r>
              <w:rPr>
                <w:color w:val="000000"/>
                <w:sz w:val="20"/>
                <w:szCs w:val="20"/>
              </w:rPr>
              <w:t>Отложенные налоговые обязательства</w:t>
            </w:r>
          </w:p>
        </w:tc>
        <w:tc>
          <w:tcPr>
            <w:tcW w:w="442" w:type="pct"/>
            <w:shd w:val="clear" w:color="auto" w:fill="auto"/>
            <w:noWrap/>
            <w:tcMar>
              <w:left w:w="28" w:type="dxa"/>
              <w:right w:w="28" w:type="dxa"/>
            </w:tcMar>
            <w:vAlign w:val="center"/>
          </w:tcPr>
          <w:p w14:paraId="79CF9AF6">
            <w:pPr>
              <w:spacing w:after="0" w:line="240" w:lineRule="auto"/>
              <w:ind w:firstLine="0"/>
              <w:jc w:val="center"/>
              <w:rPr>
                <w:color w:val="000000"/>
                <w:sz w:val="20"/>
                <w:szCs w:val="20"/>
              </w:rPr>
            </w:pPr>
            <w:r>
              <w:rPr>
                <w:color w:val="000000"/>
                <w:sz w:val="20"/>
                <w:szCs w:val="20"/>
              </w:rPr>
              <w:t>1420</w:t>
            </w:r>
          </w:p>
        </w:tc>
        <w:tc>
          <w:tcPr>
            <w:tcW w:w="733" w:type="pct"/>
            <w:shd w:val="clear" w:color="auto" w:fill="auto"/>
            <w:noWrap/>
            <w:tcMar>
              <w:left w:w="28" w:type="dxa"/>
              <w:right w:w="28" w:type="dxa"/>
            </w:tcMar>
            <w:vAlign w:val="center"/>
          </w:tcPr>
          <w:p w14:paraId="17FD79E4">
            <w:pPr>
              <w:spacing w:after="0" w:line="240" w:lineRule="auto"/>
              <w:ind w:firstLine="0"/>
              <w:jc w:val="center"/>
              <w:rPr>
                <w:color w:val="000000"/>
                <w:sz w:val="20"/>
                <w:szCs w:val="20"/>
              </w:rPr>
            </w:pPr>
            <w:r>
              <w:rPr>
                <w:color w:val="000000"/>
                <w:sz w:val="20"/>
                <w:szCs w:val="20"/>
              </w:rPr>
              <w:t>14531306</w:t>
            </w:r>
          </w:p>
        </w:tc>
      </w:tr>
      <w:tr w14:paraId="5B89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A45A2BF">
            <w:pPr>
              <w:spacing w:after="0" w:line="240" w:lineRule="auto"/>
              <w:ind w:firstLine="0"/>
              <w:rPr>
                <w:color w:val="000000"/>
                <w:sz w:val="20"/>
                <w:szCs w:val="20"/>
              </w:rPr>
            </w:pPr>
            <w:r>
              <w:rPr>
                <w:color w:val="000000"/>
                <w:sz w:val="20"/>
                <w:szCs w:val="20"/>
              </w:rPr>
              <w:t>Оценочные обязательства</w:t>
            </w:r>
          </w:p>
        </w:tc>
        <w:tc>
          <w:tcPr>
            <w:tcW w:w="442" w:type="pct"/>
            <w:shd w:val="clear" w:color="auto" w:fill="auto"/>
            <w:noWrap/>
            <w:tcMar>
              <w:left w:w="28" w:type="dxa"/>
              <w:right w:w="28" w:type="dxa"/>
            </w:tcMar>
            <w:vAlign w:val="center"/>
          </w:tcPr>
          <w:p w14:paraId="39307AFA">
            <w:pPr>
              <w:spacing w:after="0" w:line="240" w:lineRule="auto"/>
              <w:ind w:firstLine="0"/>
              <w:jc w:val="center"/>
              <w:rPr>
                <w:color w:val="000000"/>
                <w:sz w:val="20"/>
                <w:szCs w:val="20"/>
              </w:rPr>
            </w:pPr>
            <w:r>
              <w:rPr>
                <w:color w:val="000000"/>
                <w:sz w:val="20"/>
                <w:szCs w:val="20"/>
              </w:rPr>
              <w:t>1430</w:t>
            </w:r>
          </w:p>
        </w:tc>
        <w:tc>
          <w:tcPr>
            <w:tcW w:w="733" w:type="pct"/>
            <w:shd w:val="clear" w:color="auto" w:fill="auto"/>
            <w:noWrap/>
            <w:tcMar>
              <w:left w:w="28" w:type="dxa"/>
              <w:right w:w="28" w:type="dxa"/>
            </w:tcMar>
            <w:vAlign w:val="center"/>
          </w:tcPr>
          <w:p w14:paraId="68DD528A">
            <w:pPr>
              <w:spacing w:after="0" w:line="240" w:lineRule="auto"/>
              <w:ind w:firstLine="0"/>
              <w:jc w:val="center"/>
              <w:rPr>
                <w:color w:val="000000"/>
                <w:sz w:val="20"/>
                <w:szCs w:val="20"/>
              </w:rPr>
            </w:pPr>
            <w:r>
              <w:rPr>
                <w:color w:val="000000"/>
                <w:sz w:val="20"/>
                <w:szCs w:val="20"/>
              </w:rPr>
              <w:t>-</w:t>
            </w:r>
          </w:p>
        </w:tc>
      </w:tr>
      <w:tr w14:paraId="4113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B4C516E">
            <w:pPr>
              <w:spacing w:after="0" w:line="240" w:lineRule="auto"/>
              <w:ind w:firstLine="0"/>
              <w:rPr>
                <w:color w:val="000000"/>
                <w:sz w:val="20"/>
                <w:szCs w:val="20"/>
              </w:rPr>
            </w:pPr>
            <w:r>
              <w:rPr>
                <w:color w:val="000000"/>
                <w:sz w:val="20"/>
                <w:szCs w:val="20"/>
              </w:rPr>
              <w:t>Прочие обязательства</w:t>
            </w:r>
          </w:p>
        </w:tc>
        <w:tc>
          <w:tcPr>
            <w:tcW w:w="442" w:type="pct"/>
            <w:shd w:val="clear" w:color="auto" w:fill="auto"/>
            <w:noWrap/>
            <w:tcMar>
              <w:left w:w="28" w:type="dxa"/>
              <w:right w:w="28" w:type="dxa"/>
            </w:tcMar>
            <w:vAlign w:val="center"/>
          </w:tcPr>
          <w:p w14:paraId="1124609C">
            <w:pPr>
              <w:spacing w:after="0" w:line="240" w:lineRule="auto"/>
              <w:ind w:firstLine="0"/>
              <w:jc w:val="center"/>
              <w:rPr>
                <w:color w:val="000000"/>
                <w:sz w:val="20"/>
                <w:szCs w:val="20"/>
              </w:rPr>
            </w:pPr>
            <w:r>
              <w:rPr>
                <w:color w:val="000000"/>
                <w:sz w:val="20"/>
                <w:szCs w:val="20"/>
              </w:rPr>
              <w:t>1450</w:t>
            </w:r>
          </w:p>
        </w:tc>
        <w:tc>
          <w:tcPr>
            <w:tcW w:w="733" w:type="pct"/>
            <w:shd w:val="clear" w:color="auto" w:fill="auto"/>
            <w:noWrap/>
            <w:tcMar>
              <w:left w:w="28" w:type="dxa"/>
              <w:right w:w="28" w:type="dxa"/>
            </w:tcMar>
            <w:vAlign w:val="center"/>
          </w:tcPr>
          <w:p w14:paraId="0C35178E">
            <w:pPr>
              <w:spacing w:after="0" w:line="240" w:lineRule="auto"/>
              <w:ind w:firstLine="0"/>
              <w:jc w:val="center"/>
              <w:rPr>
                <w:color w:val="000000"/>
                <w:sz w:val="20"/>
                <w:szCs w:val="20"/>
              </w:rPr>
            </w:pPr>
            <w:r>
              <w:rPr>
                <w:color w:val="000000"/>
                <w:sz w:val="20"/>
                <w:szCs w:val="20"/>
              </w:rPr>
              <w:t>5026655</w:t>
            </w:r>
          </w:p>
        </w:tc>
      </w:tr>
      <w:tr w14:paraId="6925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AAD4152">
            <w:pPr>
              <w:spacing w:after="0" w:line="240" w:lineRule="auto"/>
              <w:ind w:firstLine="0"/>
              <w:rPr>
                <w:color w:val="000000"/>
                <w:sz w:val="20"/>
                <w:szCs w:val="20"/>
              </w:rPr>
            </w:pPr>
            <w:r>
              <w:rPr>
                <w:color w:val="000000"/>
                <w:sz w:val="20"/>
                <w:szCs w:val="20"/>
              </w:rPr>
              <w:t>Итого по разделу IV</w:t>
            </w:r>
          </w:p>
        </w:tc>
        <w:tc>
          <w:tcPr>
            <w:tcW w:w="442" w:type="pct"/>
            <w:shd w:val="clear" w:color="auto" w:fill="auto"/>
            <w:noWrap/>
            <w:tcMar>
              <w:left w:w="28" w:type="dxa"/>
              <w:right w:w="28" w:type="dxa"/>
            </w:tcMar>
            <w:vAlign w:val="center"/>
          </w:tcPr>
          <w:p w14:paraId="16BC30D1">
            <w:pPr>
              <w:spacing w:after="0" w:line="240" w:lineRule="auto"/>
              <w:ind w:firstLine="0"/>
              <w:jc w:val="center"/>
              <w:rPr>
                <w:color w:val="000000"/>
                <w:sz w:val="20"/>
                <w:szCs w:val="20"/>
              </w:rPr>
            </w:pPr>
            <w:r>
              <w:rPr>
                <w:color w:val="000000"/>
                <w:sz w:val="20"/>
                <w:szCs w:val="20"/>
              </w:rPr>
              <w:t>1400</w:t>
            </w:r>
          </w:p>
        </w:tc>
        <w:tc>
          <w:tcPr>
            <w:tcW w:w="733" w:type="pct"/>
            <w:shd w:val="clear" w:color="auto" w:fill="auto"/>
            <w:noWrap/>
            <w:tcMar>
              <w:left w:w="28" w:type="dxa"/>
              <w:right w:w="28" w:type="dxa"/>
            </w:tcMar>
            <w:vAlign w:val="center"/>
          </w:tcPr>
          <w:p w14:paraId="4D38ADB4">
            <w:pPr>
              <w:spacing w:after="0" w:line="240" w:lineRule="auto"/>
              <w:ind w:firstLine="0"/>
              <w:jc w:val="center"/>
              <w:rPr>
                <w:color w:val="000000"/>
                <w:sz w:val="20"/>
                <w:szCs w:val="20"/>
              </w:rPr>
            </w:pPr>
            <w:r>
              <w:rPr>
                <w:color w:val="000000"/>
                <w:sz w:val="20"/>
                <w:szCs w:val="20"/>
              </w:rPr>
              <w:t>19557961</w:t>
            </w:r>
          </w:p>
        </w:tc>
      </w:tr>
      <w:tr w14:paraId="7B11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792574A0">
            <w:pPr>
              <w:spacing w:after="0" w:line="240" w:lineRule="auto"/>
              <w:ind w:firstLine="0"/>
              <w:jc w:val="center"/>
              <w:rPr>
                <w:bCs/>
                <w:color w:val="000000"/>
                <w:sz w:val="20"/>
                <w:szCs w:val="20"/>
              </w:rPr>
            </w:pPr>
            <w:r>
              <w:rPr>
                <w:bCs/>
                <w:color w:val="000000"/>
                <w:sz w:val="20"/>
                <w:szCs w:val="20"/>
              </w:rPr>
              <w:t>V. КРАТКОСРОЧНЫЕ ОБЯЗАТЕЛЬСТВА</w:t>
            </w:r>
          </w:p>
        </w:tc>
      </w:tr>
      <w:tr w14:paraId="59A9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CFDF159">
            <w:pPr>
              <w:spacing w:after="0" w:line="240" w:lineRule="auto"/>
              <w:ind w:firstLine="0"/>
              <w:rPr>
                <w:color w:val="000000"/>
                <w:sz w:val="20"/>
                <w:szCs w:val="20"/>
              </w:rPr>
            </w:pPr>
            <w:r>
              <w:rPr>
                <w:color w:val="000000"/>
                <w:sz w:val="20"/>
                <w:szCs w:val="20"/>
              </w:rPr>
              <w:t>Заемные средства</w:t>
            </w:r>
          </w:p>
        </w:tc>
        <w:tc>
          <w:tcPr>
            <w:tcW w:w="442" w:type="pct"/>
            <w:shd w:val="clear" w:color="auto" w:fill="auto"/>
            <w:noWrap/>
            <w:tcMar>
              <w:left w:w="28" w:type="dxa"/>
              <w:right w:w="28" w:type="dxa"/>
            </w:tcMar>
            <w:vAlign w:val="center"/>
          </w:tcPr>
          <w:p w14:paraId="1E9334E4">
            <w:pPr>
              <w:spacing w:after="0" w:line="240" w:lineRule="auto"/>
              <w:ind w:firstLine="0"/>
              <w:jc w:val="center"/>
              <w:rPr>
                <w:color w:val="000000"/>
                <w:sz w:val="20"/>
                <w:szCs w:val="20"/>
              </w:rPr>
            </w:pPr>
            <w:r>
              <w:rPr>
                <w:color w:val="000000"/>
                <w:sz w:val="20"/>
                <w:szCs w:val="20"/>
              </w:rPr>
              <w:t>1510</w:t>
            </w:r>
          </w:p>
        </w:tc>
        <w:tc>
          <w:tcPr>
            <w:tcW w:w="733" w:type="pct"/>
            <w:shd w:val="clear" w:color="auto" w:fill="auto"/>
            <w:noWrap/>
            <w:tcMar>
              <w:left w:w="28" w:type="dxa"/>
              <w:right w:w="28" w:type="dxa"/>
            </w:tcMar>
            <w:vAlign w:val="center"/>
          </w:tcPr>
          <w:p w14:paraId="61C11BBD">
            <w:pPr>
              <w:spacing w:after="0" w:line="240" w:lineRule="auto"/>
              <w:ind w:firstLine="0"/>
              <w:jc w:val="center"/>
              <w:rPr>
                <w:color w:val="000000"/>
                <w:sz w:val="20"/>
                <w:szCs w:val="20"/>
              </w:rPr>
            </w:pPr>
            <w:r>
              <w:rPr>
                <w:color w:val="000000"/>
                <w:sz w:val="20"/>
                <w:szCs w:val="20"/>
              </w:rPr>
              <w:t>-</w:t>
            </w:r>
          </w:p>
        </w:tc>
      </w:tr>
      <w:tr w14:paraId="3D05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C9969F0">
            <w:pPr>
              <w:spacing w:after="0" w:line="240" w:lineRule="auto"/>
              <w:ind w:firstLine="0"/>
              <w:rPr>
                <w:color w:val="000000"/>
                <w:sz w:val="20"/>
                <w:szCs w:val="20"/>
              </w:rPr>
            </w:pPr>
            <w:r>
              <w:rPr>
                <w:color w:val="000000"/>
                <w:sz w:val="20"/>
                <w:szCs w:val="20"/>
              </w:rPr>
              <w:t>Кредиторская задолженность</w:t>
            </w:r>
          </w:p>
        </w:tc>
        <w:tc>
          <w:tcPr>
            <w:tcW w:w="442" w:type="pct"/>
            <w:shd w:val="clear" w:color="auto" w:fill="auto"/>
            <w:noWrap/>
            <w:tcMar>
              <w:left w:w="28" w:type="dxa"/>
              <w:right w:w="28" w:type="dxa"/>
            </w:tcMar>
            <w:vAlign w:val="center"/>
          </w:tcPr>
          <w:p w14:paraId="5F0950C4">
            <w:pPr>
              <w:spacing w:after="0" w:line="240" w:lineRule="auto"/>
              <w:ind w:firstLine="0"/>
              <w:jc w:val="center"/>
              <w:rPr>
                <w:color w:val="000000"/>
                <w:sz w:val="20"/>
                <w:szCs w:val="20"/>
              </w:rPr>
            </w:pPr>
            <w:r>
              <w:rPr>
                <w:color w:val="000000"/>
                <w:sz w:val="20"/>
                <w:szCs w:val="20"/>
              </w:rPr>
              <w:t>1520</w:t>
            </w:r>
          </w:p>
        </w:tc>
        <w:tc>
          <w:tcPr>
            <w:tcW w:w="733" w:type="pct"/>
            <w:shd w:val="clear" w:color="auto" w:fill="auto"/>
            <w:noWrap/>
            <w:tcMar>
              <w:left w:w="28" w:type="dxa"/>
              <w:right w:w="28" w:type="dxa"/>
            </w:tcMar>
            <w:vAlign w:val="center"/>
          </w:tcPr>
          <w:p w14:paraId="2FE13129">
            <w:pPr>
              <w:spacing w:after="0" w:line="240" w:lineRule="auto"/>
              <w:ind w:firstLine="0"/>
              <w:jc w:val="center"/>
              <w:rPr>
                <w:color w:val="000000"/>
                <w:sz w:val="20"/>
                <w:szCs w:val="20"/>
              </w:rPr>
            </w:pPr>
            <w:r>
              <w:rPr>
                <w:color w:val="000000"/>
                <w:sz w:val="20"/>
                <w:szCs w:val="20"/>
              </w:rPr>
              <w:t>41313623</w:t>
            </w:r>
          </w:p>
        </w:tc>
      </w:tr>
      <w:tr w14:paraId="5D64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98AF498">
            <w:pPr>
              <w:spacing w:after="0" w:line="240" w:lineRule="auto"/>
              <w:ind w:firstLine="0"/>
              <w:rPr>
                <w:color w:val="000000"/>
                <w:sz w:val="20"/>
                <w:szCs w:val="20"/>
              </w:rPr>
            </w:pPr>
            <w:r>
              <w:rPr>
                <w:color w:val="000000"/>
                <w:sz w:val="20"/>
                <w:szCs w:val="20"/>
              </w:rPr>
              <w:t>Доходы будущих периодов</w:t>
            </w:r>
          </w:p>
        </w:tc>
        <w:tc>
          <w:tcPr>
            <w:tcW w:w="442" w:type="pct"/>
            <w:shd w:val="clear" w:color="auto" w:fill="auto"/>
            <w:noWrap/>
            <w:tcMar>
              <w:left w:w="28" w:type="dxa"/>
              <w:right w:w="28" w:type="dxa"/>
            </w:tcMar>
            <w:vAlign w:val="center"/>
          </w:tcPr>
          <w:p w14:paraId="5BC9317F">
            <w:pPr>
              <w:spacing w:after="0" w:line="240" w:lineRule="auto"/>
              <w:ind w:firstLine="0"/>
              <w:jc w:val="center"/>
              <w:rPr>
                <w:color w:val="000000"/>
                <w:sz w:val="20"/>
                <w:szCs w:val="20"/>
              </w:rPr>
            </w:pPr>
            <w:r>
              <w:rPr>
                <w:color w:val="000000"/>
                <w:sz w:val="20"/>
                <w:szCs w:val="20"/>
              </w:rPr>
              <w:t>1530</w:t>
            </w:r>
          </w:p>
        </w:tc>
        <w:tc>
          <w:tcPr>
            <w:tcW w:w="733" w:type="pct"/>
            <w:shd w:val="clear" w:color="auto" w:fill="auto"/>
            <w:noWrap/>
            <w:tcMar>
              <w:left w:w="28" w:type="dxa"/>
              <w:right w:w="28" w:type="dxa"/>
            </w:tcMar>
            <w:vAlign w:val="center"/>
          </w:tcPr>
          <w:p w14:paraId="04040E93">
            <w:pPr>
              <w:spacing w:after="0" w:line="240" w:lineRule="auto"/>
              <w:ind w:firstLine="0"/>
              <w:jc w:val="center"/>
              <w:rPr>
                <w:color w:val="000000"/>
                <w:sz w:val="20"/>
                <w:szCs w:val="20"/>
              </w:rPr>
            </w:pPr>
            <w:r>
              <w:rPr>
                <w:color w:val="000000"/>
                <w:sz w:val="20"/>
                <w:szCs w:val="20"/>
              </w:rPr>
              <w:t>776</w:t>
            </w:r>
          </w:p>
        </w:tc>
      </w:tr>
      <w:tr w14:paraId="3D3E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EB90118">
            <w:pPr>
              <w:spacing w:after="0" w:line="240" w:lineRule="auto"/>
              <w:ind w:firstLine="0"/>
              <w:rPr>
                <w:color w:val="000000"/>
                <w:sz w:val="20"/>
                <w:szCs w:val="20"/>
              </w:rPr>
            </w:pPr>
            <w:r>
              <w:rPr>
                <w:color w:val="000000"/>
                <w:sz w:val="20"/>
                <w:szCs w:val="20"/>
              </w:rPr>
              <w:t>Оценочные обязательства</w:t>
            </w:r>
          </w:p>
        </w:tc>
        <w:tc>
          <w:tcPr>
            <w:tcW w:w="442" w:type="pct"/>
            <w:shd w:val="clear" w:color="auto" w:fill="auto"/>
            <w:noWrap/>
            <w:tcMar>
              <w:left w:w="28" w:type="dxa"/>
              <w:right w:w="28" w:type="dxa"/>
            </w:tcMar>
            <w:vAlign w:val="center"/>
          </w:tcPr>
          <w:p w14:paraId="2A0B8952">
            <w:pPr>
              <w:spacing w:after="0" w:line="240" w:lineRule="auto"/>
              <w:ind w:firstLine="0"/>
              <w:jc w:val="center"/>
              <w:rPr>
                <w:color w:val="000000"/>
                <w:sz w:val="20"/>
                <w:szCs w:val="20"/>
              </w:rPr>
            </w:pPr>
            <w:r>
              <w:rPr>
                <w:color w:val="000000"/>
                <w:sz w:val="20"/>
                <w:szCs w:val="20"/>
              </w:rPr>
              <w:t>1540</w:t>
            </w:r>
          </w:p>
        </w:tc>
        <w:tc>
          <w:tcPr>
            <w:tcW w:w="733" w:type="pct"/>
            <w:shd w:val="clear" w:color="auto" w:fill="auto"/>
            <w:noWrap/>
            <w:tcMar>
              <w:left w:w="28" w:type="dxa"/>
              <w:right w:w="28" w:type="dxa"/>
            </w:tcMar>
            <w:vAlign w:val="center"/>
          </w:tcPr>
          <w:p w14:paraId="678A92A9">
            <w:pPr>
              <w:spacing w:after="0" w:line="240" w:lineRule="auto"/>
              <w:ind w:firstLine="0"/>
              <w:jc w:val="center"/>
              <w:rPr>
                <w:color w:val="000000"/>
                <w:sz w:val="20"/>
                <w:szCs w:val="20"/>
              </w:rPr>
            </w:pPr>
            <w:r>
              <w:rPr>
                <w:color w:val="000000"/>
                <w:sz w:val="20"/>
                <w:szCs w:val="20"/>
              </w:rPr>
              <w:t>13757606</w:t>
            </w:r>
          </w:p>
        </w:tc>
      </w:tr>
      <w:tr w14:paraId="2C60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4C1A36FF">
            <w:pPr>
              <w:spacing w:after="0" w:line="240" w:lineRule="auto"/>
              <w:ind w:firstLine="0"/>
              <w:rPr>
                <w:color w:val="000000"/>
                <w:sz w:val="20"/>
                <w:szCs w:val="20"/>
              </w:rPr>
            </w:pPr>
            <w:r>
              <w:rPr>
                <w:color w:val="000000"/>
                <w:sz w:val="20"/>
                <w:szCs w:val="20"/>
              </w:rPr>
              <w:t>Прочие обязательства</w:t>
            </w:r>
          </w:p>
        </w:tc>
        <w:tc>
          <w:tcPr>
            <w:tcW w:w="442" w:type="pct"/>
            <w:shd w:val="clear" w:color="auto" w:fill="auto"/>
            <w:noWrap/>
            <w:tcMar>
              <w:left w:w="28" w:type="dxa"/>
              <w:right w:w="28" w:type="dxa"/>
            </w:tcMar>
            <w:vAlign w:val="center"/>
          </w:tcPr>
          <w:p w14:paraId="50E0C466">
            <w:pPr>
              <w:spacing w:after="0" w:line="240" w:lineRule="auto"/>
              <w:ind w:firstLine="0"/>
              <w:jc w:val="center"/>
              <w:rPr>
                <w:color w:val="000000"/>
                <w:sz w:val="20"/>
                <w:szCs w:val="20"/>
              </w:rPr>
            </w:pPr>
            <w:r>
              <w:rPr>
                <w:color w:val="000000"/>
                <w:sz w:val="20"/>
                <w:szCs w:val="20"/>
              </w:rPr>
              <w:t>1550</w:t>
            </w:r>
          </w:p>
        </w:tc>
        <w:tc>
          <w:tcPr>
            <w:tcW w:w="733" w:type="pct"/>
            <w:shd w:val="clear" w:color="auto" w:fill="auto"/>
            <w:noWrap/>
            <w:tcMar>
              <w:left w:w="28" w:type="dxa"/>
              <w:right w:w="28" w:type="dxa"/>
            </w:tcMar>
            <w:vAlign w:val="center"/>
          </w:tcPr>
          <w:p w14:paraId="51C5FE84">
            <w:pPr>
              <w:spacing w:after="0" w:line="240" w:lineRule="auto"/>
              <w:ind w:firstLine="0"/>
              <w:jc w:val="center"/>
              <w:rPr>
                <w:color w:val="000000"/>
                <w:sz w:val="20"/>
                <w:szCs w:val="20"/>
              </w:rPr>
            </w:pPr>
            <w:r>
              <w:rPr>
                <w:color w:val="000000"/>
                <w:sz w:val="20"/>
                <w:szCs w:val="20"/>
              </w:rPr>
              <w:t>3278711</w:t>
            </w:r>
          </w:p>
        </w:tc>
      </w:tr>
      <w:tr w14:paraId="7907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7720C98">
            <w:pPr>
              <w:spacing w:after="0" w:line="240" w:lineRule="auto"/>
              <w:ind w:firstLine="0"/>
              <w:rPr>
                <w:color w:val="000000"/>
                <w:sz w:val="20"/>
                <w:szCs w:val="20"/>
              </w:rPr>
            </w:pPr>
            <w:r>
              <w:rPr>
                <w:color w:val="000000"/>
                <w:sz w:val="20"/>
                <w:szCs w:val="20"/>
              </w:rPr>
              <w:t>Итого по разделу V</w:t>
            </w:r>
          </w:p>
        </w:tc>
        <w:tc>
          <w:tcPr>
            <w:tcW w:w="442" w:type="pct"/>
            <w:shd w:val="clear" w:color="auto" w:fill="auto"/>
            <w:noWrap/>
            <w:tcMar>
              <w:left w:w="28" w:type="dxa"/>
              <w:right w:w="28" w:type="dxa"/>
            </w:tcMar>
            <w:vAlign w:val="center"/>
          </w:tcPr>
          <w:p w14:paraId="0A4E0C37">
            <w:pPr>
              <w:spacing w:after="0" w:line="240" w:lineRule="auto"/>
              <w:ind w:firstLine="0"/>
              <w:jc w:val="center"/>
              <w:rPr>
                <w:color w:val="000000"/>
                <w:sz w:val="20"/>
                <w:szCs w:val="20"/>
              </w:rPr>
            </w:pPr>
            <w:r>
              <w:rPr>
                <w:color w:val="000000"/>
                <w:sz w:val="20"/>
                <w:szCs w:val="20"/>
              </w:rPr>
              <w:t>1500</w:t>
            </w:r>
          </w:p>
        </w:tc>
        <w:tc>
          <w:tcPr>
            <w:tcW w:w="733" w:type="pct"/>
            <w:shd w:val="clear" w:color="auto" w:fill="auto"/>
            <w:noWrap/>
            <w:tcMar>
              <w:left w:w="28" w:type="dxa"/>
              <w:right w:w="28" w:type="dxa"/>
            </w:tcMar>
            <w:vAlign w:val="center"/>
          </w:tcPr>
          <w:p w14:paraId="337B4B31">
            <w:pPr>
              <w:spacing w:after="0" w:line="240" w:lineRule="auto"/>
              <w:ind w:firstLine="0"/>
              <w:jc w:val="center"/>
              <w:rPr>
                <w:color w:val="000000"/>
                <w:sz w:val="20"/>
                <w:szCs w:val="20"/>
              </w:rPr>
            </w:pPr>
            <w:r>
              <w:rPr>
                <w:color w:val="000000"/>
                <w:sz w:val="20"/>
                <w:szCs w:val="20"/>
              </w:rPr>
              <w:t>58350716</w:t>
            </w:r>
          </w:p>
        </w:tc>
      </w:tr>
      <w:tr w14:paraId="607D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2100C89">
            <w:pPr>
              <w:spacing w:after="0" w:line="240" w:lineRule="auto"/>
              <w:ind w:firstLine="0"/>
              <w:rPr>
                <w:color w:val="000000"/>
                <w:sz w:val="20"/>
                <w:szCs w:val="20"/>
              </w:rPr>
            </w:pPr>
            <w:r>
              <w:rPr>
                <w:color w:val="000000"/>
                <w:sz w:val="20"/>
                <w:szCs w:val="20"/>
              </w:rPr>
              <w:t>БАЛАНС</w:t>
            </w:r>
          </w:p>
        </w:tc>
        <w:tc>
          <w:tcPr>
            <w:tcW w:w="442" w:type="pct"/>
            <w:shd w:val="clear" w:color="auto" w:fill="auto"/>
            <w:noWrap/>
            <w:tcMar>
              <w:left w:w="28" w:type="dxa"/>
              <w:right w:w="28" w:type="dxa"/>
            </w:tcMar>
            <w:vAlign w:val="center"/>
          </w:tcPr>
          <w:p w14:paraId="567D6900">
            <w:pPr>
              <w:spacing w:after="0" w:line="240" w:lineRule="auto"/>
              <w:ind w:firstLine="0"/>
              <w:jc w:val="center"/>
              <w:rPr>
                <w:color w:val="000000"/>
                <w:sz w:val="20"/>
                <w:szCs w:val="20"/>
              </w:rPr>
            </w:pPr>
            <w:r>
              <w:rPr>
                <w:color w:val="000000"/>
                <w:sz w:val="20"/>
                <w:szCs w:val="20"/>
              </w:rPr>
              <w:t>1700</w:t>
            </w:r>
          </w:p>
        </w:tc>
        <w:tc>
          <w:tcPr>
            <w:tcW w:w="733" w:type="pct"/>
            <w:shd w:val="clear" w:color="auto" w:fill="auto"/>
            <w:noWrap/>
            <w:tcMar>
              <w:left w:w="28" w:type="dxa"/>
              <w:right w:w="28" w:type="dxa"/>
            </w:tcMar>
            <w:vAlign w:val="center"/>
          </w:tcPr>
          <w:p w14:paraId="2C8CC401">
            <w:pPr>
              <w:spacing w:after="0" w:line="240" w:lineRule="auto"/>
              <w:ind w:firstLine="0"/>
              <w:jc w:val="center"/>
              <w:rPr>
                <w:color w:val="000000"/>
                <w:sz w:val="20"/>
                <w:szCs w:val="20"/>
              </w:rPr>
            </w:pPr>
            <w:r>
              <w:rPr>
                <w:color w:val="000000"/>
                <w:sz w:val="20"/>
                <w:szCs w:val="20"/>
              </w:rPr>
              <w:t>190892336</w:t>
            </w:r>
          </w:p>
        </w:tc>
      </w:tr>
      <w:tr w14:paraId="74AC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088861AE">
            <w:pPr>
              <w:spacing w:after="0" w:line="240" w:lineRule="auto"/>
              <w:ind w:firstLine="0"/>
              <w:jc w:val="center"/>
              <w:rPr>
                <w:color w:val="000000"/>
                <w:sz w:val="20"/>
                <w:szCs w:val="20"/>
              </w:rPr>
            </w:pPr>
            <w:r>
              <w:rPr>
                <w:color w:val="000000"/>
                <w:sz w:val="20"/>
                <w:szCs w:val="20"/>
              </w:rPr>
              <w:t>Финансовые результаты</w:t>
            </w:r>
          </w:p>
        </w:tc>
      </w:tr>
      <w:tr w14:paraId="6457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DD47CEF">
            <w:pPr>
              <w:spacing w:after="0" w:line="240" w:lineRule="auto"/>
              <w:ind w:firstLine="0"/>
              <w:rPr>
                <w:color w:val="000000"/>
                <w:sz w:val="20"/>
                <w:szCs w:val="20"/>
              </w:rPr>
            </w:pPr>
            <w:r>
              <w:rPr>
                <w:color w:val="000000"/>
                <w:sz w:val="20"/>
                <w:szCs w:val="20"/>
              </w:rPr>
              <w:t>Выручка</w:t>
            </w:r>
          </w:p>
        </w:tc>
        <w:tc>
          <w:tcPr>
            <w:tcW w:w="442" w:type="pct"/>
            <w:shd w:val="clear" w:color="auto" w:fill="auto"/>
            <w:noWrap/>
            <w:tcMar>
              <w:left w:w="28" w:type="dxa"/>
              <w:right w:w="28" w:type="dxa"/>
            </w:tcMar>
            <w:vAlign w:val="center"/>
          </w:tcPr>
          <w:p w14:paraId="475D30CE">
            <w:pPr>
              <w:spacing w:after="0" w:line="240" w:lineRule="auto"/>
              <w:ind w:firstLine="0"/>
              <w:jc w:val="center"/>
              <w:rPr>
                <w:color w:val="000000"/>
                <w:sz w:val="20"/>
                <w:szCs w:val="20"/>
              </w:rPr>
            </w:pPr>
            <w:r>
              <w:rPr>
                <w:color w:val="000000"/>
                <w:sz w:val="20"/>
                <w:szCs w:val="20"/>
              </w:rPr>
              <w:t>2110</w:t>
            </w:r>
          </w:p>
        </w:tc>
        <w:tc>
          <w:tcPr>
            <w:tcW w:w="733" w:type="pct"/>
            <w:shd w:val="clear" w:color="auto" w:fill="auto"/>
            <w:noWrap/>
            <w:tcMar>
              <w:left w:w="28" w:type="dxa"/>
              <w:right w:w="28" w:type="dxa"/>
            </w:tcMar>
            <w:vAlign w:val="center"/>
          </w:tcPr>
          <w:p w14:paraId="45F4D470">
            <w:pPr>
              <w:spacing w:after="0" w:line="240" w:lineRule="auto"/>
              <w:ind w:firstLine="0"/>
              <w:jc w:val="center"/>
              <w:rPr>
                <w:color w:val="000000"/>
                <w:sz w:val="20"/>
                <w:szCs w:val="20"/>
              </w:rPr>
            </w:pPr>
            <w:r>
              <w:rPr>
                <w:color w:val="000000"/>
                <w:sz w:val="20"/>
                <w:szCs w:val="20"/>
              </w:rPr>
              <w:t>390189994</w:t>
            </w:r>
          </w:p>
        </w:tc>
      </w:tr>
      <w:tr w14:paraId="79B0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0533340">
            <w:pPr>
              <w:spacing w:after="0" w:line="240" w:lineRule="auto"/>
              <w:ind w:firstLine="0"/>
              <w:rPr>
                <w:color w:val="000000"/>
                <w:sz w:val="20"/>
                <w:szCs w:val="20"/>
              </w:rPr>
            </w:pPr>
            <w:r>
              <w:rPr>
                <w:color w:val="000000"/>
                <w:sz w:val="20"/>
                <w:szCs w:val="20"/>
              </w:rPr>
              <w:t>Себестоимость продаж</w:t>
            </w:r>
          </w:p>
        </w:tc>
        <w:tc>
          <w:tcPr>
            <w:tcW w:w="442" w:type="pct"/>
            <w:shd w:val="clear" w:color="auto" w:fill="auto"/>
            <w:noWrap/>
            <w:tcMar>
              <w:left w:w="28" w:type="dxa"/>
              <w:right w:w="28" w:type="dxa"/>
            </w:tcMar>
            <w:vAlign w:val="center"/>
          </w:tcPr>
          <w:p w14:paraId="1F74A8A9">
            <w:pPr>
              <w:spacing w:after="0" w:line="240" w:lineRule="auto"/>
              <w:ind w:firstLine="0"/>
              <w:jc w:val="center"/>
              <w:rPr>
                <w:color w:val="000000"/>
                <w:sz w:val="20"/>
                <w:szCs w:val="20"/>
              </w:rPr>
            </w:pPr>
            <w:r>
              <w:rPr>
                <w:color w:val="000000"/>
                <w:sz w:val="20"/>
                <w:szCs w:val="20"/>
              </w:rPr>
              <w:t>2120</w:t>
            </w:r>
          </w:p>
        </w:tc>
        <w:tc>
          <w:tcPr>
            <w:tcW w:w="733" w:type="pct"/>
            <w:shd w:val="clear" w:color="auto" w:fill="auto"/>
            <w:noWrap/>
            <w:tcMar>
              <w:left w:w="28" w:type="dxa"/>
              <w:right w:w="28" w:type="dxa"/>
            </w:tcMar>
            <w:vAlign w:val="center"/>
          </w:tcPr>
          <w:p w14:paraId="634B195A">
            <w:pPr>
              <w:spacing w:after="0" w:line="240" w:lineRule="auto"/>
              <w:ind w:firstLine="0"/>
              <w:jc w:val="center"/>
              <w:rPr>
                <w:color w:val="000000"/>
                <w:sz w:val="20"/>
                <w:szCs w:val="20"/>
              </w:rPr>
            </w:pPr>
            <w:r>
              <w:rPr>
                <w:color w:val="000000"/>
                <w:sz w:val="20"/>
                <w:szCs w:val="20"/>
              </w:rPr>
              <w:t>(355623103)</w:t>
            </w:r>
          </w:p>
        </w:tc>
      </w:tr>
      <w:tr w14:paraId="299D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7DD110B">
            <w:pPr>
              <w:spacing w:after="0" w:line="240" w:lineRule="auto"/>
              <w:ind w:firstLine="0"/>
              <w:rPr>
                <w:color w:val="000000"/>
                <w:sz w:val="20"/>
                <w:szCs w:val="20"/>
              </w:rPr>
            </w:pPr>
            <w:r>
              <w:rPr>
                <w:color w:val="000000"/>
                <w:sz w:val="20"/>
                <w:szCs w:val="20"/>
              </w:rPr>
              <w:t>Валовая прибыль (убыток)</w:t>
            </w:r>
          </w:p>
        </w:tc>
        <w:tc>
          <w:tcPr>
            <w:tcW w:w="442" w:type="pct"/>
            <w:shd w:val="clear" w:color="auto" w:fill="auto"/>
            <w:noWrap/>
            <w:tcMar>
              <w:left w:w="28" w:type="dxa"/>
              <w:right w:w="28" w:type="dxa"/>
            </w:tcMar>
            <w:vAlign w:val="center"/>
          </w:tcPr>
          <w:p w14:paraId="6EE9BF4C">
            <w:pPr>
              <w:spacing w:after="0" w:line="240" w:lineRule="auto"/>
              <w:ind w:firstLine="0"/>
              <w:jc w:val="center"/>
              <w:rPr>
                <w:color w:val="000000"/>
                <w:sz w:val="20"/>
                <w:szCs w:val="20"/>
              </w:rPr>
            </w:pPr>
            <w:r>
              <w:rPr>
                <w:color w:val="000000"/>
                <w:sz w:val="20"/>
                <w:szCs w:val="20"/>
              </w:rPr>
              <w:t>2100</w:t>
            </w:r>
          </w:p>
        </w:tc>
        <w:tc>
          <w:tcPr>
            <w:tcW w:w="733" w:type="pct"/>
            <w:shd w:val="clear" w:color="auto" w:fill="auto"/>
            <w:noWrap/>
            <w:tcMar>
              <w:left w:w="28" w:type="dxa"/>
              <w:right w:w="28" w:type="dxa"/>
            </w:tcMar>
            <w:vAlign w:val="center"/>
          </w:tcPr>
          <w:p w14:paraId="579F06BA">
            <w:pPr>
              <w:spacing w:after="0" w:line="240" w:lineRule="auto"/>
              <w:ind w:firstLine="0"/>
              <w:jc w:val="center"/>
              <w:rPr>
                <w:color w:val="000000"/>
                <w:sz w:val="20"/>
                <w:szCs w:val="20"/>
              </w:rPr>
            </w:pPr>
            <w:r>
              <w:rPr>
                <w:color w:val="000000"/>
                <w:sz w:val="20"/>
                <w:szCs w:val="20"/>
              </w:rPr>
              <w:t>34566891</w:t>
            </w:r>
          </w:p>
        </w:tc>
      </w:tr>
      <w:tr w14:paraId="5B2A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6A7E7CA">
            <w:pPr>
              <w:spacing w:after="0" w:line="240" w:lineRule="auto"/>
              <w:ind w:firstLine="0"/>
              <w:rPr>
                <w:color w:val="000000"/>
                <w:sz w:val="20"/>
                <w:szCs w:val="20"/>
              </w:rPr>
            </w:pPr>
            <w:r>
              <w:rPr>
                <w:color w:val="000000"/>
                <w:sz w:val="20"/>
                <w:szCs w:val="20"/>
              </w:rPr>
              <w:t>Коммерческие расходы</w:t>
            </w:r>
          </w:p>
        </w:tc>
        <w:tc>
          <w:tcPr>
            <w:tcW w:w="442" w:type="pct"/>
            <w:shd w:val="clear" w:color="auto" w:fill="auto"/>
            <w:noWrap/>
            <w:tcMar>
              <w:left w:w="28" w:type="dxa"/>
              <w:right w:w="28" w:type="dxa"/>
            </w:tcMar>
            <w:vAlign w:val="center"/>
          </w:tcPr>
          <w:p w14:paraId="5BD3B887">
            <w:pPr>
              <w:spacing w:after="0" w:line="240" w:lineRule="auto"/>
              <w:ind w:firstLine="0"/>
              <w:jc w:val="center"/>
              <w:rPr>
                <w:color w:val="000000"/>
                <w:sz w:val="20"/>
                <w:szCs w:val="20"/>
              </w:rPr>
            </w:pPr>
            <w:r>
              <w:rPr>
                <w:color w:val="000000"/>
                <w:sz w:val="20"/>
                <w:szCs w:val="20"/>
              </w:rPr>
              <w:t>2210</w:t>
            </w:r>
          </w:p>
        </w:tc>
        <w:tc>
          <w:tcPr>
            <w:tcW w:w="733" w:type="pct"/>
            <w:shd w:val="clear" w:color="auto" w:fill="auto"/>
            <w:noWrap/>
            <w:tcMar>
              <w:left w:w="28" w:type="dxa"/>
              <w:right w:w="28" w:type="dxa"/>
            </w:tcMar>
            <w:vAlign w:val="center"/>
          </w:tcPr>
          <w:p w14:paraId="675AC595">
            <w:pPr>
              <w:spacing w:after="0" w:line="240" w:lineRule="auto"/>
              <w:ind w:firstLine="0"/>
              <w:jc w:val="center"/>
              <w:rPr>
                <w:color w:val="000000"/>
                <w:sz w:val="20"/>
                <w:szCs w:val="20"/>
              </w:rPr>
            </w:pPr>
            <w:r>
              <w:rPr>
                <w:color w:val="000000"/>
                <w:sz w:val="20"/>
                <w:szCs w:val="20"/>
              </w:rPr>
              <w:t>-</w:t>
            </w:r>
          </w:p>
        </w:tc>
      </w:tr>
      <w:tr w14:paraId="0C70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9916FDE">
            <w:pPr>
              <w:spacing w:after="0" w:line="240" w:lineRule="auto"/>
              <w:ind w:firstLine="0"/>
              <w:rPr>
                <w:color w:val="000000"/>
                <w:sz w:val="20"/>
                <w:szCs w:val="20"/>
              </w:rPr>
            </w:pPr>
            <w:r>
              <w:rPr>
                <w:color w:val="000000"/>
                <w:sz w:val="20"/>
                <w:szCs w:val="20"/>
              </w:rPr>
              <w:t>Управленческие расходы</w:t>
            </w:r>
          </w:p>
        </w:tc>
        <w:tc>
          <w:tcPr>
            <w:tcW w:w="442" w:type="pct"/>
            <w:shd w:val="clear" w:color="auto" w:fill="auto"/>
            <w:noWrap/>
            <w:tcMar>
              <w:left w:w="28" w:type="dxa"/>
              <w:right w:w="28" w:type="dxa"/>
            </w:tcMar>
            <w:vAlign w:val="center"/>
          </w:tcPr>
          <w:p w14:paraId="49988FA6">
            <w:pPr>
              <w:spacing w:after="0" w:line="240" w:lineRule="auto"/>
              <w:ind w:firstLine="0"/>
              <w:jc w:val="center"/>
              <w:rPr>
                <w:color w:val="000000"/>
                <w:sz w:val="20"/>
                <w:szCs w:val="20"/>
              </w:rPr>
            </w:pPr>
            <w:r>
              <w:rPr>
                <w:color w:val="000000"/>
                <w:sz w:val="20"/>
                <w:szCs w:val="20"/>
              </w:rPr>
              <w:t>2220</w:t>
            </w:r>
          </w:p>
        </w:tc>
        <w:tc>
          <w:tcPr>
            <w:tcW w:w="733" w:type="pct"/>
            <w:shd w:val="clear" w:color="auto" w:fill="auto"/>
            <w:noWrap/>
            <w:tcMar>
              <w:left w:w="28" w:type="dxa"/>
              <w:right w:w="28" w:type="dxa"/>
            </w:tcMar>
            <w:vAlign w:val="center"/>
          </w:tcPr>
          <w:p w14:paraId="7D03C5BB">
            <w:pPr>
              <w:spacing w:after="0" w:line="240" w:lineRule="auto"/>
              <w:ind w:firstLine="0"/>
              <w:jc w:val="center"/>
              <w:rPr>
                <w:color w:val="000000"/>
                <w:sz w:val="20"/>
                <w:szCs w:val="20"/>
              </w:rPr>
            </w:pPr>
            <w:r>
              <w:rPr>
                <w:color w:val="000000"/>
                <w:sz w:val="20"/>
                <w:szCs w:val="20"/>
              </w:rPr>
              <w:t>(23137026)</w:t>
            </w:r>
          </w:p>
        </w:tc>
      </w:tr>
      <w:tr w14:paraId="30A5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CA5FECE">
            <w:pPr>
              <w:spacing w:after="0" w:line="240" w:lineRule="auto"/>
              <w:ind w:firstLine="0"/>
              <w:rPr>
                <w:color w:val="000000"/>
                <w:sz w:val="20"/>
                <w:szCs w:val="20"/>
              </w:rPr>
            </w:pPr>
            <w:r>
              <w:rPr>
                <w:color w:val="000000"/>
                <w:sz w:val="20"/>
                <w:szCs w:val="20"/>
              </w:rPr>
              <w:t>Прибыль (убыток) от продаж</w:t>
            </w:r>
          </w:p>
        </w:tc>
        <w:tc>
          <w:tcPr>
            <w:tcW w:w="442" w:type="pct"/>
            <w:shd w:val="clear" w:color="auto" w:fill="auto"/>
            <w:noWrap/>
            <w:tcMar>
              <w:left w:w="28" w:type="dxa"/>
              <w:right w:w="28" w:type="dxa"/>
            </w:tcMar>
            <w:vAlign w:val="center"/>
          </w:tcPr>
          <w:p w14:paraId="1AF809C9">
            <w:pPr>
              <w:spacing w:after="0" w:line="240" w:lineRule="auto"/>
              <w:ind w:firstLine="0"/>
              <w:jc w:val="center"/>
              <w:rPr>
                <w:color w:val="000000"/>
                <w:sz w:val="20"/>
                <w:szCs w:val="20"/>
              </w:rPr>
            </w:pPr>
            <w:r>
              <w:rPr>
                <w:color w:val="000000"/>
                <w:sz w:val="20"/>
                <w:szCs w:val="20"/>
              </w:rPr>
              <w:t>2200</w:t>
            </w:r>
          </w:p>
        </w:tc>
        <w:tc>
          <w:tcPr>
            <w:tcW w:w="733" w:type="pct"/>
            <w:shd w:val="clear" w:color="auto" w:fill="auto"/>
            <w:noWrap/>
            <w:tcMar>
              <w:left w:w="28" w:type="dxa"/>
              <w:right w:w="28" w:type="dxa"/>
            </w:tcMar>
            <w:vAlign w:val="center"/>
          </w:tcPr>
          <w:p w14:paraId="1AE3BBD6">
            <w:pPr>
              <w:spacing w:after="0" w:line="240" w:lineRule="auto"/>
              <w:ind w:firstLine="0"/>
              <w:jc w:val="center"/>
              <w:rPr>
                <w:color w:val="000000"/>
                <w:sz w:val="20"/>
                <w:szCs w:val="20"/>
              </w:rPr>
            </w:pPr>
            <w:r>
              <w:rPr>
                <w:color w:val="000000"/>
                <w:sz w:val="20"/>
                <w:szCs w:val="20"/>
              </w:rPr>
              <w:t>11429865</w:t>
            </w:r>
          </w:p>
        </w:tc>
      </w:tr>
      <w:tr w14:paraId="46E6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7129B3F">
            <w:pPr>
              <w:spacing w:after="0" w:line="240" w:lineRule="auto"/>
              <w:ind w:firstLine="0"/>
              <w:rPr>
                <w:color w:val="000000"/>
                <w:sz w:val="20"/>
                <w:szCs w:val="20"/>
              </w:rPr>
            </w:pPr>
            <w:r>
              <w:rPr>
                <w:color w:val="000000"/>
                <w:sz w:val="20"/>
                <w:szCs w:val="20"/>
              </w:rPr>
              <w:t>Доходы от участия в других организациях</w:t>
            </w:r>
          </w:p>
        </w:tc>
        <w:tc>
          <w:tcPr>
            <w:tcW w:w="442" w:type="pct"/>
            <w:shd w:val="clear" w:color="auto" w:fill="auto"/>
            <w:noWrap/>
            <w:tcMar>
              <w:left w:w="28" w:type="dxa"/>
              <w:right w:w="28" w:type="dxa"/>
            </w:tcMar>
            <w:vAlign w:val="center"/>
          </w:tcPr>
          <w:p w14:paraId="613D65FE">
            <w:pPr>
              <w:spacing w:after="0" w:line="240" w:lineRule="auto"/>
              <w:ind w:firstLine="0"/>
              <w:jc w:val="center"/>
              <w:rPr>
                <w:color w:val="000000"/>
                <w:sz w:val="20"/>
                <w:szCs w:val="20"/>
              </w:rPr>
            </w:pPr>
            <w:r>
              <w:rPr>
                <w:color w:val="000000"/>
                <w:sz w:val="20"/>
                <w:szCs w:val="20"/>
              </w:rPr>
              <w:t>2310</w:t>
            </w:r>
          </w:p>
        </w:tc>
        <w:tc>
          <w:tcPr>
            <w:tcW w:w="733" w:type="pct"/>
            <w:shd w:val="clear" w:color="auto" w:fill="auto"/>
            <w:noWrap/>
            <w:tcMar>
              <w:left w:w="28" w:type="dxa"/>
              <w:right w:w="28" w:type="dxa"/>
            </w:tcMar>
            <w:vAlign w:val="center"/>
          </w:tcPr>
          <w:p w14:paraId="3017D3AC">
            <w:pPr>
              <w:spacing w:after="0" w:line="240" w:lineRule="auto"/>
              <w:ind w:firstLine="0"/>
              <w:jc w:val="center"/>
              <w:rPr>
                <w:color w:val="000000"/>
                <w:sz w:val="20"/>
                <w:szCs w:val="20"/>
              </w:rPr>
            </w:pPr>
            <w:r>
              <w:rPr>
                <w:color w:val="000000"/>
                <w:sz w:val="20"/>
                <w:szCs w:val="20"/>
              </w:rPr>
              <w:t>194890</w:t>
            </w:r>
          </w:p>
        </w:tc>
      </w:tr>
      <w:tr w14:paraId="591B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9C8B38E">
            <w:pPr>
              <w:spacing w:after="0" w:line="240" w:lineRule="auto"/>
              <w:ind w:firstLine="0"/>
              <w:rPr>
                <w:color w:val="000000"/>
                <w:sz w:val="20"/>
                <w:szCs w:val="20"/>
              </w:rPr>
            </w:pPr>
            <w:r>
              <w:rPr>
                <w:color w:val="000000"/>
                <w:sz w:val="20"/>
                <w:szCs w:val="20"/>
              </w:rPr>
              <w:t>Проценты к получению</w:t>
            </w:r>
          </w:p>
        </w:tc>
        <w:tc>
          <w:tcPr>
            <w:tcW w:w="442" w:type="pct"/>
            <w:shd w:val="clear" w:color="auto" w:fill="auto"/>
            <w:noWrap/>
            <w:tcMar>
              <w:left w:w="28" w:type="dxa"/>
              <w:right w:w="28" w:type="dxa"/>
            </w:tcMar>
            <w:vAlign w:val="center"/>
          </w:tcPr>
          <w:p w14:paraId="0C5BCC85">
            <w:pPr>
              <w:spacing w:after="0" w:line="240" w:lineRule="auto"/>
              <w:ind w:firstLine="0"/>
              <w:jc w:val="center"/>
              <w:rPr>
                <w:color w:val="000000"/>
                <w:sz w:val="20"/>
                <w:szCs w:val="20"/>
              </w:rPr>
            </w:pPr>
            <w:r>
              <w:rPr>
                <w:color w:val="000000"/>
                <w:sz w:val="20"/>
                <w:szCs w:val="20"/>
              </w:rPr>
              <w:t>2320</w:t>
            </w:r>
          </w:p>
        </w:tc>
        <w:tc>
          <w:tcPr>
            <w:tcW w:w="733" w:type="pct"/>
            <w:shd w:val="clear" w:color="auto" w:fill="auto"/>
            <w:noWrap/>
            <w:tcMar>
              <w:left w:w="28" w:type="dxa"/>
              <w:right w:w="28" w:type="dxa"/>
            </w:tcMar>
            <w:vAlign w:val="center"/>
          </w:tcPr>
          <w:p w14:paraId="0D5B5633">
            <w:pPr>
              <w:spacing w:after="0" w:line="240" w:lineRule="auto"/>
              <w:ind w:firstLine="0"/>
              <w:jc w:val="center"/>
              <w:rPr>
                <w:color w:val="000000"/>
                <w:sz w:val="20"/>
                <w:szCs w:val="20"/>
              </w:rPr>
            </w:pPr>
            <w:r>
              <w:rPr>
                <w:color w:val="000000"/>
                <w:sz w:val="20"/>
                <w:szCs w:val="20"/>
              </w:rPr>
              <w:t>13</w:t>
            </w:r>
          </w:p>
        </w:tc>
      </w:tr>
      <w:tr w14:paraId="58F2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10E6A46">
            <w:pPr>
              <w:spacing w:after="0" w:line="240" w:lineRule="auto"/>
              <w:ind w:firstLine="0"/>
              <w:rPr>
                <w:color w:val="000000"/>
                <w:sz w:val="20"/>
                <w:szCs w:val="20"/>
              </w:rPr>
            </w:pPr>
            <w:r>
              <w:rPr>
                <w:color w:val="000000"/>
                <w:sz w:val="20"/>
                <w:szCs w:val="20"/>
              </w:rPr>
              <w:t>Проценты к уплате</w:t>
            </w:r>
          </w:p>
        </w:tc>
        <w:tc>
          <w:tcPr>
            <w:tcW w:w="442" w:type="pct"/>
            <w:shd w:val="clear" w:color="auto" w:fill="auto"/>
            <w:noWrap/>
            <w:tcMar>
              <w:left w:w="28" w:type="dxa"/>
              <w:right w:w="28" w:type="dxa"/>
            </w:tcMar>
            <w:vAlign w:val="center"/>
          </w:tcPr>
          <w:p w14:paraId="0205C3E1">
            <w:pPr>
              <w:spacing w:after="0" w:line="240" w:lineRule="auto"/>
              <w:ind w:firstLine="0"/>
              <w:jc w:val="center"/>
              <w:rPr>
                <w:color w:val="000000"/>
                <w:sz w:val="20"/>
                <w:szCs w:val="20"/>
              </w:rPr>
            </w:pPr>
            <w:r>
              <w:rPr>
                <w:color w:val="000000"/>
                <w:sz w:val="20"/>
                <w:szCs w:val="20"/>
              </w:rPr>
              <w:t>2330</w:t>
            </w:r>
          </w:p>
        </w:tc>
        <w:tc>
          <w:tcPr>
            <w:tcW w:w="733" w:type="pct"/>
            <w:shd w:val="clear" w:color="auto" w:fill="auto"/>
            <w:noWrap/>
            <w:tcMar>
              <w:left w:w="28" w:type="dxa"/>
              <w:right w:w="28" w:type="dxa"/>
            </w:tcMar>
            <w:vAlign w:val="center"/>
          </w:tcPr>
          <w:p w14:paraId="04374BF0">
            <w:pPr>
              <w:spacing w:after="0" w:line="240" w:lineRule="auto"/>
              <w:ind w:firstLine="0"/>
              <w:jc w:val="center"/>
              <w:rPr>
                <w:color w:val="000000"/>
                <w:sz w:val="20"/>
                <w:szCs w:val="20"/>
              </w:rPr>
            </w:pPr>
            <w:r>
              <w:rPr>
                <w:color w:val="000000"/>
                <w:sz w:val="20"/>
                <w:szCs w:val="20"/>
              </w:rPr>
              <w:t>(987827)</w:t>
            </w:r>
          </w:p>
        </w:tc>
      </w:tr>
      <w:tr w14:paraId="13E8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DA6BFBA">
            <w:pPr>
              <w:spacing w:after="0" w:line="240" w:lineRule="auto"/>
              <w:ind w:firstLine="0"/>
              <w:rPr>
                <w:color w:val="000000"/>
                <w:sz w:val="20"/>
                <w:szCs w:val="20"/>
              </w:rPr>
            </w:pPr>
            <w:r>
              <w:rPr>
                <w:color w:val="000000"/>
                <w:sz w:val="20"/>
                <w:szCs w:val="20"/>
              </w:rPr>
              <w:t>Прочие доходы</w:t>
            </w:r>
          </w:p>
        </w:tc>
        <w:tc>
          <w:tcPr>
            <w:tcW w:w="442" w:type="pct"/>
            <w:shd w:val="clear" w:color="auto" w:fill="auto"/>
            <w:noWrap/>
            <w:tcMar>
              <w:left w:w="28" w:type="dxa"/>
              <w:right w:w="28" w:type="dxa"/>
            </w:tcMar>
            <w:vAlign w:val="center"/>
          </w:tcPr>
          <w:p w14:paraId="5258DB37">
            <w:pPr>
              <w:spacing w:after="0" w:line="240" w:lineRule="auto"/>
              <w:ind w:firstLine="0"/>
              <w:jc w:val="center"/>
              <w:rPr>
                <w:color w:val="000000"/>
                <w:sz w:val="20"/>
                <w:szCs w:val="20"/>
              </w:rPr>
            </w:pPr>
            <w:r>
              <w:rPr>
                <w:color w:val="000000"/>
                <w:sz w:val="20"/>
                <w:szCs w:val="20"/>
              </w:rPr>
              <w:t>2340</w:t>
            </w:r>
          </w:p>
        </w:tc>
        <w:tc>
          <w:tcPr>
            <w:tcW w:w="733" w:type="pct"/>
            <w:shd w:val="clear" w:color="auto" w:fill="auto"/>
            <w:noWrap/>
            <w:tcMar>
              <w:left w:w="28" w:type="dxa"/>
              <w:right w:w="28" w:type="dxa"/>
            </w:tcMar>
            <w:vAlign w:val="center"/>
          </w:tcPr>
          <w:p w14:paraId="55DAE47F">
            <w:pPr>
              <w:spacing w:after="0" w:line="240" w:lineRule="auto"/>
              <w:ind w:firstLine="0"/>
              <w:jc w:val="center"/>
              <w:rPr>
                <w:color w:val="000000"/>
                <w:sz w:val="20"/>
                <w:szCs w:val="20"/>
              </w:rPr>
            </w:pPr>
            <w:r>
              <w:rPr>
                <w:color w:val="000000"/>
                <w:sz w:val="20"/>
                <w:szCs w:val="20"/>
              </w:rPr>
              <w:t>2651355</w:t>
            </w:r>
          </w:p>
        </w:tc>
      </w:tr>
      <w:tr w14:paraId="7F9E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B3CC972">
            <w:pPr>
              <w:spacing w:after="0" w:line="240" w:lineRule="auto"/>
              <w:ind w:firstLine="0"/>
              <w:rPr>
                <w:color w:val="000000"/>
                <w:sz w:val="20"/>
                <w:szCs w:val="20"/>
              </w:rPr>
            </w:pPr>
            <w:r>
              <w:rPr>
                <w:color w:val="000000"/>
                <w:sz w:val="20"/>
                <w:szCs w:val="20"/>
              </w:rPr>
              <w:t>Прочие расходы</w:t>
            </w:r>
          </w:p>
        </w:tc>
        <w:tc>
          <w:tcPr>
            <w:tcW w:w="442" w:type="pct"/>
            <w:shd w:val="clear" w:color="auto" w:fill="auto"/>
            <w:noWrap/>
            <w:tcMar>
              <w:left w:w="28" w:type="dxa"/>
              <w:right w:w="28" w:type="dxa"/>
            </w:tcMar>
            <w:vAlign w:val="center"/>
          </w:tcPr>
          <w:p w14:paraId="47FE2392">
            <w:pPr>
              <w:spacing w:after="0" w:line="240" w:lineRule="auto"/>
              <w:ind w:firstLine="0"/>
              <w:jc w:val="center"/>
              <w:rPr>
                <w:color w:val="000000"/>
                <w:sz w:val="20"/>
                <w:szCs w:val="20"/>
              </w:rPr>
            </w:pPr>
            <w:r>
              <w:rPr>
                <w:color w:val="000000"/>
                <w:sz w:val="20"/>
                <w:szCs w:val="20"/>
              </w:rPr>
              <w:t>2350</w:t>
            </w:r>
          </w:p>
        </w:tc>
        <w:tc>
          <w:tcPr>
            <w:tcW w:w="733" w:type="pct"/>
            <w:shd w:val="clear" w:color="auto" w:fill="auto"/>
            <w:noWrap/>
            <w:tcMar>
              <w:left w:w="28" w:type="dxa"/>
              <w:right w:w="28" w:type="dxa"/>
            </w:tcMar>
            <w:vAlign w:val="center"/>
          </w:tcPr>
          <w:p w14:paraId="3F9210A9">
            <w:pPr>
              <w:spacing w:after="0" w:line="240" w:lineRule="auto"/>
              <w:ind w:firstLine="0"/>
              <w:jc w:val="center"/>
              <w:rPr>
                <w:color w:val="000000"/>
                <w:sz w:val="20"/>
                <w:szCs w:val="20"/>
              </w:rPr>
            </w:pPr>
            <w:r>
              <w:rPr>
                <w:color w:val="000000"/>
                <w:sz w:val="20"/>
                <w:szCs w:val="20"/>
              </w:rPr>
              <w:t>(5136758)</w:t>
            </w:r>
          </w:p>
        </w:tc>
      </w:tr>
      <w:tr w14:paraId="4179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2FDBB6AC">
            <w:pPr>
              <w:spacing w:after="0" w:line="240" w:lineRule="auto"/>
              <w:ind w:firstLine="0"/>
              <w:rPr>
                <w:color w:val="000000"/>
                <w:sz w:val="20"/>
                <w:szCs w:val="20"/>
              </w:rPr>
            </w:pPr>
            <w:r>
              <w:rPr>
                <w:color w:val="000000"/>
                <w:sz w:val="20"/>
                <w:szCs w:val="20"/>
              </w:rPr>
              <w:t>Прибыль (убыток) до налогообложения</w:t>
            </w:r>
          </w:p>
        </w:tc>
        <w:tc>
          <w:tcPr>
            <w:tcW w:w="442" w:type="pct"/>
            <w:shd w:val="clear" w:color="auto" w:fill="auto"/>
            <w:noWrap/>
            <w:tcMar>
              <w:left w:w="28" w:type="dxa"/>
              <w:right w:w="28" w:type="dxa"/>
            </w:tcMar>
            <w:vAlign w:val="center"/>
          </w:tcPr>
          <w:p w14:paraId="4289ABDA">
            <w:pPr>
              <w:spacing w:after="0" w:line="240" w:lineRule="auto"/>
              <w:ind w:firstLine="0"/>
              <w:jc w:val="center"/>
              <w:rPr>
                <w:color w:val="000000"/>
                <w:sz w:val="20"/>
                <w:szCs w:val="20"/>
              </w:rPr>
            </w:pPr>
            <w:r>
              <w:rPr>
                <w:color w:val="000000"/>
                <w:sz w:val="20"/>
                <w:szCs w:val="20"/>
              </w:rPr>
              <w:t>2300</w:t>
            </w:r>
          </w:p>
        </w:tc>
        <w:tc>
          <w:tcPr>
            <w:tcW w:w="733" w:type="pct"/>
            <w:shd w:val="clear" w:color="auto" w:fill="auto"/>
            <w:noWrap/>
            <w:tcMar>
              <w:left w:w="28" w:type="dxa"/>
              <w:right w:w="28" w:type="dxa"/>
            </w:tcMar>
            <w:vAlign w:val="center"/>
          </w:tcPr>
          <w:p w14:paraId="7D531538">
            <w:pPr>
              <w:spacing w:after="0" w:line="240" w:lineRule="auto"/>
              <w:ind w:firstLine="0"/>
              <w:jc w:val="center"/>
              <w:rPr>
                <w:color w:val="000000"/>
                <w:sz w:val="20"/>
                <w:szCs w:val="20"/>
              </w:rPr>
            </w:pPr>
            <w:r>
              <w:rPr>
                <w:color w:val="000000"/>
                <w:sz w:val="20"/>
                <w:szCs w:val="20"/>
              </w:rPr>
              <w:t>8151538</w:t>
            </w:r>
          </w:p>
        </w:tc>
      </w:tr>
      <w:tr w14:paraId="1EE6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F3AB6EA">
            <w:pPr>
              <w:spacing w:after="0" w:line="240" w:lineRule="auto"/>
              <w:ind w:firstLine="0"/>
              <w:rPr>
                <w:color w:val="000000"/>
                <w:sz w:val="20"/>
                <w:szCs w:val="20"/>
              </w:rPr>
            </w:pPr>
            <w:r>
              <w:rPr>
                <w:color w:val="000000"/>
                <w:sz w:val="20"/>
                <w:szCs w:val="20"/>
              </w:rPr>
              <w:t>Налог на прибыль</w:t>
            </w:r>
          </w:p>
        </w:tc>
        <w:tc>
          <w:tcPr>
            <w:tcW w:w="442" w:type="pct"/>
            <w:shd w:val="clear" w:color="auto" w:fill="auto"/>
            <w:noWrap/>
            <w:tcMar>
              <w:left w:w="28" w:type="dxa"/>
              <w:right w:w="28" w:type="dxa"/>
            </w:tcMar>
            <w:vAlign w:val="center"/>
          </w:tcPr>
          <w:p w14:paraId="6502EDFC">
            <w:pPr>
              <w:spacing w:after="0" w:line="240" w:lineRule="auto"/>
              <w:ind w:firstLine="0"/>
              <w:jc w:val="center"/>
              <w:rPr>
                <w:color w:val="000000"/>
                <w:sz w:val="20"/>
                <w:szCs w:val="20"/>
              </w:rPr>
            </w:pPr>
            <w:r>
              <w:rPr>
                <w:color w:val="000000"/>
                <w:sz w:val="20"/>
                <w:szCs w:val="20"/>
              </w:rPr>
              <w:t>2410</w:t>
            </w:r>
          </w:p>
        </w:tc>
        <w:tc>
          <w:tcPr>
            <w:tcW w:w="733" w:type="pct"/>
            <w:shd w:val="clear" w:color="auto" w:fill="auto"/>
            <w:noWrap/>
            <w:tcMar>
              <w:left w:w="28" w:type="dxa"/>
              <w:right w:w="28" w:type="dxa"/>
            </w:tcMar>
            <w:vAlign w:val="center"/>
          </w:tcPr>
          <w:p w14:paraId="6C53067F">
            <w:pPr>
              <w:spacing w:after="0" w:line="240" w:lineRule="auto"/>
              <w:ind w:firstLine="0"/>
              <w:jc w:val="center"/>
              <w:rPr>
                <w:color w:val="000000"/>
                <w:sz w:val="20"/>
                <w:szCs w:val="20"/>
              </w:rPr>
            </w:pPr>
            <w:r>
              <w:rPr>
                <w:color w:val="000000"/>
                <w:sz w:val="20"/>
                <w:szCs w:val="20"/>
              </w:rPr>
              <w:t>(2723234)</w:t>
            </w:r>
          </w:p>
        </w:tc>
      </w:tr>
      <w:tr w14:paraId="4968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5371BF95">
            <w:pPr>
              <w:spacing w:after="0" w:line="240" w:lineRule="auto"/>
              <w:ind w:firstLine="0"/>
              <w:rPr>
                <w:color w:val="000000"/>
                <w:sz w:val="20"/>
                <w:szCs w:val="20"/>
              </w:rPr>
            </w:pPr>
            <w:r>
              <w:rPr>
                <w:color w:val="000000"/>
                <w:sz w:val="20"/>
                <w:szCs w:val="20"/>
              </w:rPr>
              <w:t>текущий налог на прибыль (до 2020 г. это стр. 2410)</w:t>
            </w:r>
          </w:p>
        </w:tc>
        <w:tc>
          <w:tcPr>
            <w:tcW w:w="442" w:type="pct"/>
            <w:shd w:val="clear" w:color="auto" w:fill="auto"/>
            <w:noWrap/>
            <w:tcMar>
              <w:left w:w="28" w:type="dxa"/>
              <w:right w:w="28" w:type="dxa"/>
            </w:tcMar>
            <w:vAlign w:val="center"/>
          </w:tcPr>
          <w:p w14:paraId="303789F7">
            <w:pPr>
              <w:spacing w:after="0" w:line="240" w:lineRule="auto"/>
              <w:ind w:firstLine="0"/>
              <w:jc w:val="center"/>
              <w:rPr>
                <w:color w:val="000000"/>
                <w:sz w:val="20"/>
                <w:szCs w:val="20"/>
              </w:rPr>
            </w:pPr>
            <w:r>
              <w:rPr>
                <w:color w:val="000000"/>
                <w:sz w:val="20"/>
                <w:szCs w:val="20"/>
              </w:rPr>
              <w:t>2411</w:t>
            </w:r>
          </w:p>
        </w:tc>
        <w:tc>
          <w:tcPr>
            <w:tcW w:w="733" w:type="pct"/>
            <w:shd w:val="clear" w:color="auto" w:fill="auto"/>
            <w:noWrap/>
            <w:tcMar>
              <w:left w:w="28" w:type="dxa"/>
              <w:right w:w="28" w:type="dxa"/>
            </w:tcMar>
            <w:vAlign w:val="center"/>
          </w:tcPr>
          <w:p w14:paraId="476ABCEF">
            <w:pPr>
              <w:spacing w:after="0" w:line="240" w:lineRule="auto"/>
              <w:ind w:firstLine="0"/>
              <w:jc w:val="center"/>
              <w:rPr>
                <w:color w:val="000000"/>
                <w:sz w:val="20"/>
                <w:szCs w:val="20"/>
              </w:rPr>
            </w:pPr>
            <w:r>
              <w:rPr>
                <w:color w:val="000000"/>
                <w:sz w:val="20"/>
                <w:szCs w:val="20"/>
              </w:rPr>
              <w:t>(3618346)</w:t>
            </w:r>
          </w:p>
        </w:tc>
      </w:tr>
      <w:tr w14:paraId="0D4A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AFB2942">
            <w:pPr>
              <w:spacing w:after="0" w:line="240" w:lineRule="auto"/>
              <w:ind w:firstLine="0"/>
              <w:rPr>
                <w:color w:val="000000"/>
                <w:sz w:val="20"/>
                <w:szCs w:val="20"/>
              </w:rPr>
            </w:pPr>
            <w:r>
              <w:rPr>
                <w:color w:val="000000"/>
                <w:sz w:val="20"/>
                <w:szCs w:val="20"/>
              </w:rPr>
              <w:t>отложенный налог на прибыль</w:t>
            </w:r>
          </w:p>
        </w:tc>
        <w:tc>
          <w:tcPr>
            <w:tcW w:w="442" w:type="pct"/>
            <w:shd w:val="clear" w:color="auto" w:fill="auto"/>
            <w:noWrap/>
            <w:tcMar>
              <w:left w:w="28" w:type="dxa"/>
              <w:right w:w="28" w:type="dxa"/>
            </w:tcMar>
            <w:vAlign w:val="center"/>
          </w:tcPr>
          <w:p w14:paraId="343C91A8">
            <w:pPr>
              <w:spacing w:after="0" w:line="240" w:lineRule="auto"/>
              <w:ind w:firstLine="0"/>
              <w:jc w:val="center"/>
              <w:rPr>
                <w:color w:val="000000"/>
                <w:sz w:val="20"/>
                <w:szCs w:val="20"/>
              </w:rPr>
            </w:pPr>
            <w:r>
              <w:rPr>
                <w:color w:val="000000"/>
                <w:sz w:val="20"/>
                <w:szCs w:val="20"/>
              </w:rPr>
              <w:t>2412</w:t>
            </w:r>
          </w:p>
        </w:tc>
        <w:tc>
          <w:tcPr>
            <w:tcW w:w="733" w:type="pct"/>
            <w:shd w:val="clear" w:color="auto" w:fill="auto"/>
            <w:noWrap/>
            <w:tcMar>
              <w:left w:w="28" w:type="dxa"/>
              <w:right w:w="28" w:type="dxa"/>
            </w:tcMar>
            <w:vAlign w:val="center"/>
          </w:tcPr>
          <w:p w14:paraId="0033BA34">
            <w:pPr>
              <w:spacing w:after="0" w:line="240" w:lineRule="auto"/>
              <w:ind w:firstLine="0"/>
              <w:jc w:val="center"/>
              <w:rPr>
                <w:color w:val="000000"/>
                <w:sz w:val="20"/>
                <w:szCs w:val="20"/>
              </w:rPr>
            </w:pPr>
            <w:r>
              <w:rPr>
                <w:color w:val="000000"/>
                <w:sz w:val="20"/>
                <w:szCs w:val="20"/>
              </w:rPr>
              <w:t>895112</w:t>
            </w:r>
          </w:p>
        </w:tc>
      </w:tr>
      <w:tr w14:paraId="5695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0C9D3559">
            <w:pPr>
              <w:spacing w:after="0" w:line="240" w:lineRule="auto"/>
              <w:ind w:firstLine="0"/>
              <w:rPr>
                <w:color w:val="000000"/>
                <w:sz w:val="20"/>
                <w:szCs w:val="20"/>
              </w:rPr>
            </w:pPr>
            <w:r>
              <w:rPr>
                <w:color w:val="000000"/>
                <w:sz w:val="20"/>
                <w:szCs w:val="20"/>
              </w:rPr>
              <w:t>Изменение отложенных налоговых обязательств</w:t>
            </w:r>
          </w:p>
        </w:tc>
        <w:tc>
          <w:tcPr>
            <w:tcW w:w="442" w:type="pct"/>
            <w:shd w:val="clear" w:color="auto" w:fill="auto"/>
            <w:noWrap/>
            <w:tcMar>
              <w:left w:w="28" w:type="dxa"/>
              <w:right w:w="28" w:type="dxa"/>
            </w:tcMar>
            <w:vAlign w:val="center"/>
          </w:tcPr>
          <w:p w14:paraId="71874C1D">
            <w:pPr>
              <w:spacing w:after="0" w:line="240" w:lineRule="auto"/>
              <w:ind w:firstLine="0"/>
              <w:jc w:val="center"/>
              <w:rPr>
                <w:color w:val="000000"/>
                <w:sz w:val="20"/>
                <w:szCs w:val="20"/>
              </w:rPr>
            </w:pPr>
            <w:r>
              <w:rPr>
                <w:color w:val="000000"/>
                <w:sz w:val="20"/>
                <w:szCs w:val="20"/>
              </w:rPr>
              <w:t>2430</w:t>
            </w:r>
          </w:p>
        </w:tc>
        <w:tc>
          <w:tcPr>
            <w:tcW w:w="733" w:type="pct"/>
            <w:shd w:val="clear" w:color="auto" w:fill="auto"/>
            <w:noWrap/>
            <w:tcMar>
              <w:left w:w="28" w:type="dxa"/>
              <w:right w:w="28" w:type="dxa"/>
            </w:tcMar>
            <w:vAlign w:val="center"/>
          </w:tcPr>
          <w:p w14:paraId="4B09A5E2">
            <w:pPr>
              <w:spacing w:after="0" w:line="240" w:lineRule="auto"/>
              <w:ind w:firstLine="0"/>
              <w:jc w:val="center"/>
              <w:rPr>
                <w:color w:val="000000"/>
                <w:sz w:val="20"/>
                <w:szCs w:val="20"/>
              </w:rPr>
            </w:pPr>
            <w:r>
              <w:rPr>
                <w:color w:val="000000"/>
                <w:sz w:val="20"/>
                <w:szCs w:val="20"/>
              </w:rPr>
              <w:t>-</w:t>
            </w:r>
          </w:p>
        </w:tc>
      </w:tr>
      <w:tr w14:paraId="176A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2E47012">
            <w:pPr>
              <w:spacing w:after="0" w:line="240" w:lineRule="auto"/>
              <w:ind w:firstLine="0"/>
              <w:rPr>
                <w:color w:val="000000"/>
                <w:sz w:val="20"/>
                <w:szCs w:val="20"/>
              </w:rPr>
            </w:pPr>
            <w:r>
              <w:rPr>
                <w:color w:val="000000"/>
                <w:sz w:val="20"/>
                <w:szCs w:val="20"/>
              </w:rPr>
              <w:t>Изменение отложенных налоговых активов</w:t>
            </w:r>
          </w:p>
        </w:tc>
        <w:tc>
          <w:tcPr>
            <w:tcW w:w="442" w:type="pct"/>
            <w:shd w:val="clear" w:color="auto" w:fill="auto"/>
            <w:noWrap/>
            <w:tcMar>
              <w:left w:w="28" w:type="dxa"/>
              <w:right w:w="28" w:type="dxa"/>
            </w:tcMar>
            <w:vAlign w:val="center"/>
          </w:tcPr>
          <w:p w14:paraId="564C50B1">
            <w:pPr>
              <w:spacing w:after="0" w:line="240" w:lineRule="auto"/>
              <w:ind w:firstLine="0"/>
              <w:jc w:val="center"/>
              <w:rPr>
                <w:color w:val="000000"/>
                <w:sz w:val="20"/>
                <w:szCs w:val="20"/>
              </w:rPr>
            </w:pPr>
            <w:r>
              <w:rPr>
                <w:color w:val="000000"/>
                <w:sz w:val="20"/>
                <w:szCs w:val="20"/>
              </w:rPr>
              <w:t>2450</w:t>
            </w:r>
          </w:p>
        </w:tc>
        <w:tc>
          <w:tcPr>
            <w:tcW w:w="733" w:type="pct"/>
            <w:shd w:val="clear" w:color="auto" w:fill="auto"/>
            <w:noWrap/>
            <w:tcMar>
              <w:left w:w="28" w:type="dxa"/>
              <w:right w:w="28" w:type="dxa"/>
            </w:tcMar>
            <w:vAlign w:val="center"/>
          </w:tcPr>
          <w:p w14:paraId="7F0BC6F3">
            <w:pPr>
              <w:spacing w:after="0" w:line="240" w:lineRule="auto"/>
              <w:ind w:firstLine="0"/>
              <w:jc w:val="center"/>
              <w:rPr>
                <w:color w:val="000000"/>
                <w:sz w:val="20"/>
                <w:szCs w:val="20"/>
              </w:rPr>
            </w:pPr>
            <w:r>
              <w:rPr>
                <w:color w:val="000000"/>
                <w:sz w:val="20"/>
                <w:szCs w:val="20"/>
              </w:rPr>
              <w:t>-</w:t>
            </w:r>
          </w:p>
        </w:tc>
      </w:tr>
      <w:tr w14:paraId="4F59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69B587EE">
            <w:pPr>
              <w:spacing w:after="0" w:line="240" w:lineRule="auto"/>
              <w:ind w:firstLine="0"/>
              <w:rPr>
                <w:color w:val="000000"/>
                <w:sz w:val="20"/>
                <w:szCs w:val="20"/>
              </w:rPr>
            </w:pPr>
            <w:r>
              <w:rPr>
                <w:color w:val="000000"/>
                <w:sz w:val="20"/>
                <w:szCs w:val="20"/>
              </w:rPr>
              <w:t>Прочее</w:t>
            </w:r>
          </w:p>
        </w:tc>
        <w:tc>
          <w:tcPr>
            <w:tcW w:w="442" w:type="pct"/>
            <w:shd w:val="clear" w:color="auto" w:fill="auto"/>
            <w:noWrap/>
            <w:tcMar>
              <w:left w:w="28" w:type="dxa"/>
              <w:right w:w="28" w:type="dxa"/>
            </w:tcMar>
            <w:vAlign w:val="center"/>
          </w:tcPr>
          <w:p w14:paraId="41EFAD84">
            <w:pPr>
              <w:spacing w:after="0" w:line="240" w:lineRule="auto"/>
              <w:ind w:firstLine="0"/>
              <w:jc w:val="center"/>
              <w:rPr>
                <w:color w:val="000000"/>
                <w:sz w:val="20"/>
                <w:szCs w:val="20"/>
              </w:rPr>
            </w:pPr>
            <w:r>
              <w:rPr>
                <w:color w:val="000000"/>
                <w:sz w:val="20"/>
                <w:szCs w:val="20"/>
              </w:rPr>
              <w:t>2460</w:t>
            </w:r>
          </w:p>
        </w:tc>
        <w:tc>
          <w:tcPr>
            <w:tcW w:w="733" w:type="pct"/>
            <w:shd w:val="clear" w:color="auto" w:fill="auto"/>
            <w:noWrap/>
            <w:tcMar>
              <w:left w:w="28" w:type="dxa"/>
              <w:right w:w="28" w:type="dxa"/>
            </w:tcMar>
            <w:vAlign w:val="center"/>
          </w:tcPr>
          <w:p w14:paraId="27AE0492">
            <w:pPr>
              <w:spacing w:after="0" w:line="240" w:lineRule="auto"/>
              <w:ind w:firstLine="0"/>
              <w:jc w:val="center"/>
              <w:rPr>
                <w:color w:val="000000"/>
                <w:sz w:val="20"/>
                <w:szCs w:val="20"/>
              </w:rPr>
            </w:pPr>
            <w:r>
              <w:rPr>
                <w:color w:val="000000"/>
                <w:sz w:val="20"/>
                <w:szCs w:val="20"/>
              </w:rPr>
              <w:t>(19447)</w:t>
            </w:r>
          </w:p>
        </w:tc>
      </w:tr>
      <w:tr w14:paraId="5423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0F2794C">
            <w:pPr>
              <w:spacing w:after="0" w:line="240" w:lineRule="auto"/>
              <w:ind w:firstLine="0"/>
              <w:rPr>
                <w:color w:val="000000"/>
                <w:sz w:val="20"/>
                <w:szCs w:val="20"/>
              </w:rPr>
            </w:pPr>
            <w:r>
              <w:rPr>
                <w:color w:val="000000"/>
                <w:sz w:val="20"/>
                <w:szCs w:val="20"/>
              </w:rPr>
              <w:t>Чистая прибыль (убыток)</w:t>
            </w:r>
          </w:p>
        </w:tc>
        <w:tc>
          <w:tcPr>
            <w:tcW w:w="442" w:type="pct"/>
            <w:shd w:val="clear" w:color="auto" w:fill="auto"/>
            <w:noWrap/>
            <w:tcMar>
              <w:left w:w="28" w:type="dxa"/>
              <w:right w:w="28" w:type="dxa"/>
            </w:tcMar>
            <w:vAlign w:val="center"/>
          </w:tcPr>
          <w:p w14:paraId="00E4A2EF">
            <w:pPr>
              <w:spacing w:after="0" w:line="240" w:lineRule="auto"/>
              <w:ind w:firstLine="0"/>
              <w:jc w:val="center"/>
              <w:rPr>
                <w:color w:val="000000"/>
                <w:sz w:val="20"/>
                <w:szCs w:val="20"/>
              </w:rPr>
            </w:pPr>
            <w:r>
              <w:rPr>
                <w:color w:val="000000"/>
                <w:sz w:val="20"/>
                <w:szCs w:val="20"/>
              </w:rPr>
              <w:t>2400</w:t>
            </w:r>
          </w:p>
        </w:tc>
        <w:tc>
          <w:tcPr>
            <w:tcW w:w="733" w:type="pct"/>
            <w:shd w:val="clear" w:color="auto" w:fill="auto"/>
            <w:noWrap/>
            <w:tcMar>
              <w:left w:w="28" w:type="dxa"/>
              <w:right w:w="28" w:type="dxa"/>
            </w:tcMar>
            <w:vAlign w:val="center"/>
          </w:tcPr>
          <w:p w14:paraId="04A4F1A3">
            <w:pPr>
              <w:spacing w:after="0" w:line="240" w:lineRule="auto"/>
              <w:ind w:firstLine="0"/>
              <w:jc w:val="center"/>
              <w:rPr>
                <w:color w:val="000000"/>
                <w:sz w:val="20"/>
                <w:szCs w:val="20"/>
              </w:rPr>
            </w:pPr>
            <w:r>
              <w:rPr>
                <w:color w:val="000000"/>
                <w:sz w:val="20"/>
                <w:szCs w:val="20"/>
              </w:rPr>
              <w:t>5408857</w:t>
            </w:r>
          </w:p>
        </w:tc>
      </w:tr>
      <w:tr w14:paraId="437D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noWrap/>
            <w:tcMar>
              <w:left w:w="28" w:type="dxa"/>
              <w:right w:w="28" w:type="dxa"/>
            </w:tcMar>
            <w:vAlign w:val="center"/>
          </w:tcPr>
          <w:p w14:paraId="61C787E8">
            <w:pPr>
              <w:spacing w:after="0" w:line="240" w:lineRule="auto"/>
              <w:ind w:firstLine="0"/>
              <w:jc w:val="center"/>
              <w:rPr>
                <w:bCs/>
                <w:color w:val="000000"/>
                <w:sz w:val="20"/>
                <w:szCs w:val="20"/>
              </w:rPr>
            </w:pPr>
            <w:r>
              <w:rPr>
                <w:bCs/>
                <w:color w:val="000000"/>
                <w:sz w:val="20"/>
                <w:szCs w:val="20"/>
              </w:rPr>
              <w:t>СПРАВОЧНО</w:t>
            </w:r>
          </w:p>
        </w:tc>
      </w:tr>
      <w:tr w14:paraId="6D46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1B56A161">
            <w:pPr>
              <w:spacing w:after="0" w:line="240" w:lineRule="auto"/>
              <w:ind w:firstLine="0"/>
              <w:rPr>
                <w:color w:val="000000"/>
                <w:sz w:val="20"/>
                <w:szCs w:val="20"/>
              </w:rPr>
            </w:pPr>
            <w:r>
              <w:rPr>
                <w:color w:val="000000"/>
                <w:sz w:val="20"/>
                <w:szCs w:val="20"/>
              </w:rPr>
              <w:t>Результат от переоценки внеоборотных активов, не включаемый в чистую прибыль (убыток) периода</w:t>
            </w:r>
          </w:p>
        </w:tc>
        <w:tc>
          <w:tcPr>
            <w:tcW w:w="442" w:type="pct"/>
            <w:shd w:val="clear" w:color="auto" w:fill="auto"/>
            <w:noWrap/>
            <w:tcMar>
              <w:left w:w="28" w:type="dxa"/>
              <w:right w:w="28" w:type="dxa"/>
            </w:tcMar>
            <w:vAlign w:val="center"/>
          </w:tcPr>
          <w:p w14:paraId="4252D08F">
            <w:pPr>
              <w:spacing w:after="0" w:line="240" w:lineRule="auto"/>
              <w:ind w:firstLine="0"/>
              <w:jc w:val="center"/>
              <w:rPr>
                <w:color w:val="000000"/>
                <w:sz w:val="20"/>
                <w:szCs w:val="20"/>
              </w:rPr>
            </w:pPr>
            <w:r>
              <w:rPr>
                <w:color w:val="000000"/>
                <w:sz w:val="20"/>
                <w:szCs w:val="20"/>
              </w:rPr>
              <w:t>2510</w:t>
            </w:r>
          </w:p>
        </w:tc>
        <w:tc>
          <w:tcPr>
            <w:tcW w:w="733" w:type="pct"/>
            <w:shd w:val="clear" w:color="auto" w:fill="auto"/>
            <w:noWrap/>
            <w:tcMar>
              <w:left w:w="28" w:type="dxa"/>
              <w:right w:w="28" w:type="dxa"/>
            </w:tcMar>
            <w:vAlign w:val="center"/>
          </w:tcPr>
          <w:p w14:paraId="3545A6C5">
            <w:pPr>
              <w:spacing w:after="0" w:line="240" w:lineRule="auto"/>
              <w:ind w:firstLine="0"/>
              <w:jc w:val="center"/>
              <w:rPr>
                <w:color w:val="000000"/>
                <w:sz w:val="20"/>
                <w:szCs w:val="20"/>
              </w:rPr>
            </w:pPr>
            <w:r>
              <w:rPr>
                <w:color w:val="000000"/>
                <w:sz w:val="20"/>
                <w:szCs w:val="20"/>
              </w:rPr>
              <w:t>-</w:t>
            </w:r>
          </w:p>
        </w:tc>
      </w:tr>
      <w:tr w14:paraId="5050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3B33B2FF">
            <w:pPr>
              <w:spacing w:after="0" w:line="240" w:lineRule="auto"/>
              <w:ind w:firstLine="0"/>
              <w:rPr>
                <w:color w:val="000000"/>
                <w:sz w:val="20"/>
                <w:szCs w:val="20"/>
              </w:rPr>
            </w:pPr>
            <w:r>
              <w:rPr>
                <w:color w:val="000000"/>
                <w:sz w:val="20"/>
                <w:szCs w:val="20"/>
              </w:rPr>
              <w:t>Результат от прочих операций, не включаемый в чистую прибыль (убыток) периода</w:t>
            </w:r>
          </w:p>
        </w:tc>
        <w:tc>
          <w:tcPr>
            <w:tcW w:w="442" w:type="pct"/>
            <w:shd w:val="clear" w:color="auto" w:fill="auto"/>
            <w:noWrap/>
            <w:tcMar>
              <w:left w:w="28" w:type="dxa"/>
              <w:right w:w="28" w:type="dxa"/>
            </w:tcMar>
            <w:vAlign w:val="center"/>
          </w:tcPr>
          <w:p w14:paraId="649CD5FA">
            <w:pPr>
              <w:spacing w:after="0" w:line="240" w:lineRule="auto"/>
              <w:ind w:firstLine="0"/>
              <w:jc w:val="center"/>
              <w:rPr>
                <w:color w:val="000000"/>
                <w:sz w:val="20"/>
                <w:szCs w:val="20"/>
              </w:rPr>
            </w:pPr>
            <w:r>
              <w:rPr>
                <w:color w:val="000000"/>
                <w:sz w:val="20"/>
                <w:szCs w:val="20"/>
              </w:rPr>
              <w:t>2520</w:t>
            </w:r>
          </w:p>
        </w:tc>
        <w:tc>
          <w:tcPr>
            <w:tcW w:w="733" w:type="pct"/>
            <w:shd w:val="clear" w:color="auto" w:fill="auto"/>
            <w:noWrap/>
            <w:tcMar>
              <w:left w:w="28" w:type="dxa"/>
              <w:right w:w="28" w:type="dxa"/>
            </w:tcMar>
            <w:vAlign w:val="center"/>
          </w:tcPr>
          <w:p w14:paraId="4E0AA98B">
            <w:pPr>
              <w:spacing w:after="0" w:line="240" w:lineRule="auto"/>
              <w:ind w:firstLine="0"/>
              <w:jc w:val="center"/>
              <w:rPr>
                <w:color w:val="000000"/>
                <w:sz w:val="20"/>
                <w:szCs w:val="20"/>
              </w:rPr>
            </w:pPr>
            <w:r>
              <w:rPr>
                <w:color w:val="000000"/>
                <w:sz w:val="20"/>
                <w:szCs w:val="20"/>
              </w:rPr>
              <w:t>-</w:t>
            </w:r>
          </w:p>
        </w:tc>
      </w:tr>
      <w:tr w14:paraId="7A5A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5" w:type="pct"/>
            <w:shd w:val="clear" w:color="auto" w:fill="auto"/>
            <w:noWrap/>
            <w:tcMar>
              <w:left w:w="28" w:type="dxa"/>
              <w:right w:w="28" w:type="dxa"/>
            </w:tcMar>
            <w:vAlign w:val="center"/>
          </w:tcPr>
          <w:p w14:paraId="755194BA">
            <w:pPr>
              <w:spacing w:after="0" w:line="240" w:lineRule="auto"/>
              <w:ind w:firstLine="0"/>
              <w:rPr>
                <w:color w:val="000000"/>
                <w:sz w:val="20"/>
                <w:szCs w:val="20"/>
              </w:rPr>
            </w:pPr>
            <w:r>
              <w:rPr>
                <w:color w:val="000000"/>
                <w:sz w:val="20"/>
                <w:szCs w:val="20"/>
              </w:rPr>
              <w:t>Совокупный финансовый результат периода</w:t>
            </w:r>
          </w:p>
        </w:tc>
        <w:tc>
          <w:tcPr>
            <w:tcW w:w="442" w:type="pct"/>
            <w:shd w:val="clear" w:color="auto" w:fill="auto"/>
            <w:noWrap/>
            <w:tcMar>
              <w:left w:w="28" w:type="dxa"/>
              <w:right w:w="28" w:type="dxa"/>
            </w:tcMar>
            <w:vAlign w:val="center"/>
          </w:tcPr>
          <w:p w14:paraId="6B9FB11A">
            <w:pPr>
              <w:spacing w:after="0" w:line="240" w:lineRule="auto"/>
              <w:ind w:firstLine="0"/>
              <w:jc w:val="center"/>
              <w:rPr>
                <w:color w:val="000000"/>
                <w:sz w:val="20"/>
                <w:szCs w:val="20"/>
              </w:rPr>
            </w:pPr>
            <w:r>
              <w:rPr>
                <w:color w:val="000000"/>
                <w:sz w:val="20"/>
                <w:szCs w:val="20"/>
              </w:rPr>
              <w:t>2500</w:t>
            </w:r>
          </w:p>
        </w:tc>
        <w:tc>
          <w:tcPr>
            <w:tcW w:w="733" w:type="pct"/>
            <w:shd w:val="clear" w:color="auto" w:fill="auto"/>
            <w:noWrap/>
            <w:tcMar>
              <w:left w:w="28" w:type="dxa"/>
              <w:right w:w="28" w:type="dxa"/>
            </w:tcMar>
            <w:vAlign w:val="center"/>
          </w:tcPr>
          <w:p w14:paraId="64844A48">
            <w:pPr>
              <w:spacing w:after="0" w:line="240" w:lineRule="auto"/>
              <w:ind w:firstLine="0"/>
              <w:jc w:val="center"/>
              <w:rPr>
                <w:color w:val="000000"/>
                <w:sz w:val="20"/>
                <w:szCs w:val="20"/>
              </w:rPr>
            </w:pPr>
            <w:r>
              <w:rPr>
                <w:color w:val="000000"/>
                <w:sz w:val="20"/>
                <w:szCs w:val="20"/>
              </w:rPr>
              <w:t>5408857</w:t>
            </w:r>
          </w:p>
        </w:tc>
      </w:tr>
    </w:tbl>
    <w:p w14:paraId="4EB8A534">
      <w:pPr>
        <w:widowControl w:val="0"/>
        <w:spacing w:after="0" w:line="240" w:lineRule="auto"/>
        <w:ind w:firstLine="0"/>
        <w:contextualSpacing/>
        <w:jc w:val="both"/>
        <w:rPr>
          <w:sz w:val="24"/>
          <w:szCs w:val="24"/>
        </w:rPr>
      </w:pPr>
    </w:p>
    <w:p w14:paraId="11BBCEBB">
      <w:pPr>
        <w:pStyle w:val="4"/>
        <w:spacing w:before="0" w:line="240" w:lineRule="auto"/>
        <w:ind w:left="0" w:firstLine="709"/>
        <w:contextualSpacing/>
        <w:rPr>
          <w:rFonts w:cs="Times New Roman"/>
          <w:b w:val="0"/>
          <w:sz w:val="24"/>
        </w:rPr>
      </w:pPr>
      <w:bookmarkStart w:id="287" w:name="_Toc524614812"/>
      <w:bookmarkStart w:id="288" w:name="_Toc524615028"/>
      <w:bookmarkStart w:id="289" w:name="_Toc15640845"/>
      <w:bookmarkStart w:id="290" w:name="_Toc182813942"/>
      <w:bookmarkStart w:id="291" w:name="_Hlk15651376"/>
      <w:r>
        <w:rPr>
          <w:rFonts w:cs="Times New Roman"/>
          <w:b w:val="0"/>
          <w:sz w:val="24"/>
        </w:rPr>
        <w:t xml:space="preserve">Описание изменений </w:t>
      </w:r>
      <w:bookmarkEnd w:id="287"/>
      <w:bookmarkEnd w:id="288"/>
      <w:r>
        <w:rPr>
          <w:rFonts w:cs="Times New Roman"/>
          <w:b w:val="0"/>
          <w:sz w:val="24"/>
        </w:rP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bookmarkEnd w:id="289"/>
      <w:bookmarkEnd w:id="290"/>
    </w:p>
    <w:bookmarkEnd w:id="291"/>
    <w:p w14:paraId="7EA40A28">
      <w:pPr>
        <w:spacing w:after="0" w:line="240" w:lineRule="auto"/>
        <w:contextualSpacing/>
        <w:jc w:val="both"/>
        <w:rPr>
          <w:sz w:val="24"/>
          <w:szCs w:val="24"/>
        </w:rPr>
      </w:pPr>
      <w:r>
        <w:rPr>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1788F09E">
      <w:pPr>
        <w:spacing w:after="0" w:line="240" w:lineRule="auto"/>
        <w:contextualSpacing/>
        <w:jc w:val="both"/>
        <w:rPr>
          <w:sz w:val="24"/>
          <w:szCs w:val="24"/>
        </w:rPr>
      </w:pPr>
    </w:p>
    <w:p w14:paraId="4568E230">
      <w:pPr>
        <w:pStyle w:val="3"/>
        <w:keepLines w:val="0"/>
        <w:pageBreakBefore/>
        <w:widowControl w:val="0"/>
        <w:spacing w:before="0" w:line="240" w:lineRule="auto"/>
        <w:ind w:left="0" w:firstLine="709"/>
        <w:contextualSpacing/>
        <w:rPr>
          <w:rFonts w:cs="Times New Roman"/>
          <w:b w:val="0"/>
          <w:sz w:val="24"/>
          <w:szCs w:val="24"/>
        </w:rPr>
      </w:pPr>
      <w:bookmarkStart w:id="292" w:name="_Toc524614813"/>
      <w:bookmarkStart w:id="293" w:name="_Toc524615029"/>
      <w:bookmarkStart w:id="294" w:name="_Toc182813943"/>
      <w:r>
        <w:rPr>
          <w:rFonts w:cs="Times New Roman"/>
          <w:b w:val="0"/>
          <w:sz w:val="24"/>
          <w:szCs w:val="24"/>
        </w:rPr>
        <w:t>Часть 11. Цены (тарифы) в сфере теплоснабжения</w:t>
      </w:r>
      <w:bookmarkEnd w:id="292"/>
      <w:bookmarkEnd w:id="293"/>
      <w:bookmarkEnd w:id="294"/>
    </w:p>
    <w:p w14:paraId="46DAD4AE">
      <w:pPr>
        <w:pStyle w:val="4"/>
        <w:spacing w:before="0" w:line="240" w:lineRule="auto"/>
        <w:ind w:left="0" w:firstLine="709"/>
        <w:contextualSpacing/>
        <w:rPr>
          <w:rFonts w:cs="Times New Roman"/>
          <w:b w:val="0"/>
          <w:sz w:val="24"/>
        </w:rPr>
      </w:pPr>
      <w:bookmarkStart w:id="295" w:name="_Toc524615030"/>
      <w:bookmarkStart w:id="296" w:name="_Toc524614814"/>
      <w:bookmarkStart w:id="297" w:name="_Toc182813944"/>
      <w:r>
        <w:rPr>
          <w:rFonts w:cs="Times New Roman"/>
          <w:b w:val="0"/>
          <w:sz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295"/>
      <w:bookmarkEnd w:id="296"/>
      <w:bookmarkEnd w:id="297"/>
    </w:p>
    <w:p w14:paraId="1F896041">
      <w:pPr>
        <w:spacing w:after="0" w:line="240" w:lineRule="auto"/>
        <w:contextualSpacing/>
        <w:jc w:val="both"/>
        <w:rPr>
          <w:bCs/>
          <w:sz w:val="24"/>
          <w:szCs w:val="24"/>
        </w:rPr>
      </w:pPr>
      <w:r>
        <w:rPr>
          <w:bCs/>
          <w:sz w:val="24"/>
          <w:szCs w:val="24"/>
        </w:rPr>
        <w:t>Установленные одноставочные тарифы на тепловую энергию, поставляемую МУП «БКС» потребителям на территории с.п. Верхнеказымский, приведены в таблице 42.</w:t>
      </w:r>
    </w:p>
    <w:p w14:paraId="315B99B9">
      <w:pPr>
        <w:spacing w:after="0" w:line="240" w:lineRule="auto"/>
        <w:contextualSpacing/>
        <w:jc w:val="both"/>
        <w:rPr>
          <w:bCs/>
          <w:sz w:val="24"/>
          <w:szCs w:val="24"/>
        </w:rPr>
      </w:pPr>
      <w:r>
        <w:rPr>
          <w:color w:val="000000" w:themeColor="text1"/>
          <w:sz w:val="24"/>
          <w:szCs w:val="24"/>
        </w:rPr>
        <w:t xml:space="preserve">Сведения по тарифам на тепловую энергию для </w:t>
      </w:r>
      <w:r>
        <w:rPr>
          <w:sz w:val="24"/>
          <w:szCs w:val="24"/>
        </w:rPr>
        <w:t>Верхнеказымское ЛПУ МГ представлены в таблице 43.</w:t>
      </w:r>
    </w:p>
    <w:p w14:paraId="68B22C35">
      <w:pPr>
        <w:spacing w:after="0" w:line="240" w:lineRule="auto"/>
        <w:ind w:firstLine="851"/>
        <w:contextualSpacing/>
        <w:jc w:val="both"/>
        <w:rPr>
          <w:bCs/>
          <w:sz w:val="24"/>
          <w:szCs w:val="24"/>
        </w:rPr>
      </w:pPr>
    </w:p>
    <w:p w14:paraId="03E550B4">
      <w:pPr>
        <w:spacing w:after="0" w:line="240" w:lineRule="auto"/>
        <w:ind w:firstLine="0"/>
        <w:contextualSpacing/>
        <w:jc w:val="both"/>
        <w:rPr>
          <w:sz w:val="24"/>
          <w:szCs w:val="24"/>
        </w:rPr>
      </w:pPr>
      <w:r>
        <w:rPr>
          <w:spacing w:val="-2"/>
          <w:sz w:val="24"/>
          <w:szCs w:val="24"/>
        </w:rPr>
        <w:t xml:space="preserve">Таблица </w:t>
      </w:r>
      <w:r>
        <w:rPr>
          <w:spacing w:val="-2"/>
          <w:sz w:val="24"/>
          <w:szCs w:val="24"/>
        </w:rPr>
        <w:fldChar w:fldCharType="begin"/>
      </w:r>
      <w:r>
        <w:rPr>
          <w:spacing w:val="-2"/>
          <w:sz w:val="24"/>
          <w:szCs w:val="24"/>
        </w:rPr>
        <w:instrText xml:space="preserve"> SEQ Таблица \* ARABIC </w:instrText>
      </w:r>
      <w:r>
        <w:rPr>
          <w:spacing w:val="-2"/>
          <w:sz w:val="24"/>
          <w:szCs w:val="24"/>
        </w:rPr>
        <w:fldChar w:fldCharType="separate"/>
      </w:r>
      <w:r>
        <w:rPr>
          <w:spacing w:val="-2"/>
          <w:sz w:val="24"/>
          <w:szCs w:val="24"/>
        </w:rPr>
        <w:t>42</w:t>
      </w:r>
      <w:r>
        <w:rPr>
          <w:spacing w:val="-2"/>
          <w:sz w:val="24"/>
          <w:szCs w:val="24"/>
        </w:rPr>
        <w:fldChar w:fldCharType="end"/>
      </w:r>
      <w:r>
        <w:rPr>
          <w:spacing w:val="-2"/>
          <w:sz w:val="24"/>
          <w:szCs w:val="24"/>
        </w:rPr>
        <w:t xml:space="preserve"> – </w:t>
      </w:r>
      <w:r>
        <w:rPr>
          <w:sz w:val="24"/>
          <w:szCs w:val="24"/>
        </w:rPr>
        <w:t>Установленные одноставочные тарифы на тепловую энергию, поставляемую МУП «БКС» потребителям на территории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3047"/>
        <w:gridCol w:w="3147"/>
      </w:tblGrid>
      <w:tr w14:paraId="5C8D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1D8B4D8">
            <w:pPr>
              <w:spacing w:after="0" w:line="240" w:lineRule="auto"/>
              <w:ind w:firstLine="0"/>
              <w:contextualSpacing/>
              <w:jc w:val="center"/>
              <w:rPr>
                <w:color w:val="000000"/>
                <w:sz w:val="20"/>
                <w:szCs w:val="20"/>
              </w:rPr>
            </w:pPr>
            <w:r>
              <w:rPr>
                <w:color w:val="000000"/>
                <w:sz w:val="20"/>
                <w:szCs w:val="20"/>
              </w:rPr>
              <w:t>Показатель</w:t>
            </w:r>
          </w:p>
        </w:tc>
        <w:tc>
          <w:tcPr>
            <w:tcW w:w="1546" w:type="pct"/>
            <w:shd w:val="clear" w:color="auto" w:fill="auto"/>
            <w:vAlign w:val="center"/>
          </w:tcPr>
          <w:p w14:paraId="0749B8D4">
            <w:pPr>
              <w:spacing w:after="0" w:line="240" w:lineRule="auto"/>
              <w:ind w:firstLine="0"/>
              <w:contextualSpacing/>
              <w:jc w:val="center"/>
              <w:rPr>
                <w:color w:val="000000"/>
                <w:sz w:val="20"/>
                <w:szCs w:val="20"/>
              </w:rPr>
            </w:pPr>
            <w:r>
              <w:rPr>
                <w:color w:val="000000"/>
                <w:sz w:val="20"/>
                <w:szCs w:val="20"/>
              </w:rPr>
              <w:t>с 1 января по 30 июня</w:t>
            </w:r>
          </w:p>
        </w:tc>
        <w:tc>
          <w:tcPr>
            <w:tcW w:w="1597" w:type="pct"/>
            <w:shd w:val="clear" w:color="auto" w:fill="auto"/>
            <w:vAlign w:val="center"/>
          </w:tcPr>
          <w:p w14:paraId="41F63EAF">
            <w:pPr>
              <w:spacing w:after="0" w:line="240" w:lineRule="auto"/>
              <w:ind w:firstLine="0"/>
              <w:contextualSpacing/>
              <w:jc w:val="center"/>
              <w:rPr>
                <w:color w:val="000000"/>
                <w:sz w:val="20"/>
                <w:szCs w:val="20"/>
              </w:rPr>
            </w:pPr>
            <w:r>
              <w:rPr>
                <w:color w:val="000000"/>
                <w:sz w:val="20"/>
                <w:szCs w:val="20"/>
              </w:rPr>
              <w:t>с 1июля по 31 декабря</w:t>
            </w:r>
          </w:p>
        </w:tc>
      </w:tr>
      <w:tr w14:paraId="29F8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09CC9132">
            <w:pPr>
              <w:spacing w:after="0" w:line="240" w:lineRule="auto"/>
              <w:ind w:firstLine="0"/>
              <w:contextualSpacing/>
              <w:jc w:val="center"/>
              <w:rPr>
                <w:color w:val="000000"/>
                <w:sz w:val="20"/>
                <w:szCs w:val="20"/>
              </w:rPr>
            </w:pPr>
            <w:r>
              <w:rPr>
                <w:color w:val="000000"/>
                <w:sz w:val="20"/>
                <w:szCs w:val="20"/>
              </w:rPr>
              <w:t>Тариф для потребителей, в случае отсутствия дифференциации тарифов по схеме подключения (без НДС), руб./Гкал</w:t>
            </w:r>
          </w:p>
        </w:tc>
      </w:tr>
      <w:tr w14:paraId="6B51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221783D">
            <w:pPr>
              <w:spacing w:after="0" w:line="240" w:lineRule="auto"/>
              <w:ind w:firstLine="0"/>
              <w:contextualSpacing/>
              <w:jc w:val="center"/>
              <w:rPr>
                <w:color w:val="000000"/>
                <w:sz w:val="20"/>
                <w:szCs w:val="20"/>
              </w:rPr>
            </w:pPr>
            <w:r>
              <w:rPr>
                <w:color w:val="000000"/>
                <w:sz w:val="20"/>
                <w:szCs w:val="20"/>
              </w:rPr>
              <w:t>2023</w:t>
            </w:r>
          </w:p>
        </w:tc>
        <w:tc>
          <w:tcPr>
            <w:tcW w:w="1546" w:type="pct"/>
            <w:shd w:val="clear" w:color="auto" w:fill="auto"/>
            <w:vAlign w:val="center"/>
          </w:tcPr>
          <w:p w14:paraId="5E0E64E3">
            <w:pPr>
              <w:spacing w:after="0" w:line="240" w:lineRule="auto"/>
              <w:ind w:firstLine="0"/>
              <w:contextualSpacing/>
              <w:jc w:val="center"/>
              <w:rPr>
                <w:color w:val="000000"/>
                <w:sz w:val="20"/>
                <w:szCs w:val="20"/>
              </w:rPr>
            </w:pPr>
            <w:r>
              <w:rPr>
                <w:color w:val="000000"/>
                <w:sz w:val="20"/>
                <w:szCs w:val="20"/>
              </w:rPr>
              <w:t>1209,43</w:t>
            </w:r>
          </w:p>
        </w:tc>
        <w:tc>
          <w:tcPr>
            <w:tcW w:w="1597" w:type="pct"/>
            <w:shd w:val="clear" w:color="auto" w:fill="auto"/>
            <w:vAlign w:val="center"/>
          </w:tcPr>
          <w:p w14:paraId="7EAF7A49">
            <w:pPr>
              <w:spacing w:after="0" w:line="240" w:lineRule="auto"/>
              <w:ind w:firstLine="0"/>
              <w:contextualSpacing/>
              <w:jc w:val="center"/>
              <w:rPr>
                <w:color w:val="000000"/>
                <w:sz w:val="20"/>
                <w:szCs w:val="20"/>
              </w:rPr>
            </w:pPr>
            <w:r>
              <w:rPr>
                <w:color w:val="000000"/>
                <w:sz w:val="20"/>
                <w:szCs w:val="20"/>
              </w:rPr>
              <w:t>1209,43</w:t>
            </w:r>
          </w:p>
        </w:tc>
      </w:tr>
      <w:tr w14:paraId="03C1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5A5871AD">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395C292F">
            <w:pPr>
              <w:spacing w:after="0" w:line="240" w:lineRule="auto"/>
              <w:ind w:firstLine="0"/>
              <w:contextualSpacing/>
              <w:jc w:val="center"/>
              <w:rPr>
                <w:color w:val="000000"/>
                <w:sz w:val="20"/>
                <w:szCs w:val="20"/>
              </w:rPr>
            </w:pPr>
            <w:r>
              <w:rPr>
                <w:color w:val="000000"/>
                <w:sz w:val="20"/>
                <w:szCs w:val="20"/>
              </w:rPr>
              <w:t>1209,43</w:t>
            </w:r>
          </w:p>
        </w:tc>
        <w:tc>
          <w:tcPr>
            <w:tcW w:w="1597" w:type="pct"/>
            <w:shd w:val="clear" w:color="auto" w:fill="auto"/>
            <w:vAlign w:val="center"/>
          </w:tcPr>
          <w:p w14:paraId="1948BEAF">
            <w:pPr>
              <w:spacing w:after="0" w:line="240" w:lineRule="auto"/>
              <w:ind w:firstLine="0"/>
              <w:contextualSpacing/>
              <w:jc w:val="center"/>
              <w:rPr>
                <w:color w:val="000000"/>
                <w:sz w:val="20"/>
                <w:szCs w:val="20"/>
              </w:rPr>
            </w:pPr>
            <w:r>
              <w:rPr>
                <w:color w:val="000000"/>
                <w:sz w:val="20"/>
                <w:szCs w:val="20"/>
              </w:rPr>
              <w:t>1325,54</w:t>
            </w:r>
          </w:p>
        </w:tc>
      </w:tr>
      <w:tr w14:paraId="3FD3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4F0266A5">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5FECC682">
            <w:pPr>
              <w:spacing w:after="0" w:line="240" w:lineRule="auto"/>
              <w:ind w:firstLine="0"/>
              <w:contextualSpacing/>
              <w:jc w:val="center"/>
              <w:rPr>
                <w:color w:val="000000"/>
                <w:sz w:val="20"/>
                <w:szCs w:val="20"/>
              </w:rPr>
            </w:pPr>
            <w:r>
              <w:rPr>
                <w:color w:val="000000"/>
                <w:sz w:val="20"/>
                <w:szCs w:val="20"/>
              </w:rPr>
              <w:t>1325,54</w:t>
            </w:r>
          </w:p>
        </w:tc>
        <w:tc>
          <w:tcPr>
            <w:tcW w:w="1597" w:type="pct"/>
            <w:shd w:val="clear" w:color="auto" w:fill="auto"/>
            <w:vAlign w:val="center"/>
          </w:tcPr>
          <w:p w14:paraId="23237080">
            <w:pPr>
              <w:spacing w:after="0" w:line="240" w:lineRule="auto"/>
              <w:ind w:firstLine="0"/>
              <w:contextualSpacing/>
              <w:jc w:val="center"/>
              <w:rPr>
                <w:color w:val="000000"/>
                <w:sz w:val="20"/>
                <w:szCs w:val="20"/>
              </w:rPr>
            </w:pPr>
            <w:r>
              <w:rPr>
                <w:color w:val="000000"/>
                <w:sz w:val="20"/>
                <w:szCs w:val="20"/>
              </w:rPr>
              <w:t>1401,08</w:t>
            </w:r>
          </w:p>
        </w:tc>
      </w:tr>
      <w:tr w14:paraId="6E47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6250D651">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6000A432">
            <w:pPr>
              <w:spacing w:after="0" w:line="240" w:lineRule="auto"/>
              <w:ind w:firstLine="0"/>
              <w:contextualSpacing/>
              <w:jc w:val="center"/>
              <w:rPr>
                <w:color w:val="000000"/>
                <w:sz w:val="20"/>
                <w:szCs w:val="20"/>
              </w:rPr>
            </w:pPr>
            <w:r>
              <w:rPr>
                <w:color w:val="000000"/>
                <w:sz w:val="20"/>
                <w:szCs w:val="20"/>
              </w:rPr>
              <w:t>1401,08</w:t>
            </w:r>
          </w:p>
        </w:tc>
        <w:tc>
          <w:tcPr>
            <w:tcW w:w="1597" w:type="pct"/>
            <w:shd w:val="clear" w:color="auto" w:fill="auto"/>
            <w:vAlign w:val="center"/>
          </w:tcPr>
          <w:p w14:paraId="02CFA854">
            <w:pPr>
              <w:spacing w:after="0" w:line="240" w:lineRule="auto"/>
              <w:ind w:firstLine="0"/>
              <w:contextualSpacing/>
              <w:jc w:val="center"/>
              <w:rPr>
                <w:color w:val="000000"/>
                <w:sz w:val="20"/>
                <w:szCs w:val="20"/>
              </w:rPr>
            </w:pPr>
            <w:r>
              <w:rPr>
                <w:color w:val="000000"/>
                <w:sz w:val="20"/>
                <w:szCs w:val="20"/>
              </w:rPr>
              <w:t>1457,11</w:t>
            </w:r>
          </w:p>
        </w:tc>
      </w:tr>
      <w:tr w14:paraId="7A4A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595228F4">
            <w:pPr>
              <w:spacing w:after="0" w:line="240" w:lineRule="auto"/>
              <w:ind w:firstLine="0"/>
              <w:contextualSpacing/>
              <w:jc w:val="center"/>
              <w:rPr>
                <w:color w:val="000000"/>
                <w:sz w:val="20"/>
                <w:szCs w:val="20"/>
              </w:rPr>
            </w:pPr>
            <w:r>
              <w:rPr>
                <w:color w:val="000000"/>
                <w:sz w:val="20"/>
                <w:szCs w:val="20"/>
              </w:rPr>
              <w:t>Тариф для населения (с учетом НДС), руб./Гкал</w:t>
            </w:r>
          </w:p>
        </w:tc>
      </w:tr>
      <w:tr w14:paraId="657E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38A358C">
            <w:pPr>
              <w:spacing w:after="0" w:line="240" w:lineRule="auto"/>
              <w:ind w:firstLine="0"/>
              <w:contextualSpacing/>
              <w:jc w:val="center"/>
              <w:rPr>
                <w:color w:val="000000"/>
                <w:sz w:val="20"/>
                <w:szCs w:val="20"/>
              </w:rPr>
            </w:pPr>
            <w:r>
              <w:rPr>
                <w:color w:val="000000"/>
                <w:sz w:val="20"/>
                <w:szCs w:val="20"/>
              </w:rPr>
              <w:t>2023</w:t>
            </w:r>
          </w:p>
        </w:tc>
        <w:tc>
          <w:tcPr>
            <w:tcW w:w="1546" w:type="pct"/>
            <w:shd w:val="clear" w:color="auto" w:fill="auto"/>
            <w:vAlign w:val="center"/>
          </w:tcPr>
          <w:p w14:paraId="4F748B75">
            <w:pPr>
              <w:spacing w:after="0" w:line="240" w:lineRule="auto"/>
              <w:ind w:firstLine="0"/>
              <w:contextualSpacing/>
              <w:jc w:val="center"/>
              <w:rPr>
                <w:color w:val="000000"/>
                <w:sz w:val="20"/>
                <w:szCs w:val="20"/>
              </w:rPr>
            </w:pPr>
            <w:r>
              <w:rPr>
                <w:color w:val="000000"/>
                <w:sz w:val="20"/>
                <w:szCs w:val="20"/>
              </w:rPr>
              <w:t>1451,32</w:t>
            </w:r>
          </w:p>
        </w:tc>
        <w:tc>
          <w:tcPr>
            <w:tcW w:w="1597" w:type="pct"/>
            <w:shd w:val="clear" w:color="auto" w:fill="auto"/>
            <w:vAlign w:val="center"/>
          </w:tcPr>
          <w:p w14:paraId="7580C3F0">
            <w:pPr>
              <w:spacing w:after="0" w:line="240" w:lineRule="auto"/>
              <w:ind w:firstLine="0"/>
              <w:contextualSpacing/>
              <w:jc w:val="center"/>
              <w:rPr>
                <w:color w:val="000000"/>
                <w:sz w:val="20"/>
                <w:szCs w:val="20"/>
              </w:rPr>
            </w:pPr>
            <w:r>
              <w:rPr>
                <w:color w:val="000000"/>
                <w:sz w:val="20"/>
                <w:szCs w:val="20"/>
              </w:rPr>
              <w:t>1451,32</w:t>
            </w:r>
          </w:p>
        </w:tc>
      </w:tr>
      <w:tr w14:paraId="0B6D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57694635">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06766B21">
            <w:pPr>
              <w:spacing w:after="0" w:line="240" w:lineRule="auto"/>
              <w:ind w:firstLine="0"/>
              <w:contextualSpacing/>
              <w:jc w:val="center"/>
              <w:rPr>
                <w:color w:val="000000"/>
                <w:sz w:val="20"/>
                <w:szCs w:val="20"/>
              </w:rPr>
            </w:pPr>
            <w:r>
              <w:rPr>
                <w:color w:val="000000"/>
                <w:sz w:val="20"/>
                <w:szCs w:val="20"/>
              </w:rPr>
              <w:t>1451,32</w:t>
            </w:r>
          </w:p>
        </w:tc>
        <w:tc>
          <w:tcPr>
            <w:tcW w:w="1597" w:type="pct"/>
            <w:shd w:val="clear" w:color="auto" w:fill="auto"/>
            <w:vAlign w:val="center"/>
          </w:tcPr>
          <w:p w14:paraId="43093970">
            <w:pPr>
              <w:spacing w:after="0" w:line="240" w:lineRule="auto"/>
              <w:ind w:firstLine="0"/>
              <w:contextualSpacing/>
              <w:jc w:val="center"/>
              <w:rPr>
                <w:color w:val="000000"/>
                <w:sz w:val="20"/>
                <w:szCs w:val="20"/>
              </w:rPr>
            </w:pPr>
            <w:r>
              <w:rPr>
                <w:color w:val="000000"/>
                <w:sz w:val="20"/>
                <w:szCs w:val="20"/>
              </w:rPr>
              <w:t>1590,65</w:t>
            </w:r>
          </w:p>
        </w:tc>
      </w:tr>
      <w:tr w14:paraId="2F4A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2C1F209">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72F59DAA">
            <w:pPr>
              <w:spacing w:after="0" w:line="240" w:lineRule="auto"/>
              <w:ind w:firstLine="0"/>
              <w:contextualSpacing/>
              <w:jc w:val="center"/>
              <w:rPr>
                <w:color w:val="000000"/>
                <w:sz w:val="20"/>
                <w:szCs w:val="20"/>
              </w:rPr>
            </w:pPr>
            <w:r>
              <w:rPr>
                <w:color w:val="000000"/>
                <w:sz w:val="20"/>
                <w:szCs w:val="20"/>
              </w:rPr>
              <w:t>1590,65</w:t>
            </w:r>
          </w:p>
        </w:tc>
        <w:tc>
          <w:tcPr>
            <w:tcW w:w="1597" w:type="pct"/>
            <w:shd w:val="clear" w:color="auto" w:fill="auto"/>
            <w:vAlign w:val="center"/>
          </w:tcPr>
          <w:p w14:paraId="1B9AEE58">
            <w:pPr>
              <w:spacing w:after="0" w:line="240" w:lineRule="auto"/>
              <w:ind w:firstLine="0"/>
              <w:contextualSpacing/>
              <w:jc w:val="center"/>
              <w:rPr>
                <w:color w:val="000000"/>
                <w:sz w:val="20"/>
                <w:szCs w:val="20"/>
              </w:rPr>
            </w:pPr>
            <w:r>
              <w:rPr>
                <w:color w:val="000000"/>
                <w:sz w:val="20"/>
                <w:szCs w:val="20"/>
              </w:rPr>
              <w:t>1681,30</w:t>
            </w:r>
          </w:p>
        </w:tc>
      </w:tr>
      <w:tr w14:paraId="1116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4B5DB60A">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2F9E8F29">
            <w:pPr>
              <w:spacing w:after="0" w:line="240" w:lineRule="auto"/>
              <w:ind w:firstLine="0"/>
              <w:contextualSpacing/>
              <w:jc w:val="center"/>
              <w:rPr>
                <w:color w:val="000000"/>
                <w:sz w:val="20"/>
                <w:szCs w:val="20"/>
              </w:rPr>
            </w:pPr>
            <w:r>
              <w:rPr>
                <w:color w:val="000000"/>
                <w:sz w:val="20"/>
                <w:szCs w:val="20"/>
              </w:rPr>
              <w:t>1681,30</w:t>
            </w:r>
          </w:p>
        </w:tc>
        <w:tc>
          <w:tcPr>
            <w:tcW w:w="1597" w:type="pct"/>
            <w:shd w:val="clear" w:color="auto" w:fill="auto"/>
            <w:vAlign w:val="center"/>
          </w:tcPr>
          <w:p w14:paraId="215E0396">
            <w:pPr>
              <w:spacing w:after="0" w:line="240" w:lineRule="auto"/>
              <w:ind w:firstLine="0"/>
              <w:contextualSpacing/>
              <w:jc w:val="center"/>
              <w:rPr>
                <w:color w:val="000000"/>
                <w:sz w:val="20"/>
                <w:szCs w:val="20"/>
              </w:rPr>
            </w:pPr>
            <w:r>
              <w:rPr>
                <w:color w:val="000000"/>
                <w:sz w:val="20"/>
                <w:szCs w:val="20"/>
              </w:rPr>
              <w:t>1748,53</w:t>
            </w:r>
          </w:p>
        </w:tc>
      </w:tr>
    </w:tbl>
    <w:p w14:paraId="671CD240">
      <w:pPr>
        <w:spacing w:after="0" w:line="240" w:lineRule="auto"/>
        <w:ind w:firstLine="0"/>
        <w:contextualSpacing/>
        <w:jc w:val="both"/>
        <w:rPr>
          <w:sz w:val="24"/>
          <w:szCs w:val="24"/>
        </w:rPr>
      </w:pPr>
    </w:p>
    <w:p w14:paraId="119AA852">
      <w:pPr>
        <w:spacing w:after="0" w:line="240" w:lineRule="auto"/>
        <w:ind w:firstLine="0"/>
        <w:contextualSpacing/>
        <w:jc w:val="both"/>
        <w:rPr>
          <w:sz w:val="24"/>
          <w:szCs w:val="24"/>
        </w:rPr>
      </w:pPr>
      <w:r>
        <w:rPr>
          <w:spacing w:val="-2"/>
          <w:sz w:val="24"/>
          <w:szCs w:val="24"/>
        </w:rPr>
        <w:t xml:space="preserve">Таблица </w:t>
      </w:r>
      <w:r>
        <w:rPr>
          <w:spacing w:val="-2"/>
          <w:sz w:val="24"/>
          <w:szCs w:val="24"/>
        </w:rPr>
        <w:fldChar w:fldCharType="begin"/>
      </w:r>
      <w:r>
        <w:rPr>
          <w:spacing w:val="-2"/>
          <w:sz w:val="24"/>
          <w:szCs w:val="24"/>
        </w:rPr>
        <w:instrText xml:space="preserve"> SEQ Таблица \* ARABIC </w:instrText>
      </w:r>
      <w:r>
        <w:rPr>
          <w:spacing w:val="-2"/>
          <w:sz w:val="24"/>
          <w:szCs w:val="24"/>
        </w:rPr>
        <w:fldChar w:fldCharType="separate"/>
      </w:r>
      <w:r>
        <w:rPr>
          <w:spacing w:val="-2"/>
          <w:sz w:val="24"/>
          <w:szCs w:val="24"/>
        </w:rPr>
        <w:t>43</w:t>
      </w:r>
      <w:r>
        <w:rPr>
          <w:spacing w:val="-2"/>
          <w:sz w:val="24"/>
          <w:szCs w:val="24"/>
        </w:rPr>
        <w:fldChar w:fldCharType="end"/>
      </w:r>
      <w:r>
        <w:rPr>
          <w:spacing w:val="-2"/>
          <w:sz w:val="24"/>
          <w:szCs w:val="24"/>
        </w:rPr>
        <w:t xml:space="preserve"> – </w:t>
      </w:r>
      <w:r>
        <w:rPr>
          <w:sz w:val="24"/>
          <w:szCs w:val="24"/>
        </w:rPr>
        <w:t>Сведения по тарифам на тепловую энергию для Верхнеказымское ЛПУ МГ</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3047"/>
        <w:gridCol w:w="3147"/>
      </w:tblGrid>
      <w:tr w14:paraId="54F1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CC51482">
            <w:pPr>
              <w:spacing w:after="0" w:line="240" w:lineRule="auto"/>
              <w:ind w:firstLine="0"/>
              <w:contextualSpacing/>
              <w:jc w:val="center"/>
              <w:rPr>
                <w:color w:val="000000"/>
                <w:sz w:val="20"/>
                <w:szCs w:val="20"/>
              </w:rPr>
            </w:pPr>
            <w:r>
              <w:rPr>
                <w:color w:val="000000"/>
                <w:sz w:val="20"/>
                <w:szCs w:val="20"/>
              </w:rPr>
              <w:t>Показатель</w:t>
            </w:r>
          </w:p>
        </w:tc>
        <w:tc>
          <w:tcPr>
            <w:tcW w:w="1546" w:type="pct"/>
            <w:shd w:val="clear" w:color="auto" w:fill="auto"/>
            <w:vAlign w:val="center"/>
          </w:tcPr>
          <w:p w14:paraId="7726216B">
            <w:pPr>
              <w:spacing w:after="0" w:line="240" w:lineRule="auto"/>
              <w:ind w:firstLine="0"/>
              <w:contextualSpacing/>
              <w:jc w:val="center"/>
              <w:rPr>
                <w:color w:val="000000"/>
                <w:sz w:val="20"/>
                <w:szCs w:val="20"/>
              </w:rPr>
            </w:pPr>
            <w:r>
              <w:rPr>
                <w:color w:val="000000"/>
                <w:sz w:val="20"/>
                <w:szCs w:val="20"/>
              </w:rPr>
              <w:t>с 1 января по 30 июня</w:t>
            </w:r>
          </w:p>
        </w:tc>
        <w:tc>
          <w:tcPr>
            <w:tcW w:w="1597" w:type="pct"/>
            <w:shd w:val="clear" w:color="auto" w:fill="auto"/>
            <w:vAlign w:val="center"/>
          </w:tcPr>
          <w:p w14:paraId="55362ADB">
            <w:pPr>
              <w:spacing w:after="0" w:line="240" w:lineRule="auto"/>
              <w:ind w:firstLine="0"/>
              <w:contextualSpacing/>
              <w:jc w:val="center"/>
              <w:rPr>
                <w:color w:val="000000"/>
                <w:sz w:val="20"/>
                <w:szCs w:val="20"/>
              </w:rPr>
            </w:pPr>
            <w:r>
              <w:rPr>
                <w:color w:val="000000"/>
                <w:sz w:val="20"/>
                <w:szCs w:val="20"/>
              </w:rPr>
              <w:t>с 1июля по 31 декабря</w:t>
            </w:r>
          </w:p>
        </w:tc>
      </w:tr>
      <w:tr w14:paraId="6D7A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65E78CA2">
            <w:pPr>
              <w:spacing w:after="0" w:line="240" w:lineRule="auto"/>
              <w:ind w:firstLine="0"/>
              <w:contextualSpacing/>
              <w:jc w:val="center"/>
              <w:rPr>
                <w:color w:val="000000"/>
                <w:sz w:val="20"/>
                <w:szCs w:val="20"/>
              </w:rPr>
            </w:pPr>
            <w:r>
              <w:rPr>
                <w:color w:val="000000"/>
                <w:sz w:val="20"/>
                <w:szCs w:val="20"/>
              </w:rPr>
              <w:t>Тариф для потребителей, в случае отсутствия дифференциации тарифов по схеме подключения (без НДС), руб./Гкал</w:t>
            </w:r>
          </w:p>
        </w:tc>
      </w:tr>
      <w:tr w14:paraId="7F73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68532392">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2E0B5F74">
            <w:pPr>
              <w:spacing w:after="0" w:line="240" w:lineRule="auto"/>
              <w:ind w:firstLine="0"/>
              <w:contextualSpacing/>
              <w:jc w:val="center"/>
              <w:rPr>
                <w:color w:val="000000"/>
                <w:sz w:val="20"/>
                <w:szCs w:val="20"/>
              </w:rPr>
            </w:pPr>
            <w:r>
              <w:rPr>
                <w:color w:val="000000"/>
                <w:sz w:val="20"/>
                <w:szCs w:val="20"/>
              </w:rPr>
              <w:t>422,30</w:t>
            </w:r>
          </w:p>
        </w:tc>
        <w:tc>
          <w:tcPr>
            <w:tcW w:w="1597" w:type="pct"/>
            <w:shd w:val="clear" w:color="auto" w:fill="auto"/>
            <w:vAlign w:val="center"/>
          </w:tcPr>
          <w:p w14:paraId="36DB794B">
            <w:pPr>
              <w:spacing w:after="0" w:line="240" w:lineRule="auto"/>
              <w:ind w:firstLine="0"/>
              <w:contextualSpacing/>
              <w:jc w:val="center"/>
              <w:rPr>
                <w:color w:val="000000"/>
                <w:sz w:val="20"/>
                <w:szCs w:val="20"/>
              </w:rPr>
            </w:pPr>
            <w:r>
              <w:rPr>
                <w:color w:val="000000"/>
                <w:sz w:val="20"/>
                <w:szCs w:val="20"/>
              </w:rPr>
              <w:t>462,83</w:t>
            </w:r>
          </w:p>
        </w:tc>
      </w:tr>
      <w:tr w14:paraId="410D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6C720C21">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39088178">
            <w:pPr>
              <w:spacing w:after="0" w:line="240" w:lineRule="auto"/>
              <w:ind w:firstLine="0"/>
              <w:contextualSpacing/>
              <w:jc w:val="center"/>
              <w:rPr>
                <w:color w:val="000000"/>
                <w:sz w:val="20"/>
                <w:szCs w:val="20"/>
              </w:rPr>
            </w:pPr>
            <w:r>
              <w:rPr>
                <w:color w:val="000000"/>
                <w:sz w:val="20"/>
                <w:szCs w:val="20"/>
              </w:rPr>
              <w:t>462,83</w:t>
            </w:r>
          </w:p>
        </w:tc>
        <w:tc>
          <w:tcPr>
            <w:tcW w:w="1597" w:type="pct"/>
            <w:shd w:val="clear" w:color="auto" w:fill="auto"/>
            <w:vAlign w:val="center"/>
          </w:tcPr>
          <w:p w14:paraId="26D10F48">
            <w:pPr>
              <w:spacing w:after="0" w:line="240" w:lineRule="auto"/>
              <w:ind w:firstLine="0"/>
              <w:contextualSpacing/>
              <w:jc w:val="center"/>
              <w:rPr>
                <w:color w:val="000000"/>
                <w:sz w:val="20"/>
                <w:szCs w:val="20"/>
              </w:rPr>
            </w:pPr>
            <w:r>
              <w:rPr>
                <w:color w:val="000000"/>
                <w:sz w:val="20"/>
                <w:szCs w:val="20"/>
              </w:rPr>
              <w:t>489,20</w:t>
            </w:r>
          </w:p>
        </w:tc>
      </w:tr>
      <w:tr w14:paraId="4743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44B3A03">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61EEBCB4">
            <w:pPr>
              <w:spacing w:after="0" w:line="240" w:lineRule="auto"/>
              <w:ind w:firstLine="0"/>
              <w:contextualSpacing/>
              <w:jc w:val="center"/>
              <w:rPr>
                <w:color w:val="000000"/>
                <w:sz w:val="20"/>
                <w:szCs w:val="20"/>
              </w:rPr>
            </w:pPr>
            <w:r>
              <w:rPr>
                <w:color w:val="000000"/>
                <w:sz w:val="20"/>
                <w:szCs w:val="20"/>
              </w:rPr>
              <w:t>489,20</w:t>
            </w:r>
          </w:p>
        </w:tc>
        <w:tc>
          <w:tcPr>
            <w:tcW w:w="1597" w:type="pct"/>
            <w:shd w:val="clear" w:color="auto" w:fill="auto"/>
            <w:vAlign w:val="center"/>
          </w:tcPr>
          <w:p w14:paraId="31BB384C">
            <w:pPr>
              <w:spacing w:after="0" w:line="240" w:lineRule="auto"/>
              <w:ind w:firstLine="0"/>
              <w:contextualSpacing/>
              <w:jc w:val="center"/>
              <w:rPr>
                <w:color w:val="000000"/>
                <w:sz w:val="20"/>
                <w:szCs w:val="20"/>
              </w:rPr>
            </w:pPr>
            <w:r>
              <w:rPr>
                <w:color w:val="000000"/>
                <w:sz w:val="20"/>
                <w:szCs w:val="20"/>
              </w:rPr>
              <w:t>508,75</w:t>
            </w:r>
          </w:p>
        </w:tc>
      </w:tr>
      <w:tr w14:paraId="61BF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E036CA8">
            <w:pPr>
              <w:spacing w:after="0" w:line="240" w:lineRule="auto"/>
              <w:ind w:firstLine="0"/>
              <w:contextualSpacing/>
              <w:jc w:val="center"/>
              <w:rPr>
                <w:color w:val="000000"/>
                <w:sz w:val="20"/>
                <w:szCs w:val="20"/>
              </w:rPr>
            </w:pPr>
            <w:r>
              <w:rPr>
                <w:color w:val="000000"/>
                <w:sz w:val="20"/>
                <w:szCs w:val="20"/>
              </w:rPr>
              <w:t>2027</w:t>
            </w:r>
          </w:p>
        </w:tc>
        <w:tc>
          <w:tcPr>
            <w:tcW w:w="1546" w:type="pct"/>
            <w:shd w:val="clear" w:color="auto" w:fill="auto"/>
            <w:vAlign w:val="center"/>
          </w:tcPr>
          <w:p w14:paraId="535A301E">
            <w:pPr>
              <w:spacing w:after="0" w:line="240" w:lineRule="auto"/>
              <w:ind w:firstLine="0"/>
              <w:contextualSpacing/>
              <w:jc w:val="center"/>
              <w:rPr>
                <w:color w:val="000000"/>
                <w:sz w:val="20"/>
                <w:szCs w:val="20"/>
              </w:rPr>
            </w:pPr>
            <w:r>
              <w:rPr>
                <w:color w:val="000000"/>
                <w:sz w:val="20"/>
                <w:szCs w:val="20"/>
              </w:rPr>
              <w:t>508,75</w:t>
            </w:r>
          </w:p>
        </w:tc>
        <w:tc>
          <w:tcPr>
            <w:tcW w:w="1597" w:type="pct"/>
            <w:shd w:val="clear" w:color="auto" w:fill="auto"/>
            <w:vAlign w:val="center"/>
          </w:tcPr>
          <w:p w14:paraId="77513336">
            <w:pPr>
              <w:spacing w:after="0" w:line="240" w:lineRule="auto"/>
              <w:ind w:firstLine="0"/>
              <w:contextualSpacing/>
              <w:jc w:val="center"/>
              <w:rPr>
                <w:color w:val="000000"/>
                <w:sz w:val="20"/>
                <w:szCs w:val="20"/>
              </w:rPr>
            </w:pPr>
            <w:r>
              <w:rPr>
                <w:color w:val="000000"/>
                <w:sz w:val="20"/>
                <w:szCs w:val="20"/>
              </w:rPr>
              <w:t>529,10</w:t>
            </w:r>
          </w:p>
        </w:tc>
      </w:tr>
      <w:tr w14:paraId="70CD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0A4AAA6B">
            <w:pPr>
              <w:spacing w:after="0" w:line="240" w:lineRule="auto"/>
              <w:ind w:firstLine="0"/>
              <w:contextualSpacing/>
              <w:jc w:val="center"/>
              <w:rPr>
                <w:color w:val="000000"/>
                <w:sz w:val="20"/>
                <w:szCs w:val="20"/>
              </w:rPr>
            </w:pPr>
            <w:r>
              <w:rPr>
                <w:color w:val="000000"/>
                <w:sz w:val="20"/>
                <w:szCs w:val="20"/>
              </w:rPr>
              <w:t>Тариф для населения (с учетом НДС), руб./Гкал</w:t>
            </w:r>
          </w:p>
        </w:tc>
      </w:tr>
      <w:tr w14:paraId="0801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30F56B6">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5886A845">
            <w:pPr>
              <w:spacing w:after="0" w:line="240" w:lineRule="auto"/>
              <w:ind w:firstLine="0"/>
              <w:contextualSpacing/>
              <w:jc w:val="center"/>
              <w:rPr>
                <w:color w:val="000000"/>
                <w:sz w:val="20"/>
                <w:szCs w:val="20"/>
              </w:rPr>
            </w:pPr>
            <w:r>
              <w:rPr>
                <w:color w:val="000000"/>
                <w:sz w:val="20"/>
                <w:szCs w:val="20"/>
              </w:rPr>
              <w:t>506,76</w:t>
            </w:r>
          </w:p>
        </w:tc>
        <w:tc>
          <w:tcPr>
            <w:tcW w:w="1597" w:type="pct"/>
            <w:shd w:val="clear" w:color="auto" w:fill="auto"/>
            <w:vAlign w:val="center"/>
          </w:tcPr>
          <w:p w14:paraId="1D9A7E69">
            <w:pPr>
              <w:spacing w:after="0" w:line="240" w:lineRule="auto"/>
              <w:ind w:firstLine="0"/>
              <w:contextualSpacing/>
              <w:jc w:val="center"/>
              <w:rPr>
                <w:color w:val="000000"/>
                <w:sz w:val="20"/>
                <w:szCs w:val="20"/>
              </w:rPr>
            </w:pPr>
            <w:r>
              <w:rPr>
                <w:color w:val="000000"/>
                <w:sz w:val="20"/>
                <w:szCs w:val="20"/>
              </w:rPr>
              <w:t>555,40</w:t>
            </w:r>
          </w:p>
        </w:tc>
      </w:tr>
      <w:tr w14:paraId="502B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8B58C7A">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5D1C159E">
            <w:pPr>
              <w:spacing w:after="0" w:line="240" w:lineRule="auto"/>
              <w:ind w:firstLine="0"/>
              <w:contextualSpacing/>
              <w:jc w:val="center"/>
              <w:rPr>
                <w:color w:val="000000"/>
                <w:sz w:val="20"/>
                <w:szCs w:val="20"/>
              </w:rPr>
            </w:pPr>
            <w:r>
              <w:rPr>
                <w:color w:val="000000"/>
                <w:sz w:val="20"/>
                <w:szCs w:val="20"/>
              </w:rPr>
              <w:t>555,40</w:t>
            </w:r>
          </w:p>
        </w:tc>
        <w:tc>
          <w:tcPr>
            <w:tcW w:w="1597" w:type="pct"/>
            <w:shd w:val="clear" w:color="auto" w:fill="auto"/>
            <w:vAlign w:val="center"/>
          </w:tcPr>
          <w:p w14:paraId="25507EC1">
            <w:pPr>
              <w:spacing w:after="0" w:line="240" w:lineRule="auto"/>
              <w:ind w:firstLine="0"/>
              <w:contextualSpacing/>
              <w:jc w:val="center"/>
              <w:rPr>
                <w:color w:val="000000"/>
                <w:sz w:val="20"/>
                <w:szCs w:val="20"/>
              </w:rPr>
            </w:pPr>
            <w:r>
              <w:rPr>
                <w:color w:val="000000"/>
                <w:sz w:val="20"/>
                <w:szCs w:val="20"/>
              </w:rPr>
              <w:t>587,04</w:t>
            </w:r>
          </w:p>
        </w:tc>
      </w:tr>
      <w:tr w14:paraId="1849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3E792FEE">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0E8FBA03">
            <w:pPr>
              <w:spacing w:after="0" w:line="240" w:lineRule="auto"/>
              <w:ind w:firstLine="0"/>
              <w:contextualSpacing/>
              <w:jc w:val="center"/>
              <w:rPr>
                <w:color w:val="000000"/>
                <w:sz w:val="20"/>
                <w:szCs w:val="20"/>
              </w:rPr>
            </w:pPr>
            <w:r>
              <w:rPr>
                <w:color w:val="000000"/>
                <w:sz w:val="20"/>
                <w:szCs w:val="20"/>
              </w:rPr>
              <w:t>587,04</w:t>
            </w:r>
          </w:p>
        </w:tc>
        <w:tc>
          <w:tcPr>
            <w:tcW w:w="1597" w:type="pct"/>
            <w:shd w:val="clear" w:color="auto" w:fill="auto"/>
            <w:vAlign w:val="center"/>
          </w:tcPr>
          <w:p w14:paraId="79647555">
            <w:pPr>
              <w:spacing w:after="0" w:line="240" w:lineRule="auto"/>
              <w:ind w:firstLine="0"/>
              <w:contextualSpacing/>
              <w:jc w:val="center"/>
              <w:rPr>
                <w:color w:val="000000"/>
                <w:sz w:val="20"/>
                <w:szCs w:val="20"/>
              </w:rPr>
            </w:pPr>
            <w:r>
              <w:rPr>
                <w:color w:val="000000"/>
                <w:sz w:val="20"/>
                <w:szCs w:val="20"/>
              </w:rPr>
              <w:t>610,50</w:t>
            </w:r>
          </w:p>
        </w:tc>
      </w:tr>
      <w:tr w14:paraId="45A8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4062D99">
            <w:pPr>
              <w:spacing w:after="0" w:line="240" w:lineRule="auto"/>
              <w:ind w:firstLine="0"/>
              <w:contextualSpacing/>
              <w:jc w:val="center"/>
              <w:rPr>
                <w:color w:val="000000"/>
                <w:sz w:val="20"/>
                <w:szCs w:val="20"/>
              </w:rPr>
            </w:pPr>
            <w:r>
              <w:rPr>
                <w:color w:val="000000"/>
                <w:sz w:val="20"/>
                <w:szCs w:val="20"/>
              </w:rPr>
              <w:t>2027</w:t>
            </w:r>
          </w:p>
        </w:tc>
        <w:tc>
          <w:tcPr>
            <w:tcW w:w="1546" w:type="pct"/>
            <w:shd w:val="clear" w:color="auto" w:fill="auto"/>
            <w:vAlign w:val="center"/>
          </w:tcPr>
          <w:p w14:paraId="7A5615E7">
            <w:pPr>
              <w:spacing w:after="0" w:line="240" w:lineRule="auto"/>
              <w:ind w:firstLine="0"/>
              <w:contextualSpacing/>
              <w:jc w:val="center"/>
              <w:rPr>
                <w:color w:val="000000"/>
                <w:sz w:val="20"/>
                <w:szCs w:val="20"/>
              </w:rPr>
            </w:pPr>
            <w:r>
              <w:rPr>
                <w:color w:val="000000"/>
                <w:sz w:val="20"/>
                <w:szCs w:val="20"/>
              </w:rPr>
              <w:t>610,50</w:t>
            </w:r>
          </w:p>
        </w:tc>
        <w:tc>
          <w:tcPr>
            <w:tcW w:w="1597" w:type="pct"/>
            <w:shd w:val="clear" w:color="auto" w:fill="auto"/>
            <w:vAlign w:val="center"/>
          </w:tcPr>
          <w:p w14:paraId="2669FD77">
            <w:pPr>
              <w:spacing w:after="0" w:line="240" w:lineRule="auto"/>
              <w:ind w:firstLine="0"/>
              <w:contextualSpacing/>
              <w:jc w:val="center"/>
              <w:rPr>
                <w:color w:val="000000"/>
                <w:sz w:val="20"/>
                <w:szCs w:val="20"/>
              </w:rPr>
            </w:pPr>
            <w:r>
              <w:rPr>
                <w:color w:val="000000"/>
                <w:sz w:val="20"/>
                <w:szCs w:val="20"/>
              </w:rPr>
              <w:t>634,92</w:t>
            </w:r>
          </w:p>
        </w:tc>
      </w:tr>
    </w:tbl>
    <w:p w14:paraId="04B60308">
      <w:pPr>
        <w:spacing w:after="0" w:line="240" w:lineRule="auto"/>
        <w:contextualSpacing/>
        <w:jc w:val="both"/>
        <w:rPr>
          <w:bCs/>
          <w:sz w:val="24"/>
          <w:szCs w:val="24"/>
        </w:rPr>
      </w:pPr>
    </w:p>
    <w:p w14:paraId="135C7D38">
      <w:pPr>
        <w:pStyle w:val="4"/>
        <w:spacing w:before="0" w:line="240" w:lineRule="auto"/>
        <w:ind w:left="0" w:firstLine="709"/>
        <w:contextualSpacing/>
        <w:rPr>
          <w:rFonts w:cs="Times New Roman"/>
          <w:b w:val="0"/>
          <w:sz w:val="24"/>
        </w:rPr>
      </w:pPr>
      <w:bookmarkStart w:id="298" w:name="_Toc524614815"/>
      <w:bookmarkStart w:id="299" w:name="_Toc524615031"/>
      <w:bookmarkStart w:id="300" w:name="_Toc182813945"/>
      <w:r>
        <w:rPr>
          <w:rFonts w:cs="Times New Roman"/>
          <w:b w:val="0"/>
          <w:sz w:val="24"/>
        </w:rPr>
        <w:t>Описание структуры цен (тарифов), установленных на момент разработки схемы теплоснабжения</w:t>
      </w:r>
      <w:bookmarkEnd w:id="298"/>
      <w:bookmarkEnd w:id="299"/>
      <w:bookmarkEnd w:id="300"/>
    </w:p>
    <w:p w14:paraId="58DACE5A">
      <w:pPr>
        <w:spacing w:after="0" w:line="240" w:lineRule="auto"/>
        <w:contextualSpacing/>
        <w:jc w:val="both"/>
        <w:rPr>
          <w:sz w:val="24"/>
          <w:szCs w:val="24"/>
        </w:rPr>
      </w:pPr>
      <w:r>
        <w:rPr>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706B0B7D">
      <w:pPr>
        <w:spacing w:after="0" w:line="240" w:lineRule="auto"/>
        <w:contextualSpacing/>
        <w:jc w:val="both"/>
        <w:rPr>
          <w:sz w:val="24"/>
          <w:szCs w:val="24"/>
        </w:rPr>
      </w:pPr>
      <w:r>
        <w:rPr>
          <w:sz w:val="24"/>
          <w:szCs w:val="24"/>
        </w:rPr>
        <w:t>На основании вышеперечисленного формируется цена тарифа на тепловую энергию, которая проходит слушания и защиту в комитете по тарифам. Динамика утверждённых цен (тарифов), устанавливаемых для каждой теплосетевой и теплоснабжающей организации, с учётом последних 3 лет представлена в таблицах 44-45.</w:t>
      </w:r>
    </w:p>
    <w:p w14:paraId="6C7DE03C">
      <w:pPr>
        <w:spacing w:after="0" w:line="240" w:lineRule="auto"/>
        <w:contextualSpacing/>
        <w:jc w:val="both"/>
        <w:rPr>
          <w:sz w:val="24"/>
          <w:szCs w:val="24"/>
        </w:rPr>
      </w:pPr>
      <w:r>
        <w:rPr>
          <w:sz w:val="24"/>
          <w:szCs w:val="24"/>
        </w:rPr>
        <w:t>Сведения об утверждённых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2024 – 2028 годы утверждены постановлением Губернатора Ханты-Мансийского автономного округа-Югры от 11.12.2023 № 185 «О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2024 – 2028 годы».</w:t>
      </w:r>
    </w:p>
    <w:p w14:paraId="3F9E7147">
      <w:pPr>
        <w:spacing w:after="0" w:line="240" w:lineRule="auto"/>
        <w:contextualSpacing/>
        <w:jc w:val="both"/>
        <w:rPr>
          <w:sz w:val="24"/>
          <w:szCs w:val="24"/>
        </w:rPr>
      </w:pPr>
    </w:p>
    <w:p w14:paraId="79BBC475">
      <w:pPr>
        <w:pStyle w:val="4"/>
        <w:spacing w:before="0" w:line="240" w:lineRule="auto"/>
        <w:ind w:left="0" w:firstLine="709"/>
        <w:contextualSpacing/>
        <w:rPr>
          <w:rFonts w:cs="Times New Roman"/>
          <w:b w:val="0"/>
          <w:sz w:val="24"/>
        </w:rPr>
      </w:pPr>
      <w:bookmarkStart w:id="301" w:name="_Toc182813946"/>
      <w:bookmarkStart w:id="302" w:name="_Toc524615032"/>
      <w:bookmarkStart w:id="303" w:name="_Toc524614816"/>
      <w:r>
        <w:rPr>
          <w:rFonts w:cs="Times New Roman"/>
          <w:b w:val="0"/>
          <w:sz w:val="24"/>
        </w:rPr>
        <w:t>Описание платы за подключение к системе теплоснабжения</w:t>
      </w:r>
      <w:bookmarkEnd w:id="301"/>
      <w:r>
        <w:rPr>
          <w:rFonts w:cs="Times New Roman"/>
          <w:b w:val="0"/>
          <w:sz w:val="24"/>
        </w:rPr>
        <w:t xml:space="preserve"> </w:t>
      </w:r>
      <w:bookmarkEnd w:id="302"/>
      <w:bookmarkEnd w:id="303"/>
    </w:p>
    <w:p w14:paraId="4A757581">
      <w:pPr>
        <w:spacing w:after="0" w:line="240" w:lineRule="auto"/>
        <w:contextualSpacing/>
        <w:jc w:val="both"/>
        <w:rPr>
          <w:sz w:val="24"/>
          <w:szCs w:val="24"/>
        </w:rPr>
      </w:pPr>
      <w:r>
        <w:rPr>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5599708A">
      <w:pPr>
        <w:spacing w:after="0" w:line="240" w:lineRule="auto"/>
        <w:contextualSpacing/>
        <w:jc w:val="both"/>
        <w:rPr>
          <w:sz w:val="24"/>
          <w:szCs w:val="24"/>
        </w:rPr>
      </w:pPr>
      <w:r>
        <w:rPr>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72C7E42">
      <w:pPr>
        <w:spacing w:after="0" w:line="240" w:lineRule="auto"/>
        <w:contextualSpacing/>
        <w:jc w:val="both"/>
        <w:rPr>
          <w:sz w:val="24"/>
          <w:szCs w:val="24"/>
        </w:rPr>
      </w:pPr>
      <w:r>
        <w:rPr>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66F67E18">
      <w:pPr>
        <w:spacing w:after="0" w:line="240" w:lineRule="auto"/>
        <w:contextualSpacing/>
        <w:jc w:val="both"/>
        <w:rPr>
          <w:sz w:val="24"/>
          <w:szCs w:val="24"/>
        </w:rPr>
      </w:pPr>
      <w:r>
        <w:rPr>
          <w:sz w:val="24"/>
          <w:szCs w:val="24"/>
        </w:rPr>
        <w:t>Плата за подключение подлежит применению всеми теплоснабжающими организациями, осуществляющими на территории Ханты-Мансийского автономного округа – Югры подключение к системе теплоснабжения объекта заявителя.</w:t>
      </w:r>
    </w:p>
    <w:p w14:paraId="222DA6D6">
      <w:pPr>
        <w:spacing w:after="0" w:line="240" w:lineRule="auto"/>
        <w:contextualSpacing/>
        <w:jc w:val="both"/>
        <w:rPr>
          <w:sz w:val="24"/>
          <w:szCs w:val="24"/>
        </w:rPr>
      </w:pPr>
    </w:p>
    <w:p w14:paraId="5411729D">
      <w:pPr>
        <w:pStyle w:val="4"/>
        <w:spacing w:before="0" w:line="240" w:lineRule="auto"/>
        <w:ind w:left="0" w:firstLine="709"/>
        <w:contextualSpacing/>
        <w:rPr>
          <w:rFonts w:cs="Times New Roman"/>
          <w:b w:val="0"/>
          <w:sz w:val="24"/>
        </w:rPr>
      </w:pPr>
      <w:bookmarkStart w:id="304" w:name="_Toc524614817"/>
      <w:bookmarkStart w:id="305" w:name="_Toc524615033"/>
      <w:bookmarkStart w:id="306" w:name="_Toc182813947"/>
      <w:r>
        <w:rPr>
          <w:rFonts w:cs="Times New Roman"/>
          <w:b w:val="0"/>
          <w:sz w:val="24"/>
        </w:rPr>
        <w:t>Описание платы за услуги по поддержанию резервной тепловой мощности, в том числе для социально значимых категорий потребителей</w:t>
      </w:r>
      <w:bookmarkEnd w:id="304"/>
      <w:bookmarkEnd w:id="305"/>
      <w:bookmarkEnd w:id="306"/>
    </w:p>
    <w:p w14:paraId="71A2FEFD">
      <w:pPr>
        <w:spacing w:after="0" w:line="240" w:lineRule="auto"/>
        <w:contextualSpacing/>
        <w:jc w:val="both"/>
        <w:rPr>
          <w:sz w:val="24"/>
          <w:szCs w:val="24"/>
        </w:rPr>
      </w:pPr>
      <w:r>
        <w:rPr>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5AACA651">
      <w:pPr>
        <w:spacing w:after="0" w:line="240" w:lineRule="auto"/>
        <w:contextualSpacing/>
        <w:jc w:val="both"/>
        <w:rPr>
          <w:sz w:val="24"/>
          <w:szCs w:val="24"/>
        </w:rPr>
      </w:pPr>
      <w:r>
        <w:rPr>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5AD556D2">
      <w:pPr>
        <w:spacing w:after="0" w:line="240" w:lineRule="auto"/>
        <w:contextualSpacing/>
        <w:jc w:val="both"/>
        <w:rPr>
          <w:sz w:val="24"/>
          <w:szCs w:val="24"/>
        </w:rPr>
      </w:pPr>
      <w:r>
        <w:rPr>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50D09E48">
      <w:pPr>
        <w:spacing w:after="0" w:line="240" w:lineRule="auto"/>
        <w:contextualSpacing/>
        <w:jc w:val="both"/>
        <w:rPr>
          <w:rFonts w:eastAsia="Calibri"/>
          <w:sz w:val="24"/>
          <w:szCs w:val="24"/>
        </w:rPr>
      </w:pPr>
      <w:r>
        <w:rPr>
          <w:rFonts w:eastAsia="Calibri"/>
          <w:sz w:val="24"/>
          <w:szCs w:val="24"/>
        </w:rPr>
        <w:t>В соответствии с требованиями Федерального Закона Российской Федерации от 27 июля 2010 года № 190-ФЗ «О теплоснабжении»:</w:t>
      </w:r>
    </w:p>
    <w:p w14:paraId="6C696FD1">
      <w:pPr>
        <w:numPr>
          <w:ilvl w:val="0"/>
          <w:numId w:val="38"/>
        </w:numPr>
        <w:spacing w:after="0" w:line="240" w:lineRule="auto"/>
        <w:ind w:left="0" w:firstLine="709"/>
        <w:contextualSpacing/>
        <w:jc w:val="both"/>
        <w:rPr>
          <w:sz w:val="24"/>
          <w:szCs w:val="24"/>
        </w:rPr>
      </w:pPr>
      <w:r>
        <w:rPr>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5AD2C3E7">
      <w:pPr>
        <w:spacing w:after="0" w:line="240" w:lineRule="auto"/>
        <w:contextualSpacing/>
        <w:jc w:val="both"/>
        <w:rPr>
          <w:rFonts w:eastAsia="Calibri"/>
          <w:sz w:val="24"/>
          <w:szCs w:val="24"/>
        </w:rPr>
      </w:pPr>
    </w:p>
    <w:p w14:paraId="6444F8D0">
      <w:pPr>
        <w:spacing w:after="0" w:line="240" w:lineRule="auto"/>
        <w:contextualSpacing/>
        <w:jc w:val="both"/>
        <w:rPr>
          <w:rFonts w:eastAsia="Calibri"/>
          <w:sz w:val="24"/>
          <w:szCs w:val="24"/>
        </w:rPr>
      </w:pPr>
      <w:r>
        <w:rPr>
          <w:rFonts w:eastAsia="Calibri"/>
          <w:sz w:val="24"/>
          <w:szCs w:val="24"/>
        </w:rPr>
        <w:t>На момент актуализации схемы теплоснабжения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с.п. Верхнеказымский, Региональной службой по тарифам Ханты-Мансийского автономного округа – Югры не устанавливалась.</w:t>
      </w:r>
    </w:p>
    <w:p w14:paraId="63250D34">
      <w:pPr>
        <w:spacing w:after="0" w:line="240" w:lineRule="auto"/>
        <w:contextualSpacing/>
        <w:jc w:val="both"/>
        <w:rPr>
          <w:sz w:val="24"/>
          <w:szCs w:val="24"/>
        </w:rPr>
      </w:pPr>
    </w:p>
    <w:p w14:paraId="047EA737">
      <w:pPr>
        <w:pStyle w:val="4"/>
        <w:keepNext/>
        <w:spacing w:before="0" w:line="240" w:lineRule="auto"/>
        <w:ind w:left="0" w:firstLine="709"/>
        <w:contextualSpacing/>
        <w:rPr>
          <w:rFonts w:cs="Times New Roman"/>
          <w:b w:val="0"/>
          <w:sz w:val="24"/>
        </w:rPr>
      </w:pPr>
      <w:bookmarkStart w:id="307" w:name="_Toc15640852"/>
      <w:bookmarkStart w:id="308" w:name="_Toc182813948"/>
      <w:bookmarkStart w:id="309" w:name="_Hlk15651407"/>
      <w:r>
        <w:rPr>
          <w:rFonts w:cs="Times New Roman"/>
          <w:b w:val="0"/>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07"/>
      <w:bookmarkEnd w:id="308"/>
    </w:p>
    <w:p w14:paraId="7B81AAD0">
      <w:pPr>
        <w:spacing w:after="0" w:line="240" w:lineRule="auto"/>
        <w:contextualSpacing/>
        <w:jc w:val="both"/>
        <w:rPr>
          <w:sz w:val="24"/>
          <w:szCs w:val="24"/>
        </w:rPr>
      </w:pPr>
      <w:r>
        <w:rPr>
          <w:sz w:val="24"/>
          <w:szCs w:val="24"/>
        </w:rPr>
        <w:t>Территория с.п. Верхнеказымский не отнесена к ценовой зоне теплоснабжения.</w:t>
      </w:r>
    </w:p>
    <w:p w14:paraId="1AE72439">
      <w:pPr>
        <w:pStyle w:val="4"/>
        <w:spacing w:before="0" w:line="240" w:lineRule="auto"/>
        <w:ind w:left="0" w:firstLine="709"/>
        <w:contextualSpacing/>
        <w:rPr>
          <w:rFonts w:cs="Times New Roman"/>
          <w:b w:val="0"/>
          <w:sz w:val="24"/>
        </w:rPr>
      </w:pPr>
      <w:bookmarkStart w:id="310" w:name="_Toc15640853"/>
      <w:bookmarkStart w:id="311" w:name="_Toc182813949"/>
      <w:r>
        <w:rPr>
          <w:rFonts w:cs="Times New Roman"/>
          <w:b w:val="0"/>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0"/>
      <w:bookmarkEnd w:id="311"/>
    </w:p>
    <w:bookmarkEnd w:id="309"/>
    <w:p w14:paraId="3F7B175D">
      <w:pPr>
        <w:spacing w:after="0" w:line="240" w:lineRule="auto"/>
        <w:contextualSpacing/>
        <w:jc w:val="both"/>
        <w:rPr>
          <w:sz w:val="24"/>
          <w:szCs w:val="24"/>
        </w:rPr>
      </w:pPr>
      <w:r>
        <w:rPr>
          <w:sz w:val="24"/>
          <w:szCs w:val="24"/>
        </w:rPr>
        <w:t>Территория с.п. Верхнеказымский не отнесена к ценовой зоне теплоснабжения.</w:t>
      </w:r>
    </w:p>
    <w:p w14:paraId="5D9EE1B9">
      <w:pPr>
        <w:spacing w:after="0" w:line="240" w:lineRule="auto"/>
        <w:contextualSpacing/>
        <w:jc w:val="both"/>
        <w:rPr>
          <w:sz w:val="24"/>
          <w:szCs w:val="24"/>
        </w:rPr>
      </w:pPr>
    </w:p>
    <w:p w14:paraId="3B80A2FA">
      <w:pPr>
        <w:pStyle w:val="4"/>
        <w:spacing w:before="0" w:line="240" w:lineRule="auto"/>
        <w:ind w:left="0" w:firstLine="709"/>
        <w:contextualSpacing/>
        <w:rPr>
          <w:rFonts w:cs="Times New Roman"/>
          <w:b w:val="0"/>
          <w:sz w:val="24"/>
        </w:rPr>
      </w:pPr>
      <w:bookmarkStart w:id="312" w:name="_Toc182813950"/>
      <w:bookmarkStart w:id="313" w:name="_Toc524615034"/>
      <w:bookmarkStart w:id="314" w:name="_Toc524614818"/>
      <w:r>
        <w:rPr>
          <w:rFonts w:cs="Times New Roman"/>
          <w:b w:val="0"/>
          <w:sz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12"/>
      <w:bookmarkEnd w:id="313"/>
      <w:bookmarkEnd w:id="314"/>
    </w:p>
    <w:p w14:paraId="218BC082">
      <w:pPr>
        <w:spacing w:after="0" w:line="240" w:lineRule="auto"/>
        <w:contextualSpacing/>
        <w:jc w:val="both"/>
        <w:rPr>
          <w:sz w:val="24"/>
          <w:szCs w:val="24"/>
        </w:rPr>
      </w:pPr>
      <w:r>
        <w:rPr>
          <w:sz w:val="24"/>
          <w:szCs w:val="24"/>
        </w:rPr>
        <w:t>Изменения в утвержденных ценах (тарифах), зафиксированных за период, предшествующий актуализации схемы теплоснабжения представлены в таблице п.1.11.1.</w:t>
      </w:r>
    </w:p>
    <w:p w14:paraId="26D9DC2A">
      <w:pPr>
        <w:spacing w:after="0" w:line="240" w:lineRule="auto"/>
        <w:contextualSpacing/>
        <w:jc w:val="both"/>
        <w:rPr>
          <w:sz w:val="24"/>
          <w:szCs w:val="24"/>
        </w:rPr>
      </w:pPr>
    </w:p>
    <w:p w14:paraId="18620FC7">
      <w:pPr>
        <w:spacing w:after="0" w:line="240" w:lineRule="auto"/>
        <w:contextualSpacing/>
        <w:jc w:val="both"/>
        <w:rPr>
          <w:sz w:val="24"/>
          <w:szCs w:val="24"/>
        </w:rPr>
      </w:pPr>
    </w:p>
    <w:p w14:paraId="5B7D2943">
      <w:pPr>
        <w:spacing w:after="0" w:line="240" w:lineRule="auto"/>
        <w:contextualSpacing/>
        <w:jc w:val="both"/>
        <w:rPr>
          <w:sz w:val="24"/>
          <w:szCs w:val="24"/>
        </w:rPr>
      </w:pPr>
    </w:p>
    <w:p w14:paraId="27C05A37">
      <w:pPr>
        <w:pStyle w:val="3"/>
        <w:keepLines w:val="0"/>
        <w:pageBreakBefore/>
        <w:widowControl w:val="0"/>
        <w:spacing w:before="0" w:line="240" w:lineRule="auto"/>
        <w:ind w:left="0" w:firstLine="709"/>
        <w:contextualSpacing/>
        <w:rPr>
          <w:rFonts w:cs="Times New Roman"/>
          <w:b w:val="0"/>
          <w:sz w:val="24"/>
          <w:szCs w:val="24"/>
        </w:rPr>
      </w:pPr>
      <w:bookmarkStart w:id="315" w:name="_Toc524614819"/>
      <w:bookmarkStart w:id="316" w:name="_Toc524615035"/>
      <w:bookmarkStart w:id="317" w:name="_Toc182813951"/>
      <w:r>
        <w:rPr>
          <w:rFonts w:cs="Times New Roman"/>
          <w:b w:val="0"/>
          <w:sz w:val="24"/>
          <w:szCs w:val="24"/>
        </w:rPr>
        <w:t xml:space="preserve">Часть 12. Описание существующих технических и технологических проблем в системах теплоснабжения </w:t>
      </w:r>
      <w:bookmarkEnd w:id="315"/>
      <w:bookmarkEnd w:id="316"/>
      <w:r>
        <w:rPr>
          <w:rFonts w:cs="Times New Roman"/>
          <w:b w:val="0"/>
          <w:sz w:val="24"/>
          <w:szCs w:val="24"/>
        </w:rPr>
        <w:t>на территории с.п. Верхнеказымский</w:t>
      </w:r>
      <w:bookmarkEnd w:id="317"/>
    </w:p>
    <w:p w14:paraId="7A63FCE6">
      <w:pPr>
        <w:pStyle w:val="4"/>
        <w:spacing w:before="0" w:line="240" w:lineRule="auto"/>
        <w:ind w:left="0" w:firstLine="709"/>
        <w:contextualSpacing/>
        <w:rPr>
          <w:rFonts w:cs="Times New Roman"/>
          <w:b w:val="0"/>
          <w:sz w:val="24"/>
        </w:rPr>
      </w:pPr>
      <w:bookmarkStart w:id="318" w:name="_Toc524614820"/>
      <w:bookmarkStart w:id="319" w:name="_Toc524615036"/>
      <w:bookmarkStart w:id="320" w:name="_Toc182813952"/>
      <w:r>
        <w:rPr>
          <w:rFonts w:cs="Times New Roman"/>
          <w:b w:val="0"/>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18"/>
      <w:bookmarkEnd w:id="319"/>
      <w:bookmarkEnd w:id="320"/>
    </w:p>
    <w:p w14:paraId="0BC540AB">
      <w:pPr>
        <w:pStyle w:val="377"/>
        <w:widowControl w:val="0"/>
        <w:spacing w:before="0" w:after="0"/>
        <w:ind w:firstLine="709"/>
        <w:contextualSpacing/>
      </w:pPr>
      <w: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5CEC27DA">
      <w:pPr>
        <w:pStyle w:val="377"/>
        <w:widowControl w:val="0"/>
        <w:spacing w:before="0" w:after="0"/>
        <w:ind w:firstLine="709"/>
        <w:contextualSpacing/>
      </w:pPr>
      <w:r>
        <w:t>Основными причинами, приводящими к снижению качества теплоснабжения, являются:</w:t>
      </w:r>
    </w:p>
    <w:p w14:paraId="40ED9946">
      <w:pPr>
        <w:widowControl w:val="0"/>
        <w:numPr>
          <w:ilvl w:val="0"/>
          <w:numId w:val="39"/>
        </w:numPr>
        <w:tabs>
          <w:tab w:val="left" w:pos="993"/>
        </w:tabs>
        <w:spacing w:after="0" w:line="240" w:lineRule="auto"/>
        <w:ind w:left="0" w:firstLine="709"/>
        <w:contextualSpacing/>
        <w:jc w:val="both"/>
        <w:rPr>
          <w:sz w:val="24"/>
          <w:szCs w:val="24"/>
        </w:rPr>
      </w:pPr>
      <w:r>
        <w:rPr>
          <w:sz w:val="24"/>
          <w:szCs w:val="24"/>
        </w:rPr>
        <w:t>значительный физический износ трубопроводов и тепловой изоляции тепловых сетей;</w:t>
      </w:r>
    </w:p>
    <w:p w14:paraId="04F68430">
      <w:pPr>
        <w:widowControl w:val="0"/>
        <w:numPr>
          <w:ilvl w:val="0"/>
          <w:numId w:val="39"/>
        </w:numPr>
        <w:tabs>
          <w:tab w:val="left" w:pos="993"/>
        </w:tabs>
        <w:spacing w:after="0" w:line="240" w:lineRule="auto"/>
        <w:ind w:left="0" w:firstLine="709"/>
        <w:contextualSpacing/>
        <w:jc w:val="both"/>
        <w:rPr>
          <w:sz w:val="24"/>
          <w:szCs w:val="24"/>
        </w:rPr>
      </w:pPr>
      <w:r>
        <w:rPr>
          <w:sz w:val="24"/>
          <w:szCs w:val="24"/>
        </w:rPr>
        <w:t>применение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p>
    <w:p w14:paraId="3478FC34">
      <w:pPr>
        <w:widowControl w:val="0"/>
        <w:numPr>
          <w:ilvl w:val="0"/>
          <w:numId w:val="39"/>
        </w:numPr>
        <w:tabs>
          <w:tab w:val="left" w:pos="993"/>
        </w:tabs>
        <w:spacing w:after="0" w:line="240" w:lineRule="auto"/>
        <w:ind w:left="0" w:firstLine="709"/>
        <w:contextualSpacing/>
        <w:jc w:val="both"/>
        <w:rPr>
          <w:sz w:val="24"/>
          <w:szCs w:val="24"/>
        </w:rPr>
      </w:pPr>
      <w:r>
        <w:rPr>
          <w:sz w:val="24"/>
          <w:szCs w:val="24"/>
        </w:rPr>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14:paraId="26C6078B">
      <w:pPr>
        <w:pStyle w:val="153"/>
        <w:numPr>
          <w:ilvl w:val="0"/>
          <w:numId w:val="28"/>
        </w:numPr>
        <w:tabs>
          <w:tab w:val="left" w:pos="993"/>
        </w:tabs>
        <w:adjustRightInd/>
        <w:ind w:left="0" w:firstLine="709"/>
        <w:textAlignment w:val="auto"/>
        <w:rPr>
          <w:sz w:val="24"/>
          <w:szCs w:val="24"/>
        </w:rPr>
      </w:pPr>
      <w:r>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459AB6CE">
      <w:pPr>
        <w:pStyle w:val="153"/>
        <w:numPr>
          <w:ilvl w:val="0"/>
          <w:numId w:val="28"/>
        </w:numPr>
        <w:tabs>
          <w:tab w:val="left" w:pos="993"/>
        </w:tabs>
        <w:adjustRightInd/>
        <w:ind w:left="0" w:firstLine="709"/>
        <w:textAlignment w:val="auto"/>
        <w:rPr>
          <w:sz w:val="24"/>
          <w:szCs w:val="24"/>
        </w:rPr>
      </w:pPr>
      <w:r>
        <w:rPr>
          <w:sz w:val="24"/>
          <w:szCs w:val="24"/>
        </w:rPr>
        <w:t>недостаток приборов учета тепловой энергии на котельных и у потребителей;</w:t>
      </w:r>
    </w:p>
    <w:p w14:paraId="230B4C03">
      <w:pPr>
        <w:pStyle w:val="153"/>
        <w:numPr>
          <w:ilvl w:val="0"/>
          <w:numId w:val="28"/>
        </w:numPr>
        <w:tabs>
          <w:tab w:val="left" w:pos="993"/>
        </w:tabs>
        <w:adjustRightInd/>
        <w:ind w:left="0" w:firstLine="709"/>
        <w:textAlignment w:val="auto"/>
        <w:rPr>
          <w:sz w:val="24"/>
          <w:szCs w:val="24"/>
        </w:rPr>
      </w:pPr>
      <w:r>
        <w:rPr>
          <w:sz w:val="24"/>
          <w:szCs w:val="24"/>
        </w:rPr>
        <w:t>отсутствие или небольшой запас мощности на многих котельных;</w:t>
      </w:r>
    </w:p>
    <w:p w14:paraId="5A0CA9AB">
      <w:pPr>
        <w:pStyle w:val="153"/>
        <w:numPr>
          <w:ilvl w:val="0"/>
          <w:numId w:val="28"/>
        </w:numPr>
        <w:tabs>
          <w:tab w:val="left" w:pos="993"/>
        </w:tabs>
        <w:adjustRightInd/>
        <w:ind w:left="0" w:firstLine="709"/>
        <w:textAlignment w:val="auto"/>
        <w:rPr>
          <w:sz w:val="24"/>
          <w:szCs w:val="24"/>
        </w:rPr>
      </w:pPr>
      <w:r>
        <w:rPr>
          <w:sz w:val="24"/>
          <w:szCs w:val="24"/>
        </w:rPr>
        <w:t>повышенные потери тепловой энергии в тепловых сетях;</w:t>
      </w:r>
    </w:p>
    <w:p w14:paraId="00002055">
      <w:pPr>
        <w:pStyle w:val="153"/>
        <w:numPr>
          <w:ilvl w:val="0"/>
          <w:numId w:val="28"/>
        </w:numPr>
        <w:tabs>
          <w:tab w:val="left" w:pos="993"/>
        </w:tabs>
        <w:adjustRightInd/>
        <w:ind w:left="0" w:firstLine="709"/>
        <w:textAlignment w:val="auto"/>
        <w:rPr>
          <w:sz w:val="24"/>
          <w:szCs w:val="24"/>
        </w:rPr>
      </w:pPr>
      <w:r>
        <w:rPr>
          <w:sz w:val="24"/>
          <w:szCs w:val="24"/>
        </w:rPr>
        <w:t>нарушение гидравлического режима.</w:t>
      </w:r>
    </w:p>
    <w:p w14:paraId="3A3A0D8B">
      <w:pPr>
        <w:widowControl w:val="0"/>
        <w:spacing w:after="0" w:line="240" w:lineRule="auto"/>
        <w:contextualSpacing/>
        <w:jc w:val="both"/>
        <w:rPr>
          <w:sz w:val="24"/>
          <w:szCs w:val="24"/>
        </w:rPr>
      </w:pPr>
    </w:p>
    <w:p w14:paraId="17EBFF84">
      <w:pPr>
        <w:widowControl w:val="0"/>
        <w:spacing w:after="0" w:line="240" w:lineRule="auto"/>
        <w:contextualSpacing/>
        <w:jc w:val="both"/>
        <w:rPr>
          <w:sz w:val="24"/>
          <w:szCs w:val="24"/>
        </w:rPr>
      </w:pPr>
      <w:r>
        <w:rPr>
          <w:sz w:val="24"/>
          <w:szCs w:val="24"/>
        </w:rPr>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78EF2D8B">
      <w:pPr>
        <w:widowControl w:val="0"/>
        <w:spacing w:after="0" w:line="240" w:lineRule="auto"/>
        <w:contextualSpacing/>
        <w:jc w:val="both"/>
        <w:rPr>
          <w:sz w:val="24"/>
          <w:szCs w:val="24"/>
        </w:rPr>
      </w:pPr>
      <w:r>
        <w:rPr>
          <w:sz w:val="24"/>
          <w:szCs w:val="24"/>
        </w:rPr>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123989EA">
      <w:pPr>
        <w:widowControl w:val="0"/>
        <w:spacing w:after="0" w:line="240" w:lineRule="auto"/>
        <w:contextualSpacing/>
        <w:jc w:val="both"/>
        <w:rPr>
          <w:sz w:val="24"/>
          <w:szCs w:val="24"/>
        </w:rPr>
      </w:pPr>
      <w:r>
        <w:rPr>
          <w:sz w:val="24"/>
          <w:szCs w:val="24"/>
        </w:rPr>
        <w:t>Для решения данных проблем, необходимо:</w:t>
      </w:r>
    </w:p>
    <w:p w14:paraId="4C55C771">
      <w:pPr>
        <w:pStyle w:val="153"/>
        <w:numPr>
          <w:ilvl w:val="0"/>
          <w:numId w:val="28"/>
        </w:numPr>
        <w:tabs>
          <w:tab w:val="left" w:pos="993"/>
        </w:tabs>
        <w:adjustRightInd/>
        <w:ind w:left="0" w:firstLine="709"/>
        <w:textAlignment w:val="auto"/>
        <w:rPr>
          <w:sz w:val="24"/>
          <w:szCs w:val="24"/>
        </w:rPr>
      </w:pPr>
      <w:r>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7C1E29A9">
      <w:pPr>
        <w:pStyle w:val="153"/>
        <w:numPr>
          <w:ilvl w:val="0"/>
          <w:numId w:val="28"/>
        </w:numPr>
        <w:tabs>
          <w:tab w:val="left" w:pos="993"/>
        </w:tabs>
        <w:adjustRightInd/>
        <w:ind w:left="0" w:firstLine="709"/>
        <w:textAlignment w:val="auto"/>
        <w:rPr>
          <w:sz w:val="24"/>
          <w:szCs w:val="24"/>
        </w:rPr>
      </w:pPr>
      <w:r>
        <w:rPr>
          <w:sz w:val="24"/>
          <w:szCs w:val="24"/>
        </w:rPr>
        <w:t>новое строительство и реконструкция участков тепловых сетей;</w:t>
      </w:r>
    </w:p>
    <w:p w14:paraId="421EEF05">
      <w:pPr>
        <w:pStyle w:val="153"/>
        <w:numPr>
          <w:ilvl w:val="0"/>
          <w:numId w:val="28"/>
        </w:numPr>
        <w:tabs>
          <w:tab w:val="left" w:pos="993"/>
        </w:tabs>
        <w:adjustRightInd/>
        <w:ind w:left="0" w:firstLine="709"/>
        <w:textAlignment w:val="auto"/>
        <w:rPr>
          <w:sz w:val="24"/>
          <w:szCs w:val="24"/>
        </w:rPr>
      </w:pPr>
      <w:r>
        <w:rPr>
          <w:sz w:val="24"/>
          <w:szCs w:val="24"/>
        </w:rPr>
        <w:t>установка приборов учета тепловой энергии на котельных и у потребителей.</w:t>
      </w:r>
    </w:p>
    <w:p w14:paraId="0870EFFC">
      <w:pPr>
        <w:spacing w:after="0" w:line="240" w:lineRule="auto"/>
        <w:contextualSpacing/>
        <w:jc w:val="both"/>
        <w:rPr>
          <w:sz w:val="24"/>
          <w:szCs w:val="24"/>
        </w:rPr>
      </w:pPr>
    </w:p>
    <w:p w14:paraId="4712D024">
      <w:pPr>
        <w:pStyle w:val="4"/>
        <w:spacing w:before="0" w:line="240" w:lineRule="auto"/>
        <w:ind w:left="0" w:firstLine="709"/>
        <w:contextualSpacing/>
        <w:rPr>
          <w:rFonts w:cs="Times New Roman"/>
          <w:b w:val="0"/>
          <w:sz w:val="24"/>
        </w:rPr>
      </w:pPr>
      <w:bookmarkStart w:id="321" w:name="_Toc182813953"/>
      <w:r>
        <w:rPr>
          <w:rFonts w:cs="Times New Roman"/>
          <w:b w:val="0"/>
          <w:sz w:val="24"/>
        </w:rPr>
        <w:t>Описание существующих проблем организации надежного теплоснабжения на территории с.п. Верхнеказымский (перечень причин, приводящих к снижению надежности теплоснабжения, включая проблемы в работе теплопотребляющих установок потребителей)</w:t>
      </w:r>
      <w:bookmarkEnd w:id="321"/>
    </w:p>
    <w:p w14:paraId="1D67706B">
      <w:pPr>
        <w:spacing w:after="0" w:line="240" w:lineRule="auto"/>
        <w:contextualSpacing/>
        <w:jc w:val="both"/>
        <w:rPr>
          <w:sz w:val="24"/>
          <w:szCs w:val="24"/>
        </w:rPr>
      </w:pPr>
      <w:r>
        <w:rPr>
          <w:sz w:val="24"/>
          <w:szCs w:val="24"/>
        </w:rPr>
        <w:t>Основной причиной снижения надёжности системы теплоснабжения является большой срок эксплуатации тепловых сетей и котельного оборудования.</w:t>
      </w:r>
    </w:p>
    <w:p w14:paraId="7A21B357">
      <w:pPr>
        <w:spacing w:after="0" w:line="240" w:lineRule="auto"/>
        <w:ind w:left="709" w:firstLine="0"/>
        <w:contextualSpacing/>
        <w:jc w:val="both"/>
        <w:rPr>
          <w:sz w:val="24"/>
          <w:szCs w:val="24"/>
        </w:rPr>
      </w:pPr>
    </w:p>
    <w:p w14:paraId="37E2F3E9">
      <w:pPr>
        <w:spacing w:after="0" w:line="240" w:lineRule="auto"/>
        <w:ind w:left="709" w:firstLine="0"/>
        <w:contextualSpacing/>
        <w:jc w:val="both"/>
        <w:rPr>
          <w:sz w:val="24"/>
          <w:szCs w:val="24"/>
        </w:rPr>
      </w:pPr>
    </w:p>
    <w:p w14:paraId="4ADD7883">
      <w:pPr>
        <w:pStyle w:val="4"/>
        <w:keepNext/>
        <w:spacing w:before="0" w:line="240" w:lineRule="auto"/>
        <w:ind w:left="0" w:firstLine="709"/>
        <w:contextualSpacing/>
        <w:rPr>
          <w:rFonts w:cs="Times New Roman"/>
          <w:b w:val="0"/>
          <w:sz w:val="24"/>
        </w:rPr>
      </w:pPr>
      <w:bookmarkStart w:id="322" w:name="_Toc524614821"/>
      <w:bookmarkStart w:id="323" w:name="_Toc524615037"/>
      <w:bookmarkStart w:id="324" w:name="_Toc182813954"/>
      <w:r>
        <w:rPr>
          <w:rFonts w:cs="Times New Roman"/>
          <w:b w:val="0"/>
          <w:sz w:val="24"/>
        </w:rPr>
        <w:t>Описание существующих проблем развития систем теплоснабжения</w:t>
      </w:r>
      <w:bookmarkEnd w:id="322"/>
      <w:bookmarkEnd w:id="323"/>
      <w:bookmarkEnd w:id="324"/>
    </w:p>
    <w:p w14:paraId="06B6C7D6">
      <w:pPr>
        <w:spacing w:after="0" w:line="240" w:lineRule="auto"/>
        <w:contextualSpacing/>
        <w:jc w:val="both"/>
        <w:rPr>
          <w:sz w:val="24"/>
          <w:szCs w:val="24"/>
        </w:rPr>
      </w:pPr>
      <w:r>
        <w:rPr>
          <w:sz w:val="24"/>
          <w:szCs w:val="24"/>
        </w:rPr>
        <w:t>Основная причина появления отказов (утечек) и инцидентов тепловой сети – тепловые сети выработали свой ресурс, а средств, выделяемых на капитальный ремонт недостаточно, из-за высоких цен на материальные ресурсы.</w:t>
      </w:r>
    </w:p>
    <w:p w14:paraId="2E2D1DCB">
      <w:pPr>
        <w:spacing w:after="0" w:line="240" w:lineRule="auto"/>
        <w:contextualSpacing/>
        <w:jc w:val="both"/>
        <w:rPr>
          <w:sz w:val="24"/>
          <w:szCs w:val="24"/>
        </w:rPr>
      </w:pPr>
      <w:r>
        <w:rPr>
          <w:sz w:val="24"/>
          <w:szCs w:val="24"/>
        </w:rPr>
        <w:t>Тепловая сеть недостаточно оснащена контрольно-измерительными приборами; не оснащена балансировочными клапанами для равномерного распределения теплоносителя по районам, и потребителям.</w:t>
      </w:r>
    </w:p>
    <w:p w14:paraId="4F68B4E8">
      <w:pPr>
        <w:spacing w:after="0" w:line="240" w:lineRule="auto"/>
        <w:contextualSpacing/>
        <w:jc w:val="both"/>
        <w:rPr>
          <w:sz w:val="24"/>
          <w:szCs w:val="24"/>
        </w:rPr>
      </w:pPr>
    </w:p>
    <w:p w14:paraId="671B54DC">
      <w:pPr>
        <w:pStyle w:val="4"/>
        <w:spacing w:before="0" w:line="240" w:lineRule="auto"/>
        <w:ind w:left="0" w:firstLine="709"/>
        <w:contextualSpacing/>
        <w:rPr>
          <w:rFonts w:cs="Times New Roman"/>
          <w:b w:val="0"/>
          <w:sz w:val="24"/>
        </w:rPr>
      </w:pPr>
      <w:bookmarkStart w:id="325" w:name="_Toc524614822"/>
      <w:bookmarkStart w:id="326" w:name="_Toc524615038"/>
      <w:bookmarkStart w:id="327" w:name="_Toc182813955"/>
      <w:r>
        <w:rPr>
          <w:rFonts w:cs="Times New Roman"/>
          <w:b w:val="0"/>
          <w:sz w:val="24"/>
        </w:rPr>
        <w:t>Описание существующих проблем надежного и эффективного снабжения топливом действующих систем теплоснабжения</w:t>
      </w:r>
      <w:bookmarkEnd w:id="325"/>
      <w:bookmarkEnd w:id="326"/>
      <w:bookmarkEnd w:id="327"/>
    </w:p>
    <w:p w14:paraId="4BDDC105">
      <w:pPr>
        <w:spacing w:after="0" w:line="240" w:lineRule="auto"/>
        <w:contextualSpacing/>
        <w:jc w:val="both"/>
        <w:rPr>
          <w:sz w:val="24"/>
          <w:szCs w:val="24"/>
        </w:rPr>
      </w:pPr>
      <w:r>
        <w:rPr>
          <w:sz w:val="24"/>
          <w:szCs w:val="24"/>
        </w:rPr>
        <w:t>Проблем снабжения топливом действующих систем теплоснабжения не зафиксировано.</w:t>
      </w:r>
    </w:p>
    <w:p w14:paraId="44986F1C">
      <w:pPr>
        <w:spacing w:after="0" w:line="240" w:lineRule="auto"/>
        <w:contextualSpacing/>
        <w:jc w:val="both"/>
        <w:rPr>
          <w:sz w:val="24"/>
          <w:szCs w:val="24"/>
        </w:rPr>
      </w:pPr>
    </w:p>
    <w:p w14:paraId="6C846441">
      <w:pPr>
        <w:pStyle w:val="4"/>
        <w:spacing w:before="0" w:line="240" w:lineRule="auto"/>
        <w:ind w:left="0" w:firstLine="709"/>
        <w:contextualSpacing/>
        <w:rPr>
          <w:rFonts w:cs="Times New Roman"/>
          <w:b w:val="0"/>
          <w:sz w:val="24"/>
        </w:rPr>
      </w:pPr>
      <w:bookmarkStart w:id="328" w:name="_Toc524615039"/>
      <w:bookmarkStart w:id="329" w:name="_Toc524614823"/>
      <w:bookmarkStart w:id="330" w:name="_Toc182813956"/>
      <w:r>
        <w:rPr>
          <w:rFonts w:cs="Times New Roman"/>
          <w:b w:val="0"/>
          <w:sz w:val="24"/>
        </w:rPr>
        <w:t>Анализ предписаний надзорных органов об устранении нарушений, влияющих на безопасность и надежность системы теплоснабжения</w:t>
      </w:r>
      <w:bookmarkEnd w:id="328"/>
      <w:bookmarkEnd w:id="329"/>
      <w:bookmarkEnd w:id="330"/>
    </w:p>
    <w:p w14:paraId="0211D04F">
      <w:pPr>
        <w:spacing w:after="0" w:line="240" w:lineRule="auto"/>
        <w:contextualSpacing/>
        <w:jc w:val="both"/>
        <w:rPr>
          <w:sz w:val="24"/>
          <w:szCs w:val="24"/>
        </w:rPr>
      </w:pPr>
      <w:r>
        <w:rPr>
          <w:sz w:val="24"/>
          <w:szCs w:val="24"/>
        </w:rPr>
        <w:t>Предписания надзорных органов об устранении нарушений, влияющих на безопасность и надежность системы теплоснабжения, отсутствуют.</w:t>
      </w:r>
    </w:p>
    <w:p w14:paraId="5EC0F2CD">
      <w:pPr>
        <w:spacing w:after="0" w:line="240" w:lineRule="auto"/>
        <w:contextualSpacing/>
        <w:jc w:val="both"/>
        <w:rPr>
          <w:sz w:val="24"/>
          <w:szCs w:val="24"/>
        </w:rPr>
      </w:pPr>
    </w:p>
    <w:p w14:paraId="67D668D8">
      <w:pPr>
        <w:pStyle w:val="4"/>
        <w:keepNext/>
        <w:spacing w:before="0" w:line="240" w:lineRule="auto"/>
        <w:ind w:left="0" w:firstLine="709"/>
        <w:contextualSpacing/>
        <w:rPr>
          <w:rFonts w:cs="Times New Roman"/>
          <w:b w:val="0"/>
          <w:sz w:val="24"/>
        </w:rPr>
      </w:pPr>
      <w:bookmarkStart w:id="331" w:name="_Toc524614824"/>
      <w:bookmarkStart w:id="332" w:name="_Toc524615040"/>
      <w:bookmarkStart w:id="333" w:name="_Toc182813957"/>
      <w:r>
        <w:rPr>
          <w:rFonts w:cs="Times New Roman"/>
          <w:b w:val="0"/>
          <w:sz w:val="24"/>
        </w:rPr>
        <w:t xml:space="preserve">Описание изменений технических и технологических проблем в системах теплоснабжения муниципального образования, произошедших в период, предшествующий </w:t>
      </w:r>
      <w:bookmarkStart w:id="334" w:name="_Hlk34907345"/>
      <w:r>
        <w:rPr>
          <w:rFonts w:cs="Times New Roman"/>
          <w:b w:val="0"/>
          <w:sz w:val="24"/>
        </w:rPr>
        <w:t>разработке</w:t>
      </w:r>
      <w:bookmarkEnd w:id="334"/>
      <w:r>
        <w:rPr>
          <w:rFonts w:cs="Times New Roman"/>
          <w:b w:val="0"/>
          <w:sz w:val="24"/>
        </w:rPr>
        <w:t xml:space="preserve"> схемы теплоснабжения</w:t>
      </w:r>
      <w:bookmarkEnd w:id="331"/>
      <w:bookmarkEnd w:id="332"/>
      <w:bookmarkEnd w:id="333"/>
    </w:p>
    <w:p w14:paraId="79628DD0">
      <w:pPr>
        <w:spacing w:after="0" w:line="240" w:lineRule="auto"/>
        <w:contextualSpacing/>
        <w:jc w:val="both"/>
        <w:rPr>
          <w:sz w:val="24"/>
          <w:szCs w:val="24"/>
        </w:rPr>
      </w:pPr>
      <w:r>
        <w:rPr>
          <w:sz w:val="24"/>
          <w:szCs w:val="24"/>
        </w:rPr>
        <w:t>Изменений технических и технологических проблем в системах теплоснабжения в период, предшествующий разработке схемы теплоснабжения, не выявлено.</w:t>
      </w:r>
    </w:p>
    <w:p w14:paraId="38E5D966">
      <w:pPr>
        <w:spacing w:after="0" w:line="240" w:lineRule="auto"/>
        <w:contextualSpacing/>
        <w:jc w:val="both"/>
        <w:rPr>
          <w:sz w:val="24"/>
          <w:szCs w:val="24"/>
        </w:rPr>
      </w:pPr>
    </w:p>
    <w:p w14:paraId="2AA2135C">
      <w:pPr>
        <w:spacing w:after="0" w:line="240" w:lineRule="auto"/>
        <w:contextualSpacing/>
        <w:jc w:val="both"/>
        <w:rPr>
          <w:sz w:val="24"/>
          <w:szCs w:val="24"/>
        </w:rPr>
      </w:pPr>
    </w:p>
    <w:p w14:paraId="2E369706">
      <w:pPr>
        <w:spacing w:after="0" w:line="240" w:lineRule="auto"/>
        <w:contextualSpacing/>
        <w:jc w:val="both"/>
        <w:rPr>
          <w:sz w:val="24"/>
          <w:szCs w:val="24"/>
        </w:rPr>
      </w:pPr>
    </w:p>
    <w:p w14:paraId="299ACDA3">
      <w:pPr>
        <w:pStyle w:val="2"/>
        <w:keepLines w:val="0"/>
        <w:pageBreakBefore/>
        <w:widowControl w:val="0"/>
        <w:spacing w:before="0" w:line="240" w:lineRule="auto"/>
        <w:ind w:left="0" w:firstLine="709"/>
        <w:contextualSpacing/>
        <w:rPr>
          <w:rFonts w:cs="Times New Roman"/>
          <w:b w:val="0"/>
          <w:sz w:val="24"/>
          <w:szCs w:val="24"/>
        </w:rPr>
      </w:pPr>
      <w:bookmarkStart w:id="335" w:name="_Toc524614825"/>
      <w:bookmarkStart w:id="336" w:name="_Toc524615041"/>
      <w:bookmarkStart w:id="337" w:name="_Toc182813958"/>
      <w:r>
        <w:rPr>
          <w:rFonts w:cs="Times New Roman"/>
          <w:b w:val="0"/>
          <w:sz w:val="24"/>
          <w:szCs w:val="24"/>
        </w:rPr>
        <w:t>Глава 2. Существующее и перспективное потребление тепловой энергии на цели теплоснабжения</w:t>
      </w:r>
      <w:bookmarkEnd w:id="335"/>
      <w:bookmarkEnd w:id="336"/>
      <w:bookmarkEnd w:id="337"/>
    </w:p>
    <w:p w14:paraId="7D4B597D">
      <w:pPr>
        <w:spacing w:after="0" w:line="240" w:lineRule="auto"/>
        <w:contextualSpacing/>
        <w:jc w:val="both"/>
        <w:rPr>
          <w:sz w:val="24"/>
          <w:szCs w:val="24"/>
        </w:rPr>
      </w:pPr>
      <w:r>
        <w:rPr>
          <w:sz w:val="24"/>
          <w:szCs w:val="24"/>
        </w:rPr>
        <w:t>В дальнейшем, при принятии решения о комплексном развитии территории, необходимо вносить изменения в схему теплоснабжения.</w:t>
      </w:r>
    </w:p>
    <w:p w14:paraId="2CC83503">
      <w:pPr>
        <w:pStyle w:val="3"/>
        <w:spacing w:before="0" w:line="240" w:lineRule="auto"/>
        <w:ind w:left="0" w:firstLine="709"/>
        <w:contextualSpacing/>
        <w:rPr>
          <w:rFonts w:cs="Times New Roman"/>
          <w:b w:val="0"/>
          <w:sz w:val="24"/>
          <w:szCs w:val="24"/>
        </w:rPr>
      </w:pPr>
      <w:bookmarkStart w:id="338" w:name="_Toc524614826"/>
      <w:bookmarkStart w:id="339" w:name="_Toc524615042"/>
      <w:bookmarkStart w:id="340" w:name="_Toc182813959"/>
      <w:r>
        <w:rPr>
          <w:rFonts w:cs="Times New Roman"/>
          <w:b w:val="0"/>
          <w:sz w:val="24"/>
          <w:szCs w:val="24"/>
        </w:rPr>
        <w:t>Данные базового уровня потребления тепловой энергии на цели теплоснабжения</w:t>
      </w:r>
      <w:bookmarkEnd w:id="338"/>
      <w:bookmarkEnd w:id="339"/>
      <w:bookmarkEnd w:id="340"/>
    </w:p>
    <w:p w14:paraId="63DCA80C">
      <w:pPr>
        <w:pStyle w:val="58"/>
        <w:widowControl w:val="0"/>
        <w:spacing w:before="0" w:after="0" w:line="240" w:lineRule="auto"/>
        <w:ind w:firstLine="709"/>
        <w:contextualSpacing/>
        <w:rPr>
          <w:sz w:val="24"/>
          <w:szCs w:val="24"/>
        </w:rPr>
      </w:pPr>
      <w:r>
        <w:rPr>
          <w:sz w:val="24"/>
          <w:szCs w:val="24"/>
        </w:rPr>
        <w:t>В с.п. Верхнеказымский преобладает централизованное теплоснабжение от крупных котельных, в эксплуатации организаций:</w:t>
      </w:r>
    </w:p>
    <w:p w14:paraId="74ED9F14">
      <w:pPr>
        <w:pStyle w:val="153"/>
        <w:numPr>
          <w:ilvl w:val="0"/>
          <w:numId w:val="40"/>
        </w:numPr>
        <w:ind w:left="0" w:firstLine="709"/>
        <w:rPr>
          <w:rFonts w:eastAsia="Arial"/>
          <w:spacing w:val="-5"/>
          <w:sz w:val="24"/>
          <w:szCs w:val="24"/>
        </w:rPr>
      </w:pPr>
      <w:r>
        <w:rPr>
          <w:rFonts w:eastAsia="Arial"/>
          <w:spacing w:val="-5"/>
          <w:sz w:val="24"/>
          <w:szCs w:val="24"/>
        </w:rPr>
        <w:t>МУП «БКС»;</w:t>
      </w:r>
    </w:p>
    <w:p w14:paraId="410CFF8C">
      <w:pPr>
        <w:pStyle w:val="153"/>
        <w:numPr>
          <w:ilvl w:val="0"/>
          <w:numId w:val="40"/>
        </w:numPr>
        <w:ind w:left="0" w:firstLine="709"/>
        <w:rPr>
          <w:rFonts w:eastAsia="Arial"/>
          <w:spacing w:val="-5"/>
          <w:sz w:val="24"/>
          <w:szCs w:val="24"/>
        </w:rPr>
      </w:pPr>
      <w:r>
        <w:rPr>
          <w:rFonts w:eastAsia="Arial"/>
          <w:spacing w:val="-5"/>
          <w:sz w:val="24"/>
          <w:szCs w:val="24"/>
        </w:rPr>
        <w:t>ООО «Газпром трансгаз Югорск» Верхнеказымское ЛПУ МГ.</w:t>
      </w:r>
    </w:p>
    <w:p w14:paraId="1491BE66">
      <w:pPr>
        <w:spacing w:after="0" w:line="240" w:lineRule="auto"/>
        <w:jc w:val="both"/>
        <w:rPr>
          <w:rFonts w:eastAsia="Arial"/>
          <w:spacing w:val="-5"/>
          <w:sz w:val="24"/>
          <w:szCs w:val="24"/>
        </w:rPr>
      </w:pPr>
    </w:p>
    <w:p w14:paraId="1E5C5B06">
      <w:pPr>
        <w:spacing w:after="0" w:line="240" w:lineRule="auto"/>
        <w:jc w:val="both"/>
        <w:rPr>
          <w:rFonts w:eastAsia="Arial"/>
          <w:spacing w:val="-5"/>
          <w:sz w:val="24"/>
          <w:szCs w:val="24"/>
        </w:rPr>
      </w:pPr>
      <w:r>
        <w:rPr>
          <w:rFonts w:eastAsia="Arial"/>
          <w:spacing w:val="-5"/>
          <w:sz w:val="24"/>
          <w:szCs w:val="24"/>
        </w:rPr>
        <w:t>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МУП «БКС».</w:t>
      </w:r>
    </w:p>
    <w:p w14:paraId="7C8F01D5">
      <w:pPr>
        <w:spacing w:after="0" w:line="240" w:lineRule="auto"/>
        <w:jc w:val="both"/>
        <w:rPr>
          <w:rFonts w:eastAsia="Arial"/>
          <w:spacing w:val="-5"/>
          <w:sz w:val="24"/>
          <w:szCs w:val="24"/>
        </w:rPr>
      </w:pPr>
      <w:r>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3-х существующих котельных:</w:t>
      </w:r>
    </w:p>
    <w:p w14:paraId="1D7E982A">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«2БВК» Верхнеказымское ЛПУ МГ;</w:t>
      </w:r>
    </w:p>
    <w:p w14:paraId="5013934D">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 2 МУП «БКС»;</w:t>
      </w:r>
    </w:p>
    <w:p w14:paraId="2790EF01">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«Вирбекс» Верхнеказымское ЛПУ МГ.</w:t>
      </w:r>
    </w:p>
    <w:p w14:paraId="58455AEA">
      <w:pPr>
        <w:spacing w:after="0" w:line="240" w:lineRule="auto"/>
        <w:contextualSpacing/>
        <w:jc w:val="both"/>
        <w:rPr>
          <w:sz w:val="24"/>
          <w:szCs w:val="24"/>
        </w:rPr>
      </w:pPr>
    </w:p>
    <w:p w14:paraId="565902AC">
      <w:pPr>
        <w:spacing w:after="0" w:line="240" w:lineRule="auto"/>
        <w:contextualSpacing/>
        <w:jc w:val="both"/>
        <w:rPr>
          <w:sz w:val="24"/>
          <w:szCs w:val="24"/>
        </w:rPr>
      </w:pPr>
      <w:r>
        <w:rPr>
          <w:sz w:val="24"/>
          <w:szCs w:val="24"/>
        </w:rPr>
        <w:t>Данные базового уровня потребления тепла и на перспективу развития на цели теплоснабжения с.п. Верхнеказымский представлены в таблице 44.</w:t>
      </w:r>
    </w:p>
    <w:p w14:paraId="4B20411D">
      <w:pPr>
        <w:spacing w:after="0" w:line="240" w:lineRule="auto"/>
        <w:contextualSpacing/>
        <w:jc w:val="both"/>
        <w:rPr>
          <w:sz w:val="24"/>
          <w:szCs w:val="24"/>
        </w:rPr>
      </w:pPr>
      <w:r>
        <w:rPr>
          <w:sz w:val="24"/>
          <w:szCs w:val="24"/>
        </w:rPr>
        <w:t>Фактический и расчётный баланс тепловой мощности котельных и нагрузок в с.п. Верхеказымский приведён в таблице 45.</w:t>
      </w:r>
    </w:p>
    <w:p w14:paraId="0BA7CB2D">
      <w:pPr>
        <w:spacing w:after="0" w:line="240" w:lineRule="auto"/>
        <w:contextualSpacing/>
        <w:jc w:val="both"/>
        <w:rPr>
          <w:sz w:val="24"/>
          <w:szCs w:val="24"/>
        </w:rPr>
      </w:pPr>
    </w:p>
    <w:p w14:paraId="402F0077">
      <w:pPr>
        <w:spacing w:after="0" w:line="240" w:lineRule="auto"/>
        <w:contextualSpacing/>
        <w:jc w:val="both"/>
        <w:rPr>
          <w:sz w:val="24"/>
          <w:szCs w:val="24"/>
        </w:rPr>
      </w:pPr>
    </w:p>
    <w:p w14:paraId="510277E6">
      <w:pPr>
        <w:spacing w:after="0" w:line="240" w:lineRule="auto"/>
        <w:contextualSpacing/>
        <w:jc w:val="both"/>
        <w:rPr>
          <w:sz w:val="24"/>
          <w:szCs w:val="24"/>
        </w:rPr>
      </w:pPr>
    </w:p>
    <w:p w14:paraId="3EC8A54B">
      <w:pPr>
        <w:jc w:val="both"/>
        <w:sectPr>
          <w:pgSz w:w="11906" w:h="16838"/>
          <w:pgMar w:top="1134" w:right="567" w:bottom="1134" w:left="1701" w:header="283" w:footer="567" w:gutter="0"/>
          <w:cols w:space="708" w:num="1"/>
          <w:docGrid w:linePitch="360" w:charSpace="0"/>
        </w:sectPr>
      </w:pPr>
    </w:p>
    <w:p w14:paraId="165DE2F7">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44</w:t>
      </w:r>
      <w:r>
        <w:rPr>
          <w:sz w:val="24"/>
          <w:szCs w:val="24"/>
        </w:rPr>
        <w:fldChar w:fldCharType="end"/>
      </w:r>
      <w:r>
        <w:rPr>
          <w:sz w:val="24"/>
          <w:szCs w:val="24"/>
        </w:rPr>
        <w:t xml:space="preserve"> – Фактические балансы выработки тепловой энергии и на перспективу развития в с.п. Верхнеказымский</w:t>
      </w:r>
    </w:p>
    <w:tbl>
      <w:tblPr>
        <w:tblStyle w:val="12"/>
        <w:tblW w:w="5000" w:type="pct"/>
        <w:tblInd w:w="0" w:type="dxa"/>
        <w:tblLayout w:type="autofit"/>
        <w:tblCellMar>
          <w:top w:w="0" w:type="dxa"/>
          <w:left w:w="108" w:type="dxa"/>
          <w:bottom w:w="0" w:type="dxa"/>
          <w:right w:w="108" w:type="dxa"/>
        </w:tblCellMar>
      </w:tblPr>
      <w:tblGrid>
        <w:gridCol w:w="4060"/>
        <w:gridCol w:w="1576"/>
        <w:gridCol w:w="1307"/>
        <w:gridCol w:w="1307"/>
        <w:gridCol w:w="1307"/>
        <w:gridCol w:w="1307"/>
        <w:gridCol w:w="1307"/>
        <w:gridCol w:w="1307"/>
        <w:gridCol w:w="1308"/>
      </w:tblGrid>
      <w:tr w14:paraId="47B38F49">
        <w:tblPrEx>
          <w:tblCellMar>
            <w:top w:w="0" w:type="dxa"/>
            <w:left w:w="108" w:type="dxa"/>
            <w:bottom w:w="0" w:type="dxa"/>
            <w:right w:w="108" w:type="dxa"/>
          </w:tblCellMar>
        </w:tblPrEx>
        <w:trPr>
          <w:trHeight w:val="20" w:hRule="atLeast"/>
        </w:trPr>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14:paraId="06983055">
            <w:pPr>
              <w:spacing w:after="0" w:line="240" w:lineRule="auto"/>
              <w:ind w:firstLine="0"/>
              <w:jc w:val="center"/>
              <w:rPr>
                <w:color w:val="000000"/>
                <w:sz w:val="20"/>
                <w:szCs w:val="20"/>
              </w:rPr>
            </w:pPr>
            <w:bookmarkStart w:id="341" w:name="_Hlk183079089"/>
            <w:r>
              <w:rPr>
                <w:color w:val="000000"/>
                <w:sz w:val="20"/>
                <w:szCs w:val="20"/>
              </w:rPr>
              <w:t>Наименование показателя</w:t>
            </w:r>
          </w:p>
        </w:tc>
        <w:tc>
          <w:tcPr>
            <w:tcW w:w="533" w:type="pct"/>
            <w:tcBorders>
              <w:top w:val="single" w:color="auto" w:sz="4" w:space="0"/>
              <w:left w:val="nil"/>
              <w:bottom w:val="single" w:color="auto" w:sz="4" w:space="0"/>
              <w:right w:val="single" w:color="auto" w:sz="4" w:space="0"/>
            </w:tcBorders>
            <w:shd w:val="clear" w:color="auto" w:fill="auto"/>
            <w:vAlign w:val="center"/>
          </w:tcPr>
          <w:p w14:paraId="5885F227">
            <w:pPr>
              <w:spacing w:after="0" w:line="240" w:lineRule="auto"/>
              <w:ind w:firstLine="0"/>
              <w:jc w:val="center"/>
              <w:rPr>
                <w:color w:val="000000"/>
                <w:sz w:val="20"/>
                <w:szCs w:val="20"/>
              </w:rPr>
            </w:pPr>
            <w:r>
              <w:rPr>
                <w:color w:val="000000"/>
                <w:sz w:val="20"/>
                <w:szCs w:val="20"/>
              </w:rPr>
              <w:t>Единица измерения</w:t>
            </w:r>
          </w:p>
        </w:tc>
        <w:tc>
          <w:tcPr>
            <w:tcW w:w="442" w:type="pct"/>
            <w:tcBorders>
              <w:top w:val="single" w:color="auto" w:sz="4" w:space="0"/>
              <w:left w:val="nil"/>
              <w:bottom w:val="single" w:color="auto" w:sz="4" w:space="0"/>
              <w:right w:val="single" w:color="auto" w:sz="4" w:space="0"/>
            </w:tcBorders>
            <w:shd w:val="clear" w:color="auto" w:fill="auto"/>
            <w:vAlign w:val="center"/>
          </w:tcPr>
          <w:p w14:paraId="2B575F0A">
            <w:pPr>
              <w:spacing w:after="0" w:line="240" w:lineRule="auto"/>
              <w:ind w:firstLine="0"/>
              <w:jc w:val="center"/>
              <w:rPr>
                <w:color w:val="000000"/>
                <w:sz w:val="20"/>
                <w:szCs w:val="20"/>
              </w:rPr>
            </w:pPr>
            <w:r>
              <w:rPr>
                <w:color w:val="000000"/>
                <w:sz w:val="20"/>
                <w:szCs w:val="20"/>
              </w:rPr>
              <w:t>2023</w:t>
            </w:r>
          </w:p>
        </w:tc>
        <w:tc>
          <w:tcPr>
            <w:tcW w:w="442" w:type="pct"/>
            <w:tcBorders>
              <w:top w:val="single" w:color="auto" w:sz="4" w:space="0"/>
              <w:left w:val="nil"/>
              <w:bottom w:val="single" w:color="auto" w:sz="4" w:space="0"/>
              <w:right w:val="single" w:color="auto" w:sz="4" w:space="0"/>
            </w:tcBorders>
            <w:shd w:val="clear" w:color="auto" w:fill="auto"/>
            <w:vAlign w:val="center"/>
          </w:tcPr>
          <w:p w14:paraId="05E8967B">
            <w:pPr>
              <w:spacing w:after="0" w:line="240" w:lineRule="auto"/>
              <w:ind w:firstLine="0"/>
              <w:jc w:val="center"/>
              <w:rPr>
                <w:color w:val="000000"/>
                <w:sz w:val="20"/>
                <w:szCs w:val="20"/>
              </w:rPr>
            </w:pPr>
            <w:r>
              <w:rPr>
                <w:color w:val="000000"/>
                <w:sz w:val="20"/>
                <w:szCs w:val="20"/>
              </w:rPr>
              <w:t>2024</w:t>
            </w:r>
          </w:p>
        </w:tc>
        <w:tc>
          <w:tcPr>
            <w:tcW w:w="442" w:type="pct"/>
            <w:tcBorders>
              <w:top w:val="single" w:color="auto" w:sz="4" w:space="0"/>
              <w:left w:val="nil"/>
              <w:bottom w:val="single" w:color="auto" w:sz="4" w:space="0"/>
              <w:right w:val="single" w:color="auto" w:sz="4" w:space="0"/>
            </w:tcBorders>
            <w:shd w:val="clear" w:color="auto" w:fill="auto"/>
            <w:vAlign w:val="center"/>
          </w:tcPr>
          <w:p w14:paraId="1C7BF000">
            <w:pPr>
              <w:spacing w:after="0" w:line="240" w:lineRule="auto"/>
              <w:ind w:firstLine="0"/>
              <w:jc w:val="center"/>
              <w:rPr>
                <w:color w:val="000000"/>
                <w:sz w:val="20"/>
                <w:szCs w:val="20"/>
              </w:rPr>
            </w:pPr>
            <w:r>
              <w:rPr>
                <w:color w:val="000000"/>
                <w:sz w:val="20"/>
                <w:szCs w:val="20"/>
              </w:rPr>
              <w:t>2025</w:t>
            </w:r>
          </w:p>
        </w:tc>
        <w:tc>
          <w:tcPr>
            <w:tcW w:w="442" w:type="pct"/>
            <w:tcBorders>
              <w:top w:val="single" w:color="auto" w:sz="4" w:space="0"/>
              <w:left w:val="nil"/>
              <w:bottom w:val="single" w:color="auto" w:sz="4" w:space="0"/>
              <w:right w:val="single" w:color="auto" w:sz="4" w:space="0"/>
            </w:tcBorders>
            <w:shd w:val="clear" w:color="auto" w:fill="auto"/>
            <w:vAlign w:val="center"/>
          </w:tcPr>
          <w:p w14:paraId="136CB096">
            <w:pPr>
              <w:spacing w:after="0" w:line="240" w:lineRule="auto"/>
              <w:ind w:firstLine="0"/>
              <w:jc w:val="center"/>
              <w:rPr>
                <w:color w:val="000000"/>
                <w:sz w:val="20"/>
                <w:szCs w:val="20"/>
              </w:rPr>
            </w:pPr>
            <w:r>
              <w:rPr>
                <w:color w:val="000000"/>
                <w:sz w:val="20"/>
                <w:szCs w:val="20"/>
              </w:rPr>
              <w:t>2026</w:t>
            </w:r>
          </w:p>
        </w:tc>
        <w:tc>
          <w:tcPr>
            <w:tcW w:w="442" w:type="pct"/>
            <w:tcBorders>
              <w:top w:val="single" w:color="auto" w:sz="4" w:space="0"/>
              <w:left w:val="nil"/>
              <w:bottom w:val="single" w:color="auto" w:sz="4" w:space="0"/>
              <w:right w:val="single" w:color="auto" w:sz="4" w:space="0"/>
            </w:tcBorders>
            <w:shd w:val="clear" w:color="auto" w:fill="auto"/>
            <w:vAlign w:val="center"/>
          </w:tcPr>
          <w:p w14:paraId="26CDAC1C">
            <w:pPr>
              <w:spacing w:after="0" w:line="240" w:lineRule="auto"/>
              <w:ind w:firstLine="0"/>
              <w:jc w:val="center"/>
              <w:rPr>
                <w:color w:val="000000"/>
                <w:sz w:val="20"/>
                <w:szCs w:val="20"/>
              </w:rPr>
            </w:pPr>
            <w:r>
              <w:rPr>
                <w:color w:val="000000"/>
                <w:sz w:val="20"/>
                <w:szCs w:val="20"/>
              </w:rPr>
              <w:t>2027</w:t>
            </w:r>
          </w:p>
        </w:tc>
        <w:tc>
          <w:tcPr>
            <w:tcW w:w="442" w:type="pct"/>
            <w:tcBorders>
              <w:top w:val="single" w:color="auto" w:sz="4" w:space="0"/>
              <w:left w:val="nil"/>
              <w:bottom w:val="single" w:color="auto" w:sz="4" w:space="0"/>
              <w:right w:val="single" w:color="auto" w:sz="4" w:space="0"/>
            </w:tcBorders>
            <w:shd w:val="clear" w:color="auto" w:fill="auto"/>
            <w:vAlign w:val="center"/>
          </w:tcPr>
          <w:p w14:paraId="71DA8D96">
            <w:pPr>
              <w:spacing w:after="0" w:line="240" w:lineRule="auto"/>
              <w:ind w:firstLine="0"/>
              <w:jc w:val="center"/>
              <w:rPr>
                <w:color w:val="000000"/>
                <w:sz w:val="20"/>
                <w:szCs w:val="20"/>
              </w:rPr>
            </w:pPr>
            <w:r>
              <w:rPr>
                <w:color w:val="000000"/>
                <w:sz w:val="20"/>
                <w:szCs w:val="20"/>
              </w:rPr>
              <w:t>2028</w:t>
            </w:r>
          </w:p>
        </w:tc>
        <w:tc>
          <w:tcPr>
            <w:tcW w:w="442" w:type="pct"/>
            <w:tcBorders>
              <w:top w:val="single" w:color="auto" w:sz="4" w:space="0"/>
              <w:left w:val="nil"/>
              <w:bottom w:val="single" w:color="auto" w:sz="4" w:space="0"/>
              <w:right w:val="single" w:color="auto" w:sz="4" w:space="0"/>
            </w:tcBorders>
            <w:shd w:val="clear" w:color="auto" w:fill="auto"/>
            <w:vAlign w:val="center"/>
          </w:tcPr>
          <w:p w14:paraId="2BCE3079">
            <w:pPr>
              <w:spacing w:after="0" w:line="240" w:lineRule="auto"/>
              <w:ind w:firstLine="0"/>
              <w:jc w:val="center"/>
              <w:rPr>
                <w:color w:val="000000"/>
                <w:sz w:val="20"/>
                <w:szCs w:val="20"/>
              </w:rPr>
            </w:pPr>
            <w:r>
              <w:rPr>
                <w:color w:val="000000"/>
                <w:sz w:val="20"/>
                <w:szCs w:val="20"/>
              </w:rPr>
              <w:t>2029</w:t>
            </w:r>
          </w:p>
        </w:tc>
      </w:tr>
      <w:tr w14:paraId="52A9B170">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vAlign w:val="center"/>
          </w:tcPr>
          <w:p w14:paraId="03479C11">
            <w:pPr>
              <w:spacing w:after="0" w:line="240" w:lineRule="auto"/>
              <w:ind w:firstLine="0"/>
              <w:jc w:val="center"/>
              <w:rPr>
                <w:color w:val="000000"/>
                <w:sz w:val="20"/>
                <w:szCs w:val="20"/>
              </w:rPr>
            </w:pPr>
            <w:r>
              <w:rPr>
                <w:color w:val="000000"/>
                <w:sz w:val="20"/>
                <w:szCs w:val="20"/>
              </w:rPr>
              <w:t>Котельная №2 МУП «БКС»</w:t>
            </w:r>
          </w:p>
        </w:tc>
        <w:tc>
          <w:tcPr>
            <w:tcW w:w="533" w:type="pct"/>
            <w:tcBorders>
              <w:top w:val="nil"/>
              <w:left w:val="nil"/>
              <w:bottom w:val="single" w:color="auto" w:sz="4" w:space="0"/>
              <w:right w:val="single" w:color="auto" w:sz="4" w:space="0"/>
            </w:tcBorders>
            <w:shd w:val="clear" w:color="auto" w:fill="auto"/>
            <w:noWrap/>
            <w:vAlign w:val="center"/>
          </w:tcPr>
          <w:p w14:paraId="05845DDC">
            <w:pPr>
              <w:spacing w:after="0" w:line="240" w:lineRule="auto"/>
              <w:ind w:firstLine="0"/>
              <w:jc w:val="center"/>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5502E04A">
            <w:pPr>
              <w:spacing w:after="0" w:line="240" w:lineRule="auto"/>
              <w:ind w:firstLine="0"/>
              <w:jc w:val="center"/>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407959CB">
            <w:pPr>
              <w:spacing w:after="0" w:line="240" w:lineRule="auto"/>
              <w:ind w:firstLine="0"/>
              <w:jc w:val="center"/>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4F3098FB">
            <w:pPr>
              <w:spacing w:after="0" w:line="240" w:lineRule="auto"/>
              <w:ind w:firstLine="0"/>
              <w:jc w:val="center"/>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573104BE">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6D1753E9">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1E11F35F">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11FC1DF3">
            <w:pPr>
              <w:spacing w:after="0" w:line="240" w:lineRule="auto"/>
              <w:ind w:firstLine="0"/>
              <w:rPr>
                <w:color w:val="000000"/>
                <w:sz w:val="20"/>
                <w:szCs w:val="20"/>
              </w:rPr>
            </w:pPr>
            <w:r>
              <w:rPr>
                <w:color w:val="000000"/>
                <w:sz w:val="20"/>
                <w:szCs w:val="20"/>
              </w:rPr>
              <w:t> </w:t>
            </w:r>
          </w:p>
        </w:tc>
      </w:tr>
      <w:tr w14:paraId="68E1206B">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10E522D5">
            <w:pPr>
              <w:spacing w:after="0" w:line="240" w:lineRule="auto"/>
              <w:ind w:firstLine="0"/>
              <w:rPr>
                <w:color w:val="000000"/>
                <w:sz w:val="20"/>
                <w:szCs w:val="20"/>
              </w:rPr>
            </w:pPr>
            <w:r>
              <w:rPr>
                <w:color w:val="000000"/>
                <w:sz w:val="20"/>
                <w:szCs w:val="20"/>
              </w:rPr>
              <w:t>Выработка тепловой энергии</w:t>
            </w:r>
          </w:p>
        </w:tc>
        <w:tc>
          <w:tcPr>
            <w:tcW w:w="533" w:type="pct"/>
            <w:tcBorders>
              <w:top w:val="nil"/>
              <w:left w:val="nil"/>
              <w:bottom w:val="single" w:color="auto" w:sz="4" w:space="0"/>
              <w:right w:val="single" w:color="auto" w:sz="4" w:space="0"/>
            </w:tcBorders>
            <w:shd w:val="clear" w:color="auto" w:fill="auto"/>
          </w:tcPr>
          <w:p w14:paraId="32DDC73E">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31CCFD46">
            <w:pPr>
              <w:spacing w:after="0" w:line="240" w:lineRule="auto"/>
              <w:ind w:firstLine="0"/>
              <w:jc w:val="center"/>
              <w:rPr>
                <w:color w:val="000000"/>
                <w:sz w:val="20"/>
                <w:szCs w:val="20"/>
              </w:rPr>
            </w:pPr>
            <w:r>
              <w:rPr>
                <w:color w:val="000000"/>
                <w:sz w:val="20"/>
                <w:szCs w:val="20"/>
              </w:rPr>
              <w:t>3217,822</w:t>
            </w:r>
          </w:p>
        </w:tc>
        <w:tc>
          <w:tcPr>
            <w:tcW w:w="442" w:type="pct"/>
            <w:tcBorders>
              <w:top w:val="nil"/>
              <w:left w:val="nil"/>
              <w:bottom w:val="single" w:color="auto" w:sz="4" w:space="0"/>
              <w:right w:val="single" w:color="auto" w:sz="4" w:space="0"/>
            </w:tcBorders>
            <w:shd w:val="clear" w:color="auto" w:fill="auto"/>
            <w:noWrap/>
          </w:tcPr>
          <w:p w14:paraId="53826B01">
            <w:pPr>
              <w:spacing w:after="0" w:line="240" w:lineRule="auto"/>
              <w:ind w:firstLine="0"/>
              <w:jc w:val="center"/>
              <w:rPr>
                <w:color w:val="000000"/>
                <w:sz w:val="20"/>
                <w:szCs w:val="20"/>
              </w:rPr>
            </w:pPr>
            <w:r>
              <w:rPr>
                <w:color w:val="000000"/>
                <w:sz w:val="20"/>
                <w:szCs w:val="20"/>
              </w:rPr>
              <w:t>3217,822</w:t>
            </w:r>
          </w:p>
        </w:tc>
        <w:tc>
          <w:tcPr>
            <w:tcW w:w="442" w:type="pct"/>
            <w:tcBorders>
              <w:top w:val="nil"/>
              <w:left w:val="nil"/>
              <w:bottom w:val="single" w:color="auto" w:sz="4" w:space="0"/>
              <w:right w:val="single" w:color="auto" w:sz="4" w:space="0"/>
            </w:tcBorders>
            <w:shd w:val="clear" w:color="auto" w:fill="auto"/>
            <w:noWrap/>
          </w:tcPr>
          <w:p w14:paraId="7BEE5353">
            <w:pPr>
              <w:spacing w:after="0" w:line="240" w:lineRule="auto"/>
              <w:ind w:firstLine="0"/>
              <w:jc w:val="center"/>
              <w:rPr>
                <w:color w:val="000000"/>
                <w:sz w:val="20"/>
                <w:szCs w:val="20"/>
              </w:rPr>
            </w:pPr>
            <w:r>
              <w:rPr>
                <w:color w:val="000000"/>
                <w:sz w:val="20"/>
                <w:szCs w:val="20"/>
              </w:rPr>
              <w:t>3217,822</w:t>
            </w:r>
          </w:p>
        </w:tc>
        <w:tc>
          <w:tcPr>
            <w:tcW w:w="442" w:type="pct"/>
            <w:tcBorders>
              <w:top w:val="nil"/>
              <w:left w:val="nil"/>
              <w:bottom w:val="single" w:color="auto" w:sz="4" w:space="0"/>
              <w:right w:val="single" w:color="auto" w:sz="4" w:space="0"/>
            </w:tcBorders>
            <w:shd w:val="clear" w:color="auto" w:fill="auto"/>
            <w:noWrap/>
          </w:tcPr>
          <w:p w14:paraId="43107F72">
            <w:pPr>
              <w:spacing w:after="0" w:line="240" w:lineRule="auto"/>
              <w:ind w:firstLine="0"/>
              <w:jc w:val="center"/>
              <w:rPr>
                <w:color w:val="000000"/>
                <w:sz w:val="20"/>
                <w:szCs w:val="20"/>
              </w:rPr>
            </w:pPr>
            <w:r>
              <w:rPr>
                <w:color w:val="000000"/>
                <w:sz w:val="20"/>
                <w:szCs w:val="20"/>
              </w:rPr>
              <w:t>3217,822</w:t>
            </w:r>
          </w:p>
        </w:tc>
        <w:tc>
          <w:tcPr>
            <w:tcW w:w="442" w:type="pct"/>
            <w:tcBorders>
              <w:top w:val="nil"/>
              <w:left w:val="nil"/>
              <w:bottom w:val="single" w:color="auto" w:sz="4" w:space="0"/>
              <w:right w:val="single" w:color="auto" w:sz="4" w:space="0"/>
            </w:tcBorders>
            <w:shd w:val="clear" w:color="auto" w:fill="auto"/>
            <w:noWrap/>
          </w:tcPr>
          <w:p w14:paraId="1261B63C">
            <w:pPr>
              <w:spacing w:after="0" w:line="240" w:lineRule="auto"/>
              <w:ind w:firstLine="0"/>
              <w:jc w:val="center"/>
              <w:rPr>
                <w:color w:val="000000"/>
                <w:sz w:val="20"/>
                <w:szCs w:val="20"/>
              </w:rPr>
            </w:pPr>
            <w:r>
              <w:rPr>
                <w:color w:val="000000"/>
                <w:sz w:val="20"/>
                <w:szCs w:val="20"/>
              </w:rPr>
              <w:t>3217,822</w:t>
            </w:r>
          </w:p>
        </w:tc>
        <w:tc>
          <w:tcPr>
            <w:tcW w:w="442" w:type="pct"/>
            <w:tcBorders>
              <w:top w:val="nil"/>
              <w:left w:val="nil"/>
              <w:bottom w:val="single" w:color="auto" w:sz="4" w:space="0"/>
              <w:right w:val="single" w:color="auto" w:sz="4" w:space="0"/>
            </w:tcBorders>
            <w:shd w:val="clear" w:color="auto" w:fill="auto"/>
            <w:noWrap/>
          </w:tcPr>
          <w:p w14:paraId="01AD0123">
            <w:pPr>
              <w:spacing w:after="0" w:line="240" w:lineRule="auto"/>
              <w:ind w:firstLine="0"/>
              <w:jc w:val="center"/>
              <w:rPr>
                <w:color w:val="000000"/>
                <w:sz w:val="20"/>
                <w:szCs w:val="20"/>
              </w:rPr>
            </w:pPr>
            <w:r>
              <w:rPr>
                <w:color w:val="000000"/>
                <w:sz w:val="20"/>
                <w:szCs w:val="20"/>
              </w:rPr>
              <w:t>3217,822</w:t>
            </w:r>
          </w:p>
        </w:tc>
        <w:tc>
          <w:tcPr>
            <w:tcW w:w="442" w:type="pct"/>
            <w:tcBorders>
              <w:top w:val="nil"/>
              <w:left w:val="nil"/>
              <w:bottom w:val="single" w:color="auto" w:sz="4" w:space="0"/>
              <w:right w:val="single" w:color="auto" w:sz="4" w:space="0"/>
            </w:tcBorders>
            <w:shd w:val="clear" w:color="auto" w:fill="auto"/>
            <w:noWrap/>
          </w:tcPr>
          <w:p w14:paraId="2ED3F47E">
            <w:pPr>
              <w:spacing w:after="0" w:line="240" w:lineRule="auto"/>
              <w:ind w:firstLine="0"/>
              <w:jc w:val="center"/>
              <w:rPr>
                <w:color w:val="000000"/>
                <w:sz w:val="20"/>
                <w:szCs w:val="20"/>
              </w:rPr>
            </w:pPr>
            <w:r>
              <w:rPr>
                <w:color w:val="000000"/>
                <w:sz w:val="20"/>
                <w:szCs w:val="20"/>
              </w:rPr>
              <w:t>3217,822</w:t>
            </w:r>
          </w:p>
        </w:tc>
      </w:tr>
      <w:tr w14:paraId="3ECB977A">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3FA8CA7F">
            <w:pPr>
              <w:spacing w:after="0" w:line="240" w:lineRule="auto"/>
              <w:ind w:firstLine="0"/>
              <w:rPr>
                <w:color w:val="000000"/>
                <w:sz w:val="20"/>
                <w:szCs w:val="20"/>
              </w:rPr>
            </w:pPr>
            <w:r>
              <w:rPr>
                <w:color w:val="000000"/>
                <w:sz w:val="20"/>
                <w:szCs w:val="20"/>
              </w:rPr>
              <w:t>Расход на технологические нужды</w:t>
            </w:r>
          </w:p>
        </w:tc>
        <w:tc>
          <w:tcPr>
            <w:tcW w:w="533" w:type="pct"/>
            <w:tcBorders>
              <w:top w:val="nil"/>
              <w:left w:val="nil"/>
              <w:bottom w:val="single" w:color="auto" w:sz="4" w:space="0"/>
              <w:right w:val="single" w:color="auto" w:sz="4" w:space="0"/>
            </w:tcBorders>
            <w:shd w:val="clear" w:color="auto" w:fill="auto"/>
          </w:tcPr>
          <w:p w14:paraId="1184F4D8">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53A5861F">
            <w:pPr>
              <w:spacing w:after="0" w:line="240" w:lineRule="auto"/>
              <w:ind w:firstLine="0"/>
              <w:jc w:val="center"/>
              <w:rPr>
                <w:color w:val="000000"/>
                <w:sz w:val="20"/>
                <w:szCs w:val="20"/>
              </w:rPr>
            </w:pPr>
            <w:r>
              <w:rPr>
                <w:color w:val="000000"/>
                <w:sz w:val="20"/>
                <w:szCs w:val="20"/>
              </w:rPr>
              <w:t>72,722</w:t>
            </w:r>
          </w:p>
        </w:tc>
        <w:tc>
          <w:tcPr>
            <w:tcW w:w="442" w:type="pct"/>
            <w:tcBorders>
              <w:top w:val="nil"/>
              <w:left w:val="nil"/>
              <w:bottom w:val="single" w:color="auto" w:sz="4" w:space="0"/>
              <w:right w:val="single" w:color="auto" w:sz="4" w:space="0"/>
            </w:tcBorders>
            <w:shd w:val="clear" w:color="auto" w:fill="auto"/>
            <w:noWrap/>
          </w:tcPr>
          <w:p w14:paraId="7A5B50CC">
            <w:pPr>
              <w:spacing w:after="0" w:line="240" w:lineRule="auto"/>
              <w:ind w:firstLine="0"/>
              <w:jc w:val="center"/>
              <w:rPr>
                <w:color w:val="000000"/>
                <w:sz w:val="20"/>
                <w:szCs w:val="20"/>
              </w:rPr>
            </w:pPr>
            <w:r>
              <w:rPr>
                <w:color w:val="000000"/>
                <w:sz w:val="20"/>
                <w:szCs w:val="20"/>
              </w:rPr>
              <w:t>72,722</w:t>
            </w:r>
          </w:p>
        </w:tc>
        <w:tc>
          <w:tcPr>
            <w:tcW w:w="442" w:type="pct"/>
            <w:tcBorders>
              <w:top w:val="nil"/>
              <w:left w:val="nil"/>
              <w:bottom w:val="single" w:color="auto" w:sz="4" w:space="0"/>
              <w:right w:val="single" w:color="auto" w:sz="4" w:space="0"/>
            </w:tcBorders>
            <w:shd w:val="clear" w:color="auto" w:fill="auto"/>
            <w:noWrap/>
          </w:tcPr>
          <w:p w14:paraId="31D25FA5">
            <w:pPr>
              <w:spacing w:after="0" w:line="240" w:lineRule="auto"/>
              <w:ind w:firstLine="0"/>
              <w:jc w:val="center"/>
              <w:rPr>
                <w:color w:val="000000"/>
                <w:sz w:val="20"/>
                <w:szCs w:val="20"/>
              </w:rPr>
            </w:pPr>
            <w:r>
              <w:rPr>
                <w:color w:val="000000"/>
                <w:sz w:val="20"/>
                <w:szCs w:val="20"/>
              </w:rPr>
              <w:t>72,722</w:t>
            </w:r>
          </w:p>
        </w:tc>
        <w:tc>
          <w:tcPr>
            <w:tcW w:w="442" w:type="pct"/>
            <w:tcBorders>
              <w:top w:val="nil"/>
              <w:left w:val="nil"/>
              <w:bottom w:val="single" w:color="auto" w:sz="4" w:space="0"/>
              <w:right w:val="single" w:color="auto" w:sz="4" w:space="0"/>
            </w:tcBorders>
            <w:shd w:val="clear" w:color="auto" w:fill="auto"/>
            <w:noWrap/>
          </w:tcPr>
          <w:p w14:paraId="3C95879A">
            <w:pPr>
              <w:spacing w:after="0" w:line="240" w:lineRule="auto"/>
              <w:ind w:firstLine="0"/>
              <w:jc w:val="center"/>
              <w:rPr>
                <w:color w:val="000000"/>
                <w:sz w:val="20"/>
                <w:szCs w:val="20"/>
              </w:rPr>
            </w:pPr>
            <w:r>
              <w:rPr>
                <w:color w:val="000000"/>
                <w:sz w:val="20"/>
                <w:szCs w:val="20"/>
              </w:rPr>
              <w:t>72,722</w:t>
            </w:r>
          </w:p>
        </w:tc>
        <w:tc>
          <w:tcPr>
            <w:tcW w:w="442" w:type="pct"/>
            <w:tcBorders>
              <w:top w:val="nil"/>
              <w:left w:val="nil"/>
              <w:bottom w:val="single" w:color="auto" w:sz="4" w:space="0"/>
              <w:right w:val="single" w:color="auto" w:sz="4" w:space="0"/>
            </w:tcBorders>
            <w:shd w:val="clear" w:color="auto" w:fill="auto"/>
            <w:noWrap/>
          </w:tcPr>
          <w:p w14:paraId="1AE0A3D7">
            <w:pPr>
              <w:spacing w:after="0" w:line="240" w:lineRule="auto"/>
              <w:ind w:firstLine="0"/>
              <w:jc w:val="center"/>
              <w:rPr>
                <w:color w:val="000000"/>
                <w:sz w:val="20"/>
                <w:szCs w:val="20"/>
              </w:rPr>
            </w:pPr>
            <w:r>
              <w:rPr>
                <w:color w:val="000000"/>
                <w:sz w:val="20"/>
                <w:szCs w:val="20"/>
              </w:rPr>
              <w:t>72,722</w:t>
            </w:r>
          </w:p>
        </w:tc>
        <w:tc>
          <w:tcPr>
            <w:tcW w:w="442" w:type="pct"/>
            <w:tcBorders>
              <w:top w:val="nil"/>
              <w:left w:val="nil"/>
              <w:bottom w:val="single" w:color="auto" w:sz="4" w:space="0"/>
              <w:right w:val="single" w:color="auto" w:sz="4" w:space="0"/>
            </w:tcBorders>
            <w:shd w:val="clear" w:color="auto" w:fill="auto"/>
            <w:noWrap/>
          </w:tcPr>
          <w:p w14:paraId="4DADEC23">
            <w:pPr>
              <w:spacing w:after="0" w:line="240" w:lineRule="auto"/>
              <w:ind w:firstLine="0"/>
              <w:jc w:val="center"/>
              <w:rPr>
                <w:color w:val="000000"/>
                <w:sz w:val="20"/>
                <w:szCs w:val="20"/>
              </w:rPr>
            </w:pPr>
            <w:r>
              <w:rPr>
                <w:color w:val="000000"/>
                <w:sz w:val="20"/>
                <w:szCs w:val="20"/>
              </w:rPr>
              <w:t>72,722</w:t>
            </w:r>
          </w:p>
        </w:tc>
        <w:tc>
          <w:tcPr>
            <w:tcW w:w="442" w:type="pct"/>
            <w:tcBorders>
              <w:top w:val="nil"/>
              <w:left w:val="nil"/>
              <w:bottom w:val="single" w:color="auto" w:sz="4" w:space="0"/>
              <w:right w:val="single" w:color="auto" w:sz="4" w:space="0"/>
            </w:tcBorders>
            <w:shd w:val="clear" w:color="auto" w:fill="auto"/>
            <w:noWrap/>
          </w:tcPr>
          <w:p w14:paraId="4583C558">
            <w:pPr>
              <w:spacing w:after="0" w:line="240" w:lineRule="auto"/>
              <w:ind w:firstLine="0"/>
              <w:jc w:val="center"/>
              <w:rPr>
                <w:color w:val="000000"/>
                <w:sz w:val="20"/>
                <w:szCs w:val="20"/>
              </w:rPr>
            </w:pPr>
            <w:r>
              <w:rPr>
                <w:color w:val="000000"/>
                <w:sz w:val="20"/>
                <w:szCs w:val="20"/>
              </w:rPr>
              <w:t>72,722</w:t>
            </w:r>
          </w:p>
        </w:tc>
      </w:tr>
      <w:tr w14:paraId="347A019F">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0F93BE5B">
            <w:pPr>
              <w:spacing w:after="0" w:line="240" w:lineRule="auto"/>
              <w:ind w:firstLine="0"/>
              <w:rPr>
                <w:color w:val="000000"/>
                <w:sz w:val="20"/>
                <w:szCs w:val="20"/>
              </w:rPr>
            </w:pPr>
            <w:r>
              <w:rPr>
                <w:color w:val="000000"/>
                <w:sz w:val="20"/>
                <w:szCs w:val="20"/>
              </w:rPr>
              <w:t>Отпуск в сеть</w:t>
            </w:r>
          </w:p>
        </w:tc>
        <w:tc>
          <w:tcPr>
            <w:tcW w:w="533" w:type="pct"/>
            <w:tcBorders>
              <w:top w:val="nil"/>
              <w:left w:val="nil"/>
              <w:bottom w:val="single" w:color="auto" w:sz="4" w:space="0"/>
              <w:right w:val="single" w:color="auto" w:sz="4" w:space="0"/>
            </w:tcBorders>
            <w:shd w:val="clear" w:color="auto" w:fill="auto"/>
          </w:tcPr>
          <w:p w14:paraId="70FB0D04">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50060DBC">
            <w:pPr>
              <w:spacing w:after="0" w:line="240" w:lineRule="auto"/>
              <w:ind w:firstLine="0"/>
              <w:jc w:val="center"/>
              <w:rPr>
                <w:color w:val="000000"/>
                <w:sz w:val="20"/>
                <w:szCs w:val="20"/>
              </w:rPr>
            </w:pPr>
            <w:r>
              <w:rPr>
                <w:color w:val="000000"/>
                <w:sz w:val="20"/>
                <w:szCs w:val="20"/>
              </w:rPr>
              <w:t>3145,100</w:t>
            </w:r>
          </w:p>
        </w:tc>
        <w:tc>
          <w:tcPr>
            <w:tcW w:w="442" w:type="pct"/>
            <w:tcBorders>
              <w:top w:val="nil"/>
              <w:left w:val="nil"/>
              <w:bottom w:val="single" w:color="auto" w:sz="4" w:space="0"/>
              <w:right w:val="single" w:color="auto" w:sz="4" w:space="0"/>
            </w:tcBorders>
            <w:shd w:val="clear" w:color="auto" w:fill="auto"/>
            <w:noWrap/>
          </w:tcPr>
          <w:p w14:paraId="335CBAD0">
            <w:pPr>
              <w:spacing w:after="0" w:line="240" w:lineRule="auto"/>
              <w:ind w:firstLine="0"/>
              <w:jc w:val="center"/>
              <w:rPr>
                <w:color w:val="000000"/>
                <w:sz w:val="20"/>
                <w:szCs w:val="20"/>
              </w:rPr>
            </w:pPr>
            <w:r>
              <w:rPr>
                <w:color w:val="000000"/>
                <w:sz w:val="20"/>
                <w:szCs w:val="20"/>
              </w:rPr>
              <w:t>3145,100</w:t>
            </w:r>
          </w:p>
        </w:tc>
        <w:tc>
          <w:tcPr>
            <w:tcW w:w="442" w:type="pct"/>
            <w:tcBorders>
              <w:top w:val="nil"/>
              <w:left w:val="nil"/>
              <w:bottom w:val="single" w:color="auto" w:sz="4" w:space="0"/>
              <w:right w:val="single" w:color="auto" w:sz="4" w:space="0"/>
            </w:tcBorders>
            <w:shd w:val="clear" w:color="auto" w:fill="auto"/>
            <w:noWrap/>
          </w:tcPr>
          <w:p w14:paraId="20ED5A9C">
            <w:pPr>
              <w:spacing w:after="0" w:line="240" w:lineRule="auto"/>
              <w:ind w:firstLine="0"/>
              <w:jc w:val="center"/>
              <w:rPr>
                <w:color w:val="000000"/>
                <w:sz w:val="20"/>
                <w:szCs w:val="20"/>
              </w:rPr>
            </w:pPr>
            <w:r>
              <w:rPr>
                <w:color w:val="000000"/>
                <w:sz w:val="20"/>
                <w:szCs w:val="20"/>
              </w:rPr>
              <w:t>3145,100</w:t>
            </w:r>
          </w:p>
        </w:tc>
        <w:tc>
          <w:tcPr>
            <w:tcW w:w="442" w:type="pct"/>
            <w:tcBorders>
              <w:top w:val="nil"/>
              <w:left w:val="nil"/>
              <w:bottom w:val="single" w:color="auto" w:sz="4" w:space="0"/>
              <w:right w:val="single" w:color="auto" w:sz="4" w:space="0"/>
            </w:tcBorders>
            <w:shd w:val="clear" w:color="auto" w:fill="auto"/>
            <w:noWrap/>
          </w:tcPr>
          <w:p w14:paraId="7945F5A9">
            <w:pPr>
              <w:spacing w:after="0" w:line="240" w:lineRule="auto"/>
              <w:ind w:firstLine="0"/>
              <w:jc w:val="center"/>
              <w:rPr>
                <w:color w:val="000000"/>
                <w:sz w:val="20"/>
                <w:szCs w:val="20"/>
              </w:rPr>
            </w:pPr>
            <w:r>
              <w:rPr>
                <w:color w:val="000000"/>
                <w:sz w:val="20"/>
                <w:szCs w:val="20"/>
              </w:rPr>
              <w:t>3145,100</w:t>
            </w:r>
          </w:p>
        </w:tc>
        <w:tc>
          <w:tcPr>
            <w:tcW w:w="442" w:type="pct"/>
            <w:tcBorders>
              <w:top w:val="nil"/>
              <w:left w:val="nil"/>
              <w:bottom w:val="single" w:color="auto" w:sz="4" w:space="0"/>
              <w:right w:val="single" w:color="auto" w:sz="4" w:space="0"/>
            </w:tcBorders>
            <w:shd w:val="clear" w:color="auto" w:fill="auto"/>
            <w:noWrap/>
          </w:tcPr>
          <w:p w14:paraId="6739C7D2">
            <w:pPr>
              <w:spacing w:after="0" w:line="240" w:lineRule="auto"/>
              <w:ind w:firstLine="0"/>
              <w:jc w:val="center"/>
              <w:rPr>
                <w:color w:val="000000"/>
                <w:sz w:val="20"/>
                <w:szCs w:val="20"/>
              </w:rPr>
            </w:pPr>
            <w:r>
              <w:rPr>
                <w:color w:val="000000"/>
                <w:sz w:val="20"/>
                <w:szCs w:val="20"/>
              </w:rPr>
              <w:t>3145,100</w:t>
            </w:r>
          </w:p>
        </w:tc>
        <w:tc>
          <w:tcPr>
            <w:tcW w:w="442" w:type="pct"/>
            <w:tcBorders>
              <w:top w:val="nil"/>
              <w:left w:val="nil"/>
              <w:bottom w:val="single" w:color="auto" w:sz="4" w:space="0"/>
              <w:right w:val="single" w:color="auto" w:sz="4" w:space="0"/>
            </w:tcBorders>
            <w:shd w:val="clear" w:color="auto" w:fill="auto"/>
            <w:noWrap/>
          </w:tcPr>
          <w:p w14:paraId="0F3A766B">
            <w:pPr>
              <w:spacing w:after="0" w:line="240" w:lineRule="auto"/>
              <w:ind w:firstLine="0"/>
              <w:jc w:val="center"/>
              <w:rPr>
                <w:color w:val="000000"/>
                <w:sz w:val="20"/>
                <w:szCs w:val="20"/>
              </w:rPr>
            </w:pPr>
            <w:r>
              <w:rPr>
                <w:color w:val="000000"/>
                <w:sz w:val="20"/>
                <w:szCs w:val="20"/>
              </w:rPr>
              <w:t>3145,100</w:t>
            </w:r>
          </w:p>
        </w:tc>
        <w:tc>
          <w:tcPr>
            <w:tcW w:w="442" w:type="pct"/>
            <w:tcBorders>
              <w:top w:val="nil"/>
              <w:left w:val="nil"/>
              <w:bottom w:val="single" w:color="auto" w:sz="4" w:space="0"/>
              <w:right w:val="single" w:color="auto" w:sz="4" w:space="0"/>
            </w:tcBorders>
            <w:shd w:val="clear" w:color="auto" w:fill="auto"/>
            <w:noWrap/>
          </w:tcPr>
          <w:p w14:paraId="4F9BE5C7">
            <w:pPr>
              <w:spacing w:after="0" w:line="240" w:lineRule="auto"/>
              <w:ind w:firstLine="0"/>
              <w:jc w:val="center"/>
              <w:rPr>
                <w:color w:val="000000"/>
                <w:sz w:val="20"/>
                <w:szCs w:val="20"/>
              </w:rPr>
            </w:pPr>
            <w:r>
              <w:rPr>
                <w:color w:val="000000"/>
                <w:sz w:val="20"/>
                <w:szCs w:val="20"/>
              </w:rPr>
              <w:t>3145,100</w:t>
            </w:r>
          </w:p>
        </w:tc>
      </w:tr>
      <w:tr w14:paraId="22535C9C">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7524398F">
            <w:pPr>
              <w:spacing w:after="0" w:line="240" w:lineRule="auto"/>
              <w:ind w:firstLine="0"/>
              <w:rPr>
                <w:color w:val="000000"/>
                <w:sz w:val="20"/>
                <w:szCs w:val="20"/>
              </w:rPr>
            </w:pPr>
            <w:r>
              <w:rPr>
                <w:color w:val="000000"/>
                <w:sz w:val="20"/>
                <w:szCs w:val="20"/>
              </w:rPr>
              <w:t>Потери</w:t>
            </w:r>
          </w:p>
        </w:tc>
        <w:tc>
          <w:tcPr>
            <w:tcW w:w="533" w:type="pct"/>
            <w:tcBorders>
              <w:top w:val="nil"/>
              <w:left w:val="nil"/>
              <w:bottom w:val="single" w:color="auto" w:sz="4" w:space="0"/>
              <w:right w:val="single" w:color="auto" w:sz="4" w:space="0"/>
            </w:tcBorders>
            <w:shd w:val="clear" w:color="auto" w:fill="auto"/>
          </w:tcPr>
          <w:p w14:paraId="2253AB30">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33053AA1">
            <w:pPr>
              <w:spacing w:after="0" w:line="240" w:lineRule="auto"/>
              <w:ind w:firstLine="0"/>
              <w:jc w:val="center"/>
              <w:rPr>
                <w:color w:val="000000"/>
                <w:sz w:val="20"/>
                <w:szCs w:val="20"/>
              </w:rPr>
            </w:pPr>
            <w:r>
              <w:rPr>
                <w:color w:val="000000"/>
                <w:sz w:val="20"/>
                <w:szCs w:val="20"/>
              </w:rPr>
              <w:t>846,825</w:t>
            </w:r>
          </w:p>
        </w:tc>
        <w:tc>
          <w:tcPr>
            <w:tcW w:w="442" w:type="pct"/>
            <w:tcBorders>
              <w:top w:val="nil"/>
              <w:left w:val="nil"/>
              <w:bottom w:val="single" w:color="auto" w:sz="4" w:space="0"/>
              <w:right w:val="single" w:color="auto" w:sz="4" w:space="0"/>
            </w:tcBorders>
            <w:shd w:val="clear" w:color="auto" w:fill="auto"/>
            <w:noWrap/>
          </w:tcPr>
          <w:p w14:paraId="68B5DC2D">
            <w:pPr>
              <w:spacing w:after="0" w:line="240" w:lineRule="auto"/>
              <w:ind w:firstLine="0"/>
              <w:jc w:val="center"/>
              <w:rPr>
                <w:color w:val="000000"/>
                <w:sz w:val="20"/>
                <w:szCs w:val="20"/>
              </w:rPr>
            </w:pPr>
            <w:r>
              <w:rPr>
                <w:color w:val="000000"/>
                <w:sz w:val="20"/>
                <w:szCs w:val="20"/>
              </w:rPr>
              <w:t>846,825</w:t>
            </w:r>
          </w:p>
        </w:tc>
        <w:tc>
          <w:tcPr>
            <w:tcW w:w="442" w:type="pct"/>
            <w:tcBorders>
              <w:top w:val="nil"/>
              <w:left w:val="nil"/>
              <w:bottom w:val="single" w:color="auto" w:sz="4" w:space="0"/>
              <w:right w:val="single" w:color="auto" w:sz="4" w:space="0"/>
            </w:tcBorders>
            <w:shd w:val="clear" w:color="auto" w:fill="auto"/>
            <w:noWrap/>
          </w:tcPr>
          <w:p w14:paraId="1342C828">
            <w:pPr>
              <w:spacing w:after="0" w:line="240" w:lineRule="auto"/>
              <w:ind w:firstLine="0"/>
              <w:jc w:val="center"/>
              <w:rPr>
                <w:color w:val="000000"/>
                <w:sz w:val="20"/>
                <w:szCs w:val="20"/>
              </w:rPr>
            </w:pPr>
            <w:r>
              <w:rPr>
                <w:color w:val="000000"/>
                <w:sz w:val="20"/>
                <w:szCs w:val="20"/>
              </w:rPr>
              <w:t>846,825</w:t>
            </w:r>
          </w:p>
        </w:tc>
        <w:tc>
          <w:tcPr>
            <w:tcW w:w="442" w:type="pct"/>
            <w:tcBorders>
              <w:top w:val="nil"/>
              <w:left w:val="nil"/>
              <w:bottom w:val="single" w:color="auto" w:sz="4" w:space="0"/>
              <w:right w:val="single" w:color="auto" w:sz="4" w:space="0"/>
            </w:tcBorders>
            <w:shd w:val="clear" w:color="auto" w:fill="auto"/>
            <w:noWrap/>
          </w:tcPr>
          <w:p w14:paraId="021EE61B">
            <w:pPr>
              <w:spacing w:after="0" w:line="240" w:lineRule="auto"/>
              <w:ind w:firstLine="0"/>
              <w:jc w:val="center"/>
              <w:rPr>
                <w:color w:val="000000"/>
                <w:sz w:val="20"/>
                <w:szCs w:val="20"/>
              </w:rPr>
            </w:pPr>
            <w:r>
              <w:rPr>
                <w:color w:val="000000"/>
                <w:sz w:val="20"/>
                <w:szCs w:val="20"/>
              </w:rPr>
              <w:t>846,825</w:t>
            </w:r>
          </w:p>
        </w:tc>
        <w:tc>
          <w:tcPr>
            <w:tcW w:w="442" w:type="pct"/>
            <w:tcBorders>
              <w:top w:val="nil"/>
              <w:left w:val="nil"/>
              <w:bottom w:val="single" w:color="auto" w:sz="4" w:space="0"/>
              <w:right w:val="single" w:color="auto" w:sz="4" w:space="0"/>
            </w:tcBorders>
            <w:shd w:val="clear" w:color="auto" w:fill="auto"/>
            <w:noWrap/>
          </w:tcPr>
          <w:p w14:paraId="6D7B910E">
            <w:pPr>
              <w:spacing w:after="0" w:line="240" w:lineRule="auto"/>
              <w:ind w:firstLine="0"/>
              <w:jc w:val="center"/>
              <w:rPr>
                <w:color w:val="000000"/>
                <w:sz w:val="20"/>
                <w:szCs w:val="20"/>
              </w:rPr>
            </w:pPr>
            <w:r>
              <w:rPr>
                <w:color w:val="000000"/>
                <w:sz w:val="20"/>
                <w:szCs w:val="20"/>
              </w:rPr>
              <w:t>846,825</w:t>
            </w:r>
          </w:p>
        </w:tc>
        <w:tc>
          <w:tcPr>
            <w:tcW w:w="442" w:type="pct"/>
            <w:tcBorders>
              <w:top w:val="nil"/>
              <w:left w:val="nil"/>
              <w:bottom w:val="single" w:color="auto" w:sz="4" w:space="0"/>
              <w:right w:val="single" w:color="auto" w:sz="4" w:space="0"/>
            </w:tcBorders>
            <w:shd w:val="clear" w:color="auto" w:fill="auto"/>
            <w:noWrap/>
          </w:tcPr>
          <w:p w14:paraId="499D5805">
            <w:pPr>
              <w:spacing w:after="0" w:line="240" w:lineRule="auto"/>
              <w:ind w:firstLine="0"/>
              <w:jc w:val="center"/>
              <w:rPr>
                <w:color w:val="000000"/>
                <w:sz w:val="20"/>
                <w:szCs w:val="20"/>
              </w:rPr>
            </w:pPr>
            <w:r>
              <w:rPr>
                <w:color w:val="000000"/>
                <w:sz w:val="20"/>
                <w:szCs w:val="20"/>
              </w:rPr>
              <w:t>846,825</w:t>
            </w:r>
          </w:p>
        </w:tc>
        <w:tc>
          <w:tcPr>
            <w:tcW w:w="442" w:type="pct"/>
            <w:tcBorders>
              <w:top w:val="nil"/>
              <w:left w:val="nil"/>
              <w:bottom w:val="single" w:color="auto" w:sz="4" w:space="0"/>
              <w:right w:val="single" w:color="auto" w:sz="4" w:space="0"/>
            </w:tcBorders>
            <w:shd w:val="clear" w:color="auto" w:fill="auto"/>
            <w:noWrap/>
          </w:tcPr>
          <w:p w14:paraId="34C0EC6D">
            <w:pPr>
              <w:spacing w:after="0" w:line="240" w:lineRule="auto"/>
              <w:ind w:firstLine="0"/>
              <w:jc w:val="center"/>
              <w:rPr>
                <w:color w:val="000000"/>
                <w:sz w:val="20"/>
                <w:szCs w:val="20"/>
              </w:rPr>
            </w:pPr>
            <w:r>
              <w:rPr>
                <w:color w:val="000000"/>
                <w:sz w:val="20"/>
                <w:szCs w:val="20"/>
              </w:rPr>
              <w:t>846,825</w:t>
            </w:r>
          </w:p>
        </w:tc>
      </w:tr>
      <w:tr w14:paraId="06CE74E0">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3BD14973">
            <w:pPr>
              <w:spacing w:after="0" w:line="240" w:lineRule="auto"/>
              <w:ind w:firstLine="0"/>
              <w:rPr>
                <w:color w:val="000000"/>
                <w:sz w:val="20"/>
                <w:szCs w:val="20"/>
              </w:rPr>
            </w:pPr>
            <w:r>
              <w:rPr>
                <w:color w:val="000000"/>
                <w:sz w:val="20"/>
                <w:szCs w:val="20"/>
              </w:rPr>
              <w:t>Полезный отпуск</w:t>
            </w:r>
          </w:p>
        </w:tc>
        <w:tc>
          <w:tcPr>
            <w:tcW w:w="533" w:type="pct"/>
            <w:tcBorders>
              <w:top w:val="nil"/>
              <w:left w:val="nil"/>
              <w:bottom w:val="single" w:color="auto" w:sz="4" w:space="0"/>
              <w:right w:val="single" w:color="auto" w:sz="4" w:space="0"/>
            </w:tcBorders>
            <w:shd w:val="clear" w:color="auto" w:fill="auto"/>
          </w:tcPr>
          <w:p w14:paraId="283A83D8">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435B4AF6">
            <w:pPr>
              <w:spacing w:after="0" w:line="240" w:lineRule="auto"/>
              <w:ind w:firstLine="0"/>
              <w:jc w:val="center"/>
              <w:rPr>
                <w:color w:val="000000"/>
                <w:sz w:val="20"/>
                <w:szCs w:val="20"/>
              </w:rPr>
            </w:pPr>
            <w:r>
              <w:rPr>
                <w:color w:val="000000"/>
                <w:sz w:val="20"/>
                <w:szCs w:val="20"/>
              </w:rPr>
              <w:t>2298,275</w:t>
            </w:r>
          </w:p>
        </w:tc>
        <w:tc>
          <w:tcPr>
            <w:tcW w:w="442" w:type="pct"/>
            <w:tcBorders>
              <w:top w:val="nil"/>
              <w:left w:val="nil"/>
              <w:bottom w:val="single" w:color="auto" w:sz="4" w:space="0"/>
              <w:right w:val="single" w:color="auto" w:sz="4" w:space="0"/>
            </w:tcBorders>
            <w:shd w:val="clear" w:color="auto" w:fill="auto"/>
            <w:noWrap/>
          </w:tcPr>
          <w:p w14:paraId="0B93F441">
            <w:pPr>
              <w:spacing w:after="0" w:line="240" w:lineRule="auto"/>
              <w:ind w:firstLine="0"/>
              <w:jc w:val="center"/>
              <w:rPr>
                <w:color w:val="000000"/>
                <w:sz w:val="20"/>
                <w:szCs w:val="20"/>
              </w:rPr>
            </w:pPr>
            <w:r>
              <w:rPr>
                <w:color w:val="000000"/>
                <w:sz w:val="20"/>
                <w:szCs w:val="20"/>
              </w:rPr>
              <w:t>2298,275</w:t>
            </w:r>
          </w:p>
        </w:tc>
        <w:tc>
          <w:tcPr>
            <w:tcW w:w="442" w:type="pct"/>
            <w:tcBorders>
              <w:top w:val="nil"/>
              <w:left w:val="nil"/>
              <w:bottom w:val="single" w:color="auto" w:sz="4" w:space="0"/>
              <w:right w:val="single" w:color="auto" w:sz="4" w:space="0"/>
            </w:tcBorders>
            <w:shd w:val="clear" w:color="auto" w:fill="auto"/>
            <w:noWrap/>
          </w:tcPr>
          <w:p w14:paraId="700FD2DD">
            <w:pPr>
              <w:spacing w:after="0" w:line="240" w:lineRule="auto"/>
              <w:ind w:firstLine="0"/>
              <w:jc w:val="center"/>
              <w:rPr>
                <w:color w:val="000000"/>
                <w:sz w:val="20"/>
                <w:szCs w:val="20"/>
              </w:rPr>
            </w:pPr>
            <w:r>
              <w:rPr>
                <w:color w:val="000000"/>
                <w:sz w:val="20"/>
                <w:szCs w:val="20"/>
              </w:rPr>
              <w:t>2298,275</w:t>
            </w:r>
          </w:p>
        </w:tc>
        <w:tc>
          <w:tcPr>
            <w:tcW w:w="442" w:type="pct"/>
            <w:tcBorders>
              <w:top w:val="nil"/>
              <w:left w:val="nil"/>
              <w:bottom w:val="single" w:color="auto" w:sz="4" w:space="0"/>
              <w:right w:val="single" w:color="auto" w:sz="4" w:space="0"/>
            </w:tcBorders>
            <w:shd w:val="clear" w:color="auto" w:fill="auto"/>
            <w:noWrap/>
          </w:tcPr>
          <w:p w14:paraId="67F875E5">
            <w:pPr>
              <w:spacing w:after="0" w:line="240" w:lineRule="auto"/>
              <w:ind w:firstLine="0"/>
              <w:jc w:val="center"/>
              <w:rPr>
                <w:color w:val="000000"/>
                <w:sz w:val="20"/>
                <w:szCs w:val="20"/>
              </w:rPr>
            </w:pPr>
            <w:r>
              <w:rPr>
                <w:color w:val="000000"/>
                <w:sz w:val="20"/>
                <w:szCs w:val="20"/>
              </w:rPr>
              <w:t>2298,275</w:t>
            </w:r>
          </w:p>
        </w:tc>
        <w:tc>
          <w:tcPr>
            <w:tcW w:w="442" w:type="pct"/>
            <w:tcBorders>
              <w:top w:val="nil"/>
              <w:left w:val="nil"/>
              <w:bottom w:val="single" w:color="auto" w:sz="4" w:space="0"/>
              <w:right w:val="single" w:color="auto" w:sz="4" w:space="0"/>
            </w:tcBorders>
            <w:shd w:val="clear" w:color="auto" w:fill="auto"/>
            <w:noWrap/>
          </w:tcPr>
          <w:p w14:paraId="628663BE">
            <w:pPr>
              <w:spacing w:after="0" w:line="240" w:lineRule="auto"/>
              <w:ind w:firstLine="0"/>
              <w:jc w:val="center"/>
              <w:rPr>
                <w:color w:val="000000"/>
                <w:sz w:val="20"/>
                <w:szCs w:val="20"/>
              </w:rPr>
            </w:pPr>
            <w:r>
              <w:rPr>
                <w:color w:val="000000"/>
                <w:sz w:val="20"/>
                <w:szCs w:val="20"/>
              </w:rPr>
              <w:t>2298,275</w:t>
            </w:r>
          </w:p>
        </w:tc>
        <w:tc>
          <w:tcPr>
            <w:tcW w:w="442" w:type="pct"/>
            <w:tcBorders>
              <w:top w:val="nil"/>
              <w:left w:val="nil"/>
              <w:bottom w:val="single" w:color="auto" w:sz="4" w:space="0"/>
              <w:right w:val="single" w:color="auto" w:sz="4" w:space="0"/>
            </w:tcBorders>
            <w:shd w:val="clear" w:color="auto" w:fill="auto"/>
            <w:noWrap/>
          </w:tcPr>
          <w:p w14:paraId="3F94F11C">
            <w:pPr>
              <w:spacing w:after="0" w:line="240" w:lineRule="auto"/>
              <w:ind w:firstLine="0"/>
              <w:jc w:val="center"/>
              <w:rPr>
                <w:color w:val="000000"/>
                <w:sz w:val="20"/>
                <w:szCs w:val="20"/>
              </w:rPr>
            </w:pPr>
            <w:r>
              <w:rPr>
                <w:color w:val="000000"/>
                <w:sz w:val="20"/>
                <w:szCs w:val="20"/>
              </w:rPr>
              <w:t>2298,275</w:t>
            </w:r>
          </w:p>
        </w:tc>
        <w:tc>
          <w:tcPr>
            <w:tcW w:w="442" w:type="pct"/>
            <w:tcBorders>
              <w:top w:val="nil"/>
              <w:left w:val="nil"/>
              <w:bottom w:val="single" w:color="auto" w:sz="4" w:space="0"/>
              <w:right w:val="single" w:color="auto" w:sz="4" w:space="0"/>
            </w:tcBorders>
            <w:shd w:val="clear" w:color="auto" w:fill="auto"/>
            <w:noWrap/>
          </w:tcPr>
          <w:p w14:paraId="487B7E3B">
            <w:pPr>
              <w:spacing w:after="0" w:line="240" w:lineRule="auto"/>
              <w:ind w:firstLine="0"/>
              <w:jc w:val="center"/>
              <w:rPr>
                <w:color w:val="000000"/>
                <w:sz w:val="20"/>
                <w:szCs w:val="20"/>
              </w:rPr>
            </w:pPr>
            <w:r>
              <w:rPr>
                <w:color w:val="000000"/>
                <w:sz w:val="20"/>
                <w:szCs w:val="20"/>
              </w:rPr>
              <w:t>2298,275</w:t>
            </w:r>
          </w:p>
        </w:tc>
      </w:tr>
      <w:tr w14:paraId="311662F9">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1E94533F">
            <w:pPr>
              <w:spacing w:after="0" w:line="240" w:lineRule="auto"/>
              <w:ind w:firstLine="0"/>
              <w:rPr>
                <w:color w:val="000000"/>
                <w:sz w:val="20"/>
                <w:szCs w:val="20"/>
              </w:rPr>
            </w:pPr>
            <w:r>
              <w:rPr>
                <w:color w:val="000000"/>
                <w:sz w:val="20"/>
                <w:szCs w:val="20"/>
              </w:rPr>
              <w:t>Жилой фонд</w:t>
            </w:r>
          </w:p>
        </w:tc>
        <w:tc>
          <w:tcPr>
            <w:tcW w:w="533" w:type="pct"/>
            <w:tcBorders>
              <w:top w:val="nil"/>
              <w:left w:val="nil"/>
              <w:bottom w:val="single" w:color="auto" w:sz="4" w:space="0"/>
              <w:right w:val="single" w:color="auto" w:sz="4" w:space="0"/>
            </w:tcBorders>
            <w:shd w:val="clear" w:color="auto" w:fill="auto"/>
          </w:tcPr>
          <w:p w14:paraId="2A336CD0">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018FF6B6">
            <w:pPr>
              <w:spacing w:after="0" w:line="240" w:lineRule="auto"/>
              <w:ind w:firstLine="0"/>
              <w:jc w:val="center"/>
              <w:rPr>
                <w:color w:val="000000"/>
                <w:sz w:val="20"/>
                <w:szCs w:val="20"/>
              </w:rPr>
            </w:pPr>
            <w:r>
              <w:rPr>
                <w:color w:val="000000"/>
                <w:sz w:val="20"/>
                <w:szCs w:val="20"/>
              </w:rPr>
              <w:t>1193,868</w:t>
            </w:r>
          </w:p>
        </w:tc>
        <w:tc>
          <w:tcPr>
            <w:tcW w:w="442" w:type="pct"/>
            <w:tcBorders>
              <w:top w:val="nil"/>
              <w:left w:val="nil"/>
              <w:bottom w:val="single" w:color="auto" w:sz="4" w:space="0"/>
              <w:right w:val="single" w:color="auto" w:sz="4" w:space="0"/>
            </w:tcBorders>
            <w:shd w:val="clear" w:color="auto" w:fill="auto"/>
            <w:noWrap/>
          </w:tcPr>
          <w:p w14:paraId="53D8B703">
            <w:pPr>
              <w:spacing w:after="0" w:line="240" w:lineRule="auto"/>
              <w:ind w:firstLine="0"/>
              <w:jc w:val="center"/>
              <w:rPr>
                <w:color w:val="000000"/>
                <w:sz w:val="20"/>
                <w:szCs w:val="20"/>
              </w:rPr>
            </w:pPr>
            <w:r>
              <w:rPr>
                <w:color w:val="000000"/>
                <w:sz w:val="20"/>
                <w:szCs w:val="20"/>
              </w:rPr>
              <w:t>1193,868</w:t>
            </w:r>
          </w:p>
        </w:tc>
        <w:tc>
          <w:tcPr>
            <w:tcW w:w="442" w:type="pct"/>
            <w:tcBorders>
              <w:top w:val="nil"/>
              <w:left w:val="nil"/>
              <w:bottom w:val="single" w:color="auto" w:sz="4" w:space="0"/>
              <w:right w:val="single" w:color="auto" w:sz="4" w:space="0"/>
            </w:tcBorders>
            <w:shd w:val="clear" w:color="auto" w:fill="auto"/>
            <w:noWrap/>
          </w:tcPr>
          <w:p w14:paraId="5095CDA3">
            <w:pPr>
              <w:spacing w:after="0" w:line="240" w:lineRule="auto"/>
              <w:ind w:firstLine="0"/>
              <w:jc w:val="center"/>
              <w:rPr>
                <w:color w:val="000000"/>
                <w:sz w:val="20"/>
                <w:szCs w:val="20"/>
              </w:rPr>
            </w:pPr>
            <w:r>
              <w:rPr>
                <w:color w:val="000000"/>
                <w:sz w:val="20"/>
                <w:szCs w:val="20"/>
              </w:rPr>
              <w:t>1193,868</w:t>
            </w:r>
          </w:p>
        </w:tc>
        <w:tc>
          <w:tcPr>
            <w:tcW w:w="442" w:type="pct"/>
            <w:tcBorders>
              <w:top w:val="nil"/>
              <w:left w:val="nil"/>
              <w:bottom w:val="single" w:color="auto" w:sz="4" w:space="0"/>
              <w:right w:val="single" w:color="auto" w:sz="4" w:space="0"/>
            </w:tcBorders>
            <w:shd w:val="clear" w:color="auto" w:fill="auto"/>
            <w:noWrap/>
          </w:tcPr>
          <w:p w14:paraId="67EA2B30">
            <w:pPr>
              <w:spacing w:after="0" w:line="240" w:lineRule="auto"/>
              <w:ind w:firstLine="0"/>
              <w:jc w:val="center"/>
              <w:rPr>
                <w:color w:val="000000"/>
                <w:sz w:val="20"/>
                <w:szCs w:val="20"/>
              </w:rPr>
            </w:pPr>
            <w:r>
              <w:rPr>
                <w:color w:val="000000"/>
                <w:sz w:val="20"/>
                <w:szCs w:val="20"/>
              </w:rPr>
              <w:t>1193,868</w:t>
            </w:r>
          </w:p>
        </w:tc>
        <w:tc>
          <w:tcPr>
            <w:tcW w:w="442" w:type="pct"/>
            <w:tcBorders>
              <w:top w:val="nil"/>
              <w:left w:val="nil"/>
              <w:bottom w:val="single" w:color="auto" w:sz="4" w:space="0"/>
              <w:right w:val="single" w:color="auto" w:sz="4" w:space="0"/>
            </w:tcBorders>
            <w:shd w:val="clear" w:color="auto" w:fill="auto"/>
            <w:noWrap/>
          </w:tcPr>
          <w:p w14:paraId="00F8EE68">
            <w:pPr>
              <w:spacing w:after="0" w:line="240" w:lineRule="auto"/>
              <w:ind w:firstLine="0"/>
              <w:jc w:val="center"/>
              <w:rPr>
                <w:color w:val="000000"/>
                <w:sz w:val="20"/>
                <w:szCs w:val="20"/>
              </w:rPr>
            </w:pPr>
            <w:r>
              <w:rPr>
                <w:color w:val="000000"/>
                <w:sz w:val="20"/>
                <w:szCs w:val="20"/>
              </w:rPr>
              <w:t>1193,868</w:t>
            </w:r>
          </w:p>
        </w:tc>
        <w:tc>
          <w:tcPr>
            <w:tcW w:w="442" w:type="pct"/>
            <w:tcBorders>
              <w:top w:val="nil"/>
              <w:left w:val="nil"/>
              <w:bottom w:val="single" w:color="auto" w:sz="4" w:space="0"/>
              <w:right w:val="single" w:color="auto" w:sz="4" w:space="0"/>
            </w:tcBorders>
            <w:shd w:val="clear" w:color="auto" w:fill="auto"/>
            <w:noWrap/>
          </w:tcPr>
          <w:p w14:paraId="2842FB4B">
            <w:pPr>
              <w:spacing w:after="0" w:line="240" w:lineRule="auto"/>
              <w:ind w:firstLine="0"/>
              <w:jc w:val="center"/>
              <w:rPr>
                <w:color w:val="000000"/>
                <w:sz w:val="20"/>
                <w:szCs w:val="20"/>
              </w:rPr>
            </w:pPr>
            <w:r>
              <w:rPr>
                <w:color w:val="000000"/>
                <w:sz w:val="20"/>
                <w:szCs w:val="20"/>
              </w:rPr>
              <w:t>1193,868</w:t>
            </w:r>
          </w:p>
        </w:tc>
        <w:tc>
          <w:tcPr>
            <w:tcW w:w="442" w:type="pct"/>
            <w:tcBorders>
              <w:top w:val="nil"/>
              <w:left w:val="nil"/>
              <w:bottom w:val="single" w:color="auto" w:sz="4" w:space="0"/>
              <w:right w:val="single" w:color="auto" w:sz="4" w:space="0"/>
            </w:tcBorders>
            <w:shd w:val="clear" w:color="auto" w:fill="auto"/>
            <w:noWrap/>
          </w:tcPr>
          <w:p w14:paraId="1280F0F3">
            <w:pPr>
              <w:spacing w:after="0" w:line="240" w:lineRule="auto"/>
              <w:ind w:firstLine="0"/>
              <w:jc w:val="center"/>
              <w:rPr>
                <w:color w:val="000000"/>
                <w:sz w:val="20"/>
                <w:szCs w:val="20"/>
              </w:rPr>
            </w:pPr>
            <w:r>
              <w:rPr>
                <w:color w:val="000000"/>
                <w:sz w:val="20"/>
                <w:szCs w:val="20"/>
              </w:rPr>
              <w:t>1193,868</w:t>
            </w:r>
          </w:p>
        </w:tc>
      </w:tr>
      <w:tr w14:paraId="47022286">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7C926F33">
            <w:pPr>
              <w:spacing w:after="0" w:line="240" w:lineRule="auto"/>
              <w:ind w:firstLine="0"/>
              <w:rPr>
                <w:color w:val="000000"/>
                <w:sz w:val="20"/>
                <w:szCs w:val="20"/>
              </w:rPr>
            </w:pPr>
            <w:r>
              <w:rPr>
                <w:color w:val="000000"/>
                <w:sz w:val="20"/>
                <w:szCs w:val="20"/>
              </w:rPr>
              <w:t>Бюджетные потребители</w:t>
            </w:r>
          </w:p>
        </w:tc>
        <w:tc>
          <w:tcPr>
            <w:tcW w:w="533" w:type="pct"/>
            <w:tcBorders>
              <w:top w:val="nil"/>
              <w:left w:val="nil"/>
              <w:bottom w:val="single" w:color="auto" w:sz="4" w:space="0"/>
              <w:right w:val="single" w:color="auto" w:sz="4" w:space="0"/>
            </w:tcBorders>
            <w:shd w:val="clear" w:color="auto" w:fill="auto"/>
          </w:tcPr>
          <w:p w14:paraId="1447299E">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4FB38F6B">
            <w:pPr>
              <w:spacing w:after="0" w:line="240" w:lineRule="auto"/>
              <w:ind w:firstLine="0"/>
              <w:jc w:val="center"/>
              <w:rPr>
                <w:color w:val="000000"/>
                <w:sz w:val="20"/>
                <w:szCs w:val="20"/>
              </w:rPr>
            </w:pPr>
            <w:r>
              <w:rPr>
                <w:color w:val="000000"/>
                <w:sz w:val="20"/>
                <w:szCs w:val="20"/>
              </w:rPr>
              <w:t>772,856</w:t>
            </w:r>
          </w:p>
        </w:tc>
        <w:tc>
          <w:tcPr>
            <w:tcW w:w="442" w:type="pct"/>
            <w:tcBorders>
              <w:top w:val="nil"/>
              <w:left w:val="nil"/>
              <w:bottom w:val="single" w:color="auto" w:sz="4" w:space="0"/>
              <w:right w:val="single" w:color="auto" w:sz="4" w:space="0"/>
            </w:tcBorders>
            <w:shd w:val="clear" w:color="auto" w:fill="auto"/>
            <w:noWrap/>
          </w:tcPr>
          <w:p w14:paraId="38E818CC">
            <w:pPr>
              <w:spacing w:after="0" w:line="240" w:lineRule="auto"/>
              <w:ind w:firstLine="0"/>
              <w:jc w:val="center"/>
              <w:rPr>
                <w:color w:val="000000"/>
                <w:sz w:val="20"/>
                <w:szCs w:val="20"/>
              </w:rPr>
            </w:pPr>
            <w:r>
              <w:rPr>
                <w:color w:val="000000"/>
                <w:sz w:val="20"/>
                <w:szCs w:val="20"/>
              </w:rPr>
              <w:t>772,856</w:t>
            </w:r>
          </w:p>
        </w:tc>
        <w:tc>
          <w:tcPr>
            <w:tcW w:w="442" w:type="pct"/>
            <w:tcBorders>
              <w:top w:val="nil"/>
              <w:left w:val="nil"/>
              <w:bottom w:val="single" w:color="auto" w:sz="4" w:space="0"/>
              <w:right w:val="single" w:color="auto" w:sz="4" w:space="0"/>
            </w:tcBorders>
            <w:shd w:val="clear" w:color="auto" w:fill="auto"/>
            <w:noWrap/>
          </w:tcPr>
          <w:p w14:paraId="1E81CE44">
            <w:pPr>
              <w:spacing w:after="0" w:line="240" w:lineRule="auto"/>
              <w:ind w:firstLine="0"/>
              <w:jc w:val="center"/>
              <w:rPr>
                <w:color w:val="000000"/>
                <w:sz w:val="20"/>
                <w:szCs w:val="20"/>
              </w:rPr>
            </w:pPr>
            <w:r>
              <w:rPr>
                <w:color w:val="000000"/>
                <w:sz w:val="20"/>
                <w:szCs w:val="20"/>
              </w:rPr>
              <w:t>772,856</w:t>
            </w:r>
          </w:p>
        </w:tc>
        <w:tc>
          <w:tcPr>
            <w:tcW w:w="442" w:type="pct"/>
            <w:tcBorders>
              <w:top w:val="nil"/>
              <w:left w:val="nil"/>
              <w:bottom w:val="single" w:color="auto" w:sz="4" w:space="0"/>
              <w:right w:val="single" w:color="auto" w:sz="4" w:space="0"/>
            </w:tcBorders>
            <w:shd w:val="clear" w:color="auto" w:fill="auto"/>
            <w:noWrap/>
          </w:tcPr>
          <w:p w14:paraId="503D24D2">
            <w:pPr>
              <w:spacing w:after="0" w:line="240" w:lineRule="auto"/>
              <w:ind w:firstLine="0"/>
              <w:jc w:val="center"/>
              <w:rPr>
                <w:color w:val="000000"/>
                <w:sz w:val="20"/>
                <w:szCs w:val="20"/>
              </w:rPr>
            </w:pPr>
            <w:r>
              <w:rPr>
                <w:color w:val="000000"/>
                <w:sz w:val="20"/>
                <w:szCs w:val="20"/>
              </w:rPr>
              <w:t>772,856</w:t>
            </w:r>
          </w:p>
        </w:tc>
        <w:tc>
          <w:tcPr>
            <w:tcW w:w="442" w:type="pct"/>
            <w:tcBorders>
              <w:top w:val="nil"/>
              <w:left w:val="nil"/>
              <w:bottom w:val="single" w:color="auto" w:sz="4" w:space="0"/>
              <w:right w:val="single" w:color="auto" w:sz="4" w:space="0"/>
            </w:tcBorders>
            <w:shd w:val="clear" w:color="auto" w:fill="auto"/>
            <w:noWrap/>
          </w:tcPr>
          <w:p w14:paraId="2BEF4102">
            <w:pPr>
              <w:spacing w:after="0" w:line="240" w:lineRule="auto"/>
              <w:ind w:firstLine="0"/>
              <w:jc w:val="center"/>
              <w:rPr>
                <w:color w:val="000000"/>
                <w:sz w:val="20"/>
                <w:szCs w:val="20"/>
              </w:rPr>
            </w:pPr>
            <w:r>
              <w:rPr>
                <w:color w:val="000000"/>
                <w:sz w:val="20"/>
                <w:szCs w:val="20"/>
              </w:rPr>
              <w:t>772,856</w:t>
            </w:r>
          </w:p>
        </w:tc>
        <w:tc>
          <w:tcPr>
            <w:tcW w:w="442" w:type="pct"/>
            <w:tcBorders>
              <w:top w:val="nil"/>
              <w:left w:val="nil"/>
              <w:bottom w:val="single" w:color="auto" w:sz="4" w:space="0"/>
              <w:right w:val="single" w:color="auto" w:sz="4" w:space="0"/>
            </w:tcBorders>
            <w:shd w:val="clear" w:color="auto" w:fill="auto"/>
            <w:noWrap/>
          </w:tcPr>
          <w:p w14:paraId="09542155">
            <w:pPr>
              <w:spacing w:after="0" w:line="240" w:lineRule="auto"/>
              <w:ind w:firstLine="0"/>
              <w:jc w:val="center"/>
              <w:rPr>
                <w:color w:val="000000"/>
                <w:sz w:val="20"/>
                <w:szCs w:val="20"/>
              </w:rPr>
            </w:pPr>
            <w:r>
              <w:rPr>
                <w:color w:val="000000"/>
                <w:sz w:val="20"/>
                <w:szCs w:val="20"/>
              </w:rPr>
              <w:t>772,856</w:t>
            </w:r>
          </w:p>
        </w:tc>
        <w:tc>
          <w:tcPr>
            <w:tcW w:w="442" w:type="pct"/>
            <w:tcBorders>
              <w:top w:val="nil"/>
              <w:left w:val="nil"/>
              <w:bottom w:val="single" w:color="auto" w:sz="4" w:space="0"/>
              <w:right w:val="single" w:color="auto" w:sz="4" w:space="0"/>
            </w:tcBorders>
            <w:shd w:val="clear" w:color="auto" w:fill="auto"/>
            <w:noWrap/>
          </w:tcPr>
          <w:p w14:paraId="0C3F9828">
            <w:pPr>
              <w:spacing w:after="0" w:line="240" w:lineRule="auto"/>
              <w:ind w:firstLine="0"/>
              <w:jc w:val="center"/>
              <w:rPr>
                <w:color w:val="000000"/>
                <w:sz w:val="20"/>
                <w:szCs w:val="20"/>
              </w:rPr>
            </w:pPr>
            <w:r>
              <w:rPr>
                <w:color w:val="000000"/>
                <w:sz w:val="20"/>
                <w:szCs w:val="20"/>
              </w:rPr>
              <w:t>772,856</w:t>
            </w:r>
          </w:p>
        </w:tc>
      </w:tr>
      <w:tr w14:paraId="24F797C0">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5AEF7DB7">
            <w:pPr>
              <w:spacing w:after="0" w:line="240" w:lineRule="auto"/>
              <w:ind w:firstLine="0"/>
              <w:rPr>
                <w:color w:val="000000"/>
                <w:sz w:val="20"/>
                <w:szCs w:val="20"/>
              </w:rPr>
            </w:pPr>
            <w:r>
              <w:rPr>
                <w:color w:val="000000"/>
                <w:sz w:val="20"/>
                <w:szCs w:val="20"/>
              </w:rPr>
              <w:t>Производственные потребители</w:t>
            </w:r>
          </w:p>
        </w:tc>
        <w:tc>
          <w:tcPr>
            <w:tcW w:w="533" w:type="pct"/>
            <w:tcBorders>
              <w:top w:val="nil"/>
              <w:left w:val="nil"/>
              <w:bottom w:val="single" w:color="auto" w:sz="4" w:space="0"/>
              <w:right w:val="single" w:color="auto" w:sz="4" w:space="0"/>
            </w:tcBorders>
            <w:shd w:val="clear" w:color="auto" w:fill="auto"/>
          </w:tcPr>
          <w:p w14:paraId="31197860">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404D3BB7">
            <w:pPr>
              <w:spacing w:after="0" w:line="240" w:lineRule="auto"/>
              <w:ind w:firstLine="0"/>
              <w:jc w:val="center"/>
              <w:rPr>
                <w:color w:val="000000"/>
                <w:sz w:val="20"/>
                <w:szCs w:val="20"/>
              </w:rPr>
            </w:pPr>
            <w:r>
              <w:rPr>
                <w:color w:val="000000"/>
                <w:sz w:val="20"/>
                <w:szCs w:val="20"/>
              </w:rPr>
              <w:t>119,801</w:t>
            </w:r>
          </w:p>
        </w:tc>
        <w:tc>
          <w:tcPr>
            <w:tcW w:w="442" w:type="pct"/>
            <w:tcBorders>
              <w:top w:val="nil"/>
              <w:left w:val="nil"/>
              <w:bottom w:val="single" w:color="auto" w:sz="4" w:space="0"/>
              <w:right w:val="single" w:color="auto" w:sz="4" w:space="0"/>
            </w:tcBorders>
            <w:shd w:val="clear" w:color="auto" w:fill="auto"/>
            <w:noWrap/>
          </w:tcPr>
          <w:p w14:paraId="72D567CD">
            <w:pPr>
              <w:spacing w:after="0" w:line="240" w:lineRule="auto"/>
              <w:ind w:firstLine="0"/>
              <w:jc w:val="center"/>
              <w:rPr>
                <w:color w:val="000000"/>
                <w:sz w:val="20"/>
                <w:szCs w:val="20"/>
              </w:rPr>
            </w:pPr>
            <w:r>
              <w:rPr>
                <w:color w:val="000000"/>
                <w:sz w:val="20"/>
                <w:szCs w:val="20"/>
              </w:rPr>
              <w:t>119,801</w:t>
            </w:r>
          </w:p>
        </w:tc>
        <w:tc>
          <w:tcPr>
            <w:tcW w:w="442" w:type="pct"/>
            <w:tcBorders>
              <w:top w:val="nil"/>
              <w:left w:val="nil"/>
              <w:bottom w:val="single" w:color="auto" w:sz="4" w:space="0"/>
              <w:right w:val="single" w:color="auto" w:sz="4" w:space="0"/>
            </w:tcBorders>
            <w:shd w:val="clear" w:color="auto" w:fill="auto"/>
            <w:noWrap/>
          </w:tcPr>
          <w:p w14:paraId="220AB666">
            <w:pPr>
              <w:spacing w:after="0" w:line="240" w:lineRule="auto"/>
              <w:ind w:firstLine="0"/>
              <w:jc w:val="center"/>
              <w:rPr>
                <w:color w:val="000000"/>
                <w:sz w:val="20"/>
                <w:szCs w:val="20"/>
              </w:rPr>
            </w:pPr>
            <w:r>
              <w:rPr>
                <w:color w:val="000000"/>
                <w:sz w:val="20"/>
                <w:szCs w:val="20"/>
              </w:rPr>
              <w:t>119,801</w:t>
            </w:r>
          </w:p>
        </w:tc>
        <w:tc>
          <w:tcPr>
            <w:tcW w:w="442" w:type="pct"/>
            <w:tcBorders>
              <w:top w:val="nil"/>
              <w:left w:val="nil"/>
              <w:bottom w:val="single" w:color="auto" w:sz="4" w:space="0"/>
              <w:right w:val="single" w:color="auto" w:sz="4" w:space="0"/>
            </w:tcBorders>
            <w:shd w:val="clear" w:color="auto" w:fill="auto"/>
            <w:noWrap/>
          </w:tcPr>
          <w:p w14:paraId="0A1CCD66">
            <w:pPr>
              <w:spacing w:after="0" w:line="240" w:lineRule="auto"/>
              <w:ind w:firstLine="0"/>
              <w:jc w:val="center"/>
              <w:rPr>
                <w:color w:val="000000"/>
                <w:sz w:val="20"/>
                <w:szCs w:val="20"/>
              </w:rPr>
            </w:pPr>
            <w:r>
              <w:rPr>
                <w:color w:val="000000"/>
                <w:sz w:val="20"/>
                <w:szCs w:val="20"/>
              </w:rPr>
              <w:t>119,801</w:t>
            </w:r>
          </w:p>
        </w:tc>
        <w:tc>
          <w:tcPr>
            <w:tcW w:w="442" w:type="pct"/>
            <w:tcBorders>
              <w:top w:val="nil"/>
              <w:left w:val="nil"/>
              <w:bottom w:val="single" w:color="auto" w:sz="4" w:space="0"/>
              <w:right w:val="single" w:color="auto" w:sz="4" w:space="0"/>
            </w:tcBorders>
            <w:shd w:val="clear" w:color="auto" w:fill="auto"/>
            <w:noWrap/>
          </w:tcPr>
          <w:p w14:paraId="61FF0CB2">
            <w:pPr>
              <w:spacing w:after="0" w:line="240" w:lineRule="auto"/>
              <w:ind w:firstLine="0"/>
              <w:jc w:val="center"/>
              <w:rPr>
                <w:color w:val="000000"/>
                <w:sz w:val="20"/>
                <w:szCs w:val="20"/>
              </w:rPr>
            </w:pPr>
            <w:r>
              <w:rPr>
                <w:color w:val="000000"/>
                <w:sz w:val="20"/>
                <w:szCs w:val="20"/>
              </w:rPr>
              <w:t>119,801</w:t>
            </w:r>
          </w:p>
        </w:tc>
        <w:tc>
          <w:tcPr>
            <w:tcW w:w="442" w:type="pct"/>
            <w:tcBorders>
              <w:top w:val="nil"/>
              <w:left w:val="nil"/>
              <w:bottom w:val="single" w:color="auto" w:sz="4" w:space="0"/>
              <w:right w:val="single" w:color="auto" w:sz="4" w:space="0"/>
            </w:tcBorders>
            <w:shd w:val="clear" w:color="auto" w:fill="auto"/>
            <w:noWrap/>
          </w:tcPr>
          <w:p w14:paraId="2D377A32">
            <w:pPr>
              <w:spacing w:after="0" w:line="240" w:lineRule="auto"/>
              <w:ind w:firstLine="0"/>
              <w:jc w:val="center"/>
              <w:rPr>
                <w:color w:val="000000"/>
                <w:sz w:val="20"/>
                <w:szCs w:val="20"/>
              </w:rPr>
            </w:pPr>
            <w:r>
              <w:rPr>
                <w:color w:val="000000"/>
                <w:sz w:val="20"/>
                <w:szCs w:val="20"/>
              </w:rPr>
              <w:t>119,801</w:t>
            </w:r>
          </w:p>
        </w:tc>
        <w:tc>
          <w:tcPr>
            <w:tcW w:w="442" w:type="pct"/>
            <w:tcBorders>
              <w:top w:val="nil"/>
              <w:left w:val="nil"/>
              <w:bottom w:val="single" w:color="auto" w:sz="4" w:space="0"/>
              <w:right w:val="single" w:color="auto" w:sz="4" w:space="0"/>
            </w:tcBorders>
            <w:shd w:val="clear" w:color="auto" w:fill="auto"/>
            <w:noWrap/>
          </w:tcPr>
          <w:p w14:paraId="59E97E7A">
            <w:pPr>
              <w:spacing w:after="0" w:line="240" w:lineRule="auto"/>
              <w:ind w:firstLine="0"/>
              <w:jc w:val="center"/>
              <w:rPr>
                <w:color w:val="000000"/>
                <w:sz w:val="20"/>
                <w:szCs w:val="20"/>
              </w:rPr>
            </w:pPr>
            <w:r>
              <w:rPr>
                <w:color w:val="000000"/>
                <w:sz w:val="20"/>
                <w:szCs w:val="20"/>
              </w:rPr>
              <w:t>119,801</w:t>
            </w:r>
          </w:p>
        </w:tc>
      </w:tr>
      <w:tr w14:paraId="0CEFA1AB">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3C4DF0D2">
            <w:pPr>
              <w:spacing w:after="0" w:line="240" w:lineRule="auto"/>
              <w:ind w:firstLine="0"/>
              <w:rPr>
                <w:color w:val="000000"/>
                <w:sz w:val="20"/>
                <w:szCs w:val="20"/>
              </w:rPr>
            </w:pPr>
            <w:r>
              <w:rPr>
                <w:color w:val="000000"/>
                <w:sz w:val="20"/>
                <w:szCs w:val="20"/>
              </w:rPr>
              <w:t>Прочие потребители</w:t>
            </w:r>
          </w:p>
        </w:tc>
        <w:tc>
          <w:tcPr>
            <w:tcW w:w="533" w:type="pct"/>
            <w:tcBorders>
              <w:top w:val="nil"/>
              <w:left w:val="nil"/>
              <w:bottom w:val="single" w:color="auto" w:sz="4" w:space="0"/>
              <w:right w:val="single" w:color="auto" w:sz="4" w:space="0"/>
            </w:tcBorders>
            <w:shd w:val="clear" w:color="auto" w:fill="auto"/>
          </w:tcPr>
          <w:p w14:paraId="79FC9206">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tcPr>
          <w:p w14:paraId="18493207">
            <w:pPr>
              <w:spacing w:after="0" w:line="240" w:lineRule="auto"/>
              <w:ind w:firstLine="0"/>
              <w:jc w:val="center"/>
              <w:rPr>
                <w:color w:val="000000"/>
                <w:sz w:val="20"/>
                <w:szCs w:val="20"/>
              </w:rPr>
            </w:pPr>
            <w:r>
              <w:rPr>
                <w:color w:val="000000"/>
                <w:sz w:val="20"/>
                <w:szCs w:val="20"/>
              </w:rPr>
              <w:t>211,750</w:t>
            </w:r>
          </w:p>
        </w:tc>
        <w:tc>
          <w:tcPr>
            <w:tcW w:w="442" w:type="pct"/>
            <w:tcBorders>
              <w:top w:val="nil"/>
              <w:left w:val="nil"/>
              <w:bottom w:val="single" w:color="auto" w:sz="4" w:space="0"/>
              <w:right w:val="single" w:color="auto" w:sz="4" w:space="0"/>
            </w:tcBorders>
            <w:shd w:val="clear" w:color="auto" w:fill="auto"/>
            <w:noWrap/>
          </w:tcPr>
          <w:p w14:paraId="515D148E">
            <w:pPr>
              <w:spacing w:after="0" w:line="240" w:lineRule="auto"/>
              <w:ind w:firstLine="0"/>
              <w:jc w:val="center"/>
              <w:rPr>
                <w:color w:val="000000"/>
                <w:sz w:val="20"/>
                <w:szCs w:val="20"/>
              </w:rPr>
            </w:pPr>
            <w:r>
              <w:rPr>
                <w:color w:val="000000"/>
                <w:sz w:val="20"/>
                <w:szCs w:val="20"/>
              </w:rPr>
              <w:t>211,750</w:t>
            </w:r>
          </w:p>
        </w:tc>
        <w:tc>
          <w:tcPr>
            <w:tcW w:w="442" w:type="pct"/>
            <w:tcBorders>
              <w:top w:val="nil"/>
              <w:left w:val="nil"/>
              <w:bottom w:val="single" w:color="auto" w:sz="4" w:space="0"/>
              <w:right w:val="single" w:color="auto" w:sz="4" w:space="0"/>
            </w:tcBorders>
            <w:shd w:val="clear" w:color="auto" w:fill="auto"/>
            <w:noWrap/>
          </w:tcPr>
          <w:p w14:paraId="725E8DBB">
            <w:pPr>
              <w:spacing w:after="0" w:line="240" w:lineRule="auto"/>
              <w:ind w:firstLine="0"/>
              <w:jc w:val="center"/>
              <w:rPr>
                <w:color w:val="000000"/>
                <w:sz w:val="20"/>
                <w:szCs w:val="20"/>
              </w:rPr>
            </w:pPr>
            <w:r>
              <w:rPr>
                <w:color w:val="000000"/>
                <w:sz w:val="20"/>
                <w:szCs w:val="20"/>
              </w:rPr>
              <w:t>211,750</w:t>
            </w:r>
          </w:p>
        </w:tc>
        <w:tc>
          <w:tcPr>
            <w:tcW w:w="442" w:type="pct"/>
            <w:tcBorders>
              <w:top w:val="nil"/>
              <w:left w:val="nil"/>
              <w:bottom w:val="single" w:color="auto" w:sz="4" w:space="0"/>
              <w:right w:val="single" w:color="auto" w:sz="4" w:space="0"/>
            </w:tcBorders>
            <w:shd w:val="clear" w:color="auto" w:fill="auto"/>
            <w:noWrap/>
          </w:tcPr>
          <w:p w14:paraId="42D85E00">
            <w:pPr>
              <w:spacing w:after="0" w:line="240" w:lineRule="auto"/>
              <w:ind w:firstLine="0"/>
              <w:jc w:val="center"/>
              <w:rPr>
                <w:color w:val="000000"/>
                <w:sz w:val="20"/>
                <w:szCs w:val="20"/>
              </w:rPr>
            </w:pPr>
            <w:r>
              <w:rPr>
                <w:color w:val="000000"/>
                <w:sz w:val="20"/>
                <w:szCs w:val="20"/>
              </w:rPr>
              <w:t>211,750</w:t>
            </w:r>
          </w:p>
        </w:tc>
        <w:tc>
          <w:tcPr>
            <w:tcW w:w="442" w:type="pct"/>
            <w:tcBorders>
              <w:top w:val="nil"/>
              <w:left w:val="nil"/>
              <w:bottom w:val="single" w:color="auto" w:sz="4" w:space="0"/>
              <w:right w:val="single" w:color="auto" w:sz="4" w:space="0"/>
            </w:tcBorders>
            <w:shd w:val="clear" w:color="auto" w:fill="auto"/>
            <w:noWrap/>
          </w:tcPr>
          <w:p w14:paraId="13182F40">
            <w:pPr>
              <w:spacing w:after="0" w:line="240" w:lineRule="auto"/>
              <w:ind w:firstLine="0"/>
              <w:jc w:val="center"/>
              <w:rPr>
                <w:color w:val="000000"/>
                <w:sz w:val="20"/>
                <w:szCs w:val="20"/>
              </w:rPr>
            </w:pPr>
            <w:r>
              <w:rPr>
                <w:color w:val="000000"/>
                <w:sz w:val="20"/>
                <w:szCs w:val="20"/>
              </w:rPr>
              <w:t>211,750</w:t>
            </w:r>
          </w:p>
        </w:tc>
        <w:tc>
          <w:tcPr>
            <w:tcW w:w="442" w:type="pct"/>
            <w:tcBorders>
              <w:top w:val="nil"/>
              <w:left w:val="nil"/>
              <w:bottom w:val="single" w:color="auto" w:sz="4" w:space="0"/>
              <w:right w:val="single" w:color="auto" w:sz="4" w:space="0"/>
            </w:tcBorders>
            <w:shd w:val="clear" w:color="auto" w:fill="auto"/>
            <w:noWrap/>
          </w:tcPr>
          <w:p w14:paraId="3D1C3742">
            <w:pPr>
              <w:spacing w:after="0" w:line="240" w:lineRule="auto"/>
              <w:ind w:firstLine="0"/>
              <w:jc w:val="center"/>
              <w:rPr>
                <w:color w:val="000000"/>
                <w:sz w:val="20"/>
                <w:szCs w:val="20"/>
              </w:rPr>
            </w:pPr>
            <w:r>
              <w:rPr>
                <w:color w:val="000000"/>
                <w:sz w:val="20"/>
                <w:szCs w:val="20"/>
              </w:rPr>
              <w:t>211,750</w:t>
            </w:r>
          </w:p>
        </w:tc>
        <w:tc>
          <w:tcPr>
            <w:tcW w:w="442" w:type="pct"/>
            <w:tcBorders>
              <w:top w:val="nil"/>
              <w:left w:val="nil"/>
              <w:bottom w:val="single" w:color="auto" w:sz="4" w:space="0"/>
              <w:right w:val="single" w:color="auto" w:sz="4" w:space="0"/>
            </w:tcBorders>
            <w:shd w:val="clear" w:color="auto" w:fill="auto"/>
            <w:noWrap/>
          </w:tcPr>
          <w:p w14:paraId="5FE9027A">
            <w:pPr>
              <w:spacing w:after="0" w:line="240" w:lineRule="auto"/>
              <w:ind w:firstLine="0"/>
              <w:jc w:val="center"/>
              <w:rPr>
                <w:color w:val="000000"/>
                <w:sz w:val="20"/>
                <w:szCs w:val="20"/>
              </w:rPr>
            </w:pPr>
            <w:r>
              <w:rPr>
                <w:color w:val="000000"/>
                <w:sz w:val="20"/>
                <w:szCs w:val="20"/>
              </w:rPr>
              <w:t>211,750</w:t>
            </w:r>
          </w:p>
        </w:tc>
      </w:tr>
      <w:tr w14:paraId="71A700A4">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vAlign w:val="center"/>
          </w:tcPr>
          <w:p w14:paraId="69CB6443">
            <w:pPr>
              <w:spacing w:after="0" w:line="240" w:lineRule="auto"/>
              <w:ind w:firstLine="0"/>
              <w:jc w:val="center"/>
              <w:rPr>
                <w:color w:val="000000"/>
                <w:sz w:val="20"/>
                <w:szCs w:val="20"/>
              </w:rPr>
            </w:pPr>
            <w:r>
              <w:rPr>
                <w:color w:val="000000"/>
                <w:sz w:val="20"/>
                <w:szCs w:val="20"/>
              </w:rPr>
              <w:t>КС «Верхнеказымская», котельные «Вирбекс», «2БВК»</w:t>
            </w:r>
          </w:p>
        </w:tc>
        <w:tc>
          <w:tcPr>
            <w:tcW w:w="533" w:type="pct"/>
            <w:tcBorders>
              <w:top w:val="nil"/>
              <w:left w:val="nil"/>
              <w:bottom w:val="single" w:color="auto" w:sz="4" w:space="0"/>
              <w:right w:val="single" w:color="auto" w:sz="4" w:space="0"/>
            </w:tcBorders>
            <w:shd w:val="clear" w:color="auto" w:fill="auto"/>
            <w:noWrap/>
            <w:vAlign w:val="center"/>
          </w:tcPr>
          <w:p w14:paraId="2BE7C8D7">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4E64F9A8">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480AF213">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1BDAB4A9">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0F5D5D44">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572BC4E6">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2A02EADB">
            <w:pPr>
              <w:spacing w:after="0" w:line="240" w:lineRule="auto"/>
              <w:ind w:firstLine="0"/>
              <w:rPr>
                <w:color w:val="000000"/>
                <w:sz w:val="20"/>
                <w:szCs w:val="20"/>
              </w:rPr>
            </w:pPr>
            <w:r>
              <w:rPr>
                <w:color w:val="000000"/>
                <w:sz w:val="20"/>
                <w:szCs w:val="20"/>
              </w:rPr>
              <w:t> </w:t>
            </w:r>
          </w:p>
        </w:tc>
        <w:tc>
          <w:tcPr>
            <w:tcW w:w="442" w:type="pct"/>
            <w:tcBorders>
              <w:top w:val="nil"/>
              <w:left w:val="nil"/>
              <w:bottom w:val="single" w:color="auto" w:sz="4" w:space="0"/>
              <w:right w:val="single" w:color="auto" w:sz="4" w:space="0"/>
            </w:tcBorders>
            <w:shd w:val="clear" w:color="auto" w:fill="auto"/>
            <w:noWrap/>
            <w:vAlign w:val="center"/>
          </w:tcPr>
          <w:p w14:paraId="2DD6207E">
            <w:pPr>
              <w:spacing w:after="0" w:line="240" w:lineRule="auto"/>
              <w:ind w:firstLine="0"/>
              <w:rPr>
                <w:color w:val="000000"/>
                <w:sz w:val="20"/>
                <w:szCs w:val="20"/>
              </w:rPr>
            </w:pPr>
            <w:r>
              <w:rPr>
                <w:color w:val="000000"/>
                <w:sz w:val="20"/>
                <w:szCs w:val="20"/>
              </w:rPr>
              <w:t> </w:t>
            </w:r>
          </w:p>
        </w:tc>
      </w:tr>
      <w:tr w14:paraId="381E622D">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1DDD7D79">
            <w:pPr>
              <w:spacing w:after="0" w:line="240" w:lineRule="auto"/>
              <w:ind w:firstLine="0"/>
              <w:rPr>
                <w:color w:val="000000"/>
                <w:sz w:val="20"/>
                <w:szCs w:val="20"/>
              </w:rPr>
            </w:pPr>
            <w:r>
              <w:rPr>
                <w:color w:val="000000"/>
                <w:sz w:val="20"/>
                <w:szCs w:val="20"/>
              </w:rPr>
              <w:t>Выработка тепловой энергии</w:t>
            </w:r>
          </w:p>
        </w:tc>
        <w:tc>
          <w:tcPr>
            <w:tcW w:w="533" w:type="pct"/>
            <w:tcBorders>
              <w:top w:val="nil"/>
              <w:left w:val="nil"/>
              <w:bottom w:val="single" w:color="auto" w:sz="4" w:space="0"/>
              <w:right w:val="single" w:color="auto" w:sz="4" w:space="0"/>
            </w:tcBorders>
            <w:shd w:val="clear" w:color="auto" w:fill="auto"/>
            <w:noWrap/>
            <w:vAlign w:val="center"/>
          </w:tcPr>
          <w:p w14:paraId="3B19A5FE">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vAlign w:val="center"/>
          </w:tcPr>
          <w:p w14:paraId="118E653E">
            <w:pPr>
              <w:spacing w:after="0" w:line="240" w:lineRule="auto"/>
              <w:ind w:firstLine="0"/>
              <w:jc w:val="center"/>
              <w:rPr>
                <w:color w:val="000000"/>
                <w:sz w:val="20"/>
                <w:szCs w:val="20"/>
              </w:rPr>
            </w:pPr>
            <w:r>
              <w:rPr>
                <w:color w:val="000000"/>
                <w:sz w:val="20"/>
                <w:szCs w:val="20"/>
              </w:rPr>
              <w:t>18 022,50</w:t>
            </w:r>
          </w:p>
        </w:tc>
        <w:tc>
          <w:tcPr>
            <w:tcW w:w="442" w:type="pct"/>
            <w:tcBorders>
              <w:top w:val="nil"/>
              <w:left w:val="nil"/>
              <w:bottom w:val="single" w:color="auto" w:sz="4" w:space="0"/>
              <w:right w:val="single" w:color="auto" w:sz="4" w:space="0"/>
            </w:tcBorders>
            <w:shd w:val="clear" w:color="auto" w:fill="auto"/>
            <w:noWrap/>
            <w:vAlign w:val="center"/>
          </w:tcPr>
          <w:p w14:paraId="5408E8ED">
            <w:pPr>
              <w:spacing w:after="0" w:line="240" w:lineRule="auto"/>
              <w:ind w:firstLine="0"/>
              <w:jc w:val="center"/>
              <w:rPr>
                <w:color w:val="000000"/>
                <w:sz w:val="20"/>
                <w:szCs w:val="20"/>
              </w:rPr>
            </w:pPr>
            <w:r>
              <w:rPr>
                <w:color w:val="000000"/>
                <w:sz w:val="20"/>
                <w:szCs w:val="20"/>
              </w:rPr>
              <w:t>19 431,37</w:t>
            </w:r>
          </w:p>
        </w:tc>
        <w:tc>
          <w:tcPr>
            <w:tcW w:w="442" w:type="pct"/>
            <w:tcBorders>
              <w:top w:val="nil"/>
              <w:left w:val="nil"/>
              <w:bottom w:val="single" w:color="auto" w:sz="4" w:space="0"/>
              <w:right w:val="single" w:color="auto" w:sz="4" w:space="0"/>
            </w:tcBorders>
            <w:shd w:val="clear" w:color="auto" w:fill="auto"/>
            <w:noWrap/>
            <w:vAlign w:val="center"/>
          </w:tcPr>
          <w:p w14:paraId="7212AB1C">
            <w:pPr>
              <w:spacing w:after="0" w:line="240" w:lineRule="auto"/>
              <w:ind w:firstLine="0"/>
              <w:jc w:val="center"/>
              <w:rPr>
                <w:color w:val="000000"/>
                <w:sz w:val="20"/>
                <w:szCs w:val="20"/>
              </w:rPr>
            </w:pPr>
            <w:r>
              <w:rPr>
                <w:color w:val="000000"/>
                <w:sz w:val="20"/>
                <w:szCs w:val="20"/>
              </w:rPr>
              <w:t>20 840,23</w:t>
            </w:r>
          </w:p>
        </w:tc>
        <w:tc>
          <w:tcPr>
            <w:tcW w:w="442" w:type="pct"/>
            <w:tcBorders>
              <w:top w:val="nil"/>
              <w:left w:val="nil"/>
              <w:bottom w:val="single" w:color="auto" w:sz="4" w:space="0"/>
              <w:right w:val="single" w:color="auto" w:sz="4" w:space="0"/>
            </w:tcBorders>
            <w:shd w:val="clear" w:color="auto" w:fill="auto"/>
            <w:noWrap/>
            <w:vAlign w:val="center"/>
          </w:tcPr>
          <w:p w14:paraId="459BC9C4">
            <w:pPr>
              <w:spacing w:after="0" w:line="240" w:lineRule="auto"/>
              <w:ind w:firstLine="0"/>
              <w:jc w:val="center"/>
              <w:rPr>
                <w:color w:val="000000"/>
                <w:sz w:val="20"/>
                <w:szCs w:val="20"/>
              </w:rPr>
            </w:pPr>
            <w:r>
              <w:rPr>
                <w:color w:val="000000"/>
                <w:sz w:val="20"/>
                <w:szCs w:val="20"/>
              </w:rPr>
              <w:t>22 249,10</w:t>
            </w:r>
          </w:p>
        </w:tc>
        <w:tc>
          <w:tcPr>
            <w:tcW w:w="442" w:type="pct"/>
            <w:tcBorders>
              <w:top w:val="nil"/>
              <w:left w:val="nil"/>
              <w:bottom w:val="single" w:color="auto" w:sz="4" w:space="0"/>
              <w:right w:val="single" w:color="auto" w:sz="4" w:space="0"/>
            </w:tcBorders>
            <w:shd w:val="clear" w:color="auto" w:fill="auto"/>
            <w:noWrap/>
            <w:vAlign w:val="center"/>
          </w:tcPr>
          <w:p w14:paraId="0DD5B482">
            <w:pPr>
              <w:spacing w:after="0" w:line="240" w:lineRule="auto"/>
              <w:ind w:firstLine="0"/>
              <w:jc w:val="center"/>
              <w:rPr>
                <w:color w:val="000000"/>
                <w:sz w:val="20"/>
                <w:szCs w:val="20"/>
              </w:rPr>
            </w:pPr>
            <w:r>
              <w:rPr>
                <w:color w:val="000000"/>
                <w:sz w:val="20"/>
                <w:szCs w:val="20"/>
              </w:rPr>
              <w:t>23 657,97</w:t>
            </w:r>
          </w:p>
        </w:tc>
        <w:tc>
          <w:tcPr>
            <w:tcW w:w="442" w:type="pct"/>
            <w:tcBorders>
              <w:top w:val="nil"/>
              <w:left w:val="nil"/>
              <w:bottom w:val="single" w:color="auto" w:sz="4" w:space="0"/>
              <w:right w:val="single" w:color="auto" w:sz="4" w:space="0"/>
            </w:tcBorders>
            <w:shd w:val="clear" w:color="auto" w:fill="auto"/>
            <w:noWrap/>
            <w:vAlign w:val="center"/>
          </w:tcPr>
          <w:p w14:paraId="0CD51C22">
            <w:pPr>
              <w:spacing w:after="0" w:line="240" w:lineRule="auto"/>
              <w:ind w:firstLine="0"/>
              <w:jc w:val="center"/>
              <w:rPr>
                <w:color w:val="000000"/>
                <w:sz w:val="20"/>
                <w:szCs w:val="20"/>
              </w:rPr>
            </w:pPr>
            <w:r>
              <w:rPr>
                <w:color w:val="000000"/>
                <w:sz w:val="20"/>
                <w:szCs w:val="20"/>
              </w:rPr>
              <w:t>25 066,83</w:t>
            </w:r>
          </w:p>
        </w:tc>
        <w:tc>
          <w:tcPr>
            <w:tcW w:w="442" w:type="pct"/>
            <w:tcBorders>
              <w:top w:val="nil"/>
              <w:left w:val="nil"/>
              <w:bottom w:val="single" w:color="auto" w:sz="4" w:space="0"/>
              <w:right w:val="single" w:color="auto" w:sz="4" w:space="0"/>
            </w:tcBorders>
            <w:shd w:val="clear" w:color="auto" w:fill="auto"/>
            <w:noWrap/>
            <w:vAlign w:val="center"/>
          </w:tcPr>
          <w:p w14:paraId="35AF7AF9">
            <w:pPr>
              <w:spacing w:after="0" w:line="240" w:lineRule="auto"/>
              <w:ind w:firstLine="0"/>
              <w:jc w:val="center"/>
              <w:rPr>
                <w:color w:val="000000"/>
                <w:sz w:val="20"/>
                <w:szCs w:val="20"/>
              </w:rPr>
            </w:pPr>
            <w:r>
              <w:rPr>
                <w:color w:val="000000"/>
                <w:sz w:val="20"/>
                <w:szCs w:val="20"/>
              </w:rPr>
              <w:t>26 475,70</w:t>
            </w:r>
          </w:p>
        </w:tc>
      </w:tr>
      <w:tr w14:paraId="06CA9B45">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tcPr>
          <w:p w14:paraId="514B8118">
            <w:pPr>
              <w:spacing w:after="0" w:line="240" w:lineRule="auto"/>
              <w:ind w:firstLine="0"/>
              <w:rPr>
                <w:color w:val="000000"/>
                <w:sz w:val="20"/>
                <w:szCs w:val="20"/>
              </w:rPr>
            </w:pPr>
            <w:r>
              <w:rPr>
                <w:color w:val="000000"/>
                <w:sz w:val="20"/>
                <w:szCs w:val="20"/>
              </w:rPr>
              <w:t>Расход на технологические нужды</w:t>
            </w:r>
          </w:p>
        </w:tc>
        <w:tc>
          <w:tcPr>
            <w:tcW w:w="533" w:type="pct"/>
            <w:tcBorders>
              <w:top w:val="nil"/>
              <w:left w:val="nil"/>
              <w:bottom w:val="single" w:color="auto" w:sz="4" w:space="0"/>
              <w:right w:val="single" w:color="auto" w:sz="4" w:space="0"/>
            </w:tcBorders>
            <w:shd w:val="clear" w:color="auto" w:fill="auto"/>
            <w:noWrap/>
            <w:vAlign w:val="center"/>
          </w:tcPr>
          <w:p w14:paraId="1CA177F9">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vAlign w:val="center"/>
          </w:tcPr>
          <w:p w14:paraId="0FB50112">
            <w:pPr>
              <w:spacing w:after="0" w:line="240" w:lineRule="auto"/>
              <w:ind w:firstLine="0"/>
              <w:jc w:val="center"/>
              <w:rPr>
                <w:color w:val="000000"/>
                <w:sz w:val="20"/>
                <w:szCs w:val="20"/>
              </w:rPr>
            </w:pPr>
            <w:r>
              <w:rPr>
                <w:color w:val="000000"/>
                <w:sz w:val="20"/>
                <w:szCs w:val="20"/>
              </w:rPr>
              <w:t>0,00</w:t>
            </w:r>
          </w:p>
        </w:tc>
        <w:tc>
          <w:tcPr>
            <w:tcW w:w="442" w:type="pct"/>
            <w:tcBorders>
              <w:top w:val="nil"/>
              <w:left w:val="nil"/>
              <w:bottom w:val="single" w:color="auto" w:sz="4" w:space="0"/>
              <w:right w:val="single" w:color="auto" w:sz="4" w:space="0"/>
            </w:tcBorders>
            <w:shd w:val="clear" w:color="auto" w:fill="auto"/>
            <w:noWrap/>
          </w:tcPr>
          <w:p w14:paraId="402EB39F">
            <w:pPr>
              <w:spacing w:after="0" w:line="240" w:lineRule="auto"/>
              <w:ind w:firstLine="0"/>
              <w:jc w:val="center"/>
              <w:rPr>
                <w:color w:val="000000"/>
                <w:sz w:val="20"/>
                <w:szCs w:val="20"/>
              </w:rPr>
            </w:pPr>
            <w:r>
              <w:rPr>
                <w:color w:val="000000"/>
                <w:sz w:val="20"/>
                <w:szCs w:val="20"/>
              </w:rPr>
              <w:t>0,00</w:t>
            </w:r>
          </w:p>
        </w:tc>
        <w:tc>
          <w:tcPr>
            <w:tcW w:w="442" w:type="pct"/>
            <w:tcBorders>
              <w:top w:val="nil"/>
              <w:left w:val="nil"/>
              <w:bottom w:val="single" w:color="auto" w:sz="4" w:space="0"/>
              <w:right w:val="single" w:color="auto" w:sz="4" w:space="0"/>
            </w:tcBorders>
            <w:shd w:val="clear" w:color="auto" w:fill="auto"/>
            <w:noWrap/>
          </w:tcPr>
          <w:p w14:paraId="67414334">
            <w:pPr>
              <w:spacing w:after="0" w:line="240" w:lineRule="auto"/>
              <w:ind w:firstLine="0"/>
              <w:jc w:val="center"/>
              <w:rPr>
                <w:color w:val="000000"/>
                <w:sz w:val="20"/>
                <w:szCs w:val="20"/>
              </w:rPr>
            </w:pPr>
            <w:r>
              <w:rPr>
                <w:color w:val="000000"/>
                <w:sz w:val="20"/>
                <w:szCs w:val="20"/>
              </w:rPr>
              <w:t>0,00</w:t>
            </w:r>
          </w:p>
        </w:tc>
        <w:tc>
          <w:tcPr>
            <w:tcW w:w="442" w:type="pct"/>
            <w:tcBorders>
              <w:top w:val="nil"/>
              <w:left w:val="nil"/>
              <w:bottom w:val="single" w:color="auto" w:sz="4" w:space="0"/>
              <w:right w:val="single" w:color="auto" w:sz="4" w:space="0"/>
            </w:tcBorders>
            <w:shd w:val="clear" w:color="auto" w:fill="auto"/>
            <w:noWrap/>
          </w:tcPr>
          <w:p w14:paraId="042CE102">
            <w:pPr>
              <w:spacing w:after="0" w:line="240" w:lineRule="auto"/>
              <w:ind w:firstLine="0"/>
              <w:jc w:val="center"/>
              <w:rPr>
                <w:color w:val="000000"/>
                <w:sz w:val="20"/>
                <w:szCs w:val="20"/>
              </w:rPr>
            </w:pPr>
            <w:r>
              <w:rPr>
                <w:color w:val="000000"/>
                <w:sz w:val="20"/>
                <w:szCs w:val="20"/>
              </w:rPr>
              <w:t>0,00</w:t>
            </w:r>
          </w:p>
        </w:tc>
        <w:tc>
          <w:tcPr>
            <w:tcW w:w="442" w:type="pct"/>
            <w:tcBorders>
              <w:top w:val="nil"/>
              <w:left w:val="nil"/>
              <w:bottom w:val="single" w:color="auto" w:sz="4" w:space="0"/>
              <w:right w:val="single" w:color="auto" w:sz="4" w:space="0"/>
            </w:tcBorders>
            <w:shd w:val="clear" w:color="auto" w:fill="auto"/>
            <w:noWrap/>
          </w:tcPr>
          <w:p w14:paraId="0C259594">
            <w:pPr>
              <w:spacing w:after="0" w:line="240" w:lineRule="auto"/>
              <w:ind w:firstLine="0"/>
              <w:jc w:val="center"/>
              <w:rPr>
                <w:color w:val="000000"/>
                <w:sz w:val="20"/>
                <w:szCs w:val="20"/>
              </w:rPr>
            </w:pPr>
            <w:r>
              <w:rPr>
                <w:color w:val="000000"/>
                <w:sz w:val="20"/>
                <w:szCs w:val="20"/>
              </w:rPr>
              <w:t>0,00</w:t>
            </w:r>
          </w:p>
        </w:tc>
        <w:tc>
          <w:tcPr>
            <w:tcW w:w="442" w:type="pct"/>
            <w:tcBorders>
              <w:top w:val="nil"/>
              <w:left w:val="nil"/>
              <w:bottom w:val="single" w:color="auto" w:sz="4" w:space="0"/>
              <w:right w:val="single" w:color="auto" w:sz="4" w:space="0"/>
            </w:tcBorders>
            <w:shd w:val="clear" w:color="auto" w:fill="auto"/>
            <w:noWrap/>
          </w:tcPr>
          <w:p w14:paraId="426F67E5">
            <w:pPr>
              <w:spacing w:after="0" w:line="240" w:lineRule="auto"/>
              <w:ind w:firstLine="0"/>
              <w:jc w:val="center"/>
              <w:rPr>
                <w:color w:val="000000"/>
                <w:sz w:val="20"/>
                <w:szCs w:val="20"/>
              </w:rPr>
            </w:pPr>
            <w:r>
              <w:rPr>
                <w:color w:val="000000"/>
                <w:sz w:val="20"/>
                <w:szCs w:val="20"/>
              </w:rPr>
              <w:t>0,00</w:t>
            </w:r>
          </w:p>
        </w:tc>
        <w:tc>
          <w:tcPr>
            <w:tcW w:w="442" w:type="pct"/>
            <w:tcBorders>
              <w:top w:val="nil"/>
              <w:left w:val="nil"/>
              <w:bottom w:val="single" w:color="auto" w:sz="4" w:space="0"/>
              <w:right w:val="single" w:color="auto" w:sz="4" w:space="0"/>
            </w:tcBorders>
            <w:shd w:val="clear" w:color="auto" w:fill="auto"/>
            <w:noWrap/>
          </w:tcPr>
          <w:p w14:paraId="0340591F">
            <w:pPr>
              <w:spacing w:after="0" w:line="240" w:lineRule="auto"/>
              <w:ind w:firstLine="0"/>
              <w:jc w:val="center"/>
              <w:rPr>
                <w:color w:val="000000"/>
                <w:sz w:val="20"/>
                <w:szCs w:val="20"/>
              </w:rPr>
            </w:pPr>
            <w:r>
              <w:rPr>
                <w:color w:val="000000"/>
                <w:sz w:val="20"/>
                <w:szCs w:val="20"/>
              </w:rPr>
              <w:t>0,00</w:t>
            </w:r>
          </w:p>
        </w:tc>
      </w:tr>
      <w:tr w14:paraId="44D81FC8">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vAlign w:val="center"/>
          </w:tcPr>
          <w:p w14:paraId="7D72E8D9">
            <w:pPr>
              <w:spacing w:after="0" w:line="240" w:lineRule="auto"/>
              <w:ind w:firstLine="0"/>
              <w:rPr>
                <w:color w:val="000000"/>
                <w:sz w:val="20"/>
                <w:szCs w:val="20"/>
              </w:rPr>
            </w:pPr>
            <w:r>
              <w:rPr>
                <w:color w:val="000000"/>
                <w:sz w:val="20"/>
                <w:szCs w:val="20"/>
              </w:rPr>
              <w:t>Отпуск в сеть</w:t>
            </w:r>
          </w:p>
        </w:tc>
        <w:tc>
          <w:tcPr>
            <w:tcW w:w="533" w:type="pct"/>
            <w:tcBorders>
              <w:top w:val="nil"/>
              <w:left w:val="nil"/>
              <w:bottom w:val="single" w:color="auto" w:sz="4" w:space="0"/>
              <w:right w:val="single" w:color="auto" w:sz="4" w:space="0"/>
            </w:tcBorders>
            <w:shd w:val="clear" w:color="auto" w:fill="auto"/>
            <w:noWrap/>
            <w:vAlign w:val="center"/>
          </w:tcPr>
          <w:p w14:paraId="026313B3">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vAlign w:val="center"/>
          </w:tcPr>
          <w:p w14:paraId="7381FA3E">
            <w:pPr>
              <w:spacing w:after="0" w:line="240" w:lineRule="auto"/>
              <w:ind w:firstLine="0"/>
              <w:jc w:val="center"/>
              <w:rPr>
                <w:color w:val="000000"/>
                <w:sz w:val="20"/>
                <w:szCs w:val="20"/>
              </w:rPr>
            </w:pPr>
            <w:r>
              <w:rPr>
                <w:color w:val="000000"/>
                <w:sz w:val="20"/>
                <w:szCs w:val="20"/>
              </w:rPr>
              <w:t>18 022,50</w:t>
            </w:r>
          </w:p>
        </w:tc>
        <w:tc>
          <w:tcPr>
            <w:tcW w:w="442" w:type="pct"/>
            <w:tcBorders>
              <w:top w:val="nil"/>
              <w:left w:val="nil"/>
              <w:bottom w:val="single" w:color="auto" w:sz="4" w:space="0"/>
              <w:right w:val="single" w:color="auto" w:sz="4" w:space="0"/>
            </w:tcBorders>
            <w:shd w:val="clear" w:color="auto" w:fill="auto"/>
            <w:noWrap/>
            <w:vAlign w:val="center"/>
          </w:tcPr>
          <w:p w14:paraId="34E19136">
            <w:pPr>
              <w:spacing w:after="0" w:line="240" w:lineRule="auto"/>
              <w:ind w:firstLine="0"/>
              <w:jc w:val="center"/>
              <w:rPr>
                <w:color w:val="000000"/>
                <w:sz w:val="20"/>
                <w:szCs w:val="20"/>
              </w:rPr>
            </w:pPr>
            <w:r>
              <w:rPr>
                <w:color w:val="000000"/>
                <w:sz w:val="20"/>
                <w:szCs w:val="20"/>
              </w:rPr>
              <w:t>19 431,37</w:t>
            </w:r>
          </w:p>
        </w:tc>
        <w:tc>
          <w:tcPr>
            <w:tcW w:w="442" w:type="pct"/>
            <w:tcBorders>
              <w:top w:val="nil"/>
              <w:left w:val="nil"/>
              <w:bottom w:val="single" w:color="auto" w:sz="4" w:space="0"/>
              <w:right w:val="single" w:color="auto" w:sz="4" w:space="0"/>
            </w:tcBorders>
            <w:shd w:val="clear" w:color="auto" w:fill="auto"/>
            <w:noWrap/>
            <w:vAlign w:val="center"/>
          </w:tcPr>
          <w:p w14:paraId="110ABF63">
            <w:pPr>
              <w:spacing w:after="0" w:line="240" w:lineRule="auto"/>
              <w:ind w:firstLine="0"/>
              <w:jc w:val="center"/>
              <w:rPr>
                <w:color w:val="000000"/>
                <w:sz w:val="20"/>
                <w:szCs w:val="20"/>
              </w:rPr>
            </w:pPr>
            <w:r>
              <w:rPr>
                <w:color w:val="000000"/>
                <w:sz w:val="20"/>
                <w:szCs w:val="20"/>
              </w:rPr>
              <w:t>20 840,23</w:t>
            </w:r>
          </w:p>
        </w:tc>
        <w:tc>
          <w:tcPr>
            <w:tcW w:w="442" w:type="pct"/>
            <w:tcBorders>
              <w:top w:val="nil"/>
              <w:left w:val="nil"/>
              <w:bottom w:val="single" w:color="auto" w:sz="4" w:space="0"/>
              <w:right w:val="single" w:color="auto" w:sz="4" w:space="0"/>
            </w:tcBorders>
            <w:shd w:val="clear" w:color="auto" w:fill="auto"/>
            <w:noWrap/>
            <w:vAlign w:val="center"/>
          </w:tcPr>
          <w:p w14:paraId="5FF8CF29">
            <w:pPr>
              <w:spacing w:after="0" w:line="240" w:lineRule="auto"/>
              <w:ind w:firstLine="0"/>
              <w:jc w:val="center"/>
              <w:rPr>
                <w:color w:val="000000"/>
                <w:sz w:val="20"/>
                <w:szCs w:val="20"/>
              </w:rPr>
            </w:pPr>
            <w:r>
              <w:rPr>
                <w:color w:val="000000"/>
                <w:sz w:val="20"/>
                <w:szCs w:val="20"/>
              </w:rPr>
              <w:t>22 249,10</w:t>
            </w:r>
          </w:p>
        </w:tc>
        <w:tc>
          <w:tcPr>
            <w:tcW w:w="442" w:type="pct"/>
            <w:tcBorders>
              <w:top w:val="nil"/>
              <w:left w:val="nil"/>
              <w:bottom w:val="single" w:color="auto" w:sz="4" w:space="0"/>
              <w:right w:val="single" w:color="auto" w:sz="4" w:space="0"/>
            </w:tcBorders>
            <w:shd w:val="clear" w:color="auto" w:fill="auto"/>
            <w:noWrap/>
            <w:vAlign w:val="center"/>
          </w:tcPr>
          <w:p w14:paraId="792E5091">
            <w:pPr>
              <w:spacing w:after="0" w:line="240" w:lineRule="auto"/>
              <w:ind w:firstLine="0"/>
              <w:jc w:val="center"/>
              <w:rPr>
                <w:color w:val="000000"/>
                <w:sz w:val="20"/>
                <w:szCs w:val="20"/>
              </w:rPr>
            </w:pPr>
            <w:r>
              <w:rPr>
                <w:color w:val="000000"/>
                <w:sz w:val="20"/>
                <w:szCs w:val="20"/>
              </w:rPr>
              <w:t>23 657,97</w:t>
            </w:r>
          </w:p>
        </w:tc>
        <w:tc>
          <w:tcPr>
            <w:tcW w:w="442" w:type="pct"/>
            <w:tcBorders>
              <w:top w:val="nil"/>
              <w:left w:val="nil"/>
              <w:bottom w:val="single" w:color="auto" w:sz="4" w:space="0"/>
              <w:right w:val="single" w:color="auto" w:sz="4" w:space="0"/>
            </w:tcBorders>
            <w:shd w:val="clear" w:color="auto" w:fill="auto"/>
            <w:noWrap/>
            <w:vAlign w:val="center"/>
          </w:tcPr>
          <w:p w14:paraId="6E095C5E">
            <w:pPr>
              <w:spacing w:after="0" w:line="240" w:lineRule="auto"/>
              <w:ind w:firstLine="0"/>
              <w:jc w:val="center"/>
              <w:rPr>
                <w:color w:val="000000"/>
                <w:sz w:val="20"/>
                <w:szCs w:val="20"/>
              </w:rPr>
            </w:pPr>
            <w:r>
              <w:rPr>
                <w:color w:val="000000"/>
                <w:sz w:val="20"/>
                <w:szCs w:val="20"/>
              </w:rPr>
              <w:t>25 066,83</w:t>
            </w:r>
          </w:p>
        </w:tc>
        <w:tc>
          <w:tcPr>
            <w:tcW w:w="442" w:type="pct"/>
            <w:tcBorders>
              <w:top w:val="nil"/>
              <w:left w:val="nil"/>
              <w:bottom w:val="single" w:color="auto" w:sz="4" w:space="0"/>
              <w:right w:val="single" w:color="auto" w:sz="4" w:space="0"/>
            </w:tcBorders>
            <w:shd w:val="clear" w:color="auto" w:fill="auto"/>
            <w:noWrap/>
            <w:vAlign w:val="center"/>
          </w:tcPr>
          <w:p w14:paraId="78704DB0">
            <w:pPr>
              <w:spacing w:after="0" w:line="240" w:lineRule="auto"/>
              <w:ind w:firstLine="0"/>
              <w:jc w:val="center"/>
              <w:rPr>
                <w:color w:val="000000"/>
                <w:sz w:val="20"/>
                <w:szCs w:val="20"/>
              </w:rPr>
            </w:pPr>
            <w:r>
              <w:rPr>
                <w:color w:val="000000"/>
                <w:sz w:val="20"/>
                <w:szCs w:val="20"/>
              </w:rPr>
              <w:t>26 475,70</w:t>
            </w:r>
          </w:p>
        </w:tc>
      </w:tr>
      <w:tr w14:paraId="018BC1AB">
        <w:trPr>
          <w:trHeight w:val="20" w:hRule="atLeast"/>
        </w:trPr>
        <w:tc>
          <w:tcPr>
            <w:tcW w:w="1373" w:type="pct"/>
            <w:tcBorders>
              <w:top w:val="nil"/>
              <w:left w:val="single" w:color="auto" w:sz="4" w:space="0"/>
              <w:bottom w:val="single" w:color="auto" w:sz="4" w:space="0"/>
              <w:right w:val="single" w:color="auto" w:sz="4" w:space="0"/>
            </w:tcBorders>
            <w:shd w:val="clear" w:color="auto" w:fill="auto"/>
            <w:vAlign w:val="center"/>
          </w:tcPr>
          <w:p w14:paraId="1732309D">
            <w:pPr>
              <w:spacing w:after="0" w:line="240" w:lineRule="auto"/>
              <w:ind w:firstLine="0"/>
              <w:rPr>
                <w:color w:val="000000"/>
                <w:sz w:val="20"/>
                <w:szCs w:val="20"/>
              </w:rPr>
            </w:pPr>
            <w:r>
              <w:rPr>
                <w:color w:val="000000"/>
                <w:sz w:val="20"/>
                <w:szCs w:val="20"/>
              </w:rPr>
              <w:t>Потери</w:t>
            </w:r>
          </w:p>
        </w:tc>
        <w:tc>
          <w:tcPr>
            <w:tcW w:w="533" w:type="pct"/>
            <w:tcBorders>
              <w:top w:val="nil"/>
              <w:left w:val="nil"/>
              <w:bottom w:val="single" w:color="auto" w:sz="4" w:space="0"/>
              <w:right w:val="single" w:color="auto" w:sz="4" w:space="0"/>
            </w:tcBorders>
            <w:shd w:val="clear" w:color="auto" w:fill="auto"/>
            <w:noWrap/>
            <w:vAlign w:val="center"/>
          </w:tcPr>
          <w:p w14:paraId="150E89A0">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vAlign w:val="center"/>
          </w:tcPr>
          <w:p w14:paraId="44BA74ED">
            <w:pPr>
              <w:spacing w:after="0" w:line="240" w:lineRule="auto"/>
              <w:ind w:firstLine="0"/>
              <w:jc w:val="center"/>
              <w:rPr>
                <w:color w:val="000000"/>
                <w:sz w:val="20"/>
                <w:szCs w:val="20"/>
              </w:rPr>
            </w:pPr>
            <w:r>
              <w:rPr>
                <w:color w:val="000000"/>
                <w:sz w:val="20"/>
                <w:szCs w:val="20"/>
              </w:rPr>
              <w:t>5 456,80</w:t>
            </w:r>
          </w:p>
        </w:tc>
        <w:tc>
          <w:tcPr>
            <w:tcW w:w="442" w:type="pct"/>
            <w:tcBorders>
              <w:top w:val="nil"/>
              <w:left w:val="nil"/>
              <w:bottom w:val="single" w:color="auto" w:sz="4" w:space="0"/>
              <w:right w:val="single" w:color="auto" w:sz="4" w:space="0"/>
            </w:tcBorders>
            <w:shd w:val="clear" w:color="auto" w:fill="auto"/>
            <w:noWrap/>
            <w:vAlign w:val="center"/>
          </w:tcPr>
          <w:p w14:paraId="547C5D4E">
            <w:pPr>
              <w:spacing w:after="0" w:line="240" w:lineRule="auto"/>
              <w:ind w:firstLine="0"/>
              <w:jc w:val="center"/>
              <w:rPr>
                <w:color w:val="000000"/>
                <w:sz w:val="20"/>
                <w:szCs w:val="20"/>
              </w:rPr>
            </w:pPr>
            <w:r>
              <w:rPr>
                <w:color w:val="000000"/>
                <w:sz w:val="20"/>
                <w:szCs w:val="20"/>
              </w:rPr>
              <w:t>5 883,37</w:t>
            </w:r>
          </w:p>
        </w:tc>
        <w:tc>
          <w:tcPr>
            <w:tcW w:w="442" w:type="pct"/>
            <w:tcBorders>
              <w:top w:val="nil"/>
              <w:left w:val="nil"/>
              <w:bottom w:val="single" w:color="auto" w:sz="4" w:space="0"/>
              <w:right w:val="single" w:color="auto" w:sz="4" w:space="0"/>
            </w:tcBorders>
            <w:shd w:val="clear" w:color="auto" w:fill="auto"/>
            <w:noWrap/>
            <w:vAlign w:val="center"/>
          </w:tcPr>
          <w:p w14:paraId="280F5343">
            <w:pPr>
              <w:spacing w:after="0" w:line="240" w:lineRule="auto"/>
              <w:ind w:firstLine="0"/>
              <w:jc w:val="center"/>
              <w:rPr>
                <w:color w:val="000000"/>
                <w:sz w:val="20"/>
                <w:szCs w:val="20"/>
              </w:rPr>
            </w:pPr>
            <w:r>
              <w:rPr>
                <w:color w:val="000000"/>
                <w:sz w:val="20"/>
                <w:szCs w:val="20"/>
              </w:rPr>
              <w:t>6 233,15</w:t>
            </w:r>
          </w:p>
        </w:tc>
        <w:tc>
          <w:tcPr>
            <w:tcW w:w="442" w:type="pct"/>
            <w:tcBorders>
              <w:top w:val="nil"/>
              <w:left w:val="nil"/>
              <w:bottom w:val="single" w:color="auto" w:sz="4" w:space="0"/>
              <w:right w:val="single" w:color="auto" w:sz="4" w:space="0"/>
            </w:tcBorders>
            <w:shd w:val="clear" w:color="auto" w:fill="auto"/>
            <w:noWrap/>
            <w:vAlign w:val="center"/>
          </w:tcPr>
          <w:p w14:paraId="121B543A">
            <w:pPr>
              <w:spacing w:after="0" w:line="240" w:lineRule="auto"/>
              <w:ind w:firstLine="0"/>
              <w:jc w:val="center"/>
              <w:rPr>
                <w:color w:val="000000"/>
                <w:sz w:val="20"/>
                <w:szCs w:val="20"/>
              </w:rPr>
            </w:pPr>
            <w:r>
              <w:rPr>
                <w:color w:val="000000"/>
                <w:sz w:val="20"/>
                <w:szCs w:val="20"/>
              </w:rPr>
              <w:t>6 500,13</w:t>
            </w:r>
          </w:p>
        </w:tc>
        <w:tc>
          <w:tcPr>
            <w:tcW w:w="442" w:type="pct"/>
            <w:tcBorders>
              <w:top w:val="nil"/>
              <w:left w:val="nil"/>
              <w:bottom w:val="single" w:color="auto" w:sz="4" w:space="0"/>
              <w:right w:val="single" w:color="auto" w:sz="4" w:space="0"/>
            </w:tcBorders>
            <w:shd w:val="clear" w:color="auto" w:fill="auto"/>
            <w:noWrap/>
            <w:vAlign w:val="center"/>
          </w:tcPr>
          <w:p w14:paraId="09DD7781">
            <w:pPr>
              <w:spacing w:after="0" w:line="240" w:lineRule="auto"/>
              <w:ind w:firstLine="0"/>
              <w:jc w:val="center"/>
              <w:rPr>
                <w:color w:val="000000"/>
                <w:sz w:val="20"/>
                <w:szCs w:val="20"/>
              </w:rPr>
            </w:pPr>
            <w:r>
              <w:rPr>
                <w:color w:val="000000"/>
                <w:sz w:val="20"/>
                <w:szCs w:val="20"/>
              </w:rPr>
              <w:t>6 677,86</w:t>
            </w:r>
          </w:p>
        </w:tc>
        <w:tc>
          <w:tcPr>
            <w:tcW w:w="442" w:type="pct"/>
            <w:tcBorders>
              <w:top w:val="nil"/>
              <w:left w:val="nil"/>
              <w:bottom w:val="single" w:color="auto" w:sz="4" w:space="0"/>
              <w:right w:val="single" w:color="auto" w:sz="4" w:space="0"/>
            </w:tcBorders>
            <w:shd w:val="clear" w:color="auto" w:fill="auto"/>
            <w:noWrap/>
            <w:vAlign w:val="center"/>
          </w:tcPr>
          <w:p w14:paraId="722EFFCC">
            <w:pPr>
              <w:spacing w:after="0" w:line="240" w:lineRule="auto"/>
              <w:ind w:firstLine="0"/>
              <w:jc w:val="center"/>
              <w:rPr>
                <w:color w:val="000000"/>
                <w:sz w:val="20"/>
                <w:szCs w:val="20"/>
              </w:rPr>
            </w:pPr>
            <w:r>
              <w:rPr>
                <w:color w:val="000000"/>
                <w:sz w:val="20"/>
                <w:szCs w:val="20"/>
              </w:rPr>
              <w:t>6 759,34</w:t>
            </w:r>
          </w:p>
        </w:tc>
        <w:tc>
          <w:tcPr>
            <w:tcW w:w="442" w:type="pct"/>
            <w:tcBorders>
              <w:top w:val="nil"/>
              <w:left w:val="nil"/>
              <w:bottom w:val="single" w:color="auto" w:sz="4" w:space="0"/>
              <w:right w:val="single" w:color="auto" w:sz="4" w:space="0"/>
            </w:tcBorders>
            <w:shd w:val="clear" w:color="auto" w:fill="auto"/>
            <w:noWrap/>
            <w:vAlign w:val="center"/>
          </w:tcPr>
          <w:p w14:paraId="3D2B6490">
            <w:pPr>
              <w:spacing w:after="0" w:line="240" w:lineRule="auto"/>
              <w:ind w:firstLine="0"/>
              <w:jc w:val="center"/>
              <w:rPr>
                <w:color w:val="000000"/>
                <w:sz w:val="20"/>
                <w:szCs w:val="20"/>
              </w:rPr>
            </w:pPr>
            <w:r>
              <w:rPr>
                <w:color w:val="000000"/>
                <w:sz w:val="20"/>
                <w:szCs w:val="20"/>
              </w:rPr>
              <w:t>6 737,05</w:t>
            </w:r>
          </w:p>
        </w:tc>
      </w:tr>
      <w:tr w14:paraId="1D77467C">
        <w:tblPrEx>
          <w:tblCellMar>
            <w:top w:w="0" w:type="dxa"/>
            <w:left w:w="108" w:type="dxa"/>
            <w:bottom w:w="0" w:type="dxa"/>
            <w:right w:w="108" w:type="dxa"/>
          </w:tblCellMar>
        </w:tblPrEx>
        <w:trPr>
          <w:trHeight w:val="20" w:hRule="atLeast"/>
        </w:trPr>
        <w:tc>
          <w:tcPr>
            <w:tcW w:w="1373" w:type="pct"/>
            <w:tcBorders>
              <w:top w:val="nil"/>
              <w:left w:val="single" w:color="auto" w:sz="4" w:space="0"/>
              <w:bottom w:val="single" w:color="auto" w:sz="4" w:space="0"/>
              <w:right w:val="single" w:color="auto" w:sz="4" w:space="0"/>
            </w:tcBorders>
            <w:shd w:val="clear" w:color="auto" w:fill="auto"/>
            <w:vAlign w:val="center"/>
          </w:tcPr>
          <w:p w14:paraId="6EAC9D11">
            <w:pPr>
              <w:spacing w:after="0" w:line="240" w:lineRule="auto"/>
              <w:ind w:firstLine="0"/>
              <w:rPr>
                <w:color w:val="000000"/>
                <w:sz w:val="20"/>
                <w:szCs w:val="20"/>
              </w:rPr>
            </w:pPr>
            <w:r>
              <w:rPr>
                <w:color w:val="000000"/>
                <w:sz w:val="20"/>
                <w:szCs w:val="20"/>
              </w:rPr>
              <w:t>Полезный отпуск</w:t>
            </w:r>
          </w:p>
        </w:tc>
        <w:tc>
          <w:tcPr>
            <w:tcW w:w="533" w:type="pct"/>
            <w:tcBorders>
              <w:top w:val="nil"/>
              <w:left w:val="nil"/>
              <w:bottom w:val="single" w:color="auto" w:sz="4" w:space="0"/>
              <w:right w:val="single" w:color="auto" w:sz="4" w:space="0"/>
            </w:tcBorders>
            <w:shd w:val="clear" w:color="auto" w:fill="auto"/>
            <w:noWrap/>
            <w:vAlign w:val="center"/>
          </w:tcPr>
          <w:p w14:paraId="1BE5408F">
            <w:pPr>
              <w:spacing w:after="0" w:line="240" w:lineRule="auto"/>
              <w:ind w:firstLine="0"/>
              <w:jc w:val="center"/>
              <w:rPr>
                <w:color w:val="000000"/>
                <w:sz w:val="20"/>
                <w:szCs w:val="20"/>
              </w:rPr>
            </w:pPr>
            <w:r>
              <w:rPr>
                <w:color w:val="000000"/>
                <w:sz w:val="20"/>
                <w:szCs w:val="20"/>
              </w:rPr>
              <w:t>Гкал</w:t>
            </w:r>
          </w:p>
        </w:tc>
        <w:tc>
          <w:tcPr>
            <w:tcW w:w="442" w:type="pct"/>
            <w:tcBorders>
              <w:top w:val="nil"/>
              <w:left w:val="nil"/>
              <w:bottom w:val="single" w:color="auto" w:sz="4" w:space="0"/>
              <w:right w:val="single" w:color="auto" w:sz="4" w:space="0"/>
            </w:tcBorders>
            <w:shd w:val="clear" w:color="auto" w:fill="auto"/>
            <w:noWrap/>
            <w:vAlign w:val="center"/>
          </w:tcPr>
          <w:p w14:paraId="2C00D89B">
            <w:pPr>
              <w:spacing w:after="0" w:line="240" w:lineRule="auto"/>
              <w:ind w:firstLine="0"/>
              <w:jc w:val="center"/>
              <w:rPr>
                <w:color w:val="000000"/>
                <w:sz w:val="20"/>
                <w:szCs w:val="20"/>
              </w:rPr>
            </w:pPr>
            <w:r>
              <w:rPr>
                <w:color w:val="000000"/>
                <w:sz w:val="20"/>
                <w:szCs w:val="20"/>
              </w:rPr>
              <w:t>12 565,70</w:t>
            </w:r>
          </w:p>
        </w:tc>
        <w:tc>
          <w:tcPr>
            <w:tcW w:w="442" w:type="pct"/>
            <w:tcBorders>
              <w:top w:val="nil"/>
              <w:left w:val="nil"/>
              <w:bottom w:val="single" w:color="auto" w:sz="4" w:space="0"/>
              <w:right w:val="single" w:color="auto" w:sz="4" w:space="0"/>
            </w:tcBorders>
            <w:shd w:val="clear" w:color="auto" w:fill="auto"/>
            <w:noWrap/>
            <w:vAlign w:val="center"/>
          </w:tcPr>
          <w:p w14:paraId="28FAF836">
            <w:pPr>
              <w:spacing w:after="0" w:line="240" w:lineRule="auto"/>
              <w:ind w:firstLine="0"/>
              <w:jc w:val="center"/>
              <w:rPr>
                <w:color w:val="000000"/>
                <w:sz w:val="20"/>
                <w:szCs w:val="20"/>
              </w:rPr>
            </w:pPr>
            <w:r>
              <w:rPr>
                <w:color w:val="000000"/>
                <w:sz w:val="20"/>
                <w:szCs w:val="20"/>
              </w:rPr>
              <w:t>13 548,00</w:t>
            </w:r>
          </w:p>
        </w:tc>
        <w:tc>
          <w:tcPr>
            <w:tcW w:w="442" w:type="pct"/>
            <w:tcBorders>
              <w:top w:val="nil"/>
              <w:left w:val="nil"/>
              <w:bottom w:val="single" w:color="auto" w:sz="4" w:space="0"/>
              <w:right w:val="single" w:color="auto" w:sz="4" w:space="0"/>
            </w:tcBorders>
            <w:shd w:val="clear" w:color="auto" w:fill="auto"/>
            <w:noWrap/>
            <w:vAlign w:val="center"/>
          </w:tcPr>
          <w:p w14:paraId="625E2643">
            <w:pPr>
              <w:spacing w:after="0" w:line="240" w:lineRule="auto"/>
              <w:ind w:firstLine="0"/>
              <w:jc w:val="center"/>
              <w:rPr>
                <w:color w:val="000000"/>
                <w:sz w:val="20"/>
                <w:szCs w:val="20"/>
              </w:rPr>
            </w:pPr>
            <w:r>
              <w:rPr>
                <w:color w:val="000000"/>
                <w:sz w:val="20"/>
                <w:szCs w:val="20"/>
              </w:rPr>
              <w:t>14 607,09</w:t>
            </w:r>
          </w:p>
        </w:tc>
        <w:tc>
          <w:tcPr>
            <w:tcW w:w="442" w:type="pct"/>
            <w:tcBorders>
              <w:top w:val="nil"/>
              <w:left w:val="nil"/>
              <w:bottom w:val="single" w:color="auto" w:sz="4" w:space="0"/>
              <w:right w:val="single" w:color="auto" w:sz="4" w:space="0"/>
            </w:tcBorders>
            <w:shd w:val="clear" w:color="auto" w:fill="auto"/>
            <w:noWrap/>
            <w:vAlign w:val="center"/>
          </w:tcPr>
          <w:p w14:paraId="4B573CF4">
            <w:pPr>
              <w:spacing w:after="0" w:line="240" w:lineRule="auto"/>
              <w:ind w:firstLine="0"/>
              <w:jc w:val="center"/>
              <w:rPr>
                <w:color w:val="000000"/>
                <w:sz w:val="20"/>
                <w:szCs w:val="20"/>
              </w:rPr>
            </w:pPr>
            <w:r>
              <w:rPr>
                <w:color w:val="000000"/>
                <w:sz w:val="20"/>
                <w:szCs w:val="20"/>
              </w:rPr>
              <w:t>15 748,97</w:t>
            </w:r>
          </w:p>
        </w:tc>
        <w:tc>
          <w:tcPr>
            <w:tcW w:w="442" w:type="pct"/>
            <w:tcBorders>
              <w:top w:val="nil"/>
              <w:left w:val="nil"/>
              <w:bottom w:val="single" w:color="auto" w:sz="4" w:space="0"/>
              <w:right w:val="single" w:color="auto" w:sz="4" w:space="0"/>
            </w:tcBorders>
            <w:shd w:val="clear" w:color="auto" w:fill="auto"/>
            <w:noWrap/>
            <w:vAlign w:val="center"/>
          </w:tcPr>
          <w:p w14:paraId="2FE3D555">
            <w:pPr>
              <w:spacing w:after="0" w:line="240" w:lineRule="auto"/>
              <w:ind w:firstLine="0"/>
              <w:jc w:val="center"/>
              <w:rPr>
                <w:color w:val="000000"/>
                <w:sz w:val="20"/>
                <w:szCs w:val="20"/>
              </w:rPr>
            </w:pPr>
            <w:r>
              <w:rPr>
                <w:color w:val="000000"/>
                <w:sz w:val="20"/>
                <w:szCs w:val="20"/>
              </w:rPr>
              <w:t>16 980,11</w:t>
            </w:r>
          </w:p>
        </w:tc>
        <w:tc>
          <w:tcPr>
            <w:tcW w:w="442" w:type="pct"/>
            <w:tcBorders>
              <w:top w:val="nil"/>
              <w:left w:val="nil"/>
              <w:bottom w:val="single" w:color="auto" w:sz="4" w:space="0"/>
              <w:right w:val="single" w:color="auto" w:sz="4" w:space="0"/>
            </w:tcBorders>
            <w:shd w:val="clear" w:color="auto" w:fill="auto"/>
            <w:noWrap/>
            <w:vAlign w:val="center"/>
          </w:tcPr>
          <w:p w14:paraId="268A26C5">
            <w:pPr>
              <w:spacing w:after="0" w:line="240" w:lineRule="auto"/>
              <w:ind w:firstLine="0"/>
              <w:jc w:val="center"/>
              <w:rPr>
                <w:color w:val="000000"/>
                <w:sz w:val="20"/>
                <w:szCs w:val="20"/>
              </w:rPr>
            </w:pPr>
            <w:r>
              <w:rPr>
                <w:color w:val="000000"/>
                <w:sz w:val="20"/>
                <w:szCs w:val="20"/>
              </w:rPr>
              <w:t>18 307,50</w:t>
            </w:r>
          </w:p>
        </w:tc>
        <w:tc>
          <w:tcPr>
            <w:tcW w:w="442" w:type="pct"/>
            <w:tcBorders>
              <w:top w:val="nil"/>
              <w:left w:val="nil"/>
              <w:bottom w:val="single" w:color="auto" w:sz="4" w:space="0"/>
              <w:right w:val="single" w:color="auto" w:sz="4" w:space="0"/>
            </w:tcBorders>
            <w:shd w:val="clear" w:color="auto" w:fill="auto"/>
            <w:noWrap/>
            <w:vAlign w:val="center"/>
          </w:tcPr>
          <w:p w14:paraId="2057BEB7">
            <w:pPr>
              <w:spacing w:after="0" w:line="240" w:lineRule="auto"/>
              <w:ind w:firstLine="0"/>
              <w:jc w:val="center"/>
              <w:rPr>
                <w:color w:val="000000"/>
                <w:sz w:val="20"/>
                <w:szCs w:val="20"/>
              </w:rPr>
            </w:pPr>
            <w:r>
              <w:rPr>
                <w:color w:val="000000"/>
                <w:sz w:val="20"/>
                <w:szCs w:val="20"/>
              </w:rPr>
              <w:t>19 738,65</w:t>
            </w:r>
          </w:p>
        </w:tc>
      </w:tr>
      <w:bookmarkEnd w:id="341"/>
    </w:tbl>
    <w:p w14:paraId="0B1D1038">
      <w:pPr>
        <w:spacing w:after="0" w:line="240" w:lineRule="auto"/>
        <w:ind w:firstLine="0"/>
        <w:contextualSpacing/>
        <w:jc w:val="both"/>
        <w:rPr>
          <w:sz w:val="24"/>
          <w:szCs w:val="24"/>
        </w:rPr>
      </w:pPr>
    </w:p>
    <w:p w14:paraId="12EC69EA">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45</w:t>
      </w:r>
      <w:r>
        <w:rPr>
          <w:sz w:val="24"/>
          <w:szCs w:val="24"/>
        </w:rPr>
        <w:fldChar w:fldCharType="end"/>
      </w:r>
      <w:r>
        <w:rPr>
          <w:sz w:val="24"/>
          <w:szCs w:val="24"/>
        </w:rPr>
        <w:t xml:space="preserve"> – Фактический и перспективный баланс тепловой мощности котельных и нагрузок в с.п. Верхеказымский</w:t>
      </w:r>
    </w:p>
    <w:tbl>
      <w:tblPr>
        <w:tblStyle w:val="12"/>
        <w:tblW w:w="5000" w:type="pct"/>
        <w:tblInd w:w="-5" w:type="dxa"/>
        <w:tblLayout w:type="autofit"/>
        <w:tblCellMar>
          <w:top w:w="0" w:type="dxa"/>
          <w:left w:w="108" w:type="dxa"/>
          <w:bottom w:w="0" w:type="dxa"/>
          <w:right w:w="108" w:type="dxa"/>
        </w:tblCellMar>
      </w:tblPr>
      <w:tblGrid>
        <w:gridCol w:w="4170"/>
        <w:gridCol w:w="1889"/>
        <w:gridCol w:w="1276"/>
        <w:gridCol w:w="1215"/>
        <w:gridCol w:w="1214"/>
        <w:gridCol w:w="1216"/>
        <w:gridCol w:w="1215"/>
        <w:gridCol w:w="1215"/>
        <w:gridCol w:w="1216"/>
      </w:tblGrid>
      <w:tr w14:paraId="3F0A4F28">
        <w:tblPrEx>
          <w:tblCellMar>
            <w:top w:w="0" w:type="dxa"/>
            <w:left w:w="108" w:type="dxa"/>
            <w:bottom w:w="0" w:type="dxa"/>
            <w:right w:w="108" w:type="dxa"/>
          </w:tblCellMar>
        </w:tblPrEx>
        <w:trPr>
          <w:trHeight w:val="20" w:hRule="atLeast"/>
          <w:tblHeader/>
        </w:trPr>
        <w:tc>
          <w:tcPr>
            <w:tcW w:w="4151"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5CD92D4">
            <w:pPr>
              <w:spacing w:after="0" w:line="240" w:lineRule="auto"/>
              <w:ind w:firstLine="0"/>
              <w:jc w:val="center"/>
              <w:rPr>
                <w:color w:val="000000"/>
                <w:sz w:val="20"/>
                <w:szCs w:val="20"/>
              </w:rPr>
            </w:pPr>
            <w:bookmarkStart w:id="342" w:name="_Hlk183079218"/>
            <w:r>
              <w:rPr>
                <w:color w:val="000000"/>
                <w:sz w:val="20"/>
                <w:szCs w:val="20"/>
              </w:rPr>
              <w:t>Наименование источника</w:t>
            </w:r>
          </w:p>
        </w:tc>
        <w:tc>
          <w:tcPr>
            <w:tcW w:w="188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6C65D8F">
            <w:pPr>
              <w:spacing w:after="0" w:line="240" w:lineRule="auto"/>
              <w:ind w:firstLine="0"/>
              <w:jc w:val="center"/>
              <w:rPr>
                <w:color w:val="000000"/>
                <w:sz w:val="20"/>
                <w:szCs w:val="20"/>
              </w:rPr>
            </w:pPr>
            <w:r>
              <w:rPr>
                <w:color w:val="000000"/>
                <w:sz w:val="20"/>
                <w:szCs w:val="20"/>
              </w:rPr>
              <w:t>Ед. изм.</w:t>
            </w:r>
          </w:p>
        </w:tc>
        <w:tc>
          <w:tcPr>
            <w:tcW w:w="127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813CB16">
            <w:pPr>
              <w:spacing w:after="0" w:line="240" w:lineRule="auto"/>
              <w:ind w:firstLine="0"/>
              <w:jc w:val="center"/>
              <w:rPr>
                <w:color w:val="000000"/>
                <w:sz w:val="20"/>
                <w:szCs w:val="20"/>
              </w:rPr>
            </w:pPr>
            <w:r>
              <w:rPr>
                <w:color w:val="000000"/>
                <w:sz w:val="20"/>
                <w:szCs w:val="20"/>
              </w:rPr>
              <w:t>2023</w:t>
            </w:r>
          </w:p>
        </w:tc>
        <w:tc>
          <w:tcPr>
            <w:tcW w:w="121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170DF84">
            <w:pPr>
              <w:spacing w:after="0" w:line="240" w:lineRule="auto"/>
              <w:ind w:firstLine="0"/>
              <w:jc w:val="center"/>
              <w:rPr>
                <w:color w:val="000000"/>
                <w:sz w:val="20"/>
                <w:szCs w:val="20"/>
              </w:rPr>
            </w:pPr>
            <w:r>
              <w:rPr>
                <w:color w:val="000000"/>
                <w:sz w:val="20"/>
                <w:szCs w:val="20"/>
              </w:rPr>
              <w:t>2024</w:t>
            </w:r>
          </w:p>
        </w:tc>
        <w:tc>
          <w:tcPr>
            <w:tcW w:w="12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E45AD9A">
            <w:pPr>
              <w:spacing w:after="0" w:line="240" w:lineRule="auto"/>
              <w:ind w:firstLine="0"/>
              <w:jc w:val="center"/>
              <w:rPr>
                <w:color w:val="000000"/>
                <w:sz w:val="20"/>
                <w:szCs w:val="20"/>
              </w:rPr>
            </w:pPr>
            <w:r>
              <w:rPr>
                <w:color w:val="000000"/>
                <w:sz w:val="20"/>
                <w:szCs w:val="20"/>
              </w:rPr>
              <w:t>2025</w:t>
            </w:r>
          </w:p>
        </w:tc>
        <w:tc>
          <w:tcPr>
            <w:tcW w:w="1211"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C88B755">
            <w:pPr>
              <w:spacing w:after="0" w:line="240" w:lineRule="auto"/>
              <w:ind w:firstLine="0"/>
              <w:jc w:val="center"/>
              <w:rPr>
                <w:color w:val="000000"/>
                <w:sz w:val="20"/>
                <w:szCs w:val="20"/>
              </w:rPr>
            </w:pPr>
            <w:r>
              <w:rPr>
                <w:color w:val="000000"/>
                <w:sz w:val="20"/>
                <w:szCs w:val="20"/>
              </w:rPr>
              <w:t>2026</w:t>
            </w:r>
          </w:p>
        </w:tc>
        <w:tc>
          <w:tcPr>
            <w:tcW w:w="121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3940D9C">
            <w:pPr>
              <w:spacing w:after="0" w:line="240" w:lineRule="auto"/>
              <w:ind w:firstLine="0"/>
              <w:jc w:val="center"/>
              <w:rPr>
                <w:color w:val="000000"/>
                <w:sz w:val="20"/>
                <w:szCs w:val="20"/>
              </w:rPr>
            </w:pPr>
            <w:r>
              <w:rPr>
                <w:color w:val="000000"/>
                <w:sz w:val="20"/>
                <w:szCs w:val="20"/>
              </w:rPr>
              <w:t>2027</w:t>
            </w:r>
          </w:p>
        </w:tc>
        <w:tc>
          <w:tcPr>
            <w:tcW w:w="12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040AAD3">
            <w:pPr>
              <w:spacing w:after="0" w:line="240" w:lineRule="auto"/>
              <w:ind w:firstLine="0"/>
              <w:jc w:val="center"/>
              <w:rPr>
                <w:color w:val="000000"/>
                <w:sz w:val="20"/>
                <w:szCs w:val="20"/>
              </w:rPr>
            </w:pPr>
            <w:r>
              <w:rPr>
                <w:color w:val="000000"/>
                <w:sz w:val="20"/>
                <w:szCs w:val="20"/>
              </w:rPr>
              <w:t>2028</w:t>
            </w:r>
          </w:p>
        </w:tc>
        <w:tc>
          <w:tcPr>
            <w:tcW w:w="1210"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6A7EDC8">
            <w:pPr>
              <w:spacing w:after="0" w:line="240" w:lineRule="auto"/>
              <w:ind w:firstLine="0"/>
              <w:jc w:val="center"/>
              <w:rPr>
                <w:color w:val="000000"/>
                <w:sz w:val="20"/>
                <w:szCs w:val="20"/>
              </w:rPr>
            </w:pPr>
            <w:r>
              <w:rPr>
                <w:color w:val="000000"/>
                <w:sz w:val="20"/>
                <w:szCs w:val="20"/>
              </w:rPr>
              <w:t>2029</w:t>
            </w:r>
          </w:p>
        </w:tc>
      </w:tr>
      <w:tr w14:paraId="3CEA94B2">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4234026">
            <w:pPr>
              <w:spacing w:after="0" w:line="240" w:lineRule="auto"/>
              <w:ind w:firstLine="0"/>
              <w:jc w:val="center"/>
              <w:rPr>
                <w:color w:val="000000"/>
                <w:sz w:val="20"/>
                <w:szCs w:val="20"/>
              </w:rPr>
            </w:pPr>
            <w:r>
              <w:rPr>
                <w:color w:val="000000"/>
                <w:sz w:val="20"/>
                <w:szCs w:val="20"/>
              </w:rPr>
              <w:t>Котельная №2 МУП «БКС»</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414CFA5F">
            <w:pPr>
              <w:spacing w:after="0" w:line="240" w:lineRule="auto"/>
              <w:ind w:firstLine="0"/>
              <w:jc w:val="center"/>
              <w:rPr>
                <w:color w:val="000000"/>
                <w:sz w:val="20"/>
                <w:szCs w:val="20"/>
              </w:rPr>
            </w:pPr>
            <w:r>
              <w:rPr>
                <w:color w:val="000000"/>
                <w:sz w:val="20"/>
                <w:szCs w:val="20"/>
              </w:rPr>
              <w:t> </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D506D29">
            <w:pPr>
              <w:spacing w:after="0" w:line="240" w:lineRule="auto"/>
              <w:ind w:firstLine="0"/>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EB0420C">
            <w:pPr>
              <w:spacing w:after="0" w:line="240" w:lineRule="auto"/>
              <w:ind w:firstLine="0"/>
              <w:rPr>
                <w:color w:val="000000"/>
                <w:sz w:val="20"/>
                <w:szCs w:val="20"/>
              </w:rPr>
            </w:pPr>
            <w:r>
              <w:rPr>
                <w:color w:val="000000"/>
                <w:sz w:val="20"/>
                <w:szCs w:val="20"/>
              </w:rPr>
              <w:t> </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5CB8B1A">
            <w:pPr>
              <w:spacing w:after="0" w:line="240" w:lineRule="auto"/>
              <w:ind w:firstLine="0"/>
              <w:rPr>
                <w:color w:val="000000"/>
                <w:sz w:val="20"/>
                <w:szCs w:val="20"/>
              </w:rPr>
            </w:pPr>
            <w:r>
              <w:rPr>
                <w:color w:val="000000"/>
                <w:sz w:val="20"/>
                <w:szCs w:val="20"/>
              </w:rPr>
              <w:t> </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BB292FB">
            <w:pPr>
              <w:spacing w:after="0" w:line="240" w:lineRule="auto"/>
              <w:ind w:firstLine="0"/>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D39B01E">
            <w:pPr>
              <w:spacing w:after="0" w:line="240" w:lineRule="auto"/>
              <w:ind w:firstLine="0"/>
              <w:rPr>
                <w:color w:val="000000"/>
                <w:sz w:val="20"/>
                <w:szCs w:val="20"/>
              </w:rPr>
            </w:pPr>
            <w:r>
              <w:rPr>
                <w:color w:val="000000"/>
                <w:sz w:val="20"/>
                <w:szCs w:val="20"/>
              </w:rPr>
              <w:t> </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6054BC4">
            <w:pPr>
              <w:spacing w:after="0" w:line="240" w:lineRule="auto"/>
              <w:ind w:firstLine="0"/>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190C68">
            <w:pPr>
              <w:spacing w:after="0" w:line="240" w:lineRule="auto"/>
              <w:ind w:firstLine="0"/>
              <w:rPr>
                <w:color w:val="000000"/>
                <w:sz w:val="20"/>
                <w:szCs w:val="20"/>
              </w:rPr>
            </w:pPr>
            <w:r>
              <w:rPr>
                <w:color w:val="000000"/>
                <w:sz w:val="20"/>
                <w:szCs w:val="20"/>
              </w:rPr>
              <w:t> </w:t>
            </w:r>
          </w:p>
        </w:tc>
      </w:tr>
      <w:tr w14:paraId="5046C760">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06A7B06">
            <w:pPr>
              <w:spacing w:after="0" w:line="240" w:lineRule="auto"/>
              <w:ind w:firstLine="0"/>
              <w:rPr>
                <w:color w:val="000000"/>
                <w:sz w:val="20"/>
                <w:szCs w:val="20"/>
              </w:rPr>
            </w:pPr>
            <w:r>
              <w:rPr>
                <w:color w:val="000000"/>
                <w:sz w:val="20"/>
                <w:szCs w:val="20"/>
              </w:rPr>
              <w:t>Установленная мощность</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D277301">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CE73793">
            <w:pPr>
              <w:spacing w:after="0" w:line="240" w:lineRule="auto"/>
              <w:ind w:firstLine="0"/>
              <w:jc w:val="center"/>
              <w:rPr>
                <w:color w:val="000000"/>
                <w:sz w:val="20"/>
                <w:szCs w:val="20"/>
              </w:rPr>
            </w:pPr>
            <w:r>
              <w:rPr>
                <w:color w:val="000000"/>
                <w:sz w:val="20"/>
                <w:szCs w:val="20"/>
              </w:rPr>
              <w:t>6,02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4854906">
            <w:pPr>
              <w:spacing w:after="0" w:line="240" w:lineRule="auto"/>
              <w:ind w:firstLine="0"/>
              <w:jc w:val="center"/>
              <w:rPr>
                <w:color w:val="000000"/>
                <w:sz w:val="20"/>
                <w:szCs w:val="20"/>
              </w:rPr>
            </w:pPr>
            <w:r>
              <w:rPr>
                <w:color w:val="000000"/>
                <w:sz w:val="20"/>
                <w:szCs w:val="20"/>
              </w:rPr>
              <w:t>6,02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38B22E6">
            <w:pPr>
              <w:spacing w:after="0" w:line="240" w:lineRule="auto"/>
              <w:ind w:firstLine="0"/>
              <w:jc w:val="center"/>
              <w:rPr>
                <w:color w:val="000000"/>
                <w:sz w:val="20"/>
                <w:szCs w:val="20"/>
              </w:rPr>
            </w:pPr>
            <w:r>
              <w:rPr>
                <w:color w:val="000000"/>
                <w:sz w:val="20"/>
                <w:szCs w:val="20"/>
              </w:rPr>
              <w:t>6,02</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4EAFC98">
            <w:pPr>
              <w:spacing w:after="0" w:line="240" w:lineRule="auto"/>
              <w:ind w:firstLine="0"/>
              <w:jc w:val="center"/>
              <w:rPr>
                <w:color w:val="000000"/>
                <w:sz w:val="20"/>
                <w:szCs w:val="20"/>
              </w:rPr>
            </w:pPr>
            <w:r>
              <w:rPr>
                <w:color w:val="000000"/>
                <w:sz w:val="20"/>
                <w:szCs w:val="20"/>
              </w:rPr>
              <w:t>6,02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935F433">
            <w:pPr>
              <w:spacing w:after="0" w:line="240" w:lineRule="auto"/>
              <w:ind w:firstLine="0"/>
              <w:jc w:val="center"/>
              <w:rPr>
                <w:color w:val="000000"/>
                <w:sz w:val="20"/>
                <w:szCs w:val="20"/>
              </w:rPr>
            </w:pPr>
            <w:r>
              <w:rPr>
                <w:color w:val="000000"/>
                <w:sz w:val="20"/>
                <w:szCs w:val="20"/>
              </w:rPr>
              <w:t>6,02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DF2F59">
            <w:pPr>
              <w:spacing w:after="0" w:line="240" w:lineRule="auto"/>
              <w:ind w:firstLine="0"/>
              <w:jc w:val="center"/>
              <w:rPr>
                <w:color w:val="000000"/>
                <w:sz w:val="20"/>
                <w:szCs w:val="20"/>
              </w:rPr>
            </w:pPr>
            <w:r>
              <w:rPr>
                <w:color w:val="000000"/>
                <w:sz w:val="20"/>
                <w:szCs w:val="20"/>
              </w:rPr>
              <w:t>6,02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E52A68">
            <w:pPr>
              <w:spacing w:after="0" w:line="240" w:lineRule="auto"/>
              <w:ind w:firstLine="0"/>
              <w:jc w:val="center"/>
              <w:rPr>
                <w:color w:val="000000"/>
                <w:sz w:val="20"/>
                <w:szCs w:val="20"/>
              </w:rPr>
            </w:pPr>
            <w:r>
              <w:rPr>
                <w:color w:val="000000"/>
                <w:sz w:val="20"/>
                <w:szCs w:val="20"/>
              </w:rPr>
              <w:t>6,02</w:t>
            </w:r>
          </w:p>
        </w:tc>
      </w:tr>
      <w:tr w14:paraId="55AEA917">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0078E03">
            <w:pPr>
              <w:spacing w:after="0" w:line="240" w:lineRule="auto"/>
              <w:ind w:firstLine="0"/>
              <w:rPr>
                <w:color w:val="000000"/>
                <w:sz w:val="20"/>
                <w:szCs w:val="20"/>
              </w:rPr>
            </w:pPr>
            <w:r>
              <w:rPr>
                <w:color w:val="000000"/>
                <w:sz w:val="20"/>
                <w:szCs w:val="20"/>
              </w:rPr>
              <w:t>Ограничение тепловой мощности</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4B2BF93">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640D447">
            <w:pPr>
              <w:spacing w:after="0" w:line="240" w:lineRule="auto"/>
              <w:ind w:firstLine="0"/>
              <w:jc w:val="center"/>
              <w:rPr>
                <w:color w:val="000000"/>
                <w:sz w:val="20"/>
                <w:szCs w:val="20"/>
              </w:rPr>
            </w:pPr>
            <w:r>
              <w:rPr>
                <w:color w:val="000000"/>
                <w:sz w:val="20"/>
                <w:szCs w:val="20"/>
              </w:rPr>
              <w:t>0,08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A5C55A">
            <w:pPr>
              <w:spacing w:after="0" w:line="240" w:lineRule="auto"/>
              <w:ind w:firstLine="0"/>
              <w:jc w:val="center"/>
              <w:rPr>
                <w:color w:val="000000"/>
                <w:sz w:val="20"/>
                <w:szCs w:val="20"/>
              </w:rPr>
            </w:pPr>
            <w:r>
              <w:rPr>
                <w:color w:val="000000"/>
                <w:sz w:val="20"/>
                <w:szCs w:val="20"/>
              </w:rPr>
              <w:t>0,08</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9054DFA">
            <w:pPr>
              <w:spacing w:after="0" w:line="240" w:lineRule="auto"/>
              <w:ind w:firstLine="0"/>
              <w:jc w:val="center"/>
              <w:rPr>
                <w:color w:val="000000"/>
                <w:sz w:val="20"/>
                <w:szCs w:val="20"/>
              </w:rPr>
            </w:pPr>
            <w:r>
              <w:rPr>
                <w:color w:val="000000"/>
                <w:sz w:val="20"/>
                <w:szCs w:val="20"/>
              </w:rPr>
              <w:t>0,08</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862A56F">
            <w:pPr>
              <w:spacing w:after="0" w:line="240" w:lineRule="auto"/>
              <w:ind w:firstLine="0"/>
              <w:jc w:val="center"/>
              <w:rPr>
                <w:color w:val="000000"/>
                <w:sz w:val="20"/>
                <w:szCs w:val="20"/>
              </w:rPr>
            </w:pPr>
            <w:r>
              <w:rPr>
                <w:color w:val="000000"/>
                <w:sz w:val="20"/>
                <w:szCs w:val="20"/>
              </w:rPr>
              <w:t>0,08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D839F7F">
            <w:pPr>
              <w:spacing w:after="0" w:line="240" w:lineRule="auto"/>
              <w:ind w:firstLine="0"/>
              <w:jc w:val="center"/>
              <w:rPr>
                <w:color w:val="000000"/>
                <w:sz w:val="20"/>
                <w:szCs w:val="20"/>
              </w:rPr>
            </w:pPr>
            <w:r>
              <w:rPr>
                <w:color w:val="000000"/>
                <w:sz w:val="20"/>
                <w:szCs w:val="20"/>
              </w:rPr>
              <w:t>0,08</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23978A8">
            <w:pPr>
              <w:spacing w:after="0" w:line="240" w:lineRule="auto"/>
              <w:ind w:firstLine="0"/>
              <w:jc w:val="center"/>
              <w:rPr>
                <w:color w:val="000000"/>
                <w:sz w:val="20"/>
                <w:szCs w:val="20"/>
              </w:rPr>
            </w:pPr>
            <w:r>
              <w:rPr>
                <w:color w:val="000000"/>
                <w:sz w:val="20"/>
                <w:szCs w:val="20"/>
              </w:rPr>
              <w:t>0,08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EE11DB4">
            <w:pPr>
              <w:spacing w:after="0" w:line="240" w:lineRule="auto"/>
              <w:ind w:firstLine="0"/>
              <w:jc w:val="center"/>
              <w:rPr>
                <w:color w:val="000000"/>
                <w:sz w:val="20"/>
                <w:szCs w:val="20"/>
              </w:rPr>
            </w:pPr>
            <w:r>
              <w:rPr>
                <w:color w:val="000000"/>
                <w:sz w:val="20"/>
                <w:szCs w:val="20"/>
              </w:rPr>
              <w:t>0,08</w:t>
            </w:r>
          </w:p>
        </w:tc>
      </w:tr>
      <w:tr w14:paraId="3D4FC8B9">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44EAB01">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26CFC7C">
            <w:pPr>
              <w:spacing w:after="0" w:line="240" w:lineRule="auto"/>
              <w:ind w:firstLine="0"/>
              <w:jc w:val="center"/>
              <w:rPr>
                <w:color w:val="000000"/>
                <w:sz w:val="20"/>
                <w:szCs w:val="20"/>
              </w:rPr>
            </w:pPr>
            <w:r>
              <w:rPr>
                <w:color w:val="000000"/>
                <w:sz w:val="20"/>
                <w:szCs w:val="20"/>
              </w:rPr>
              <w:t>%</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1072B77">
            <w:pPr>
              <w:spacing w:after="0" w:line="240" w:lineRule="auto"/>
              <w:ind w:firstLine="0"/>
              <w:jc w:val="center"/>
              <w:rPr>
                <w:color w:val="000000"/>
                <w:sz w:val="20"/>
                <w:szCs w:val="20"/>
              </w:rPr>
            </w:pPr>
            <w:r>
              <w:rPr>
                <w:color w:val="000000"/>
                <w:sz w:val="20"/>
                <w:szCs w:val="20"/>
              </w:rPr>
              <w:t>1,33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53A322D">
            <w:pPr>
              <w:spacing w:after="0" w:line="240" w:lineRule="auto"/>
              <w:ind w:firstLine="0"/>
              <w:jc w:val="center"/>
              <w:rPr>
                <w:color w:val="000000"/>
                <w:sz w:val="20"/>
                <w:szCs w:val="20"/>
              </w:rPr>
            </w:pPr>
            <w:r>
              <w:rPr>
                <w:color w:val="000000"/>
                <w:sz w:val="20"/>
                <w:szCs w:val="20"/>
              </w:rPr>
              <w:t>1,33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9D7EDB9">
            <w:pPr>
              <w:spacing w:after="0" w:line="240" w:lineRule="auto"/>
              <w:ind w:firstLine="0"/>
              <w:jc w:val="center"/>
              <w:rPr>
                <w:color w:val="000000"/>
                <w:sz w:val="20"/>
                <w:szCs w:val="20"/>
              </w:rPr>
            </w:pPr>
            <w:r>
              <w:rPr>
                <w:color w:val="000000"/>
                <w:sz w:val="20"/>
                <w:szCs w:val="20"/>
              </w:rPr>
              <w:t>1,33</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D1914A0">
            <w:pPr>
              <w:spacing w:after="0" w:line="240" w:lineRule="auto"/>
              <w:ind w:firstLine="0"/>
              <w:jc w:val="center"/>
              <w:rPr>
                <w:color w:val="000000"/>
                <w:sz w:val="20"/>
                <w:szCs w:val="20"/>
              </w:rPr>
            </w:pPr>
            <w:r>
              <w:rPr>
                <w:color w:val="000000"/>
                <w:sz w:val="20"/>
                <w:szCs w:val="20"/>
              </w:rPr>
              <w:t>1,33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9471092">
            <w:pPr>
              <w:spacing w:after="0" w:line="240" w:lineRule="auto"/>
              <w:ind w:firstLine="0"/>
              <w:jc w:val="center"/>
              <w:rPr>
                <w:color w:val="000000"/>
                <w:sz w:val="20"/>
                <w:szCs w:val="20"/>
              </w:rPr>
            </w:pPr>
            <w:r>
              <w:rPr>
                <w:color w:val="000000"/>
                <w:sz w:val="20"/>
                <w:szCs w:val="20"/>
              </w:rPr>
              <w:t>1,33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D290072">
            <w:pPr>
              <w:spacing w:after="0" w:line="240" w:lineRule="auto"/>
              <w:ind w:firstLine="0"/>
              <w:jc w:val="center"/>
              <w:rPr>
                <w:color w:val="000000"/>
                <w:sz w:val="20"/>
                <w:szCs w:val="20"/>
              </w:rPr>
            </w:pPr>
            <w:r>
              <w:rPr>
                <w:color w:val="000000"/>
                <w:sz w:val="20"/>
                <w:szCs w:val="20"/>
              </w:rPr>
              <w:t>1,33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954073F">
            <w:pPr>
              <w:spacing w:after="0" w:line="240" w:lineRule="auto"/>
              <w:ind w:firstLine="0"/>
              <w:jc w:val="center"/>
              <w:rPr>
                <w:color w:val="000000"/>
                <w:sz w:val="20"/>
                <w:szCs w:val="20"/>
              </w:rPr>
            </w:pPr>
            <w:r>
              <w:rPr>
                <w:color w:val="000000"/>
                <w:sz w:val="20"/>
                <w:szCs w:val="20"/>
              </w:rPr>
              <w:t>1,33</w:t>
            </w:r>
          </w:p>
        </w:tc>
      </w:tr>
      <w:tr w14:paraId="0BAF3009">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A8855B9">
            <w:pPr>
              <w:spacing w:after="0" w:line="240" w:lineRule="auto"/>
              <w:ind w:firstLine="0"/>
              <w:rPr>
                <w:color w:val="000000"/>
                <w:sz w:val="20"/>
                <w:szCs w:val="20"/>
              </w:rPr>
            </w:pPr>
            <w:r>
              <w:rPr>
                <w:color w:val="000000"/>
                <w:sz w:val="20"/>
                <w:szCs w:val="20"/>
              </w:rPr>
              <w:t>Располагаемая тепловая мощность</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689B4F8">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1AFF4DC">
            <w:pPr>
              <w:spacing w:after="0" w:line="240" w:lineRule="auto"/>
              <w:ind w:firstLine="0"/>
              <w:jc w:val="center"/>
              <w:rPr>
                <w:color w:val="000000"/>
                <w:sz w:val="20"/>
                <w:szCs w:val="20"/>
              </w:rPr>
            </w:pPr>
            <w:r>
              <w:rPr>
                <w:color w:val="000000"/>
                <w:sz w:val="20"/>
                <w:szCs w:val="20"/>
              </w:rPr>
              <w:t>5,94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654E90">
            <w:pPr>
              <w:spacing w:after="0" w:line="240" w:lineRule="auto"/>
              <w:ind w:firstLine="0"/>
              <w:jc w:val="center"/>
              <w:rPr>
                <w:color w:val="000000"/>
                <w:sz w:val="20"/>
                <w:szCs w:val="20"/>
              </w:rPr>
            </w:pPr>
            <w:r>
              <w:rPr>
                <w:color w:val="000000"/>
                <w:sz w:val="20"/>
                <w:szCs w:val="20"/>
              </w:rPr>
              <w:t>5,94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AE9C1F">
            <w:pPr>
              <w:spacing w:after="0" w:line="240" w:lineRule="auto"/>
              <w:ind w:firstLine="0"/>
              <w:jc w:val="center"/>
              <w:rPr>
                <w:color w:val="000000"/>
                <w:sz w:val="20"/>
                <w:szCs w:val="20"/>
              </w:rPr>
            </w:pPr>
            <w:r>
              <w:rPr>
                <w:color w:val="000000"/>
                <w:sz w:val="20"/>
                <w:szCs w:val="20"/>
              </w:rPr>
              <w:t>5,94</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BAA7A9B">
            <w:pPr>
              <w:spacing w:after="0" w:line="240" w:lineRule="auto"/>
              <w:ind w:firstLine="0"/>
              <w:jc w:val="center"/>
              <w:rPr>
                <w:color w:val="000000"/>
                <w:sz w:val="20"/>
                <w:szCs w:val="20"/>
              </w:rPr>
            </w:pPr>
            <w:r>
              <w:rPr>
                <w:color w:val="000000"/>
                <w:sz w:val="20"/>
                <w:szCs w:val="20"/>
              </w:rPr>
              <w:t>5,94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CFAFED">
            <w:pPr>
              <w:spacing w:after="0" w:line="240" w:lineRule="auto"/>
              <w:ind w:firstLine="0"/>
              <w:jc w:val="center"/>
              <w:rPr>
                <w:color w:val="000000"/>
                <w:sz w:val="20"/>
                <w:szCs w:val="20"/>
              </w:rPr>
            </w:pPr>
            <w:r>
              <w:rPr>
                <w:color w:val="000000"/>
                <w:sz w:val="20"/>
                <w:szCs w:val="20"/>
              </w:rPr>
              <w:t>5,94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0C7CDE">
            <w:pPr>
              <w:spacing w:after="0" w:line="240" w:lineRule="auto"/>
              <w:ind w:firstLine="0"/>
              <w:jc w:val="center"/>
              <w:rPr>
                <w:color w:val="000000"/>
                <w:sz w:val="20"/>
                <w:szCs w:val="20"/>
              </w:rPr>
            </w:pPr>
            <w:r>
              <w:rPr>
                <w:color w:val="000000"/>
                <w:sz w:val="20"/>
                <w:szCs w:val="20"/>
              </w:rPr>
              <w:t>5,94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0902BD1">
            <w:pPr>
              <w:spacing w:after="0" w:line="240" w:lineRule="auto"/>
              <w:ind w:firstLine="0"/>
              <w:jc w:val="center"/>
              <w:rPr>
                <w:color w:val="000000"/>
                <w:sz w:val="20"/>
                <w:szCs w:val="20"/>
              </w:rPr>
            </w:pPr>
            <w:r>
              <w:rPr>
                <w:color w:val="000000"/>
                <w:sz w:val="20"/>
                <w:szCs w:val="20"/>
              </w:rPr>
              <w:t>5,94</w:t>
            </w:r>
          </w:p>
        </w:tc>
      </w:tr>
      <w:tr w14:paraId="029C4ADD">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CD146C7">
            <w:pPr>
              <w:spacing w:after="0" w:line="240" w:lineRule="auto"/>
              <w:ind w:firstLine="0"/>
              <w:rPr>
                <w:color w:val="000000"/>
                <w:sz w:val="20"/>
                <w:szCs w:val="20"/>
              </w:rPr>
            </w:pPr>
            <w:r>
              <w:rPr>
                <w:color w:val="000000"/>
                <w:sz w:val="20"/>
                <w:szCs w:val="20"/>
              </w:rPr>
              <w:t>Собственные и хозяйственные нужды</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5227A59">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5D61FC">
            <w:pPr>
              <w:spacing w:after="0" w:line="240" w:lineRule="auto"/>
              <w:ind w:firstLine="0"/>
              <w:jc w:val="center"/>
              <w:rPr>
                <w:color w:val="000000"/>
                <w:sz w:val="20"/>
                <w:szCs w:val="20"/>
              </w:rPr>
            </w:pPr>
            <w:r>
              <w:rPr>
                <w:color w:val="000000"/>
                <w:sz w:val="20"/>
                <w:szCs w:val="20"/>
              </w:rPr>
              <w:t>0,13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644E5B">
            <w:pPr>
              <w:spacing w:after="0" w:line="240" w:lineRule="auto"/>
              <w:ind w:firstLine="0"/>
              <w:jc w:val="center"/>
              <w:rPr>
                <w:color w:val="000000"/>
                <w:sz w:val="20"/>
                <w:szCs w:val="20"/>
              </w:rPr>
            </w:pPr>
            <w:r>
              <w:rPr>
                <w:color w:val="000000"/>
                <w:sz w:val="20"/>
                <w:szCs w:val="20"/>
              </w:rPr>
              <w:t>0,13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BDF9D8D">
            <w:pPr>
              <w:spacing w:after="0" w:line="240" w:lineRule="auto"/>
              <w:ind w:firstLine="0"/>
              <w:jc w:val="center"/>
              <w:rPr>
                <w:color w:val="000000"/>
                <w:sz w:val="20"/>
                <w:szCs w:val="20"/>
              </w:rPr>
            </w:pPr>
            <w:r>
              <w:rPr>
                <w:color w:val="000000"/>
                <w:sz w:val="20"/>
                <w:szCs w:val="20"/>
              </w:rPr>
              <w:t>0,13</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B46FEED">
            <w:pPr>
              <w:spacing w:after="0" w:line="240" w:lineRule="auto"/>
              <w:ind w:firstLine="0"/>
              <w:jc w:val="center"/>
              <w:rPr>
                <w:color w:val="000000"/>
                <w:sz w:val="20"/>
                <w:szCs w:val="20"/>
              </w:rPr>
            </w:pPr>
            <w:r>
              <w:rPr>
                <w:color w:val="000000"/>
                <w:sz w:val="20"/>
                <w:szCs w:val="20"/>
              </w:rPr>
              <w:t>0,13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7DF1206">
            <w:pPr>
              <w:spacing w:after="0" w:line="240" w:lineRule="auto"/>
              <w:ind w:firstLine="0"/>
              <w:jc w:val="center"/>
              <w:rPr>
                <w:color w:val="000000"/>
                <w:sz w:val="20"/>
                <w:szCs w:val="20"/>
              </w:rPr>
            </w:pPr>
            <w:r>
              <w:rPr>
                <w:color w:val="000000"/>
                <w:sz w:val="20"/>
                <w:szCs w:val="20"/>
              </w:rPr>
              <w:t>0,13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EF067B">
            <w:pPr>
              <w:spacing w:after="0" w:line="240" w:lineRule="auto"/>
              <w:ind w:firstLine="0"/>
              <w:jc w:val="center"/>
              <w:rPr>
                <w:color w:val="000000"/>
                <w:sz w:val="20"/>
                <w:szCs w:val="20"/>
              </w:rPr>
            </w:pPr>
            <w:r>
              <w:rPr>
                <w:color w:val="000000"/>
                <w:sz w:val="20"/>
                <w:szCs w:val="20"/>
              </w:rPr>
              <w:t>0,13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7E21528">
            <w:pPr>
              <w:spacing w:after="0" w:line="240" w:lineRule="auto"/>
              <w:ind w:firstLine="0"/>
              <w:jc w:val="center"/>
              <w:rPr>
                <w:color w:val="000000"/>
                <w:sz w:val="20"/>
                <w:szCs w:val="20"/>
              </w:rPr>
            </w:pPr>
            <w:r>
              <w:rPr>
                <w:color w:val="000000"/>
                <w:sz w:val="20"/>
                <w:szCs w:val="20"/>
              </w:rPr>
              <w:t>0,13</w:t>
            </w:r>
          </w:p>
        </w:tc>
      </w:tr>
      <w:tr w14:paraId="4000ED6B">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41F45652">
            <w:pPr>
              <w:spacing w:after="0" w:line="240" w:lineRule="auto"/>
              <w:ind w:firstLine="0"/>
              <w:rPr>
                <w:color w:val="000000"/>
                <w:sz w:val="20"/>
                <w:szCs w:val="20"/>
              </w:rPr>
            </w:pPr>
            <w:r>
              <w:rPr>
                <w:color w:val="000000"/>
                <w:sz w:val="20"/>
                <w:szCs w:val="20"/>
              </w:rPr>
              <w:t>Тепловая мощность нетто</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29E30115">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57450F">
            <w:pPr>
              <w:spacing w:after="0" w:line="240" w:lineRule="auto"/>
              <w:ind w:firstLine="0"/>
              <w:jc w:val="center"/>
              <w:rPr>
                <w:color w:val="000000"/>
                <w:sz w:val="20"/>
                <w:szCs w:val="20"/>
              </w:rPr>
            </w:pPr>
            <w:r>
              <w:rPr>
                <w:color w:val="000000"/>
                <w:sz w:val="20"/>
                <w:szCs w:val="20"/>
              </w:rPr>
              <w:t>5,81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45D19A1">
            <w:pPr>
              <w:spacing w:after="0" w:line="240" w:lineRule="auto"/>
              <w:ind w:firstLine="0"/>
              <w:jc w:val="center"/>
              <w:rPr>
                <w:color w:val="000000"/>
                <w:sz w:val="20"/>
                <w:szCs w:val="20"/>
              </w:rPr>
            </w:pPr>
            <w:r>
              <w:rPr>
                <w:color w:val="000000"/>
                <w:sz w:val="20"/>
                <w:szCs w:val="20"/>
              </w:rPr>
              <w:t>5,81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F356361">
            <w:pPr>
              <w:spacing w:after="0" w:line="240" w:lineRule="auto"/>
              <w:ind w:firstLine="0"/>
              <w:jc w:val="center"/>
              <w:rPr>
                <w:color w:val="000000"/>
                <w:sz w:val="20"/>
                <w:szCs w:val="20"/>
              </w:rPr>
            </w:pPr>
            <w:r>
              <w:rPr>
                <w:color w:val="000000"/>
                <w:sz w:val="20"/>
                <w:szCs w:val="20"/>
              </w:rPr>
              <w:t>5,81</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C9CED15">
            <w:pPr>
              <w:spacing w:after="0" w:line="240" w:lineRule="auto"/>
              <w:ind w:firstLine="0"/>
              <w:jc w:val="center"/>
              <w:rPr>
                <w:color w:val="000000"/>
                <w:sz w:val="20"/>
                <w:szCs w:val="20"/>
              </w:rPr>
            </w:pPr>
            <w:r>
              <w:rPr>
                <w:color w:val="000000"/>
                <w:sz w:val="20"/>
                <w:szCs w:val="20"/>
              </w:rPr>
              <w:t>5,81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568EF4E">
            <w:pPr>
              <w:spacing w:after="0" w:line="240" w:lineRule="auto"/>
              <w:ind w:firstLine="0"/>
              <w:jc w:val="center"/>
              <w:rPr>
                <w:color w:val="000000"/>
                <w:sz w:val="20"/>
                <w:szCs w:val="20"/>
              </w:rPr>
            </w:pPr>
            <w:r>
              <w:rPr>
                <w:color w:val="000000"/>
                <w:sz w:val="20"/>
                <w:szCs w:val="20"/>
              </w:rPr>
              <w:t>5,81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ED4523D">
            <w:pPr>
              <w:spacing w:after="0" w:line="240" w:lineRule="auto"/>
              <w:ind w:firstLine="0"/>
              <w:jc w:val="center"/>
              <w:rPr>
                <w:color w:val="000000"/>
                <w:sz w:val="20"/>
                <w:szCs w:val="20"/>
              </w:rPr>
            </w:pPr>
            <w:r>
              <w:rPr>
                <w:color w:val="000000"/>
                <w:sz w:val="20"/>
                <w:szCs w:val="20"/>
              </w:rPr>
              <w:t>5,81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2C25AE8">
            <w:pPr>
              <w:spacing w:after="0" w:line="240" w:lineRule="auto"/>
              <w:ind w:firstLine="0"/>
              <w:jc w:val="center"/>
              <w:rPr>
                <w:color w:val="000000"/>
                <w:sz w:val="20"/>
                <w:szCs w:val="20"/>
              </w:rPr>
            </w:pPr>
            <w:r>
              <w:rPr>
                <w:color w:val="000000"/>
                <w:sz w:val="20"/>
                <w:szCs w:val="20"/>
              </w:rPr>
              <w:t>5,81</w:t>
            </w:r>
          </w:p>
        </w:tc>
      </w:tr>
      <w:tr w14:paraId="7DFEFB35">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0970F8A">
            <w:pPr>
              <w:spacing w:after="0" w:line="240" w:lineRule="auto"/>
              <w:ind w:firstLine="0"/>
              <w:rPr>
                <w:color w:val="000000"/>
                <w:sz w:val="20"/>
                <w:szCs w:val="20"/>
              </w:rPr>
            </w:pPr>
            <w:r>
              <w:rPr>
                <w:color w:val="000000"/>
                <w:sz w:val="20"/>
                <w:szCs w:val="20"/>
              </w:rPr>
              <w:t>Нагрузка на коллекторах</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5DAE722C">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D1AFB5E">
            <w:pPr>
              <w:spacing w:after="0" w:line="240" w:lineRule="auto"/>
              <w:ind w:firstLine="0"/>
              <w:jc w:val="center"/>
              <w:rPr>
                <w:color w:val="000000"/>
                <w:sz w:val="20"/>
                <w:szCs w:val="20"/>
              </w:rPr>
            </w:pPr>
            <w:r>
              <w:rPr>
                <w:color w:val="000000"/>
                <w:sz w:val="20"/>
                <w:szCs w:val="20"/>
              </w:rPr>
              <w:t>0,72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833585F">
            <w:pPr>
              <w:spacing w:after="0" w:line="240" w:lineRule="auto"/>
              <w:ind w:firstLine="0"/>
              <w:jc w:val="center"/>
              <w:rPr>
                <w:color w:val="000000"/>
                <w:sz w:val="20"/>
                <w:szCs w:val="20"/>
              </w:rPr>
            </w:pPr>
            <w:r>
              <w:rPr>
                <w:color w:val="000000"/>
                <w:sz w:val="20"/>
                <w:szCs w:val="20"/>
              </w:rPr>
              <w:t>0,72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FDC751">
            <w:pPr>
              <w:spacing w:after="0" w:line="240" w:lineRule="auto"/>
              <w:ind w:firstLine="0"/>
              <w:jc w:val="center"/>
              <w:rPr>
                <w:color w:val="000000"/>
                <w:sz w:val="20"/>
                <w:szCs w:val="20"/>
              </w:rPr>
            </w:pPr>
            <w:r>
              <w:rPr>
                <w:color w:val="000000"/>
                <w:sz w:val="20"/>
                <w:szCs w:val="20"/>
              </w:rPr>
              <w:t>0,72</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B9F97BC">
            <w:pPr>
              <w:spacing w:after="0" w:line="240" w:lineRule="auto"/>
              <w:ind w:firstLine="0"/>
              <w:jc w:val="center"/>
              <w:rPr>
                <w:color w:val="000000"/>
                <w:sz w:val="20"/>
                <w:szCs w:val="20"/>
              </w:rPr>
            </w:pPr>
            <w:r>
              <w:rPr>
                <w:color w:val="000000"/>
                <w:sz w:val="20"/>
                <w:szCs w:val="20"/>
              </w:rPr>
              <w:t>0,72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98C3CB">
            <w:pPr>
              <w:spacing w:after="0" w:line="240" w:lineRule="auto"/>
              <w:ind w:firstLine="0"/>
              <w:jc w:val="center"/>
              <w:rPr>
                <w:color w:val="000000"/>
                <w:sz w:val="20"/>
                <w:szCs w:val="20"/>
              </w:rPr>
            </w:pPr>
            <w:r>
              <w:rPr>
                <w:color w:val="000000"/>
                <w:sz w:val="20"/>
                <w:szCs w:val="20"/>
              </w:rPr>
              <w:t>0,72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BA7D8B7">
            <w:pPr>
              <w:spacing w:after="0" w:line="240" w:lineRule="auto"/>
              <w:ind w:firstLine="0"/>
              <w:jc w:val="center"/>
              <w:rPr>
                <w:color w:val="000000"/>
                <w:sz w:val="20"/>
                <w:szCs w:val="20"/>
              </w:rPr>
            </w:pPr>
            <w:r>
              <w:rPr>
                <w:color w:val="000000"/>
                <w:sz w:val="20"/>
                <w:szCs w:val="20"/>
              </w:rPr>
              <w:t>0,72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06681C6">
            <w:pPr>
              <w:spacing w:after="0" w:line="240" w:lineRule="auto"/>
              <w:ind w:firstLine="0"/>
              <w:jc w:val="center"/>
              <w:rPr>
                <w:color w:val="000000"/>
                <w:sz w:val="20"/>
                <w:szCs w:val="20"/>
              </w:rPr>
            </w:pPr>
            <w:r>
              <w:rPr>
                <w:color w:val="000000"/>
                <w:sz w:val="20"/>
                <w:szCs w:val="20"/>
              </w:rPr>
              <w:t>0,72</w:t>
            </w:r>
          </w:p>
        </w:tc>
      </w:tr>
      <w:tr w14:paraId="6267843D">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39129B8">
            <w:pPr>
              <w:spacing w:after="0" w:line="240" w:lineRule="auto"/>
              <w:ind w:firstLine="0"/>
              <w:rPr>
                <w:color w:val="000000"/>
                <w:sz w:val="20"/>
                <w:szCs w:val="20"/>
              </w:rPr>
            </w:pPr>
            <w:r>
              <w:rPr>
                <w:color w:val="000000"/>
                <w:sz w:val="20"/>
                <w:szCs w:val="20"/>
              </w:rPr>
              <w:t>Потери в сетях</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1D3A35F">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8D4A1E9">
            <w:pPr>
              <w:spacing w:after="0" w:line="240" w:lineRule="auto"/>
              <w:ind w:firstLine="0"/>
              <w:jc w:val="center"/>
              <w:rPr>
                <w:color w:val="000000"/>
                <w:sz w:val="20"/>
                <w:szCs w:val="20"/>
              </w:rPr>
            </w:pPr>
            <w:r>
              <w:rPr>
                <w:color w:val="000000"/>
                <w:sz w:val="20"/>
                <w:szCs w:val="20"/>
              </w:rPr>
              <w:t>0,22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EAE344F">
            <w:pPr>
              <w:spacing w:after="0" w:line="240" w:lineRule="auto"/>
              <w:ind w:firstLine="0"/>
              <w:jc w:val="center"/>
              <w:rPr>
                <w:color w:val="000000"/>
                <w:sz w:val="20"/>
                <w:szCs w:val="20"/>
              </w:rPr>
            </w:pPr>
            <w:r>
              <w:rPr>
                <w:color w:val="000000"/>
                <w:sz w:val="20"/>
                <w:szCs w:val="20"/>
              </w:rPr>
              <w:t>0,22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622ACB0">
            <w:pPr>
              <w:spacing w:after="0" w:line="240" w:lineRule="auto"/>
              <w:ind w:firstLine="0"/>
              <w:jc w:val="center"/>
              <w:rPr>
                <w:color w:val="000000"/>
                <w:sz w:val="20"/>
                <w:szCs w:val="20"/>
              </w:rPr>
            </w:pPr>
            <w:r>
              <w:rPr>
                <w:color w:val="000000"/>
                <w:sz w:val="20"/>
                <w:szCs w:val="20"/>
              </w:rPr>
              <w:t>0,22</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546AB40">
            <w:pPr>
              <w:spacing w:after="0" w:line="240" w:lineRule="auto"/>
              <w:ind w:firstLine="0"/>
              <w:jc w:val="center"/>
              <w:rPr>
                <w:color w:val="000000"/>
                <w:sz w:val="20"/>
                <w:szCs w:val="20"/>
              </w:rPr>
            </w:pPr>
            <w:r>
              <w:rPr>
                <w:color w:val="000000"/>
                <w:sz w:val="20"/>
                <w:szCs w:val="20"/>
              </w:rPr>
              <w:t>0,22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7B844F4">
            <w:pPr>
              <w:spacing w:after="0" w:line="240" w:lineRule="auto"/>
              <w:ind w:firstLine="0"/>
              <w:jc w:val="center"/>
              <w:rPr>
                <w:color w:val="000000"/>
                <w:sz w:val="20"/>
                <w:szCs w:val="20"/>
              </w:rPr>
            </w:pPr>
            <w:r>
              <w:rPr>
                <w:color w:val="000000"/>
                <w:sz w:val="20"/>
                <w:szCs w:val="20"/>
              </w:rPr>
              <w:t>0,22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AD9893F">
            <w:pPr>
              <w:spacing w:after="0" w:line="240" w:lineRule="auto"/>
              <w:ind w:firstLine="0"/>
              <w:jc w:val="center"/>
              <w:rPr>
                <w:color w:val="000000"/>
                <w:sz w:val="20"/>
                <w:szCs w:val="20"/>
              </w:rPr>
            </w:pPr>
            <w:r>
              <w:rPr>
                <w:color w:val="000000"/>
                <w:sz w:val="20"/>
                <w:szCs w:val="20"/>
              </w:rPr>
              <w:t>0,22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F5E765">
            <w:pPr>
              <w:spacing w:after="0" w:line="240" w:lineRule="auto"/>
              <w:ind w:firstLine="0"/>
              <w:jc w:val="center"/>
              <w:rPr>
                <w:color w:val="000000"/>
                <w:sz w:val="20"/>
                <w:szCs w:val="20"/>
              </w:rPr>
            </w:pPr>
            <w:r>
              <w:rPr>
                <w:color w:val="000000"/>
                <w:sz w:val="20"/>
                <w:szCs w:val="20"/>
              </w:rPr>
              <w:t>0,22</w:t>
            </w:r>
          </w:p>
        </w:tc>
      </w:tr>
      <w:tr w14:paraId="2634C15E">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48A3A69C">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53A138B7">
            <w:pPr>
              <w:spacing w:after="0" w:line="240" w:lineRule="auto"/>
              <w:ind w:firstLine="0"/>
              <w:jc w:val="center"/>
              <w:rPr>
                <w:color w:val="000000"/>
                <w:sz w:val="20"/>
                <w:szCs w:val="20"/>
              </w:rPr>
            </w:pPr>
            <w:r>
              <w:rPr>
                <w:color w:val="000000"/>
                <w:sz w:val="20"/>
                <w:szCs w:val="20"/>
              </w:rPr>
              <w:t>%</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4BF7E37">
            <w:pPr>
              <w:spacing w:after="0" w:line="240" w:lineRule="auto"/>
              <w:ind w:firstLine="0"/>
              <w:jc w:val="center"/>
              <w:rPr>
                <w:color w:val="000000"/>
                <w:sz w:val="20"/>
                <w:szCs w:val="20"/>
              </w:rPr>
            </w:pPr>
            <w:r>
              <w:rPr>
                <w:color w:val="000000"/>
                <w:sz w:val="20"/>
                <w:szCs w:val="20"/>
              </w:rPr>
              <w:t>30,56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66A2A2E">
            <w:pPr>
              <w:spacing w:after="0" w:line="240" w:lineRule="auto"/>
              <w:ind w:firstLine="0"/>
              <w:jc w:val="center"/>
              <w:rPr>
                <w:color w:val="000000"/>
                <w:sz w:val="20"/>
                <w:szCs w:val="20"/>
              </w:rPr>
            </w:pPr>
            <w:r>
              <w:rPr>
                <w:color w:val="000000"/>
                <w:sz w:val="20"/>
                <w:szCs w:val="20"/>
              </w:rPr>
              <w:t>30,56</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CADA073">
            <w:pPr>
              <w:spacing w:after="0" w:line="240" w:lineRule="auto"/>
              <w:ind w:firstLine="0"/>
              <w:jc w:val="center"/>
              <w:rPr>
                <w:color w:val="000000"/>
                <w:sz w:val="20"/>
                <w:szCs w:val="20"/>
              </w:rPr>
            </w:pPr>
            <w:r>
              <w:rPr>
                <w:color w:val="000000"/>
                <w:sz w:val="20"/>
                <w:szCs w:val="20"/>
              </w:rPr>
              <w:t>30,56</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F40DF6A">
            <w:pPr>
              <w:spacing w:after="0" w:line="240" w:lineRule="auto"/>
              <w:ind w:firstLine="0"/>
              <w:jc w:val="center"/>
              <w:rPr>
                <w:color w:val="000000"/>
                <w:sz w:val="20"/>
                <w:szCs w:val="20"/>
              </w:rPr>
            </w:pPr>
            <w:r>
              <w:rPr>
                <w:color w:val="000000"/>
                <w:sz w:val="20"/>
                <w:szCs w:val="20"/>
              </w:rPr>
              <w:t>30,56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797769E">
            <w:pPr>
              <w:spacing w:after="0" w:line="240" w:lineRule="auto"/>
              <w:ind w:firstLine="0"/>
              <w:jc w:val="center"/>
              <w:rPr>
                <w:color w:val="000000"/>
                <w:sz w:val="20"/>
                <w:szCs w:val="20"/>
              </w:rPr>
            </w:pPr>
            <w:r>
              <w:rPr>
                <w:color w:val="000000"/>
                <w:sz w:val="20"/>
                <w:szCs w:val="20"/>
              </w:rPr>
              <w:t>30,56</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CC8AA7A">
            <w:pPr>
              <w:spacing w:after="0" w:line="240" w:lineRule="auto"/>
              <w:ind w:firstLine="0"/>
              <w:jc w:val="center"/>
              <w:rPr>
                <w:color w:val="000000"/>
                <w:sz w:val="20"/>
                <w:szCs w:val="20"/>
              </w:rPr>
            </w:pPr>
            <w:r>
              <w:rPr>
                <w:color w:val="000000"/>
                <w:sz w:val="20"/>
                <w:szCs w:val="20"/>
              </w:rPr>
              <w:t>30,56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A0EAF6">
            <w:pPr>
              <w:spacing w:after="0" w:line="240" w:lineRule="auto"/>
              <w:ind w:firstLine="0"/>
              <w:jc w:val="center"/>
              <w:rPr>
                <w:color w:val="000000"/>
                <w:sz w:val="20"/>
                <w:szCs w:val="20"/>
              </w:rPr>
            </w:pPr>
            <w:r>
              <w:rPr>
                <w:color w:val="000000"/>
                <w:sz w:val="20"/>
                <w:szCs w:val="20"/>
              </w:rPr>
              <w:t>30,56</w:t>
            </w:r>
          </w:p>
        </w:tc>
      </w:tr>
      <w:tr w14:paraId="121AE5DA">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CC854FE">
            <w:pPr>
              <w:spacing w:after="0" w:line="240" w:lineRule="auto"/>
              <w:ind w:firstLine="0"/>
              <w:rPr>
                <w:color w:val="000000"/>
                <w:sz w:val="20"/>
                <w:szCs w:val="20"/>
              </w:rPr>
            </w:pPr>
            <w:r>
              <w:rPr>
                <w:color w:val="000000"/>
                <w:sz w:val="20"/>
                <w:szCs w:val="20"/>
              </w:rPr>
              <w:t>Подключенная нагрузка</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20CDA9F">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91A475C">
            <w:pPr>
              <w:spacing w:after="0" w:line="240" w:lineRule="auto"/>
              <w:ind w:firstLine="0"/>
              <w:jc w:val="center"/>
              <w:rPr>
                <w:color w:val="000000"/>
                <w:sz w:val="20"/>
                <w:szCs w:val="20"/>
              </w:rPr>
            </w:pPr>
            <w:r>
              <w:rPr>
                <w:color w:val="000000"/>
                <w:sz w:val="20"/>
                <w:szCs w:val="20"/>
              </w:rPr>
              <w:t>0,50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95F418F">
            <w:pPr>
              <w:spacing w:after="0" w:line="240" w:lineRule="auto"/>
              <w:ind w:firstLine="0"/>
              <w:jc w:val="center"/>
              <w:rPr>
                <w:color w:val="000000"/>
                <w:sz w:val="20"/>
                <w:szCs w:val="20"/>
              </w:rPr>
            </w:pPr>
            <w:r>
              <w:rPr>
                <w:color w:val="000000"/>
                <w:sz w:val="20"/>
                <w:szCs w:val="20"/>
              </w:rPr>
              <w:t>0,50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A48948D">
            <w:pPr>
              <w:spacing w:after="0" w:line="240" w:lineRule="auto"/>
              <w:ind w:firstLine="0"/>
              <w:jc w:val="center"/>
              <w:rPr>
                <w:color w:val="000000"/>
                <w:sz w:val="20"/>
                <w:szCs w:val="20"/>
              </w:rPr>
            </w:pPr>
            <w:r>
              <w:rPr>
                <w:color w:val="000000"/>
                <w:sz w:val="20"/>
                <w:szCs w:val="20"/>
              </w:rPr>
              <w:t>0,50</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BA9A5D0">
            <w:pPr>
              <w:spacing w:after="0" w:line="240" w:lineRule="auto"/>
              <w:ind w:firstLine="0"/>
              <w:jc w:val="center"/>
              <w:rPr>
                <w:color w:val="000000"/>
                <w:sz w:val="20"/>
                <w:szCs w:val="20"/>
              </w:rPr>
            </w:pPr>
            <w:r>
              <w:rPr>
                <w:color w:val="000000"/>
                <w:sz w:val="20"/>
                <w:szCs w:val="20"/>
              </w:rPr>
              <w:t>0,50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002600">
            <w:pPr>
              <w:spacing w:after="0" w:line="240" w:lineRule="auto"/>
              <w:ind w:firstLine="0"/>
              <w:jc w:val="center"/>
              <w:rPr>
                <w:color w:val="000000"/>
                <w:sz w:val="20"/>
                <w:szCs w:val="20"/>
              </w:rPr>
            </w:pPr>
            <w:r>
              <w:rPr>
                <w:color w:val="000000"/>
                <w:sz w:val="20"/>
                <w:szCs w:val="20"/>
              </w:rPr>
              <w:t>0,50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48F409">
            <w:pPr>
              <w:spacing w:after="0" w:line="240" w:lineRule="auto"/>
              <w:ind w:firstLine="0"/>
              <w:jc w:val="center"/>
              <w:rPr>
                <w:color w:val="000000"/>
                <w:sz w:val="20"/>
                <w:szCs w:val="20"/>
              </w:rPr>
            </w:pPr>
            <w:r>
              <w:rPr>
                <w:color w:val="000000"/>
                <w:sz w:val="20"/>
                <w:szCs w:val="20"/>
              </w:rPr>
              <w:t>0,50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9EB140B">
            <w:pPr>
              <w:spacing w:after="0" w:line="240" w:lineRule="auto"/>
              <w:ind w:firstLine="0"/>
              <w:jc w:val="center"/>
              <w:rPr>
                <w:color w:val="000000"/>
                <w:sz w:val="20"/>
                <w:szCs w:val="20"/>
              </w:rPr>
            </w:pPr>
            <w:r>
              <w:rPr>
                <w:color w:val="000000"/>
                <w:sz w:val="20"/>
                <w:szCs w:val="20"/>
              </w:rPr>
              <w:t>0,50</w:t>
            </w:r>
          </w:p>
        </w:tc>
      </w:tr>
      <w:tr w14:paraId="1765246E">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02F3FE8">
            <w:pPr>
              <w:spacing w:after="0" w:line="240" w:lineRule="auto"/>
              <w:ind w:firstLine="0"/>
              <w:rPr>
                <w:color w:val="000000"/>
                <w:sz w:val="20"/>
                <w:szCs w:val="20"/>
              </w:rPr>
            </w:pPr>
            <w:r>
              <w:rPr>
                <w:color w:val="000000"/>
                <w:sz w:val="20"/>
                <w:szCs w:val="20"/>
              </w:rPr>
              <w:t>Резерв (+)/ Дефицит (-) мощности</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758A1D82">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B35B7D7">
            <w:pPr>
              <w:spacing w:after="0" w:line="240" w:lineRule="auto"/>
              <w:ind w:firstLine="0"/>
              <w:jc w:val="center"/>
              <w:rPr>
                <w:color w:val="000000"/>
                <w:sz w:val="20"/>
                <w:szCs w:val="20"/>
              </w:rPr>
            </w:pPr>
            <w:r>
              <w:rPr>
                <w:color w:val="000000"/>
                <w:sz w:val="20"/>
                <w:szCs w:val="20"/>
              </w:rPr>
              <w:t>5,09</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F85BBDD">
            <w:pPr>
              <w:spacing w:after="0" w:line="240" w:lineRule="auto"/>
              <w:ind w:firstLine="0"/>
              <w:jc w:val="center"/>
              <w:rPr>
                <w:color w:val="000000"/>
                <w:sz w:val="20"/>
                <w:szCs w:val="20"/>
              </w:rPr>
            </w:pPr>
            <w:r>
              <w:rPr>
                <w:color w:val="000000"/>
                <w:sz w:val="20"/>
                <w:szCs w:val="20"/>
              </w:rPr>
              <w:t>5,09</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D390353">
            <w:pPr>
              <w:spacing w:after="0" w:line="240" w:lineRule="auto"/>
              <w:ind w:firstLine="0"/>
              <w:jc w:val="center"/>
              <w:rPr>
                <w:color w:val="000000"/>
                <w:sz w:val="20"/>
                <w:szCs w:val="20"/>
              </w:rPr>
            </w:pPr>
            <w:r>
              <w:rPr>
                <w:color w:val="000000"/>
                <w:sz w:val="20"/>
                <w:szCs w:val="20"/>
              </w:rPr>
              <w:t>5,09</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512B76B">
            <w:pPr>
              <w:spacing w:after="0" w:line="240" w:lineRule="auto"/>
              <w:ind w:firstLine="0"/>
              <w:jc w:val="center"/>
              <w:rPr>
                <w:color w:val="000000"/>
                <w:sz w:val="20"/>
                <w:szCs w:val="20"/>
              </w:rPr>
            </w:pPr>
            <w:r>
              <w:rPr>
                <w:color w:val="000000"/>
                <w:sz w:val="20"/>
                <w:szCs w:val="20"/>
              </w:rPr>
              <w:t>5,09</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1C0139F">
            <w:pPr>
              <w:spacing w:after="0" w:line="240" w:lineRule="auto"/>
              <w:ind w:firstLine="0"/>
              <w:jc w:val="center"/>
              <w:rPr>
                <w:color w:val="000000"/>
                <w:sz w:val="20"/>
                <w:szCs w:val="20"/>
              </w:rPr>
            </w:pPr>
            <w:r>
              <w:rPr>
                <w:color w:val="000000"/>
                <w:sz w:val="20"/>
                <w:szCs w:val="20"/>
              </w:rPr>
              <w:t>5,09</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81091A5">
            <w:pPr>
              <w:spacing w:after="0" w:line="240" w:lineRule="auto"/>
              <w:ind w:firstLine="0"/>
              <w:jc w:val="center"/>
              <w:rPr>
                <w:color w:val="000000"/>
                <w:sz w:val="20"/>
                <w:szCs w:val="20"/>
              </w:rPr>
            </w:pPr>
            <w:r>
              <w:rPr>
                <w:color w:val="000000"/>
                <w:sz w:val="20"/>
                <w:szCs w:val="20"/>
              </w:rPr>
              <w:t>5,09</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FD80998">
            <w:pPr>
              <w:spacing w:after="0" w:line="240" w:lineRule="auto"/>
              <w:ind w:firstLine="0"/>
              <w:jc w:val="center"/>
              <w:rPr>
                <w:color w:val="000000"/>
                <w:sz w:val="20"/>
                <w:szCs w:val="20"/>
              </w:rPr>
            </w:pPr>
            <w:r>
              <w:rPr>
                <w:color w:val="000000"/>
                <w:sz w:val="20"/>
                <w:szCs w:val="20"/>
              </w:rPr>
              <w:t>5,09</w:t>
            </w:r>
          </w:p>
        </w:tc>
      </w:tr>
      <w:tr w14:paraId="7435EC5C">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65956182">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634B1572">
            <w:pPr>
              <w:spacing w:after="0" w:line="240" w:lineRule="auto"/>
              <w:ind w:firstLine="0"/>
              <w:jc w:val="center"/>
              <w:rPr>
                <w:color w:val="000000"/>
                <w:sz w:val="20"/>
                <w:szCs w:val="20"/>
              </w:rPr>
            </w:pPr>
            <w:r>
              <w:rPr>
                <w:color w:val="000000"/>
                <w:sz w:val="20"/>
                <w:szCs w:val="20"/>
              </w:rPr>
              <w:t>%</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1B336F5">
            <w:pPr>
              <w:spacing w:after="0" w:line="240" w:lineRule="auto"/>
              <w:ind w:firstLine="0"/>
              <w:jc w:val="center"/>
              <w:rPr>
                <w:color w:val="000000"/>
                <w:sz w:val="20"/>
                <w:szCs w:val="20"/>
              </w:rPr>
            </w:pPr>
            <w:r>
              <w:rPr>
                <w:color w:val="000000"/>
                <w:sz w:val="20"/>
                <w:szCs w:val="20"/>
              </w:rPr>
              <w:t>87,61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7C72281">
            <w:pPr>
              <w:spacing w:after="0" w:line="240" w:lineRule="auto"/>
              <w:ind w:firstLine="0"/>
              <w:jc w:val="center"/>
              <w:rPr>
                <w:color w:val="000000"/>
                <w:sz w:val="20"/>
                <w:szCs w:val="20"/>
              </w:rPr>
            </w:pPr>
            <w:r>
              <w:rPr>
                <w:color w:val="000000"/>
                <w:sz w:val="20"/>
                <w:szCs w:val="20"/>
              </w:rPr>
              <w:t>87,61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FEACF0B">
            <w:pPr>
              <w:spacing w:after="0" w:line="240" w:lineRule="auto"/>
              <w:ind w:firstLine="0"/>
              <w:jc w:val="center"/>
              <w:rPr>
                <w:color w:val="000000"/>
                <w:sz w:val="20"/>
                <w:szCs w:val="20"/>
              </w:rPr>
            </w:pPr>
            <w:r>
              <w:rPr>
                <w:color w:val="000000"/>
                <w:sz w:val="20"/>
                <w:szCs w:val="20"/>
              </w:rPr>
              <w:t>87,61</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844C1C6">
            <w:pPr>
              <w:spacing w:after="0" w:line="240" w:lineRule="auto"/>
              <w:ind w:firstLine="0"/>
              <w:jc w:val="center"/>
              <w:rPr>
                <w:color w:val="000000"/>
                <w:sz w:val="20"/>
                <w:szCs w:val="20"/>
              </w:rPr>
            </w:pPr>
            <w:r>
              <w:rPr>
                <w:color w:val="000000"/>
                <w:sz w:val="20"/>
                <w:szCs w:val="20"/>
              </w:rPr>
              <w:t>87,61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827EEDF">
            <w:pPr>
              <w:spacing w:after="0" w:line="240" w:lineRule="auto"/>
              <w:ind w:firstLine="0"/>
              <w:jc w:val="center"/>
              <w:rPr>
                <w:color w:val="000000"/>
                <w:sz w:val="20"/>
                <w:szCs w:val="20"/>
              </w:rPr>
            </w:pPr>
            <w:r>
              <w:rPr>
                <w:color w:val="000000"/>
                <w:sz w:val="20"/>
                <w:szCs w:val="20"/>
              </w:rPr>
              <w:t>87,61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30F3663">
            <w:pPr>
              <w:spacing w:after="0" w:line="240" w:lineRule="auto"/>
              <w:ind w:firstLine="0"/>
              <w:jc w:val="center"/>
              <w:rPr>
                <w:color w:val="000000"/>
                <w:sz w:val="20"/>
                <w:szCs w:val="20"/>
              </w:rPr>
            </w:pPr>
            <w:r>
              <w:rPr>
                <w:color w:val="000000"/>
                <w:sz w:val="20"/>
                <w:szCs w:val="20"/>
              </w:rPr>
              <w:t>87,61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0E027C9">
            <w:pPr>
              <w:spacing w:after="0" w:line="240" w:lineRule="auto"/>
              <w:ind w:firstLine="0"/>
              <w:jc w:val="center"/>
              <w:rPr>
                <w:color w:val="000000"/>
                <w:sz w:val="20"/>
                <w:szCs w:val="20"/>
              </w:rPr>
            </w:pPr>
            <w:r>
              <w:rPr>
                <w:color w:val="000000"/>
                <w:sz w:val="20"/>
                <w:szCs w:val="20"/>
              </w:rPr>
              <w:t>87,61</w:t>
            </w:r>
          </w:p>
        </w:tc>
      </w:tr>
      <w:tr w14:paraId="3C4918FF">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41FC0D97">
            <w:pPr>
              <w:spacing w:after="0" w:line="240" w:lineRule="auto"/>
              <w:ind w:firstLine="0"/>
              <w:jc w:val="center"/>
              <w:rPr>
                <w:color w:val="000000"/>
                <w:sz w:val="20"/>
                <w:szCs w:val="20"/>
              </w:rPr>
            </w:pPr>
            <w:r>
              <w:rPr>
                <w:color w:val="000000"/>
                <w:sz w:val="20"/>
                <w:szCs w:val="20"/>
              </w:rPr>
              <w:t>КС «Верхнеказымская», котельные «Вирбекс», «2БВК»</w:t>
            </w:r>
          </w:p>
        </w:tc>
        <w:tc>
          <w:tcPr>
            <w:tcW w:w="188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5D8EC1">
            <w:pPr>
              <w:spacing w:after="0" w:line="240" w:lineRule="auto"/>
              <w:ind w:firstLine="0"/>
              <w:rPr>
                <w:color w:val="000000"/>
                <w:sz w:val="20"/>
                <w:szCs w:val="20"/>
              </w:rPr>
            </w:pPr>
            <w:r>
              <w:rPr>
                <w:color w:val="000000"/>
                <w:sz w:val="20"/>
                <w:szCs w:val="20"/>
              </w:rPr>
              <w:t> </w:t>
            </w:r>
          </w:p>
        </w:tc>
        <w:tc>
          <w:tcPr>
            <w:tcW w:w="127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7C696C">
            <w:pPr>
              <w:spacing w:after="0" w:line="240" w:lineRule="auto"/>
              <w:ind w:firstLine="0"/>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FBA2CF">
            <w:pPr>
              <w:spacing w:after="0" w:line="240" w:lineRule="auto"/>
              <w:ind w:firstLine="0"/>
              <w:rPr>
                <w:color w:val="000000"/>
                <w:sz w:val="20"/>
                <w:szCs w:val="20"/>
              </w:rPr>
            </w:pPr>
            <w:r>
              <w:rPr>
                <w:color w:val="000000"/>
                <w:sz w:val="20"/>
                <w:szCs w:val="20"/>
              </w:rPr>
              <w:t> </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3AB166D">
            <w:pPr>
              <w:spacing w:after="0" w:line="240" w:lineRule="auto"/>
              <w:ind w:firstLine="0"/>
              <w:rPr>
                <w:color w:val="000000"/>
                <w:sz w:val="20"/>
                <w:szCs w:val="20"/>
              </w:rPr>
            </w:pPr>
            <w:r>
              <w:rPr>
                <w:color w:val="000000"/>
                <w:sz w:val="20"/>
                <w:szCs w:val="20"/>
              </w:rPr>
              <w:t> </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65448F8">
            <w:pPr>
              <w:spacing w:after="0" w:line="240" w:lineRule="auto"/>
              <w:ind w:firstLine="0"/>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8B3C955">
            <w:pPr>
              <w:spacing w:after="0" w:line="240" w:lineRule="auto"/>
              <w:ind w:firstLine="0"/>
              <w:rPr>
                <w:color w:val="000000"/>
                <w:sz w:val="20"/>
                <w:szCs w:val="20"/>
              </w:rPr>
            </w:pPr>
            <w:r>
              <w:rPr>
                <w:color w:val="000000"/>
                <w:sz w:val="20"/>
                <w:szCs w:val="20"/>
              </w:rPr>
              <w:t> </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2D2660E">
            <w:pPr>
              <w:spacing w:after="0" w:line="240" w:lineRule="auto"/>
              <w:ind w:firstLine="0"/>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1C5C68C">
            <w:pPr>
              <w:spacing w:after="0" w:line="240" w:lineRule="auto"/>
              <w:ind w:firstLine="0"/>
              <w:rPr>
                <w:color w:val="000000"/>
                <w:sz w:val="20"/>
                <w:szCs w:val="20"/>
              </w:rPr>
            </w:pPr>
            <w:r>
              <w:rPr>
                <w:color w:val="000000"/>
                <w:sz w:val="20"/>
                <w:szCs w:val="20"/>
              </w:rPr>
              <w:t> </w:t>
            </w:r>
          </w:p>
        </w:tc>
      </w:tr>
      <w:tr w14:paraId="23EC6DEF">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D44AFC6">
            <w:pPr>
              <w:spacing w:after="0" w:line="240" w:lineRule="auto"/>
              <w:ind w:firstLine="0"/>
              <w:rPr>
                <w:color w:val="000000"/>
                <w:sz w:val="20"/>
                <w:szCs w:val="20"/>
              </w:rPr>
            </w:pPr>
            <w:r>
              <w:rPr>
                <w:color w:val="000000"/>
                <w:sz w:val="20"/>
                <w:szCs w:val="20"/>
              </w:rPr>
              <w:t>Установленная мощность</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7123C2BB">
            <w:pPr>
              <w:spacing w:after="0" w:line="240" w:lineRule="auto"/>
              <w:ind w:firstLine="0"/>
              <w:jc w:val="center"/>
              <w:rPr>
                <w:color w:val="000000"/>
                <w:sz w:val="20"/>
                <w:szCs w:val="20"/>
              </w:rPr>
            </w:pPr>
            <w:r>
              <w:rPr>
                <w:color w:val="000000"/>
                <w:sz w:val="20"/>
                <w:szCs w:val="20"/>
              </w:rPr>
              <w:t>Гкал/ч</w:t>
            </w:r>
          </w:p>
        </w:tc>
        <w:tc>
          <w:tcPr>
            <w:tcW w:w="1270" w:type="dxa"/>
            <w:tcBorders>
              <w:top w:val="single" w:color="auto" w:sz="4" w:space="0"/>
              <w:left w:val="single" w:color="auto" w:sz="4" w:space="0"/>
              <w:bottom w:val="single" w:color="auto" w:sz="4" w:space="0"/>
              <w:right w:val="single" w:color="auto" w:sz="4" w:space="0"/>
            </w:tcBorders>
            <w:shd w:val="clear" w:color="auto" w:fill="auto"/>
            <w:noWrap/>
            <w:tcMar>
              <w:left w:w="28" w:type="dxa"/>
              <w:right w:w="28" w:type="dxa"/>
            </w:tcMar>
            <w:vAlign w:val="center"/>
          </w:tcPr>
          <w:p w14:paraId="26233079">
            <w:pPr>
              <w:spacing w:after="0" w:line="240" w:lineRule="auto"/>
              <w:ind w:firstLine="0"/>
              <w:jc w:val="center"/>
              <w:rPr>
                <w:color w:val="000000"/>
                <w:sz w:val="20"/>
                <w:szCs w:val="20"/>
              </w:rPr>
            </w:pPr>
            <w:r>
              <w:rPr>
                <w:color w:val="000000"/>
                <w:sz w:val="20"/>
                <w:szCs w:val="20"/>
              </w:rPr>
              <w:t>47,72</w:t>
            </w:r>
          </w:p>
        </w:tc>
        <w:tc>
          <w:tcPr>
            <w:tcW w:w="1210" w:type="dxa"/>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4F25D3B2">
            <w:pPr>
              <w:spacing w:after="0" w:line="240" w:lineRule="auto"/>
              <w:ind w:firstLine="0"/>
              <w:jc w:val="center"/>
              <w:rPr>
                <w:color w:val="000000"/>
                <w:sz w:val="20"/>
                <w:szCs w:val="20"/>
              </w:rPr>
            </w:pPr>
            <w:r>
              <w:rPr>
                <w:color w:val="000000"/>
                <w:sz w:val="20"/>
                <w:szCs w:val="20"/>
              </w:rPr>
              <w:t>47,72</w:t>
            </w:r>
          </w:p>
        </w:tc>
        <w:tc>
          <w:tcPr>
            <w:tcW w:w="1209" w:type="dxa"/>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2535338F">
            <w:pPr>
              <w:spacing w:after="0" w:line="240" w:lineRule="auto"/>
              <w:ind w:firstLine="0"/>
              <w:jc w:val="center"/>
              <w:rPr>
                <w:color w:val="000000"/>
                <w:sz w:val="20"/>
                <w:szCs w:val="20"/>
              </w:rPr>
            </w:pPr>
            <w:r>
              <w:rPr>
                <w:color w:val="000000"/>
                <w:sz w:val="20"/>
                <w:szCs w:val="20"/>
              </w:rPr>
              <w:t>47,72</w:t>
            </w:r>
          </w:p>
        </w:tc>
        <w:tc>
          <w:tcPr>
            <w:tcW w:w="1211" w:type="dxa"/>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6E3FBB88">
            <w:pPr>
              <w:spacing w:after="0" w:line="240" w:lineRule="auto"/>
              <w:ind w:firstLine="0"/>
              <w:jc w:val="center"/>
              <w:rPr>
                <w:color w:val="000000"/>
                <w:sz w:val="20"/>
                <w:szCs w:val="20"/>
              </w:rPr>
            </w:pPr>
            <w:r>
              <w:rPr>
                <w:color w:val="000000"/>
                <w:sz w:val="20"/>
                <w:szCs w:val="20"/>
              </w:rPr>
              <w:t>47,72</w:t>
            </w:r>
          </w:p>
        </w:tc>
        <w:tc>
          <w:tcPr>
            <w:tcW w:w="1210" w:type="dxa"/>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38A198C6">
            <w:pPr>
              <w:spacing w:after="0" w:line="240" w:lineRule="auto"/>
              <w:ind w:firstLine="0"/>
              <w:jc w:val="center"/>
              <w:rPr>
                <w:color w:val="000000"/>
                <w:sz w:val="20"/>
                <w:szCs w:val="20"/>
              </w:rPr>
            </w:pPr>
            <w:r>
              <w:rPr>
                <w:color w:val="000000"/>
                <w:sz w:val="20"/>
                <w:szCs w:val="20"/>
              </w:rPr>
              <w:t>47,72</w:t>
            </w:r>
          </w:p>
        </w:tc>
        <w:tc>
          <w:tcPr>
            <w:tcW w:w="1209" w:type="dxa"/>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4BED34CD">
            <w:pPr>
              <w:spacing w:after="0" w:line="240" w:lineRule="auto"/>
              <w:ind w:firstLine="0"/>
              <w:jc w:val="center"/>
              <w:rPr>
                <w:color w:val="000000"/>
                <w:sz w:val="20"/>
                <w:szCs w:val="20"/>
              </w:rPr>
            </w:pPr>
            <w:r>
              <w:rPr>
                <w:color w:val="000000"/>
                <w:sz w:val="20"/>
                <w:szCs w:val="20"/>
              </w:rPr>
              <w:t>47,72</w:t>
            </w:r>
          </w:p>
        </w:tc>
        <w:tc>
          <w:tcPr>
            <w:tcW w:w="1210" w:type="dxa"/>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20DF496E">
            <w:pPr>
              <w:spacing w:after="0" w:line="240" w:lineRule="auto"/>
              <w:ind w:firstLine="0"/>
              <w:jc w:val="center"/>
              <w:rPr>
                <w:color w:val="000000"/>
                <w:sz w:val="20"/>
                <w:szCs w:val="20"/>
              </w:rPr>
            </w:pPr>
            <w:r>
              <w:rPr>
                <w:color w:val="000000"/>
                <w:sz w:val="20"/>
                <w:szCs w:val="20"/>
              </w:rPr>
              <w:t>47,72</w:t>
            </w:r>
          </w:p>
        </w:tc>
      </w:tr>
      <w:tr w14:paraId="728060A8">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EBDC98C">
            <w:pPr>
              <w:spacing w:after="0" w:line="240" w:lineRule="auto"/>
              <w:ind w:firstLine="0"/>
              <w:rPr>
                <w:color w:val="000000"/>
                <w:sz w:val="20"/>
                <w:szCs w:val="20"/>
              </w:rPr>
            </w:pPr>
            <w:r>
              <w:rPr>
                <w:color w:val="000000"/>
                <w:sz w:val="20"/>
                <w:szCs w:val="20"/>
              </w:rPr>
              <w:t>Ограничение тепловой мощности</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B7EBDFA">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02CDBCFB">
            <w:pPr>
              <w:spacing w:after="0" w:line="240" w:lineRule="auto"/>
              <w:ind w:firstLine="0"/>
              <w:jc w:val="center"/>
              <w:rPr>
                <w:color w:val="000000"/>
                <w:sz w:val="20"/>
                <w:szCs w:val="20"/>
              </w:rPr>
            </w:pPr>
            <w:r>
              <w:rPr>
                <w:color w:val="000000"/>
                <w:sz w:val="20"/>
                <w:szCs w:val="20"/>
              </w:rPr>
              <w:t>35,32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65C0D43">
            <w:pPr>
              <w:spacing w:after="0" w:line="240" w:lineRule="auto"/>
              <w:ind w:firstLine="0"/>
              <w:jc w:val="center"/>
              <w:rPr>
                <w:color w:val="000000"/>
                <w:sz w:val="20"/>
                <w:szCs w:val="20"/>
              </w:rPr>
            </w:pPr>
            <w:r>
              <w:rPr>
                <w:color w:val="000000"/>
                <w:sz w:val="20"/>
                <w:szCs w:val="20"/>
              </w:rPr>
              <w:t>35,32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2849FC3">
            <w:pPr>
              <w:spacing w:after="0" w:line="240" w:lineRule="auto"/>
              <w:ind w:firstLine="0"/>
              <w:jc w:val="center"/>
              <w:rPr>
                <w:color w:val="000000"/>
                <w:sz w:val="20"/>
                <w:szCs w:val="20"/>
              </w:rPr>
            </w:pPr>
            <w:r>
              <w:rPr>
                <w:color w:val="000000"/>
                <w:sz w:val="20"/>
                <w:szCs w:val="20"/>
              </w:rPr>
              <w:t>35,32</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577C480">
            <w:pPr>
              <w:spacing w:after="0" w:line="240" w:lineRule="auto"/>
              <w:ind w:firstLine="0"/>
              <w:jc w:val="center"/>
              <w:rPr>
                <w:color w:val="000000"/>
                <w:sz w:val="20"/>
                <w:szCs w:val="20"/>
              </w:rPr>
            </w:pPr>
            <w:r>
              <w:rPr>
                <w:color w:val="000000"/>
                <w:sz w:val="20"/>
                <w:szCs w:val="20"/>
              </w:rPr>
              <w:t>35,32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FE3032">
            <w:pPr>
              <w:spacing w:after="0" w:line="240" w:lineRule="auto"/>
              <w:ind w:firstLine="0"/>
              <w:jc w:val="center"/>
              <w:rPr>
                <w:color w:val="000000"/>
                <w:sz w:val="20"/>
                <w:szCs w:val="20"/>
              </w:rPr>
            </w:pPr>
            <w:r>
              <w:rPr>
                <w:color w:val="000000"/>
                <w:sz w:val="20"/>
                <w:szCs w:val="20"/>
              </w:rPr>
              <w:t>35,32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647DD6B">
            <w:pPr>
              <w:spacing w:after="0" w:line="240" w:lineRule="auto"/>
              <w:ind w:firstLine="0"/>
              <w:jc w:val="center"/>
              <w:rPr>
                <w:color w:val="000000"/>
                <w:sz w:val="20"/>
                <w:szCs w:val="20"/>
              </w:rPr>
            </w:pPr>
            <w:r>
              <w:rPr>
                <w:color w:val="000000"/>
                <w:sz w:val="20"/>
                <w:szCs w:val="20"/>
              </w:rPr>
              <w:t>35,32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52C02FA">
            <w:pPr>
              <w:spacing w:after="0" w:line="240" w:lineRule="auto"/>
              <w:ind w:firstLine="0"/>
              <w:jc w:val="center"/>
              <w:rPr>
                <w:color w:val="000000"/>
                <w:sz w:val="20"/>
                <w:szCs w:val="20"/>
              </w:rPr>
            </w:pPr>
            <w:r>
              <w:rPr>
                <w:color w:val="000000"/>
                <w:sz w:val="20"/>
                <w:szCs w:val="20"/>
              </w:rPr>
              <w:t>35,32</w:t>
            </w:r>
          </w:p>
        </w:tc>
      </w:tr>
      <w:tr w14:paraId="1E196048">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1A7FB81F">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4981F4FC">
            <w:pPr>
              <w:spacing w:after="0" w:line="240" w:lineRule="auto"/>
              <w:ind w:firstLine="0"/>
              <w:jc w:val="center"/>
              <w:rPr>
                <w:color w:val="000000"/>
                <w:sz w:val="20"/>
                <w:szCs w:val="20"/>
              </w:rPr>
            </w:pPr>
            <w:r>
              <w:rPr>
                <w:color w:val="000000"/>
                <w:sz w:val="20"/>
                <w:szCs w:val="20"/>
              </w:rPr>
              <w:t>%</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1B4BB7A5">
            <w:pPr>
              <w:spacing w:after="0" w:line="240" w:lineRule="auto"/>
              <w:ind w:firstLine="0"/>
              <w:jc w:val="center"/>
              <w:rPr>
                <w:color w:val="000000"/>
                <w:sz w:val="20"/>
                <w:szCs w:val="20"/>
              </w:rPr>
            </w:pPr>
            <w:r>
              <w:rPr>
                <w:color w:val="000000"/>
                <w:sz w:val="20"/>
                <w:szCs w:val="20"/>
              </w:rPr>
              <w:t>74,02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458C44C">
            <w:pPr>
              <w:spacing w:after="0" w:line="240" w:lineRule="auto"/>
              <w:ind w:firstLine="0"/>
              <w:jc w:val="center"/>
              <w:rPr>
                <w:color w:val="000000"/>
                <w:sz w:val="20"/>
                <w:szCs w:val="20"/>
              </w:rPr>
            </w:pPr>
            <w:r>
              <w:rPr>
                <w:color w:val="000000"/>
                <w:sz w:val="20"/>
                <w:szCs w:val="20"/>
              </w:rPr>
              <w:t>74,02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461C4CC">
            <w:pPr>
              <w:spacing w:after="0" w:line="240" w:lineRule="auto"/>
              <w:ind w:firstLine="0"/>
              <w:jc w:val="center"/>
              <w:rPr>
                <w:color w:val="000000"/>
                <w:sz w:val="20"/>
                <w:szCs w:val="20"/>
              </w:rPr>
            </w:pPr>
            <w:r>
              <w:rPr>
                <w:color w:val="000000"/>
                <w:sz w:val="20"/>
                <w:szCs w:val="20"/>
              </w:rPr>
              <w:t>74,02</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EE5B4A4">
            <w:pPr>
              <w:spacing w:after="0" w:line="240" w:lineRule="auto"/>
              <w:ind w:firstLine="0"/>
              <w:jc w:val="center"/>
              <w:rPr>
                <w:color w:val="000000"/>
                <w:sz w:val="20"/>
                <w:szCs w:val="20"/>
              </w:rPr>
            </w:pPr>
            <w:r>
              <w:rPr>
                <w:color w:val="000000"/>
                <w:sz w:val="20"/>
                <w:szCs w:val="20"/>
              </w:rPr>
              <w:t>74,02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BD3E436">
            <w:pPr>
              <w:spacing w:after="0" w:line="240" w:lineRule="auto"/>
              <w:ind w:firstLine="0"/>
              <w:jc w:val="center"/>
              <w:rPr>
                <w:color w:val="000000"/>
                <w:sz w:val="20"/>
                <w:szCs w:val="20"/>
              </w:rPr>
            </w:pPr>
            <w:r>
              <w:rPr>
                <w:color w:val="000000"/>
                <w:sz w:val="20"/>
                <w:szCs w:val="20"/>
              </w:rPr>
              <w:t>74,02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E1B071C">
            <w:pPr>
              <w:spacing w:after="0" w:line="240" w:lineRule="auto"/>
              <w:ind w:firstLine="0"/>
              <w:jc w:val="center"/>
              <w:rPr>
                <w:color w:val="000000"/>
                <w:sz w:val="20"/>
                <w:szCs w:val="20"/>
              </w:rPr>
            </w:pPr>
            <w:r>
              <w:rPr>
                <w:color w:val="000000"/>
                <w:sz w:val="20"/>
                <w:szCs w:val="20"/>
              </w:rPr>
              <w:t>74,02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C976839">
            <w:pPr>
              <w:spacing w:after="0" w:line="240" w:lineRule="auto"/>
              <w:ind w:firstLine="0"/>
              <w:jc w:val="center"/>
              <w:rPr>
                <w:color w:val="000000"/>
                <w:sz w:val="20"/>
                <w:szCs w:val="20"/>
              </w:rPr>
            </w:pPr>
            <w:r>
              <w:rPr>
                <w:color w:val="000000"/>
                <w:sz w:val="20"/>
                <w:szCs w:val="20"/>
              </w:rPr>
              <w:t>74,02</w:t>
            </w:r>
          </w:p>
        </w:tc>
      </w:tr>
      <w:tr w14:paraId="368646E9">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B2F6150">
            <w:pPr>
              <w:spacing w:after="0" w:line="240" w:lineRule="auto"/>
              <w:ind w:firstLine="0"/>
              <w:rPr>
                <w:color w:val="000000"/>
                <w:sz w:val="20"/>
                <w:szCs w:val="20"/>
              </w:rPr>
            </w:pPr>
            <w:r>
              <w:rPr>
                <w:color w:val="000000"/>
                <w:sz w:val="20"/>
                <w:szCs w:val="20"/>
              </w:rPr>
              <w:t>Располагаемая тепловая мощность</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785741A3">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8DB3E3D">
            <w:pPr>
              <w:spacing w:after="0" w:line="240" w:lineRule="auto"/>
              <w:ind w:firstLine="0"/>
              <w:jc w:val="center"/>
              <w:rPr>
                <w:color w:val="000000"/>
                <w:sz w:val="20"/>
                <w:szCs w:val="20"/>
              </w:rPr>
            </w:pPr>
            <w:r>
              <w:rPr>
                <w:color w:val="000000"/>
                <w:sz w:val="20"/>
                <w:szCs w:val="20"/>
              </w:rPr>
              <w:t>12,40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5576F8">
            <w:pPr>
              <w:spacing w:after="0" w:line="240" w:lineRule="auto"/>
              <w:ind w:firstLine="0"/>
              <w:jc w:val="center"/>
              <w:rPr>
                <w:color w:val="000000"/>
                <w:sz w:val="20"/>
                <w:szCs w:val="20"/>
              </w:rPr>
            </w:pPr>
            <w:r>
              <w:rPr>
                <w:color w:val="000000"/>
                <w:sz w:val="20"/>
                <w:szCs w:val="20"/>
              </w:rPr>
              <w:t>12,40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DD93119">
            <w:pPr>
              <w:spacing w:after="0" w:line="240" w:lineRule="auto"/>
              <w:ind w:firstLine="0"/>
              <w:jc w:val="center"/>
              <w:rPr>
                <w:color w:val="000000"/>
                <w:sz w:val="20"/>
                <w:szCs w:val="20"/>
              </w:rPr>
            </w:pPr>
            <w:r>
              <w:rPr>
                <w:color w:val="000000"/>
                <w:sz w:val="20"/>
                <w:szCs w:val="20"/>
              </w:rPr>
              <w:t>12,40</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91868ED">
            <w:pPr>
              <w:spacing w:after="0" w:line="240" w:lineRule="auto"/>
              <w:ind w:firstLine="0"/>
              <w:jc w:val="center"/>
              <w:rPr>
                <w:color w:val="000000"/>
                <w:sz w:val="20"/>
                <w:szCs w:val="20"/>
              </w:rPr>
            </w:pPr>
            <w:r>
              <w:rPr>
                <w:color w:val="000000"/>
                <w:sz w:val="20"/>
                <w:szCs w:val="20"/>
              </w:rPr>
              <w:t>12,40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0BF2E34">
            <w:pPr>
              <w:spacing w:after="0" w:line="240" w:lineRule="auto"/>
              <w:ind w:firstLine="0"/>
              <w:jc w:val="center"/>
              <w:rPr>
                <w:color w:val="000000"/>
                <w:sz w:val="20"/>
                <w:szCs w:val="20"/>
              </w:rPr>
            </w:pPr>
            <w:r>
              <w:rPr>
                <w:color w:val="000000"/>
                <w:sz w:val="20"/>
                <w:szCs w:val="20"/>
              </w:rPr>
              <w:t>12,40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AC7260F">
            <w:pPr>
              <w:spacing w:after="0" w:line="240" w:lineRule="auto"/>
              <w:ind w:firstLine="0"/>
              <w:jc w:val="center"/>
              <w:rPr>
                <w:color w:val="000000"/>
                <w:sz w:val="20"/>
                <w:szCs w:val="20"/>
              </w:rPr>
            </w:pPr>
            <w:r>
              <w:rPr>
                <w:color w:val="000000"/>
                <w:sz w:val="20"/>
                <w:szCs w:val="20"/>
              </w:rPr>
              <w:t>12,40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C9DE1F">
            <w:pPr>
              <w:spacing w:after="0" w:line="240" w:lineRule="auto"/>
              <w:ind w:firstLine="0"/>
              <w:jc w:val="center"/>
              <w:rPr>
                <w:color w:val="000000"/>
                <w:sz w:val="20"/>
                <w:szCs w:val="20"/>
              </w:rPr>
            </w:pPr>
            <w:r>
              <w:rPr>
                <w:color w:val="000000"/>
                <w:sz w:val="20"/>
                <w:szCs w:val="20"/>
              </w:rPr>
              <w:t>12,40</w:t>
            </w:r>
          </w:p>
        </w:tc>
      </w:tr>
      <w:tr w14:paraId="4C065623">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EA6CEB2">
            <w:pPr>
              <w:spacing w:after="0" w:line="240" w:lineRule="auto"/>
              <w:ind w:firstLine="0"/>
              <w:rPr>
                <w:color w:val="000000"/>
                <w:sz w:val="20"/>
                <w:szCs w:val="20"/>
              </w:rPr>
            </w:pPr>
            <w:r>
              <w:rPr>
                <w:color w:val="000000"/>
                <w:sz w:val="20"/>
                <w:szCs w:val="20"/>
              </w:rPr>
              <w:t>Собственные и хозяйственные нужды</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569220E0">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4A23CE5">
            <w:pPr>
              <w:spacing w:after="0" w:line="240" w:lineRule="auto"/>
              <w:ind w:firstLine="0"/>
              <w:jc w:val="center"/>
              <w:rPr>
                <w:color w:val="000000"/>
                <w:sz w:val="20"/>
                <w:szCs w:val="20"/>
              </w:rPr>
            </w:pPr>
            <w:r>
              <w:rPr>
                <w:color w:val="000000"/>
                <w:sz w:val="20"/>
                <w:szCs w:val="20"/>
              </w:rPr>
              <w:t>0,23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71777D">
            <w:pPr>
              <w:spacing w:after="0" w:line="240" w:lineRule="auto"/>
              <w:ind w:firstLine="0"/>
              <w:jc w:val="center"/>
              <w:rPr>
                <w:color w:val="000000"/>
                <w:sz w:val="20"/>
                <w:szCs w:val="20"/>
              </w:rPr>
            </w:pPr>
            <w:r>
              <w:rPr>
                <w:color w:val="000000"/>
                <w:sz w:val="20"/>
                <w:szCs w:val="20"/>
              </w:rPr>
              <w:t>0,23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4581213">
            <w:pPr>
              <w:spacing w:after="0" w:line="240" w:lineRule="auto"/>
              <w:ind w:firstLine="0"/>
              <w:jc w:val="center"/>
              <w:rPr>
                <w:color w:val="000000"/>
                <w:sz w:val="20"/>
                <w:szCs w:val="20"/>
              </w:rPr>
            </w:pPr>
            <w:r>
              <w:rPr>
                <w:color w:val="000000"/>
                <w:sz w:val="20"/>
                <w:szCs w:val="20"/>
              </w:rPr>
              <w:t>0,23</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C3BC54B">
            <w:pPr>
              <w:spacing w:after="0" w:line="240" w:lineRule="auto"/>
              <w:ind w:firstLine="0"/>
              <w:jc w:val="center"/>
              <w:rPr>
                <w:color w:val="000000"/>
                <w:sz w:val="20"/>
                <w:szCs w:val="20"/>
              </w:rPr>
            </w:pPr>
            <w:r>
              <w:rPr>
                <w:color w:val="000000"/>
                <w:sz w:val="20"/>
                <w:szCs w:val="20"/>
              </w:rPr>
              <w:t>0,23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1118D00">
            <w:pPr>
              <w:spacing w:after="0" w:line="240" w:lineRule="auto"/>
              <w:ind w:firstLine="0"/>
              <w:jc w:val="center"/>
              <w:rPr>
                <w:color w:val="000000"/>
                <w:sz w:val="20"/>
                <w:szCs w:val="20"/>
              </w:rPr>
            </w:pPr>
            <w:r>
              <w:rPr>
                <w:color w:val="000000"/>
                <w:sz w:val="20"/>
                <w:szCs w:val="20"/>
              </w:rPr>
              <w:t>0,23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DD5769B">
            <w:pPr>
              <w:spacing w:after="0" w:line="240" w:lineRule="auto"/>
              <w:ind w:firstLine="0"/>
              <w:jc w:val="center"/>
              <w:rPr>
                <w:color w:val="000000"/>
                <w:sz w:val="20"/>
                <w:szCs w:val="20"/>
              </w:rPr>
            </w:pPr>
            <w:r>
              <w:rPr>
                <w:color w:val="000000"/>
                <w:sz w:val="20"/>
                <w:szCs w:val="20"/>
              </w:rPr>
              <w:t>0,23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31EFEC4">
            <w:pPr>
              <w:spacing w:after="0" w:line="240" w:lineRule="auto"/>
              <w:ind w:firstLine="0"/>
              <w:jc w:val="center"/>
              <w:rPr>
                <w:color w:val="000000"/>
                <w:sz w:val="20"/>
                <w:szCs w:val="20"/>
              </w:rPr>
            </w:pPr>
            <w:r>
              <w:rPr>
                <w:color w:val="000000"/>
                <w:sz w:val="20"/>
                <w:szCs w:val="20"/>
              </w:rPr>
              <w:t>0,23</w:t>
            </w:r>
          </w:p>
        </w:tc>
      </w:tr>
      <w:tr w14:paraId="15399616">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0B0F654">
            <w:pPr>
              <w:spacing w:after="0" w:line="240" w:lineRule="auto"/>
              <w:ind w:firstLine="0"/>
              <w:rPr>
                <w:color w:val="000000"/>
                <w:sz w:val="20"/>
                <w:szCs w:val="20"/>
              </w:rPr>
            </w:pPr>
            <w:r>
              <w:rPr>
                <w:color w:val="000000"/>
                <w:sz w:val="20"/>
                <w:szCs w:val="20"/>
              </w:rPr>
              <w:t>Тепловая мощность нетто</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5F0946B7">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45148E3F">
            <w:pPr>
              <w:spacing w:after="0" w:line="240" w:lineRule="auto"/>
              <w:ind w:firstLine="0"/>
              <w:jc w:val="center"/>
              <w:rPr>
                <w:color w:val="000000"/>
                <w:sz w:val="20"/>
                <w:szCs w:val="20"/>
              </w:rPr>
            </w:pPr>
            <w:r>
              <w:rPr>
                <w:color w:val="000000"/>
                <w:sz w:val="20"/>
                <w:szCs w:val="20"/>
              </w:rPr>
              <w:t>12,17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B1A75CC">
            <w:pPr>
              <w:spacing w:after="0" w:line="240" w:lineRule="auto"/>
              <w:ind w:firstLine="0"/>
              <w:jc w:val="center"/>
              <w:rPr>
                <w:color w:val="000000"/>
                <w:sz w:val="20"/>
                <w:szCs w:val="20"/>
              </w:rPr>
            </w:pPr>
            <w:r>
              <w:rPr>
                <w:color w:val="000000"/>
                <w:sz w:val="20"/>
                <w:szCs w:val="20"/>
              </w:rPr>
              <w:t>12,17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0F12D32">
            <w:pPr>
              <w:spacing w:after="0" w:line="240" w:lineRule="auto"/>
              <w:ind w:firstLine="0"/>
              <w:jc w:val="center"/>
              <w:rPr>
                <w:color w:val="000000"/>
                <w:sz w:val="20"/>
                <w:szCs w:val="20"/>
              </w:rPr>
            </w:pPr>
            <w:r>
              <w:rPr>
                <w:color w:val="000000"/>
                <w:sz w:val="20"/>
                <w:szCs w:val="20"/>
              </w:rPr>
              <w:t>12,17</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AF42DEF">
            <w:pPr>
              <w:spacing w:after="0" w:line="240" w:lineRule="auto"/>
              <w:ind w:firstLine="0"/>
              <w:jc w:val="center"/>
              <w:rPr>
                <w:color w:val="000000"/>
                <w:sz w:val="20"/>
                <w:szCs w:val="20"/>
              </w:rPr>
            </w:pPr>
            <w:r>
              <w:rPr>
                <w:color w:val="000000"/>
                <w:sz w:val="20"/>
                <w:szCs w:val="20"/>
              </w:rPr>
              <w:t>12,17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72BB39D">
            <w:pPr>
              <w:spacing w:after="0" w:line="240" w:lineRule="auto"/>
              <w:ind w:firstLine="0"/>
              <w:jc w:val="center"/>
              <w:rPr>
                <w:color w:val="000000"/>
                <w:sz w:val="20"/>
                <w:szCs w:val="20"/>
              </w:rPr>
            </w:pPr>
            <w:r>
              <w:rPr>
                <w:color w:val="000000"/>
                <w:sz w:val="20"/>
                <w:szCs w:val="20"/>
              </w:rPr>
              <w:t>12,17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531A58">
            <w:pPr>
              <w:spacing w:after="0" w:line="240" w:lineRule="auto"/>
              <w:ind w:firstLine="0"/>
              <w:jc w:val="center"/>
              <w:rPr>
                <w:color w:val="000000"/>
                <w:sz w:val="20"/>
                <w:szCs w:val="20"/>
              </w:rPr>
            </w:pPr>
            <w:r>
              <w:rPr>
                <w:color w:val="000000"/>
                <w:sz w:val="20"/>
                <w:szCs w:val="20"/>
              </w:rPr>
              <w:t>12,17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D471ED3">
            <w:pPr>
              <w:spacing w:after="0" w:line="240" w:lineRule="auto"/>
              <w:ind w:firstLine="0"/>
              <w:jc w:val="center"/>
              <w:rPr>
                <w:color w:val="000000"/>
                <w:sz w:val="20"/>
                <w:szCs w:val="20"/>
              </w:rPr>
            </w:pPr>
            <w:r>
              <w:rPr>
                <w:color w:val="000000"/>
                <w:sz w:val="20"/>
                <w:szCs w:val="20"/>
              </w:rPr>
              <w:t>12,17</w:t>
            </w:r>
          </w:p>
        </w:tc>
      </w:tr>
      <w:tr w14:paraId="43DEBEDB">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6CD5133D">
            <w:pPr>
              <w:spacing w:after="0" w:line="240" w:lineRule="auto"/>
              <w:ind w:firstLine="0"/>
              <w:rPr>
                <w:color w:val="000000"/>
                <w:sz w:val="20"/>
                <w:szCs w:val="20"/>
              </w:rPr>
            </w:pPr>
            <w:r>
              <w:rPr>
                <w:color w:val="000000"/>
                <w:sz w:val="20"/>
                <w:szCs w:val="20"/>
              </w:rPr>
              <w:t>Нагрузка на коллекторах</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22145449">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A5E6C5E">
            <w:pPr>
              <w:spacing w:after="0" w:line="240" w:lineRule="auto"/>
              <w:ind w:firstLine="0"/>
              <w:jc w:val="center"/>
              <w:rPr>
                <w:color w:val="000000"/>
                <w:sz w:val="20"/>
                <w:szCs w:val="20"/>
              </w:rPr>
            </w:pPr>
            <w:r>
              <w:rPr>
                <w:color w:val="000000"/>
                <w:sz w:val="20"/>
                <w:szCs w:val="20"/>
              </w:rPr>
              <w:t>2,30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CEC20B5">
            <w:pPr>
              <w:spacing w:after="0" w:line="240" w:lineRule="auto"/>
              <w:ind w:firstLine="0"/>
              <w:jc w:val="center"/>
              <w:rPr>
                <w:color w:val="000000"/>
                <w:sz w:val="20"/>
                <w:szCs w:val="20"/>
              </w:rPr>
            </w:pPr>
            <w:r>
              <w:rPr>
                <w:color w:val="000000"/>
                <w:sz w:val="20"/>
                <w:szCs w:val="20"/>
              </w:rPr>
              <w:t>2,43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6738255">
            <w:pPr>
              <w:spacing w:after="0" w:line="240" w:lineRule="auto"/>
              <w:ind w:firstLine="0"/>
              <w:jc w:val="center"/>
              <w:rPr>
                <w:color w:val="000000"/>
                <w:sz w:val="20"/>
                <w:szCs w:val="20"/>
              </w:rPr>
            </w:pPr>
            <w:r>
              <w:rPr>
                <w:color w:val="000000"/>
                <w:sz w:val="20"/>
                <w:szCs w:val="20"/>
              </w:rPr>
              <w:t>2,57</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C2F0FD7">
            <w:pPr>
              <w:spacing w:after="0" w:line="240" w:lineRule="auto"/>
              <w:ind w:firstLine="0"/>
              <w:jc w:val="center"/>
              <w:rPr>
                <w:color w:val="000000"/>
                <w:sz w:val="20"/>
                <w:szCs w:val="20"/>
              </w:rPr>
            </w:pPr>
            <w:r>
              <w:rPr>
                <w:color w:val="000000"/>
                <w:sz w:val="20"/>
                <w:szCs w:val="20"/>
              </w:rPr>
              <w:t>2,73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C0927B7">
            <w:pPr>
              <w:spacing w:after="0" w:line="240" w:lineRule="auto"/>
              <w:ind w:firstLine="0"/>
              <w:jc w:val="center"/>
              <w:rPr>
                <w:color w:val="000000"/>
                <w:sz w:val="20"/>
                <w:szCs w:val="20"/>
              </w:rPr>
            </w:pPr>
            <w:r>
              <w:rPr>
                <w:color w:val="000000"/>
                <w:sz w:val="20"/>
                <w:szCs w:val="20"/>
              </w:rPr>
              <w:t>2,89</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00037E">
            <w:pPr>
              <w:spacing w:after="0" w:line="240" w:lineRule="auto"/>
              <w:ind w:firstLine="0"/>
              <w:jc w:val="center"/>
              <w:rPr>
                <w:color w:val="000000"/>
                <w:sz w:val="20"/>
                <w:szCs w:val="20"/>
              </w:rPr>
            </w:pPr>
            <w:r>
              <w:rPr>
                <w:color w:val="000000"/>
                <w:sz w:val="20"/>
                <w:szCs w:val="20"/>
              </w:rPr>
              <w:t>3,07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FDCA5D0">
            <w:pPr>
              <w:spacing w:after="0" w:line="240" w:lineRule="auto"/>
              <w:ind w:firstLine="0"/>
              <w:jc w:val="center"/>
              <w:rPr>
                <w:color w:val="000000"/>
                <w:sz w:val="20"/>
                <w:szCs w:val="20"/>
              </w:rPr>
            </w:pPr>
            <w:r>
              <w:rPr>
                <w:color w:val="000000"/>
                <w:sz w:val="20"/>
                <w:szCs w:val="20"/>
              </w:rPr>
              <w:t>3,26</w:t>
            </w:r>
          </w:p>
        </w:tc>
      </w:tr>
      <w:tr w14:paraId="161B428B">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E0593D9">
            <w:pPr>
              <w:spacing w:after="0" w:line="240" w:lineRule="auto"/>
              <w:ind w:firstLine="0"/>
              <w:rPr>
                <w:color w:val="000000"/>
                <w:sz w:val="20"/>
                <w:szCs w:val="20"/>
              </w:rPr>
            </w:pPr>
            <w:r>
              <w:rPr>
                <w:color w:val="000000"/>
                <w:sz w:val="20"/>
                <w:szCs w:val="20"/>
              </w:rPr>
              <w:t>Потери в сетях</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4D5D2B8">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C3086C6">
            <w:pPr>
              <w:spacing w:after="0" w:line="240" w:lineRule="auto"/>
              <w:ind w:firstLine="0"/>
              <w:jc w:val="center"/>
              <w:rPr>
                <w:color w:val="000000"/>
                <w:sz w:val="20"/>
                <w:szCs w:val="20"/>
              </w:rPr>
            </w:pPr>
            <w:r>
              <w:rPr>
                <w:color w:val="000000"/>
                <w:sz w:val="20"/>
                <w:szCs w:val="20"/>
              </w:rPr>
              <w:t>0,62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44AC8F1">
            <w:pPr>
              <w:spacing w:after="0" w:line="240" w:lineRule="auto"/>
              <w:ind w:firstLine="0"/>
              <w:jc w:val="center"/>
              <w:rPr>
                <w:color w:val="000000"/>
                <w:sz w:val="20"/>
                <w:szCs w:val="20"/>
              </w:rPr>
            </w:pPr>
            <w:r>
              <w:rPr>
                <w:color w:val="000000"/>
                <w:sz w:val="20"/>
                <w:szCs w:val="20"/>
              </w:rPr>
              <w:t>0,62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7F86A8A">
            <w:pPr>
              <w:spacing w:after="0" w:line="240" w:lineRule="auto"/>
              <w:ind w:firstLine="0"/>
              <w:jc w:val="center"/>
              <w:rPr>
                <w:color w:val="000000"/>
                <w:sz w:val="20"/>
                <w:szCs w:val="20"/>
              </w:rPr>
            </w:pPr>
            <w:r>
              <w:rPr>
                <w:color w:val="000000"/>
                <w:sz w:val="20"/>
                <w:szCs w:val="20"/>
              </w:rPr>
              <w:t>0,62</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3DE7742">
            <w:pPr>
              <w:spacing w:after="0" w:line="240" w:lineRule="auto"/>
              <w:ind w:firstLine="0"/>
              <w:jc w:val="center"/>
              <w:rPr>
                <w:color w:val="000000"/>
                <w:sz w:val="20"/>
                <w:szCs w:val="20"/>
              </w:rPr>
            </w:pPr>
            <w:r>
              <w:rPr>
                <w:color w:val="000000"/>
                <w:sz w:val="20"/>
                <w:szCs w:val="20"/>
              </w:rPr>
              <w:t>0,62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EB6CF9">
            <w:pPr>
              <w:spacing w:after="0" w:line="240" w:lineRule="auto"/>
              <w:ind w:firstLine="0"/>
              <w:jc w:val="center"/>
              <w:rPr>
                <w:color w:val="000000"/>
                <w:sz w:val="20"/>
                <w:szCs w:val="20"/>
              </w:rPr>
            </w:pPr>
            <w:r>
              <w:rPr>
                <w:color w:val="000000"/>
                <w:sz w:val="20"/>
                <w:szCs w:val="20"/>
              </w:rPr>
              <w:t>0,62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03FFB58">
            <w:pPr>
              <w:spacing w:after="0" w:line="240" w:lineRule="auto"/>
              <w:ind w:firstLine="0"/>
              <w:jc w:val="center"/>
              <w:rPr>
                <w:color w:val="000000"/>
                <w:sz w:val="20"/>
                <w:szCs w:val="20"/>
              </w:rPr>
            </w:pPr>
            <w:r>
              <w:rPr>
                <w:color w:val="000000"/>
                <w:sz w:val="20"/>
                <w:szCs w:val="20"/>
              </w:rPr>
              <w:t>0,62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6DD4C7D">
            <w:pPr>
              <w:spacing w:after="0" w:line="240" w:lineRule="auto"/>
              <w:ind w:firstLine="0"/>
              <w:jc w:val="center"/>
              <w:rPr>
                <w:color w:val="000000"/>
                <w:sz w:val="20"/>
                <w:szCs w:val="20"/>
              </w:rPr>
            </w:pPr>
            <w:r>
              <w:rPr>
                <w:color w:val="000000"/>
                <w:sz w:val="20"/>
                <w:szCs w:val="20"/>
              </w:rPr>
              <w:t>0,62</w:t>
            </w:r>
          </w:p>
        </w:tc>
      </w:tr>
      <w:tr w14:paraId="05F4B207">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005C99D4">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4749D9D4">
            <w:pPr>
              <w:spacing w:after="0" w:line="240" w:lineRule="auto"/>
              <w:ind w:firstLine="0"/>
              <w:jc w:val="center"/>
              <w:rPr>
                <w:color w:val="000000"/>
                <w:sz w:val="20"/>
                <w:szCs w:val="20"/>
              </w:rPr>
            </w:pPr>
            <w:r>
              <w:rPr>
                <w:color w:val="000000"/>
                <w:sz w:val="20"/>
                <w:szCs w:val="20"/>
              </w:rPr>
              <w:t>%</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84017FF">
            <w:pPr>
              <w:spacing w:after="0" w:line="240" w:lineRule="auto"/>
              <w:ind w:firstLine="0"/>
              <w:jc w:val="center"/>
              <w:rPr>
                <w:color w:val="000000"/>
                <w:sz w:val="20"/>
                <w:szCs w:val="20"/>
              </w:rPr>
            </w:pPr>
            <w:r>
              <w:rPr>
                <w:color w:val="000000"/>
                <w:sz w:val="20"/>
                <w:szCs w:val="20"/>
              </w:rPr>
              <w:t>26,96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2C08E1F">
            <w:pPr>
              <w:spacing w:after="0" w:line="240" w:lineRule="auto"/>
              <w:ind w:firstLine="0"/>
              <w:jc w:val="center"/>
              <w:rPr>
                <w:color w:val="000000"/>
                <w:sz w:val="20"/>
                <w:szCs w:val="20"/>
              </w:rPr>
            </w:pPr>
            <w:r>
              <w:rPr>
                <w:color w:val="000000"/>
                <w:sz w:val="20"/>
                <w:szCs w:val="20"/>
              </w:rPr>
              <w:t>25,50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9B54F2C">
            <w:pPr>
              <w:spacing w:after="0" w:line="240" w:lineRule="auto"/>
              <w:ind w:firstLine="0"/>
              <w:jc w:val="center"/>
              <w:rPr>
                <w:color w:val="000000"/>
                <w:sz w:val="20"/>
                <w:szCs w:val="20"/>
              </w:rPr>
            </w:pPr>
            <w:r>
              <w:rPr>
                <w:color w:val="000000"/>
                <w:sz w:val="20"/>
                <w:szCs w:val="20"/>
              </w:rPr>
              <w:t>24,10</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B36726">
            <w:pPr>
              <w:spacing w:after="0" w:line="240" w:lineRule="auto"/>
              <w:ind w:firstLine="0"/>
              <w:jc w:val="center"/>
              <w:rPr>
                <w:color w:val="000000"/>
                <w:sz w:val="20"/>
                <w:szCs w:val="20"/>
              </w:rPr>
            </w:pPr>
            <w:r>
              <w:rPr>
                <w:color w:val="000000"/>
                <w:sz w:val="20"/>
                <w:szCs w:val="20"/>
              </w:rPr>
              <w:t>22,75</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969946">
            <w:pPr>
              <w:spacing w:after="0" w:line="240" w:lineRule="auto"/>
              <w:ind w:firstLine="0"/>
              <w:jc w:val="center"/>
              <w:rPr>
                <w:color w:val="000000"/>
                <w:sz w:val="20"/>
                <w:szCs w:val="20"/>
              </w:rPr>
            </w:pPr>
            <w:r>
              <w:rPr>
                <w:color w:val="000000"/>
                <w:sz w:val="20"/>
                <w:szCs w:val="20"/>
              </w:rPr>
              <w:t>21,45</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9027EEF">
            <w:pPr>
              <w:spacing w:after="0" w:line="240" w:lineRule="auto"/>
              <w:ind w:firstLine="0"/>
              <w:jc w:val="center"/>
              <w:rPr>
                <w:color w:val="000000"/>
                <w:sz w:val="20"/>
                <w:szCs w:val="20"/>
              </w:rPr>
            </w:pPr>
            <w:r>
              <w:rPr>
                <w:color w:val="000000"/>
                <w:sz w:val="20"/>
                <w:szCs w:val="20"/>
              </w:rPr>
              <w:t>20,21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232DF70">
            <w:pPr>
              <w:spacing w:after="0" w:line="240" w:lineRule="auto"/>
              <w:ind w:firstLine="0"/>
              <w:jc w:val="center"/>
              <w:rPr>
                <w:color w:val="000000"/>
                <w:sz w:val="20"/>
                <w:szCs w:val="20"/>
              </w:rPr>
            </w:pPr>
            <w:r>
              <w:rPr>
                <w:color w:val="000000"/>
                <w:sz w:val="20"/>
                <w:szCs w:val="20"/>
              </w:rPr>
              <w:t>19,02</w:t>
            </w:r>
          </w:p>
        </w:tc>
      </w:tr>
      <w:tr w14:paraId="464D9B99">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03C98A0">
            <w:pPr>
              <w:spacing w:after="0" w:line="240" w:lineRule="auto"/>
              <w:ind w:firstLine="0"/>
              <w:rPr>
                <w:color w:val="000000"/>
                <w:sz w:val="20"/>
                <w:szCs w:val="20"/>
              </w:rPr>
            </w:pPr>
            <w:r>
              <w:rPr>
                <w:color w:val="000000"/>
                <w:sz w:val="20"/>
                <w:szCs w:val="20"/>
              </w:rPr>
              <w:t>Подключенная нагрузка</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6B40DEC4">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72E5A2B">
            <w:pPr>
              <w:spacing w:after="0" w:line="240" w:lineRule="auto"/>
              <w:ind w:firstLine="0"/>
              <w:jc w:val="center"/>
              <w:rPr>
                <w:color w:val="000000"/>
                <w:sz w:val="20"/>
                <w:szCs w:val="20"/>
              </w:rPr>
            </w:pPr>
            <w:r>
              <w:rPr>
                <w:color w:val="000000"/>
                <w:sz w:val="20"/>
                <w:szCs w:val="20"/>
              </w:rPr>
              <w:t>1,68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E18B861">
            <w:pPr>
              <w:spacing w:after="0" w:line="240" w:lineRule="auto"/>
              <w:ind w:firstLine="0"/>
              <w:jc w:val="center"/>
              <w:rPr>
                <w:color w:val="000000"/>
                <w:sz w:val="20"/>
                <w:szCs w:val="20"/>
              </w:rPr>
            </w:pPr>
            <w:r>
              <w:rPr>
                <w:color w:val="000000"/>
                <w:sz w:val="20"/>
                <w:szCs w:val="20"/>
              </w:rPr>
              <w:t>1,81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5AE1EAD">
            <w:pPr>
              <w:spacing w:after="0" w:line="240" w:lineRule="auto"/>
              <w:ind w:firstLine="0"/>
              <w:jc w:val="center"/>
              <w:rPr>
                <w:color w:val="000000"/>
                <w:sz w:val="20"/>
                <w:szCs w:val="20"/>
              </w:rPr>
            </w:pPr>
            <w:r>
              <w:rPr>
                <w:color w:val="000000"/>
                <w:sz w:val="20"/>
                <w:szCs w:val="20"/>
              </w:rPr>
              <w:t>1,95</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C0D49BF">
            <w:pPr>
              <w:spacing w:after="0" w:line="240" w:lineRule="auto"/>
              <w:ind w:firstLine="0"/>
              <w:jc w:val="center"/>
              <w:rPr>
                <w:color w:val="000000"/>
                <w:sz w:val="20"/>
                <w:szCs w:val="20"/>
              </w:rPr>
            </w:pPr>
            <w:r>
              <w:rPr>
                <w:color w:val="000000"/>
                <w:sz w:val="20"/>
                <w:szCs w:val="20"/>
              </w:rPr>
              <w:t>2,11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1C73BED">
            <w:pPr>
              <w:spacing w:after="0" w:line="240" w:lineRule="auto"/>
              <w:ind w:firstLine="0"/>
              <w:jc w:val="center"/>
              <w:rPr>
                <w:color w:val="000000"/>
                <w:sz w:val="20"/>
                <w:szCs w:val="20"/>
              </w:rPr>
            </w:pPr>
            <w:r>
              <w:rPr>
                <w:color w:val="000000"/>
                <w:sz w:val="20"/>
                <w:szCs w:val="20"/>
              </w:rPr>
              <w:t>2,27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74667FB">
            <w:pPr>
              <w:spacing w:after="0" w:line="240" w:lineRule="auto"/>
              <w:ind w:firstLine="0"/>
              <w:jc w:val="center"/>
              <w:rPr>
                <w:color w:val="000000"/>
                <w:sz w:val="20"/>
                <w:szCs w:val="20"/>
              </w:rPr>
            </w:pPr>
            <w:r>
              <w:rPr>
                <w:color w:val="000000"/>
                <w:sz w:val="20"/>
                <w:szCs w:val="20"/>
              </w:rPr>
              <w:t>2,45</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60BB1FC">
            <w:pPr>
              <w:spacing w:after="0" w:line="240" w:lineRule="auto"/>
              <w:ind w:firstLine="0"/>
              <w:jc w:val="center"/>
              <w:rPr>
                <w:color w:val="000000"/>
                <w:sz w:val="20"/>
                <w:szCs w:val="20"/>
              </w:rPr>
            </w:pPr>
            <w:r>
              <w:rPr>
                <w:color w:val="000000"/>
                <w:sz w:val="20"/>
                <w:szCs w:val="20"/>
              </w:rPr>
              <w:t>2,64</w:t>
            </w:r>
          </w:p>
        </w:tc>
      </w:tr>
      <w:tr w14:paraId="102EB56E">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5C9A328">
            <w:pPr>
              <w:spacing w:after="0" w:line="240" w:lineRule="auto"/>
              <w:ind w:firstLine="0"/>
              <w:rPr>
                <w:color w:val="000000"/>
                <w:sz w:val="20"/>
                <w:szCs w:val="20"/>
              </w:rPr>
            </w:pPr>
            <w:r>
              <w:rPr>
                <w:color w:val="000000"/>
                <w:sz w:val="20"/>
                <w:szCs w:val="20"/>
              </w:rPr>
              <w:t>Резерв (+)/ Дефицит (-) мощности</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7687A6D8">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03BEE21E">
            <w:pPr>
              <w:spacing w:after="0" w:line="240" w:lineRule="auto"/>
              <w:ind w:firstLine="0"/>
              <w:jc w:val="center"/>
              <w:rPr>
                <w:color w:val="000000"/>
                <w:sz w:val="20"/>
                <w:szCs w:val="20"/>
              </w:rPr>
            </w:pPr>
            <w:r>
              <w:rPr>
                <w:color w:val="000000"/>
                <w:sz w:val="20"/>
                <w:szCs w:val="20"/>
              </w:rPr>
              <w:t>9,87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5FA1F73">
            <w:pPr>
              <w:spacing w:after="0" w:line="240" w:lineRule="auto"/>
              <w:ind w:firstLine="0"/>
              <w:jc w:val="center"/>
              <w:rPr>
                <w:color w:val="000000"/>
                <w:sz w:val="20"/>
                <w:szCs w:val="20"/>
              </w:rPr>
            </w:pPr>
            <w:r>
              <w:rPr>
                <w:color w:val="000000"/>
                <w:sz w:val="20"/>
                <w:szCs w:val="20"/>
              </w:rPr>
              <w:t>9,74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2B96E86">
            <w:pPr>
              <w:spacing w:after="0" w:line="240" w:lineRule="auto"/>
              <w:ind w:firstLine="0"/>
              <w:jc w:val="center"/>
              <w:rPr>
                <w:color w:val="000000"/>
                <w:sz w:val="20"/>
                <w:szCs w:val="20"/>
              </w:rPr>
            </w:pPr>
            <w:r>
              <w:rPr>
                <w:color w:val="000000"/>
                <w:sz w:val="20"/>
                <w:szCs w:val="20"/>
              </w:rPr>
              <w:t>9,60</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A7D5284">
            <w:pPr>
              <w:spacing w:after="0" w:line="240" w:lineRule="auto"/>
              <w:ind w:firstLine="0"/>
              <w:jc w:val="center"/>
              <w:rPr>
                <w:color w:val="000000"/>
                <w:sz w:val="20"/>
                <w:szCs w:val="20"/>
              </w:rPr>
            </w:pPr>
            <w:r>
              <w:rPr>
                <w:color w:val="000000"/>
                <w:sz w:val="20"/>
                <w:szCs w:val="20"/>
              </w:rPr>
              <w:t>9,44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EA5C467">
            <w:pPr>
              <w:spacing w:after="0" w:line="240" w:lineRule="auto"/>
              <w:ind w:firstLine="0"/>
              <w:jc w:val="center"/>
              <w:rPr>
                <w:color w:val="000000"/>
                <w:sz w:val="20"/>
                <w:szCs w:val="20"/>
              </w:rPr>
            </w:pPr>
            <w:r>
              <w:rPr>
                <w:color w:val="000000"/>
                <w:sz w:val="20"/>
                <w:szCs w:val="20"/>
              </w:rPr>
              <w:t>9,28</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BA248C1">
            <w:pPr>
              <w:spacing w:after="0" w:line="240" w:lineRule="auto"/>
              <w:ind w:firstLine="0"/>
              <w:jc w:val="center"/>
              <w:rPr>
                <w:color w:val="000000"/>
                <w:sz w:val="20"/>
                <w:szCs w:val="20"/>
              </w:rPr>
            </w:pPr>
            <w:r>
              <w:rPr>
                <w:color w:val="000000"/>
                <w:sz w:val="20"/>
                <w:szCs w:val="20"/>
              </w:rPr>
              <w:t>9,10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8C014BD">
            <w:pPr>
              <w:spacing w:after="0" w:line="240" w:lineRule="auto"/>
              <w:ind w:firstLine="0"/>
              <w:jc w:val="center"/>
              <w:rPr>
                <w:color w:val="000000"/>
                <w:sz w:val="20"/>
                <w:szCs w:val="20"/>
              </w:rPr>
            </w:pPr>
            <w:r>
              <w:rPr>
                <w:color w:val="000000"/>
                <w:sz w:val="20"/>
                <w:szCs w:val="20"/>
              </w:rPr>
              <w:t>8,91</w:t>
            </w:r>
          </w:p>
        </w:tc>
      </w:tr>
      <w:tr w14:paraId="4F85D8AC">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11BE9063">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033DFE2D">
            <w:pPr>
              <w:spacing w:after="0" w:line="240" w:lineRule="auto"/>
              <w:ind w:firstLine="0"/>
              <w:jc w:val="center"/>
              <w:rPr>
                <w:color w:val="000000"/>
                <w:sz w:val="20"/>
                <w:szCs w:val="20"/>
              </w:rPr>
            </w:pPr>
            <w:r>
              <w:rPr>
                <w:color w:val="000000"/>
                <w:sz w:val="20"/>
                <w:szCs w:val="20"/>
              </w:rPr>
              <w:t>%</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DF7D67F">
            <w:pPr>
              <w:spacing w:after="0" w:line="240" w:lineRule="auto"/>
              <w:ind w:firstLine="0"/>
              <w:jc w:val="center"/>
              <w:rPr>
                <w:color w:val="000000"/>
                <w:sz w:val="20"/>
                <w:szCs w:val="20"/>
              </w:rPr>
            </w:pPr>
            <w:r>
              <w:rPr>
                <w:color w:val="000000"/>
                <w:sz w:val="20"/>
                <w:szCs w:val="20"/>
              </w:rPr>
              <w:t>81,10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09801D6">
            <w:pPr>
              <w:spacing w:after="0" w:line="240" w:lineRule="auto"/>
              <w:ind w:firstLine="0"/>
              <w:jc w:val="center"/>
              <w:rPr>
                <w:color w:val="000000"/>
                <w:sz w:val="20"/>
                <w:szCs w:val="20"/>
              </w:rPr>
            </w:pPr>
            <w:r>
              <w:rPr>
                <w:color w:val="000000"/>
                <w:sz w:val="20"/>
                <w:szCs w:val="20"/>
              </w:rPr>
              <w:t>80,02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6B35C19">
            <w:pPr>
              <w:spacing w:after="0" w:line="240" w:lineRule="auto"/>
              <w:ind w:firstLine="0"/>
              <w:jc w:val="center"/>
              <w:rPr>
                <w:color w:val="000000"/>
                <w:sz w:val="20"/>
                <w:szCs w:val="20"/>
              </w:rPr>
            </w:pPr>
            <w:r>
              <w:rPr>
                <w:color w:val="000000"/>
                <w:sz w:val="20"/>
                <w:szCs w:val="20"/>
              </w:rPr>
              <w:t>78,86</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17883C5">
            <w:pPr>
              <w:spacing w:after="0" w:line="240" w:lineRule="auto"/>
              <w:ind w:firstLine="0"/>
              <w:jc w:val="center"/>
              <w:rPr>
                <w:color w:val="000000"/>
                <w:sz w:val="20"/>
                <w:szCs w:val="20"/>
              </w:rPr>
            </w:pPr>
            <w:r>
              <w:rPr>
                <w:color w:val="000000"/>
                <w:sz w:val="20"/>
                <w:szCs w:val="20"/>
              </w:rPr>
              <w:t>77,60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BBF4B6">
            <w:pPr>
              <w:spacing w:after="0" w:line="240" w:lineRule="auto"/>
              <w:ind w:firstLine="0"/>
              <w:jc w:val="center"/>
              <w:rPr>
                <w:color w:val="000000"/>
                <w:sz w:val="20"/>
                <w:szCs w:val="20"/>
              </w:rPr>
            </w:pPr>
            <w:r>
              <w:rPr>
                <w:color w:val="000000"/>
                <w:sz w:val="20"/>
                <w:szCs w:val="20"/>
              </w:rPr>
              <w:t>76,25</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CEFA827">
            <w:pPr>
              <w:spacing w:after="0" w:line="240" w:lineRule="auto"/>
              <w:ind w:firstLine="0"/>
              <w:jc w:val="center"/>
              <w:rPr>
                <w:color w:val="000000"/>
                <w:sz w:val="20"/>
                <w:szCs w:val="20"/>
              </w:rPr>
            </w:pPr>
            <w:r>
              <w:rPr>
                <w:color w:val="000000"/>
                <w:sz w:val="20"/>
                <w:szCs w:val="20"/>
              </w:rPr>
              <w:t>74,79</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33154CE">
            <w:pPr>
              <w:spacing w:after="0" w:line="240" w:lineRule="auto"/>
              <w:ind w:firstLine="0"/>
              <w:jc w:val="center"/>
              <w:rPr>
                <w:color w:val="000000"/>
                <w:sz w:val="20"/>
                <w:szCs w:val="20"/>
              </w:rPr>
            </w:pPr>
            <w:r>
              <w:rPr>
                <w:color w:val="000000"/>
                <w:sz w:val="20"/>
                <w:szCs w:val="20"/>
              </w:rPr>
              <w:t>73,22</w:t>
            </w:r>
          </w:p>
        </w:tc>
      </w:tr>
      <w:tr w14:paraId="5347CDFB">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2166FAC">
            <w:pPr>
              <w:spacing w:after="0" w:line="240" w:lineRule="auto"/>
              <w:ind w:firstLine="0"/>
              <w:jc w:val="center"/>
              <w:rPr>
                <w:color w:val="000000"/>
                <w:sz w:val="20"/>
                <w:szCs w:val="20"/>
              </w:rPr>
            </w:pPr>
            <w:r>
              <w:rPr>
                <w:color w:val="000000"/>
                <w:sz w:val="20"/>
                <w:szCs w:val="20"/>
              </w:rPr>
              <w:t>Итого по с.п. Верхнеказымский</w:t>
            </w:r>
          </w:p>
        </w:tc>
        <w:tc>
          <w:tcPr>
            <w:tcW w:w="188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8FB44AB">
            <w:pPr>
              <w:spacing w:after="0" w:line="240" w:lineRule="auto"/>
              <w:ind w:firstLine="0"/>
              <w:rPr>
                <w:color w:val="000000"/>
                <w:sz w:val="20"/>
                <w:szCs w:val="20"/>
              </w:rPr>
            </w:pPr>
            <w:r>
              <w:rPr>
                <w:color w:val="000000"/>
                <w:sz w:val="20"/>
                <w:szCs w:val="20"/>
              </w:rPr>
              <w:t> </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17F4A9E">
            <w:pPr>
              <w:spacing w:after="0" w:line="240" w:lineRule="auto"/>
              <w:ind w:firstLine="0"/>
              <w:jc w:val="center"/>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6B46857">
            <w:pPr>
              <w:spacing w:after="0" w:line="240" w:lineRule="auto"/>
              <w:ind w:firstLine="0"/>
              <w:jc w:val="center"/>
              <w:rPr>
                <w:color w:val="000000"/>
                <w:sz w:val="20"/>
                <w:szCs w:val="20"/>
              </w:rPr>
            </w:pPr>
            <w:r>
              <w:rPr>
                <w:color w:val="000000"/>
                <w:sz w:val="20"/>
                <w:szCs w:val="20"/>
              </w:rPr>
              <w:t> </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7D48649">
            <w:pPr>
              <w:spacing w:after="0" w:line="240" w:lineRule="auto"/>
              <w:ind w:firstLine="0"/>
              <w:jc w:val="center"/>
              <w:rPr>
                <w:color w:val="000000"/>
                <w:sz w:val="20"/>
                <w:szCs w:val="20"/>
              </w:rPr>
            </w:pPr>
            <w:r>
              <w:rPr>
                <w:color w:val="000000"/>
                <w:sz w:val="20"/>
                <w:szCs w:val="20"/>
              </w:rPr>
              <w:t> </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2D1BB01">
            <w:pPr>
              <w:spacing w:after="0" w:line="240" w:lineRule="auto"/>
              <w:ind w:firstLine="0"/>
              <w:jc w:val="center"/>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98131EE">
            <w:pPr>
              <w:spacing w:after="0" w:line="240" w:lineRule="auto"/>
              <w:ind w:firstLine="0"/>
              <w:jc w:val="center"/>
              <w:rPr>
                <w:color w:val="000000"/>
                <w:sz w:val="20"/>
                <w:szCs w:val="20"/>
              </w:rPr>
            </w:pPr>
            <w:r>
              <w:rPr>
                <w:color w:val="000000"/>
                <w:sz w:val="20"/>
                <w:szCs w:val="20"/>
              </w:rPr>
              <w:t> </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A4C666E">
            <w:pPr>
              <w:spacing w:after="0" w:line="240" w:lineRule="auto"/>
              <w:ind w:firstLine="0"/>
              <w:jc w:val="center"/>
              <w:rPr>
                <w:color w:val="000000"/>
                <w:sz w:val="20"/>
                <w:szCs w:val="20"/>
              </w:rPr>
            </w:pPr>
            <w:r>
              <w:rPr>
                <w:color w:val="000000"/>
                <w:sz w:val="20"/>
                <w:szCs w:val="20"/>
              </w:rPr>
              <w:t> </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D23391C">
            <w:pPr>
              <w:spacing w:after="0" w:line="240" w:lineRule="auto"/>
              <w:ind w:firstLine="0"/>
              <w:jc w:val="center"/>
              <w:rPr>
                <w:color w:val="000000"/>
                <w:sz w:val="20"/>
                <w:szCs w:val="20"/>
              </w:rPr>
            </w:pPr>
            <w:r>
              <w:rPr>
                <w:color w:val="000000"/>
                <w:sz w:val="20"/>
                <w:szCs w:val="20"/>
              </w:rPr>
              <w:t> </w:t>
            </w:r>
          </w:p>
        </w:tc>
      </w:tr>
      <w:tr w14:paraId="09C4ACBF">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76EBC3E">
            <w:pPr>
              <w:spacing w:after="0" w:line="240" w:lineRule="auto"/>
              <w:ind w:firstLine="0"/>
              <w:rPr>
                <w:color w:val="000000"/>
                <w:sz w:val="20"/>
                <w:szCs w:val="20"/>
              </w:rPr>
            </w:pPr>
            <w:r>
              <w:rPr>
                <w:color w:val="000000"/>
                <w:sz w:val="20"/>
                <w:szCs w:val="20"/>
              </w:rPr>
              <w:t>Установленная мощность</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279C9E7B">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D9CF50E">
            <w:pPr>
              <w:spacing w:after="0" w:line="240" w:lineRule="auto"/>
              <w:ind w:firstLine="0"/>
              <w:jc w:val="center"/>
              <w:rPr>
                <w:color w:val="000000"/>
                <w:sz w:val="20"/>
                <w:szCs w:val="20"/>
              </w:rPr>
            </w:pPr>
            <w:r>
              <w:rPr>
                <w:color w:val="000000"/>
                <w:sz w:val="20"/>
                <w:szCs w:val="20"/>
              </w:rPr>
              <w:t>53,74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951C84D">
            <w:pPr>
              <w:spacing w:after="0" w:line="240" w:lineRule="auto"/>
              <w:ind w:firstLine="0"/>
              <w:jc w:val="center"/>
              <w:rPr>
                <w:color w:val="000000"/>
                <w:sz w:val="20"/>
                <w:szCs w:val="20"/>
              </w:rPr>
            </w:pPr>
            <w:r>
              <w:rPr>
                <w:color w:val="000000"/>
                <w:sz w:val="20"/>
                <w:szCs w:val="20"/>
              </w:rPr>
              <w:t>53,74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77EC1D0">
            <w:pPr>
              <w:spacing w:after="0" w:line="240" w:lineRule="auto"/>
              <w:ind w:firstLine="0"/>
              <w:jc w:val="center"/>
              <w:rPr>
                <w:color w:val="000000"/>
                <w:sz w:val="20"/>
                <w:szCs w:val="20"/>
              </w:rPr>
            </w:pPr>
            <w:r>
              <w:rPr>
                <w:color w:val="000000"/>
                <w:sz w:val="20"/>
                <w:szCs w:val="20"/>
              </w:rPr>
              <w:t>53,74</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32A45D3">
            <w:pPr>
              <w:spacing w:after="0" w:line="240" w:lineRule="auto"/>
              <w:ind w:firstLine="0"/>
              <w:jc w:val="center"/>
              <w:rPr>
                <w:color w:val="000000"/>
                <w:sz w:val="20"/>
                <w:szCs w:val="20"/>
              </w:rPr>
            </w:pPr>
            <w:r>
              <w:rPr>
                <w:color w:val="000000"/>
                <w:sz w:val="20"/>
                <w:szCs w:val="20"/>
              </w:rPr>
              <w:t>53,74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E9AAB1C">
            <w:pPr>
              <w:spacing w:after="0" w:line="240" w:lineRule="auto"/>
              <w:ind w:firstLine="0"/>
              <w:jc w:val="center"/>
              <w:rPr>
                <w:color w:val="000000"/>
                <w:sz w:val="20"/>
                <w:szCs w:val="20"/>
              </w:rPr>
            </w:pPr>
            <w:r>
              <w:rPr>
                <w:color w:val="000000"/>
                <w:sz w:val="20"/>
                <w:szCs w:val="20"/>
              </w:rPr>
              <w:t>53,74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AC80FE7">
            <w:pPr>
              <w:spacing w:after="0" w:line="240" w:lineRule="auto"/>
              <w:ind w:firstLine="0"/>
              <w:jc w:val="center"/>
              <w:rPr>
                <w:color w:val="000000"/>
                <w:sz w:val="20"/>
                <w:szCs w:val="20"/>
              </w:rPr>
            </w:pPr>
            <w:r>
              <w:rPr>
                <w:color w:val="000000"/>
                <w:sz w:val="20"/>
                <w:szCs w:val="20"/>
              </w:rPr>
              <w:t>53,74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E6D181F">
            <w:pPr>
              <w:spacing w:after="0" w:line="240" w:lineRule="auto"/>
              <w:ind w:firstLine="0"/>
              <w:jc w:val="center"/>
              <w:rPr>
                <w:color w:val="000000"/>
                <w:sz w:val="20"/>
                <w:szCs w:val="20"/>
              </w:rPr>
            </w:pPr>
            <w:r>
              <w:rPr>
                <w:color w:val="000000"/>
                <w:sz w:val="20"/>
                <w:szCs w:val="20"/>
              </w:rPr>
              <w:t>53,74</w:t>
            </w:r>
          </w:p>
        </w:tc>
      </w:tr>
      <w:tr w14:paraId="2BEFEFA8">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9056887">
            <w:pPr>
              <w:spacing w:after="0" w:line="240" w:lineRule="auto"/>
              <w:ind w:firstLine="0"/>
              <w:rPr>
                <w:color w:val="000000"/>
                <w:sz w:val="20"/>
                <w:szCs w:val="20"/>
              </w:rPr>
            </w:pPr>
            <w:r>
              <w:rPr>
                <w:color w:val="000000"/>
                <w:sz w:val="20"/>
                <w:szCs w:val="20"/>
              </w:rPr>
              <w:t>Ограничение тепловой мощности</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0DB6DAAB">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E2CA5F6">
            <w:pPr>
              <w:spacing w:after="0" w:line="240" w:lineRule="auto"/>
              <w:ind w:firstLine="0"/>
              <w:jc w:val="center"/>
              <w:rPr>
                <w:color w:val="000000"/>
                <w:sz w:val="20"/>
                <w:szCs w:val="20"/>
              </w:rPr>
            </w:pPr>
            <w:r>
              <w:rPr>
                <w:color w:val="000000"/>
                <w:sz w:val="20"/>
                <w:szCs w:val="20"/>
              </w:rPr>
              <w:t>35,40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C0B28DD">
            <w:pPr>
              <w:spacing w:after="0" w:line="240" w:lineRule="auto"/>
              <w:ind w:firstLine="0"/>
              <w:jc w:val="center"/>
              <w:rPr>
                <w:color w:val="000000"/>
                <w:sz w:val="20"/>
                <w:szCs w:val="20"/>
              </w:rPr>
            </w:pPr>
            <w:r>
              <w:rPr>
                <w:color w:val="000000"/>
                <w:sz w:val="20"/>
                <w:szCs w:val="20"/>
              </w:rPr>
              <w:t>35,40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8E8EF30">
            <w:pPr>
              <w:spacing w:after="0" w:line="240" w:lineRule="auto"/>
              <w:ind w:firstLine="0"/>
              <w:jc w:val="center"/>
              <w:rPr>
                <w:color w:val="000000"/>
                <w:sz w:val="20"/>
                <w:szCs w:val="20"/>
              </w:rPr>
            </w:pPr>
            <w:r>
              <w:rPr>
                <w:color w:val="000000"/>
                <w:sz w:val="20"/>
                <w:szCs w:val="20"/>
              </w:rPr>
              <w:t>35,40</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F523A77">
            <w:pPr>
              <w:spacing w:after="0" w:line="240" w:lineRule="auto"/>
              <w:ind w:firstLine="0"/>
              <w:jc w:val="center"/>
              <w:rPr>
                <w:color w:val="000000"/>
                <w:sz w:val="20"/>
                <w:szCs w:val="20"/>
              </w:rPr>
            </w:pPr>
            <w:r>
              <w:rPr>
                <w:color w:val="000000"/>
                <w:sz w:val="20"/>
                <w:szCs w:val="20"/>
              </w:rPr>
              <w:t>35,40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9046B50">
            <w:pPr>
              <w:spacing w:after="0" w:line="240" w:lineRule="auto"/>
              <w:ind w:firstLine="0"/>
              <w:jc w:val="center"/>
              <w:rPr>
                <w:color w:val="000000"/>
                <w:sz w:val="20"/>
                <w:szCs w:val="20"/>
              </w:rPr>
            </w:pPr>
            <w:r>
              <w:rPr>
                <w:color w:val="000000"/>
                <w:sz w:val="20"/>
                <w:szCs w:val="20"/>
              </w:rPr>
              <w:t>35,40</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B79CE67">
            <w:pPr>
              <w:spacing w:after="0" w:line="240" w:lineRule="auto"/>
              <w:ind w:firstLine="0"/>
              <w:jc w:val="center"/>
              <w:rPr>
                <w:color w:val="000000"/>
                <w:sz w:val="20"/>
                <w:szCs w:val="20"/>
              </w:rPr>
            </w:pPr>
            <w:r>
              <w:rPr>
                <w:color w:val="000000"/>
                <w:sz w:val="20"/>
                <w:szCs w:val="20"/>
              </w:rPr>
              <w:t>35,40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28F8DF3">
            <w:pPr>
              <w:spacing w:after="0" w:line="240" w:lineRule="auto"/>
              <w:ind w:firstLine="0"/>
              <w:jc w:val="center"/>
              <w:rPr>
                <w:color w:val="000000"/>
                <w:sz w:val="20"/>
                <w:szCs w:val="20"/>
              </w:rPr>
            </w:pPr>
            <w:r>
              <w:rPr>
                <w:color w:val="000000"/>
                <w:sz w:val="20"/>
                <w:szCs w:val="20"/>
              </w:rPr>
              <w:t>35,40</w:t>
            </w:r>
          </w:p>
        </w:tc>
      </w:tr>
      <w:tr w14:paraId="62D3F3A9">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65690A4A">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5FBCDCC2">
            <w:pPr>
              <w:spacing w:after="0" w:line="240" w:lineRule="auto"/>
              <w:ind w:firstLine="0"/>
              <w:jc w:val="center"/>
              <w:rPr>
                <w:color w:val="000000"/>
                <w:sz w:val="20"/>
                <w:szCs w:val="20"/>
              </w:rPr>
            </w:pPr>
            <w:r>
              <w:rPr>
                <w:color w:val="000000"/>
                <w:sz w:val="20"/>
                <w:szCs w:val="20"/>
              </w:rPr>
              <w:t>%</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45100B56">
            <w:pPr>
              <w:spacing w:after="0" w:line="240" w:lineRule="auto"/>
              <w:ind w:firstLine="0"/>
              <w:jc w:val="center"/>
              <w:rPr>
                <w:color w:val="000000"/>
                <w:sz w:val="20"/>
                <w:szCs w:val="20"/>
              </w:rPr>
            </w:pPr>
            <w:r>
              <w:rPr>
                <w:color w:val="000000"/>
                <w:sz w:val="20"/>
                <w:szCs w:val="20"/>
              </w:rPr>
              <w:t>65,87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59CC65A">
            <w:pPr>
              <w:spacing w:after="0" w:line="240" w:lineRule="auto"/>
              <w:ind w:firstLine="0"/>
              <w:jc w:val="center"/>
              <w:rPr>
                <w:color w:val="000000"/>
                <w:sz w:val="20"/>
                <w:szCs w:val="20"/>
              </w:rPr>
            </w:pPr>
            <w:r>
              <w:rPr>
                <w:color w:val="000000"/>
                <w:sz w:val="20"/>
                <w:szCs w:val="20"/>
              </w:rPr>
              <w:t>65,87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D3EEB22">
            <w:pPr>
              <w:spacing w:after="0" w:line="240" w:lineRule="auto"/>
              <w:ind w:firstLine="0"/>
              <w:jc w:val="center"/>
              <w:rPr>
                <w:color w:val="000000"/>
                <w:sz w:val="20"/>
                <w:szCs w:val="20"/>
              </w:rPr>
            </w:pPr>
            <w:r>
              <w:rPr>
                <w:color w:val="000000"/>
                <w:sz w:val="20"/>
                <w:szCs w:val="20"/>
              </w:rPr>
              <w:t>65,87</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9D23279">
            <w:pPr>
              <w:spacing w:after="0" w:line="240" w:lineRule="auto"/>
              <w:ind w:firstLine="0"/>
              <w:jc w:val="center"/>
              <w:rPr>
                <w:color w:val="000000"/>
                <w:sz w:val="20"/>
                <w:szCs w:val="20"/>
              </w:rPr>
            </w:pPr>
            <w:r>
              <w:rPr>
                <w:color w:val="000000"/>
                <w:sz w:val="20"/>
                <w:szCs w:val="20"/>
              </w:rPr>
              <w:t>65,87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CDECC81">
            <w:pPr>
              <w:spacing w:after="0" w:line="240" w:lineRule="auto"/>
              <w:ind w:firstLine="0"/>
              <w:jc w:val="center"/>
              <w:rPr>
                <w:color w:val="000000"/>
                <w:sz w:val="20"/>
                <w:szCs w:val="20"/>
              </w:rPr>
            </w:pPr>
            <w:r>
              <w:rPr>
                <w:color w:val="000000"/>
                <w:sz w:val="20"/>
                <w:szCs w:val="20"/>
              </w:rPr>
              <w:t>65,87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79C6AFE">
            <w:pPr>
              <w:spacing w:after="0" w:line="240" w:lineRule="auto"/>
              <w:ind w:firstLine="0"/>
              <w:jc w:val="center"/>
              <w:rPr>
                <w:color w:val="000000"/>
                <w:sz w:val="20"/>
                <w:szCs w:val="20"/>
              </w:rPr>
            </w:pPr>
            <w:r>
              <w:rPr>
                <w:color w:val="000000"/>
                <w:sz w:val="20"/>
                <w:szCs w:val="20"/>
              </w:rPr>
              <w:t>65,87</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B9F5AA2">
            <w:pPr>
              <w:spacing w:after="0" w:line="240" w:lineRule="auto"/>
              <w:ind w:firstLine="0"/>
              <w:jc w:val="center"/>
              <w:rPr>
                <w:color w:val="000000"/>
                <w:sz w:val="20"/>
                <w:szCs w:val="20"/>
              </w:rPr>
            </w:pPr>
            <w:r>
              <w:rPr>
                <w:color w:val="000000"/>
                <w:sz w:val="20"/>
                <w:szCs w:val="20"/>
              </w:rPr>
              <w:t>65,87</w:t>
            </w:r>
          </w:p>
        </w:tc>
      </w:tr>
      <w:tr w14:paraId="346AA62A">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4DD23F4B">
            <w:pPr>
              <w:spacing w:after="0" w:line="240" w:lineRule="auto"/>
              <w:ind w:firstLine="0"/>
              <w:rPr>
                <w:color w:val="000000"/>
                <w:sz w:val="20"/>
                <w:szCs w:val="20"/>
              </w:rPr>
            </w:pPr>
            <w:r>
              <w:rPr>
                <w:color w:val="000000"/>
                <w:sz w:val="20"/>
                <w:szCs w:val="20"/>
              </w:rPr>
              <w:t>Располагаемая тепловая мощность</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0B36C4D1">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AD4035F">
            <w:pPr>
              <w:spacing w:after="0" w:line="240" w:lineRule="auto"/>
              <w:ind w:firstLine="0"/>
              <w:jc w:val="center"/>
              <w:rPr>
                <w:color w:val="000000"/>
                <w:sz w:val="20"/>
                <w:szCs w:val="20"/>
              </w:rPr>
            </w:pPr>
            <w:r>
              <w:rPr>
                <w:color w:val="000000"/>
                <w:sz w:val="20"/>
                <w:szCs w:val="20"/>
              </w:rPr>
              <w:t>18,34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B64E954">
            <w:pPr>
              <w:spacing w:after="0" w:line="240" w:lineRule="auto"/>
              <w:ind w:firstLine="0"/>
              <w:jc w:val="center"/>
              <w:rPr>
                <w:color w:val="000000"/>
                <w:sz w:val="20"/>
                <w:szCs w:val="20"/>
              </w:rPr>
            </w:pPr>
            <w:r>
              <w:rPr>
                <w:color w:val="000000"/>
                <w:sz w:val="20"/>
                <w:szCs w:val="20"/>
              </w:rPr>
              <w:t>18,34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B3478FD">
            <w:pPr>
              <w:spacing w:after="0" w:line="240" w:lineRule="auto"/>
              <w:ind w:firstLine="0"/>
              <w:jc w:val="center"/>
              <w:rPr>
                <w:color w:val="000000"/>
                <w:sz w:val="20"/>
                <w:szCs w:val="20"/>
              </w:rPr>
            </w:pPr>
            <w:r>
              <w:rPr>
                <w:color w:val="000000"/>
                <w:sz w:val="20"/>
                <w:szCs w:val="20"/>
              </w:rPr>
              <w:t>18,34</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2B75E6E">
            <w:pPr>
              <w:spacing w:after="0" w:line="240" w:lineRule="auto"/>
              <w:ind w:firstLine="0"/>
              <w:jc w:val="center"/>
              <w:rPr>
                <w:color w:val="000000"/>
                <w:sz w:val="20"/>
                <w:szCs w:val="20"/>
              </w:rPr>
            </w:pPr>
            <w:r>
              <w:rPr>
                <w:color w:val="000000"/>
                <w:sz w:val="20"/>
                <w:szCs w:val="20"/>
              </w:rPr>
              <w:t>18,34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69E4AC1">
            <w:pPr>
              <w:spacing w:after="0" w:line="240" w:lineRule="auto"/>
              <w:ind w:firstLine="0"/>
              <w:jc w:val="center"/>
              <w:rPr>
                <w:color w:val="000000"/>
                <w:sz w:val="20"/>
                <w:szCs w:val="20"/>
              </w:rPr>
            </w:pPr>
            <w:r>
              <w:rPr>
                <w:color w:val="000000"/>
                <w:sz w:val="20"/>
                <w:szCs w:val="20"/>
              </w:rPr>
              <w:t>18,34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F89B932">
            <w:pPr>
              <w:spacing w:after="0" w:line="240" w:lineRule="auto"/>
              <w:ind w:firstLine="0"/>
              <w:jc w:val="center"/>
              <w:rPr>
                <w:color w:val="000000"/>
                <w:sz w:val="20"/>
                <w:szCs w:val="20"/>
              </w:rPr>
            </w:pPr>
            <w:r>
              <w:rPr>
                <w:color w:val="000000"/>
                <w:sz w:val="20"/>
                <w:szCs w:val="20"/>
              </w:rPr>
              <w:t>18,34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F04C368">
            <w:pPr>
              <w:spacing w:after="0" w:line="240" w:lineRule="auto"/>
              <w:ind w:firstLine="0"/>
              <w:jc w:val="center"/>
              <w:rPr>
                <w:color w:val="000000"/>
                <w:sz w:val="20"/>
                <w:szCs w:val="20"/>
              </w:rPr>
            </w:pPr>
            <w:r>
              <w:rPr>
                <w:color w:val="000000"/>
                <w:sz w:val="20"/>
                <w:szCs w:val="20"/>
              </w:rPr>
              <w:t>18,34</w:t>
            </w:r>
          </w:p>
        </w:tc>
      </w:tr>
      <w:tr w14:paraId="5EE3F8FD">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9DB5EEF">
            <w:pPr>
              <w:spacing w:after="0" w:line="240" w:lineRule="auto"/>
              <w:ind w:firstLine="0"/>
              <w:rPr>
                <w:color w:val="000000"/>
                <w:sz w:val="20"/>
                <w:szCs w:val="20"/>
              </w:rPr>
            </w:pPr>
            <w:r>
              <w:rPr>
                <w:color w:val="000000"/>
                <w:sz w:val="20"/>
                <w:szCs w:val="20"/>
              </w:rPr>
              <w:t>Собственные и хозяйственные нужды</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DC98858">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14D0207">
            <w:pPr>
              <w:spacing w:after="0" w:line="240" w:lineRule="auto"/>
              <w:ind w:firstLine="0"/>
              <w:jc w:val="center"/>
              <w:rPr>
                <w:color w:val="000000"/>
                <w:sz w:val="20"/>
                <w:szCs w:val="20"/>
              </w:rPr>
            </w:pPr>
            <w:r>
              <w:rPr>
                <w:color w:val="000000"/>
                <w:sz w:val="20"/>
                <w:szCs w:val="20"/>
              </w:rPr>
              <w:t>0,36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8F2EB5F">
            <w:pPr>
              <w:spacing w:after="0" w:line="240" w:lineRule="auto"/>
              <w:ind w:firstLine="0"/>
              <w:jc w:val="center"/>
              <w:rPr>
                <w:color w:val="000000"/>
                <w:sz w:val="20"/>
                <w:szCs w:val="20"/>
              </w:rPr>
            </w:pPr>
            <w:r>
              <w:rPr>
                <w:color w:val="000000"/>
                <w:sz w:val="20"/>
                <w:szCs w:val="20"/>
              </w:rPr>
              <w:t>0,36</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1B82215">
            <w:pPr>
              <w:spacing w:after="0" w:line="240" w:lineRule="auto"/>
              <w:ind w:firstLine="0"/>
              <w:jc w:val="center"/>
              <w:rPr>
                <w:color w:val="000000"/>
                <w:sz w:val="20"/>
                <w:szCs w:val="20"/>
              </w:rPr>
            </w:pPr>
            <w:r>
              <w:rPr>
                <w:color w:val="000000"/>
                <w:sz w:val="20"/>
                <w:szCs w:val="20"/>
              </w:rPr>
              <w:t>0,36</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61DC0EC">
            <w:pPr>
              <w:spacing w:after="0" w:line="240" w:lineRule="auto"/>
              <w:ind w:firstLine="0"/>
              <w:jc w:val="center"/>
              <w:rPr>
                <w:color w:val="000000"/>
                <w:sz w:val="20"/>
                <w:szCs w:val="20"/>
              </w:rPr>
            </w:pPr>
            <w:r>
              <w:rPr>
                <w:color w:val="000000"/>
                <w:sz w:val="20"/>
                <w:szCs w:val="20"/>
              </w:rPr>
              <w:t>0,36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A294650">
            <w:pPr>
              <w:spacing w:after="0" w:line="240" w:lineRule="auto"/>
              <w:ind w:firstLine="0"/>
              <w:jc w:val="center"/>
              <w:rPr>
                <w:color w:val="000000"/>
                <w:sz w:val="20"/>
                <w:szCs w:val="20"/>
              </w:rPr>
            </w:pPr>
            <w:r>
              <w:rPr>
                <w:color w:val="000000"/>
                <w:sz w:val="20"/>
                <w:szCs w:val="20"/>
              </w:rPr>
              <w:t>0,36</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47A8381">
            <w:pPr>
              <w:spacing w:after="0" w:line="240" w:lineRule="auto"/>
              <w:ind w:firstLine="0"/>
              <w:jc w:val="center"/>
              <w:rPr>
                <w:color w:val="000000"/>
                <w:sz w:val="20"/>
                <w:szCs w:val="20"/>
              </w:rPr>
            </w:pPr>
            <w:r>
              <w:rPr>
                <w:color w:val="000000"/>
                <w:sz w:val="20"/>
                <w:szCs w:val="20"/>
              </w:rPr>
              <w:t>0,36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6D67662">
            <w:pPr>
              <w:spacing w:after="0" w:line="240" w:lineRule="auto"/>
              <w:ind w:firstLine="0"/>
              <w:jc w:val="center"/>
              <w:rPr>
                <w:color w:val="000000"/>
                <w:sz w:val="20"/>
                <w:szCs w:val="20"/>
              </w:rPr>
            </w:pPr>
            <w:r>
              <w:rPr>
                <w:color w:val="000000"/>
                <w:sz w:val="20"/>
                <w:szCs w:val="20"/>
              </w:rPr>
              <w:t>0,36</w:t>
            </w:r>
          </w:p>
        </w:tc>
      </w:tr>
      <w:tr w14:paraId="63C28CC8">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4A7F499">
            <w:pPr>
              <w:spacing w:after="0" w:line="240" w:lineRule="auto"/>
              <w:ind w:firstLine="0"/>
              <w:rPr>
                <w:color w:val="000000"/>
                <w:sz w:val="20"/>
                <w:szCs w:val="20"/>
              </w:rPr>
            </w:pPr>
            <w:r>
              <w:rPr>
                <w:color w:val="000000"/>
                <w:sz w:val="20"/>
                <w:szCs w:val="20"/>
              </w:rPr>
              <w:t>Тепловая мощность нетто</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2E30A820">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AAB215E">
            <w:pPr>
              <w:spacing w:after="0" w:line="240" w:lineRule="auto"/>
              <w:ind w:firstLine="0"/>
              <w:jc w:val="center"/>
              <w:rPr>
                <w:color w:val="000000"/>
                <w:sz w:val="20"/>
                <w:szCs w:val="20"/>
              </w:rPr>
            </w:pPr>
            <w:r>
              <w:rPr>
                <w:color w:val="000000"/>
                <w:sz w:val="20"/>
                <w:szCs w:val="20"/>
              </w:rPr>
              <w:t>17,98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20BA95A">
            <w:pPr>
              <w:spacing w:after="0" w:line="240" w:lineRule="auto"/>
              <w:ind w:firstLine="0"/>
              <w:jc w:val="center"/>
              <w:rPr>
                <w:color w:val="000000"/>
                <w:sz w:val="20"/>
                <w:szCs w:val="20"/>
              </w:rPr>
            </w:pPr>
            <w:r>
              <w:rPr>
                <w:color w:val="000000"/>
                <w:sz w:val="20"/>
                <w:szCs w:val="20"/>
              </w:rPr>
              <w:t>17,98</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C26308E">
            <w:pPr>
              <w:spacing w:after="0" w:line="240" w:lineRule="auto"/>
              <w:ind w:firstLine="0"/>
              <w:jc w:val="center"/>
              <w:rPr>
                <w:color w:val="000000"/>
                <w:sz w:val="20"/>
                <w:szCs w:val="20"/>
              </w:rPr>
            </w:pPr>
            <w:r>
              <w:rPr>
                <w:color w:val="000000"/>
                <w:sz w:val="20"/>
                <w:szCs w:val="20"/>
              </w:rPr>
              <w:t>17,98</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53BE8E6">
            <w:pPr>
              <w:spacing w:after="0" w:line="240" w:lineRule="auto"/>
              <w:ind w:firstLine="0"/>
              <w:jc w:val="center"/>
              <w:rPr>
                <w:color w:val="000000"/>
                <w:sz w:val="20"/>
                <w:szCs w:val="20"/>
              </w:rPr>
            </w:pPr>
            <w:r>
              <w:rPr>
                <w:color w:val="000000"/>
                <w:sz w:val="20"/>
                <w:szCs w:val="20"/>
              </w:rPr>
              <w:t>17,98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AF9EDE1">
            <w:pPr>
              <w:spacing w:after="0" w:line="240" w:lineRule="auto"/>
              <w:ind w:firstLine="0"/>
              <w:jc w:val="center"/>
              <w:rPr>
                <w:color w:val="000000"/>
                <w:sz w:val="20"/>
                <w:szCs w:val="20"/>
              </w:rPr>
            </w:pPr>
            <w:r>
              <w:rPr>
                <w:color w:val="000000"/>
                <w:sz w:val="20"/>
                <w:szCs w:val="20"/>
              </w:rPr>
              <w:t>17,98</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C5B7117">
            <w:pPr>
              <w:spacing w:after="0" w:line="240" w:lineRule="auto"/>
              <w:ind w:firstLine="0"/>
              <w:jc w:val="center"/>
              <w:rPr>
                <w:color w:val="000000"/>
                <w:sz w:val="20"/>
                <w:szCs w:val="20"/>
              </w:rPr>
            </w:pPr>
            <w:r>
              <w:rPr>
                <w:color w:val="000000"/>
                <w:sz w:val="20"/>
                <w:szCs w:val="20"/>
              </w:rPr>
              <w:t>17,98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94F0702">
            <w:pPr>
              <w:spacing w:after="0" w:line="240" w:lineRule="auto"/>
              <w:ind w:firstLine="0"/>
              <w:jc w:val="center"/>
              <w:rPr>
                <w:color w:val="000000"/>
                <w:sz w:val="20"/>
                <w:szCs w:val="20"/>
              </w:rPr>
            </w:pPr>
            <w:r>
              <w:rPr>
                <w:color w:val="000000"/>
                <w:sz w:val="20"/>
                <w:szCs w:val="20"/>
              </w:rPr>
              <w:t>17,98</w:t>
            </w:r>
          </w:p>
        </w:tc>
      </w:tr>
      <w:tr w14:paraId="0D441C91">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EDA1699">
            <w:pPr>
              <w:spacing w:after="0" w:line="240" w:lineRule="auto"/>
              <w:ind w:firstLine="0"/>
              <w:rPr>
                <w:color w:val="000000"/>
                <w:sz w:val="20"/>
                <w:szCs w:val="20"/>
              </w:rPr>
            </w:pPr>
            <w:r>
              <w:rPr>
                <w:color w:val="000000"/>
                <w:sz w:val="20"/>
                <w:szCs w:val="20"/>
              </w:rPr>
              <w:t>Нагрузка на коллекторах</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500E48A8">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0F23BF89">
            <w:pPr>
              <w:spacing w:after="0" w:line="240" w:lineRule="auto"/>
              <w:ind w:firstLine="0"/>
              <w:jc w:val="center"/>
              <w:rPr>
                <w:color w:val="000000"/>
                <w:sz w:val="20"/>
                <w:szCs w:val="20"/>
              </w:rPr>
            </w:pPr>
            <w:r>
              <w:rPr>
                <w:color w:val="000000"/>
                <w:sz w:val="20"/>
                <w:szCs w:val="20"/>
              </w:rPr>
              <w:t>3,02</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77F0F00">
            <w:pPr>
              <w:spacing w:after="0" w:line="240" w:lineRule="auto"/>
              <w:ind w:firstLine="0"/>
              <w:jc w:val="center"/>
              <w:rPr>
                <w:color w:val="000000"/>
                <w:sz w:val="20"/>
                <w:szCs w:val="20"/>
              </w:rPr>
            </w:pPr>
            <w:r>
              <w:rPr>
                <w:color w:val="000000"/>
                <w:sz w:val="20"/>
                <w:szCs w:val="20"/>
              </w:rPr>
              <w:t>3,15</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B6B793A">
            <w:pPr>
              <w:spacing w:after="0" w:line="240" w:lineRule="auto"/>
              <w:ind w:firstLine="0"/>
              <w:jc w:val="center"/>
              <w:rPr>
                <w:color w:val="000000"/>
                <w:sz w:val="20"/>
                <w:szCs w:val="20"/>
              </w:rPr>
            </w:pPr>
            <w:r>
              <w:rPr>
                <w:color w:val="000000"/>
                <w:sz w:val="20"/>
                <w:szCs w:val="20"/>
              </w:rPr>
              <w:t>3,29</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01049B1">
            <w:pPr>
              <w:spacing w:after="0" w:line="240" w:lineRule="auto"/>
              <w:ind w:firstLine="0"/>
              <w:jc w:val="center"/>
              <w:rPr>
                <w:color w:val="000000"/>
                <w:sz w:val="20"/>
                <w:szCs w:val="20"/>
              </w:rPr>
            </w:pPr>
            <w:r>
              <w:rPr>
                <w:color w:val="000000"/>
                <w:sz w:val="20"/>
                <w:szCs w:val="20"/>
              </w:rPr>
              <w:t>3,45</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7844E4C">
            <w:pPr>
              <w:spacing w:after="0" w:line="240" w:lineRule="auto"/>
              <w:ind w:firstLine="0"/>
              <w:jc w:val="center"/>
              <w:rPr>
                <w:color w:val="000000"/>
                <w:sz w:val="20"/>
                <w:szCs w:val="20"/>
              </w:rPr>
            </w:pPr>
            <w:r>
              <w:rPr>
                <w:color w:val="000000"/>
                <w:sz w:val="20"/>
                <w:szCs w:val="20"/>
              </w:rPr>
              <w:t>3,61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5BF27C5">
            <w:pPr>
              <w:spacing w:after="0" w:line="240" w:lineRule="auto"/>
              <w:ind w:firstLine="0"/>
              <w:jc w:val="center"/>
              <w:rPr>
                <w:color w:val="000000"/>
                <w:sz w:val="20"/>
                <w:szCs w:val="20"/>
              </w:rPr>
            </w:pPr>
            <w:r>
              <w:rPr>
                <w:color w:val="000000"/>
                <w:sz w:val="20"/>
                <w:szCs w:val="20"/>
              </w:rPr>
              <w:t>3,79</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B3FB0E7">
            <w:pPr>
              <w:spacing w:after="0" w:line="240" w:lineRule="auto"/>
              <w:ind w:firstLine="0"/>
              <w:jc w:val="center"/>
              <w:rPr>
                <w:color w:val="000000"/>
                <w:sz w:val="20"/>
                <w:szCs w:val="20"/>
              </w:rPr>
            </w:pPr>
            <w:r>
              <w:rPr>
                <w:color w:val="000000"/>
                <w:sz w:val="20"/>
                <w:szCs w:val="20"/>
              </w:rPr>
              <w:t>3,98</w:t>
            </w:r>
          </w:p>
        </w:tc>
      </w:tr>
      <w:tr w14:paraId="0BE6EE00">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EAAD88F">
            <w:pPr>
              <w:spacing w:after="0" w:line="240" w:lineRule="auto"/>
              <w:ind w:firstLine="0"/>
              <w:rPr>
                <w:color w:val="000000"/>
                <w:sz w:val="20"/>
                <w:szCs w:val="20"/>
              </w:rPr>
            </w:pPr>
            <w:r>
              <w:rPr>
                <w:color w:val="000000"/>
                <w:sz w:val="20"/>
                <w:szCs w:val="20"/>
              </w:rPr>
              <w:t>Потери в сетях</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2C48842">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743D5A6">
            <w:pPr>
              <w:spacing w:after="0" w:line="240" w:lineRule="auto"/>
              <w:ind w:firstLine="0"/>
              <w:jc w:val="center"/>
              <w:rPr>
                <w:color w:val="000000"/>
                <w:sz w:val="20"/>
                <w:szCs w:val="20"/>
              </w:rPr>
            </w:pPr>
            <w:r>
              <w:rPr>
                <w:color w:val="000000"/>
                <w:sz w:val="20"/>
                <w:szCs w:val="20"/>
              </w:rPr>
              <w:t>0,84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A99F524">
            <w:pPr>
              <w:spacing w:after="0" w:line="240" w:lineRule="auto"/>
              <w:ind w:firstLine="0"/>
              <w:jc w:val="center"/>
              <w:rPr>
                <w:color w:val="000000"/>
                <w:sz w:val="20"/>
                <w:szCs w:val="20"/>
              </w:rPr>
            </w:pPr>
            <w:r>
              <w:rPr>
                <w:color w:val="000000"/>
                <w:sz w:val="20"/>
                <w:szCs w:val="20"/>
              </w:rPr>
              <w:t>0,84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7543EC7">
            <w:pPr>
              <w:spacing w:after="0" w:line="240" w:lineRule="auto"/>
              <w:ind w:firstLine="0"/>
              <w:jc w:val="center"/>
              <w:rPr>
                <w:color w:val="000000"/>
                <w:sz w:val="20"/>
                <w:szCs w:val="20"/>
              </w:rPr>
            </w:pPr>
            <w:r>
              <w:rPr>
                <w:color w:val="000000"/>
                <w:sz w:val="20"/>
                <w:szCs w:val="20"/>
              </w:rPr>
              <w:t>0,84</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46B5A1B">
            <w:pPr>
              <w:spacing w:after="0" w:line="240" w:lineRule="auto"/>
              <w:ind w:firstLine="0"/>
              <w:jc w:val="center"/>
              <w:rPr>
                <w:color w:val="000000"/>
                <w:sz w:val="20"/>
                <w:szCs w:val="20"/>
              </w:rPr>
            </w:pPr>
            <w:r>
              <w:rPr>
                <w:color w:val="000000"/>
                <w:sz w:val="20"/>
                <w:szCs w:val="20"/>
              </w:rPr>
              <w:t>0,84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2DB99F4">
            <w:pPr>
              <w:spacing w:after="0" w:line="240" w:lineRule="auto"/>
              <w:ind w:firstLine="0"/>
              <w:jc w:val="center"/>
              <w:rPr>
                <w:color w:val="000000"/>
                <w:sz w:val="20"/>
                <w:szCs w:val="20"/>
              </w:rPr>
            </w:pPr>
            <w:r>
              <w:rPr>
                <w:color w:val="000000"/>
                <w:sz w:val="20"/>
                <w:szCs w:val="20"/>
              </w:rPr>
              <w:t>0,84</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B43D078">
            <w:pPr>
              <w:spacing w:after="0" w:line="240" w:lineRule="auto"/>
              <w:ind w:firstLine="0"/>
              <w:jc w:val="center"/>
              <w:rPr>
                <w:color w:val="000000"/>
                <w:sz w:val="20"/>
                <w:szCs w:val="20"/>
              </w:rPr>
            </w:pPr>
            <w:r>
              <w:rPr>
                <w:color w:val="000000"/>
                <w:sz w:val="20"/>
                <w:szCs w:val="20"/>
              </w:rPr>
              <w:t>0,84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6E40FAF">
            <w:pPr>
              <w:spacing w:after="0" w:line="240" w:lineRule="auto"/>
              <w:ind w:firstLine="0"/>
              <w:jc w:val="center"/>
              <w:rPr>
                <w:color w:val="000000"/>
                <w:sz w:val="20"/>
                <w:szCs w:val="20"/>
              </w:rPr>
            </w:pPr>
            <w:r>
              <w:rPr>
                <w:color w:val="000000"/>
                <w:sz w:val="20"/>
                <w:szCs w:val="20"/>
              </w:rPr>
              <w:t>0,84</w:t>
            </w:r>
          </w:p>
        </w:tc>
      </w:tr>
      <w:tr w14:paraId="274C2206">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25FAC18A">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FC31561">
            <w:pPr>
              <w:spacing w:after="0" w:line="240" w:lineRule="auto"/>
              <w:ind w:firstLine="0"/>
              <w:jc w:val="center"/>
              <w:rPr>
                <w:color w:val="000000"/>
                <w:sz w:val="20"/>
                <w:szCs w:val="20"/>
              </w:rPr>
            </w:pPr>
            <w:r>
              <w:rPr>
                <w:color w:val="000000"/>
                <w:sz w:val="20"/>
                <w:szCs w:val="20"/>
              </w:rPr>
              <w:t>%</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9FBB895">
            <w:pPr>
              <w:spacing w:after="0" w:line="240" w:lineRule="auto"/>
              <w:ind w:firstLine="0"/>
              <w:jc w:val="center"/>
              <w:rPr>
                <w:color w:val="000000"/>
                <w:sz w:val="20"/>
                <w:szCs w:val="20"/>
              </w:rPr>
            </w:pPr>
            <w:r>
              <w:rPr>
                <w:color w:val="000000"/>
                <w:sz w:val="20"/>
                <w:szCs w:val="20"/>
              </w:rPr>
              <w:t>27,81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4898AAF">
            <w:pPr>
              <w:spacing w:after="0" w:line="240" w:lineRule="auto"/>
              <w:ind w:firstLine="0"/>
              <w:jc w:val="center"/>
              <w:rPr>
                <w:color w:val="000000"/>
                <w:sz w:val="20"/>
                <w:szCs w:val="20"/>
              </w:rPr>
            </w:pPr>
            <w:r>
              <w:rPr>
                <w:color w:val="000000"/>
                <w:sz w:val="20"/>
                <w:szCs w:val="20"/>
              </w:rPr>
              <w:t>26,66</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77978EE">
            <w:pPr>
              <w:spacing w:after="0" w:line="240" w:lineRule="auto"/>
              <w:ind w:firstLine="0"/>
              <w:jc w:val="center"/>
              <w:rPr>
                <w:color w:val="000000"/>
                <w:sz w:val="20"/>
                <w:szCs w:val="20"/>
              </w:rPr>
            </w:pPr>
            <w:r>
              <w:rPr>
                <w:color w:val="000000"/>
                <w:sz w:val="20"/>
                <w:szCs w:val="20"/>
              </w:rPr>
              <w:t>25,51</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2EEEAF4">
            <w:pPr>
              <w:spacing w:after="0" w:line="240" w:lineRule="auto"/>
              <w:ind w:firstLine="0"/>
              <w:jc w:val="center"/>
              <w:rPr>
                <w:color w:val="000000"/>
                <w:sz w:val="20"/>
                <w:szCs w:val="20"/>
              </w:rPr>
            </w:pPr>
            <w:r>
              <w:rPr>
                <w:color w:val="000000"/>
                <w:sz w:val="20"/>
                <w:szCs w:val="20"/>
              </w:rPr>
              <w:t>24,38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432AF09">
            <w:pPr>
              <w:spacing w:after="0" w:line="240" w:lineRule="auto"/>
              <w:ind w:firstLine="0"/>
              <w:jc w:val="center"/>
              <w:rPr>
                <w:color w:val="000000"/>
                <w:sz w:val="20"/>
                <w:szCs w:val="20"/>
              </w:rPr>
            </w:pPr>
            <w:r>
              <w:rPr>
                <w:color w:val="000000"/>
                <w:sz w:val="20"/>
                <w:szCs w:val="20"/>
              </w:rPr>
              <w:t>23,27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EAEA12F">
            <w:pPr>
              <w:spacing w:after="0" w:line="240" w:lineRule="auto"/>
              <w:ind w:firstLine="0"/>
              <w:jc w:val="center"/>
              <w:rPr>
                <w:color w:val="000000"/>
                <w:sz w:val="20"/>
                <w:szCs w:val="20"/>
              </w:rPr>
            </w:pPr>
            <w:r>
              <w:rPr>
                <w:color w:val="000000"/>
                <w:sz w:val="20"/>
                <w:szCs w:val="20"/>
              </w:rPr>
              <w:t>22,18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CB39C68">
            <w:pPr>
              <w:spacing w:after="0" w:line="240" w:lineRule="auto"/>
              <w:ind w:firstLine="0"/>
              <w:jc w:val="center"/>
              <w:rPr>
                <w:color w:val="000000"/>
                <w:sz w:val="20"/>
                <w:szCs w:val="20"/>
              </w:rPr>
            </w:pPr>
            <w:r>
              <w:rPr>
                <w:color w:val="000000"/>
                <w:sz w:val="20"/>
                <w:szCs w:val="20"/>
              </w:rPr>
              <w:t>21,11</w:t>
            </w:r>
          </w:p>
        </w:tc>
      </w:tr>
      <w:tr w14:paraId="68E25A52">
        <w:tblPrEx>
          <w:tblCellMar>
            <w:top w:w="0" w:type="dxa"/>
            <w:left w:w="108" w:type="dxa"/>
            <w:bottom w:w="0" w:type="dxa"/>
            <w:right w:w="108" w:type="dxa"/>
          </w:tblCellMar>
        </w:tblPrEx>
        <w:trPr>
          <w:trHeight w:val="20" w:hRule="atLeast"/>
        </w:trPr>
        <w:tc>
          <w:tcPr>
            <w:tcW w:w="4151" w:type="dxa"/>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19D1F3D">
            <w:pPr>
              <w:spacing w:after="0" w:line="240" w:lineRule="auto"/>
              <w:ind w:firstLine="0"/>
              <w:rPr>
                <w:color w:val="000000"/>
                <w:sz w:val="20"/>
                <w:szCs w:val="20"/>
              </w:rPr>
            </w:pPr>
            <w:r>
              <w:rPr>
                <w:color w:val="000000"/>
                <w:sz w:val="20"/>
                <w:szCs w:val="20"/>
              </w:rPr>
              <w:t>Подключенная нагрузка</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6E77047A">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5F94F26">
            <w:pPr>
              <w:spacing w:after="0" w:line="240" w:lineRule="auto"/>
              <w:ind w:firstLine="0"/>
              <w:jc w:val="center"/>
              <w:rPr>
                <w:color w:val="000000"/>
                <w:sz w:val="20"/>
                <w:szCs w:val="20"/>
              </w:rPr>
            </w:pPr>
            <w:r>
              <w:rPr>
                <w:color w:val="000000"/>
                <w:sz w:val="20"/>
                <w:szCs w:val="20"/>
              </w:rPr>
              <w:t>2,18</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F4184BA">
            <w:pPr>
              <w:spacing w:after="0" w:line="240" w:lineRule="auto"/>
              <w:ind w:firstLine="0"/>
              <w:jc w:val="center"/>
              <w:rPr>
                <w:color w:val="000000"/>
                <w:sz w:val="20"/>
                <w:szCs w:val="20"/>
              </w:rPr>
            </w:pPr>
            <w:r>
              <w:rPr>
                <w:color w:val="000000"/>
                <w:sz w:val="20"/>
                <w:szCs w:val="20"/>
              </w:rPr>
              <w:t>2,31</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A46B986">
            <w:pPr>
              <w:spacing w:after="0" w:line="240" w:lineRule="auto"/>
              <w:ind w:firstLine="0"/>
              <w:jc w:val="center"/>
              <w:rPr>
                <w:color w:val="000000"/>
                <w:sz w:val="20"/>
                <w:szCs w:val="20"/>
              </w:rPr>
            </w:pPr>
            <w:r>
              <w:rPr>
                <w:color w:val="000000"/>
                <w:sz w:val="20"/>
                <w:szCs w:val="20"/>
              </w:rPr>
              <w:t>2,45</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09BA30F">
            <w:pPr>
              <w:spacing w:after="0" w:line="240" w:lineRule="auto"/>
              <w:ind w:firstLine="0"/>
              <w:jc w:val="center"/>
              <w:rPr>
                <w:color w:val="000000"/>
                <w:sz w:val="20"/>
                <w:szCs w:val="20"/>
              </w:rPr>
            </w:pPr>
            <w:r>
              <w:rPr>
                <w:color w:val="000000"/>
                <w:sz w:val="20"/>
                <w:szCs w:val="20"/>
              </w:rPr>
              <w:t>2,61</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5A47916">
            <w:pPr>
              <w:spacing w:after="0" w:line="240" w:lineRule="auto"/>
              <w:ind w:firstLine="0"/>
              <w:jc w:val="center"/>
              <w:rPr>
                <w:color w:val="000000"/>
                <w:sz w:val="20"/>
                <w:szCs w:val="20"/>
              </w:rPr>
            </w:pPr>
            <w:r>
              <w:rPr>
                <w:color w:val="000000"/>
                <w:sz w:val="20"/>
                <w:szCs w:val="20"/>
              </w:rPr>
              <w:t>2,77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05B35B77">
            <w:pPr>
              <w:spacing w:after="0" w:line="240" w:lineRule="auto"/>
              <w:ind w:firstLine="0"/>
              <w:jc w:val="center"/>
              <w:rPr>
                <w:color w:val="000000"/>
                <w:sz w:val="20"/>
                <w:szCs w:val="20"/>
              </w:rPr>
            </w:pPr>
            <w:r>
              <w:rPr>
                <w:color w:val="000000"/>
                <w:sz w:val="20"/>
                <w:szCs w:val="20"/>
              </w:rPr>
              <w:t>2,95</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8F0694D">
            <w:pPr>
              <w:spacing w:after="0" w:line="240" w:lineRule="auto"/>
              <w:ind w:firstLine="0"/>
              <w:jc w:val="center"/>
              <w:rPr>
                <w:color w:val="000000"/>
                <w:sz w:val="20"/>
                <w:szCs w:val="20"/>
              </w:rPr>
            </w:pPr>
            <w:r>
              <w:rPr>
                <w:color w:val="000000"/>
                <w:sz w:val="20"/>
                <w:szCs w:val="20"/>
              </w:rPr>
              <w:t>3,14</w:t>
            </w:r>
          </w:p>
        </w:tc>
      </w:tr>
      <w:tr w14:paraId="087B2C82">
        <w:tblPrEx>
          <w:tblCellMar>
            <w:top w:w="0" w:type="dxa"/>
            <w:left w:w="108" w:type="dxa"/>
            <w:bottom w:w="0" w:type="dxa"/>
            <w:right w:w="108" w:type="dxa"/>
          </w:tblCellMar>
        </w:tblPrEx>
        <w:trPr>
          <w:trHeight w:val="20" w:hRule="atLeast"/>
        </w:trPr>
        <w:tc>
          <w:tcPr>
            <w:tcW w:w="415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41898764">
            <w:pPr>
              <w:spacing w:after="0" w:line="240" w:lineRule="auto"/>
              <w:ind w:firstLine="0"/>
              <w:rPr>
                <w:color w:val="000000"/>
                <w:sz w:val="20"/>
                <w:szCs w:val="20"/>
              </w:rPr>
            </w:pPr>
            <w:r>
              <w:rPr>
                <w:color w:val="000000"/>
                <w:sz w:val="20"/>
                <w:szCs w:val="20"/>
              </w:rPr>
              <w:t>Резерв (+)/ Дефицит (-) мощности</w:t>
            </w: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103A2A93">
            <w:pPr>
              <w:spacing w:after="0" w:line="240" w:lineRule="auto"/>
              <w:ind w:firstLine="0"/>
              <w:jc w:val="center"/>
              <w:rPr>
                <w:color w:val="000000"/>
                <w:sz w:val="20"/>
                <w:szCs w:val="20"/>
              </w:rPr>
            </w:pPr>
            <w:r>
              <w:rPr>
                <w:color w:val="000000"/>
                <w:sz w:val="20"/>
                <w:szCs w:val="20"/>
              </w:rPr>
              <w:t>Гкал/ч</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B0F9217">
            <w:pPr>
              <w:spacing w:after="0" w:line="240" w:lineRule="auto"/>
              <w:ind w:firstLine="0"/>
              <w:jc w:val="center"/>
              <w:rPr>
                <w:color w:val="000000"/>
                <w:sz w:val="20"/>
                <w:szCs w:val="20"/>
              </w:rPr>
            </w:pPr>
            <w:r>
              <w:rPr>
                <w:color w:val="000000"/>
                <w:sz w:val="20"/>
                <w:szCs w:val="20"/>
              </w:rPr>
              <w:t>14,96</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C889E02">
            <w:pPr>
              <w:spacing w:after="0" w:line="240" w:lineRule="auto"/>
              <w:ind w:firstLine="0"/>
              <w:jc w:val="center"/>
              <w:rPr>
                <w:color w:val="000000"/>
                <w:sz w:val="20"/>
                <w:szCs w:val="20"/>
              </w:rPr>
            </w:pPr>
            <w:r>
              <w:rPr>
                <w:color w:val="000000"/>
                <w:sz w:val="20"/>
                <w:szCs w:val="20"/>
              </w:rPr>
              <w:t>14,83</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2785383">
            <w:pPr>
              <w:spacing w:after="0" w:line="240" w:lineRule="auto"/>
              <w:ind w:firstLine="0"/>
              <w:jc w:val="center"/>
              <w:rPr>
                <w:color w:val="000000"/>
                <w:sz w:val="20"/>
                <w:szCs w:val="20"/>
              </w:rPr>
            </w:pPr>
            <w:r>
              <w:rPr>
                <w:color w:val="000000"/>
                <w:sz w:val="20"/>
                <w:szCs w:val="20"/>
              </w:rPr>
              <w:t>14,69</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8510877">
            <w:pPr>
              <w:spacing w:after="0" w:line="240" w:lineRule="auto"/>
              <w:ind w:firstLine="0"/>
              <w:jc w:val="center"/>
              <w:rPr>
                <w:color w:val="000000"/>
                <w:sz w:val="20"/>
                <w:szCs w:val="20"/>
              </w:rPr>
            </w:pPr>
            <w:r>
              <w:rPr>
                <w:color w:val="000000"/>
                <w:sz w:val="20"/>
                <w:szCs w:val="20"/>
              </w:rPr>
              <w:t>14,53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5CD1863">
            <w:pPr>
              <w:spacing w:after="0" w:line="240" w:lineRule="auto"/>
              <w:ind w:firstLine="0"/>
              <w:jc w:val="center"/>
              <w:rPr>
                <w:color w:val="000000"/>
                <w:sz w:val="20"/>
                <w:szCs w:val="20"/>
              </w:rPr>
            </w:pPr>
            <w:r>
              <w:rPr>
                <w:color w:val="000000"/>
                <w:sz w:val="20"/>
                <w:szCs w:val="20"/>
              </w:rPr>
              <w:t>14,37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78A7635B">
            <w:pPr>
              <w:spacing w:after="0" w:line="240" w:lineRule="auto"/>
              <w:ind w:firstLine="0"/>
              <w:jc w:val="center"/>
              <w:rPr>
                <w:color w:val="000000"/>
                <w:sz w:val="20"/>
                <w:szCs w:val="20"/>
              </w:rPr>
            </w:pPr>
            <w:r>
              <w:rPr>
                <w:color w:val="000000"/>
                <w:sz w:val="20"/>
                <w:szCs w:val="20"/>
              </w:rPr>
              <w:t>14,19</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6A6B00C2">
            <w:pPr>
              <w:spacing w:after="0" w:line="240" w:lineRule="auto"/>
              <w:ind w:firstLine="0"/>
              <w:jc w:val="center"/>
              <w:rPr>
                <w:color w:val="000000"/>
                <w:sz w:val="20"/>
                <w:szCs w:val="20"/>
              </w:rPr>
            </w:pPr>
            <w:r>
              <w:rPr>
                <w:color w:val="000000"/>
                <w:sz w:val="20"/>
                <w:szCs w:val="20"/>
              </w:rPr>
              <w:t>14,00</w:t>
            </w:r>
          </w:p>
        </w:tc>
      </w:tr>
      <w:tr w14:paraId="0CA293F4">
        <w:tblPrEx>
          <w:tblCellMar>
            <w:top w:w="0" w:type="dxa"/>
            <w:left w:w="108" w:type="dxa"/>
            <w:bottom w:w="0" w:type="dxa"/>
            <w:right w:w="108" w:type="dxa"/>
          </w:tblCellMar>
        </w:tblPrEx>
        <w:trPr>
          <w:trHeight w:val="20" w:hRule="atLeast"/>
        </w:trPr>
        <w:tc>
          <w:tcPr>
            <w:tcW w:w="415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5909B550">
            <w:pPr>
              <w:spacing w:after="0" w:line="240" w:lineRule="auto"/>
              <w:ind w:firstLine="0"/>
              <w:rPr>
                <w:color w:val="000000"/>
                <w:sz w:val="20"/>
                <w:szCs w:val="20"/>
              </w:rPr>
            </w:pPr>
          </w:p>
        </w:tc>
        <w:tc>
          <w:tcPr>
            <w:tcW w:w="1880" w:type="dxa"/>
            <w:tcBorders>
              <w:top w:val="nil"/>
              <w:left w:val="nil"/>
              <w:bottom w:val="single" w:color="auto" w:sz="4" w:space="0"/>
              <w:right w:val="single" w:color="auto" w:sz="4" w:space="0"/>
            </w:tcBorders>
            <w:shd w:val="clear" w:color="auto" w:fill="auto"/>
            <w:tcMar>
              <w:left w:w="28" w:type="dxa"/>
              <w:right w:w="28" w:type="dxa"/>
            </w:tcMar>
            <w:vAlign w:val="center"/>
          </w:tcPr>
          <w:p w14:paraId="36AF87AA">
            <w:pPr>
              <w:spacing w:after="0" w:line="240" w:lineRule="auto"/>
              <w:ind w:firstLine="0"/>
              <w:jc w:val="center"/>
              <w:rPr>
                <w:color w:val="000000"/>
                <w:sz w:val="20"/>
                <w:szCs w:val="20"/>
              </w:rPr>
            </w:pPr>
            <w:r>
              <w:rPr>
                <w:color w:val="000000"/>
                <w:sz w:val="20"/>
                <w:szCs w:val="20"/>
              </w:rPr>
              <w:t>%</w:t>
            </w:r>
          </w:p>
        </w:tc>
        <w:tc>
          <w:tcPr>
            <w:tcW w:w="1270" w:type="dxa"/>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643E44B">
            <w:pPr>
              <w:spacing w:after="0" w:line="240" w:lineRule="auto"/>
              <w:ind w:firstLine="0"/>
              <w:jc w:val="center"/>
              <w:rPr>
                <w:color w:val="000000"/>
                <w:sz w:val="20"/>
                <w:szCs w:val="20"/>
              </w:rPr>
            </w:pPr>
            <w:r>
              <w:rPr>
                <w:color w:val="000000"/>
                <w:sz w:val="20"/>
                <w:szCs w:val="20"/>
              </w:rPr>
              <w:t>83,20</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30338FDE">
            <w:pPr>
              <w:spacing w:after="0" w:line="240" w:lineRule="auto"/>
              <w:ind w:firstLine="0"/>
              <w:jc w:val="center"/>
              <w:rPr>
                <w:color w:val="000000"/>
                <w:sz w:val="20"/>
                <w:szCs w:val="20"/>
              </w:rPr>
            </w:pPr>
            <w:r>
              <w:rPr>
                <w:color w:val="000000"/>
                <w:sz w:val="20"/>
                <w:szCs w:val="20"/>
              </w:rPr>
              <w:t>82,47</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41B7ED6">
            <w:pPr>
              <w:spacing w:after="0" w:line="240" w:lineRule="auto"/>
              <w:ind w:firstLine="0"/>
              <w:jc w:val="center"/>
              <w:rPr>
                <w:color w:val="000000"/>
                <w:sz w:val="20"/>
                <w:szCs w:val="20"/>
              </w:rPr>
            </w:pPr>
            <w:r>
              <w:rPr>
                <w:color w:val="000000"/>
                <w:sz w:val="20"/>
                <w:szCs w:val="20"/>
              </w:rPr>
              <w:t>81,69</w:t>
            </w:r>
          </w:p>
        </w:tc>
        <w:tc>
          <w:tcPr>
            <w:tcW w:w="1211"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15F0DBEF">
            <w:pPr>
              <w:spacing w:after="0" w:line="240" w:lineRule="auto"/>
              <w:ind w:firstLine="0"/>
              <w:jc w:val="center"/>
              <w:rPr>
                <w:color w:val="000000"/>
                <w:sz w:val="20"/>
                <w:szCs w:val="20"/>
              </w:rPr>
            </w:pPr>
            <w:r>
              <w:rPr>
                <w:color w:val="000000"/>
                <w:sz w:val="20"/>
                <w:szCs w:val="20"/>
              </w:rPr>
              <w:t>80,84</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4DBFA1B4">
            <w:pPr>
              <w:spacing w:after="0" w:line="240" w:lineRule="auto"/>
              <w:ind w:firstLine="0"/>
              <w:jc w:val="center"/>
              <w:rPr>
                <w:color w:val="000000"/>
                <w:sz w:val="20"/>
                <w:szCs w:val="20"/>
              </w:rPr>
            </w:pPr>
            <w:r>
              <w:rPr>
                <w:color w:val="000000"/>
                <w:sz w:val="20"/>
                <w:szCs w:val="20"/>
              </w:rPr>
              <w:t>79,92</w:t>
            </w:r>
          </w:p>
        </w:tc>
        <w:tc>
          <w:tcPr>
            <w:tcW w:w="1209"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5EBB7869">
            <w:pPr>
              <w:spacing w:after="0" w:line="240" w:lineRule="auto"/>
              <w:ind w:firstLine="0"/>
              <w:jc w:val="center"/>
              <w:rPr>
                <w:color w:val="000000"/>
                <w:sz w:val="20"/>
                <w:szCs w:val="20"/>
              </w:rPr>
            </w:pPr>
            <w:r>
              <w:rPr>
                <w:color w:val="000000"/>
                <w:sz w:val="20"/>
                <w:szCs w:val="20"/>
              </w:rPr>
              <w:t>78,93</w:t>
            </w:r>
          </w:p>
        </w:tc>
        <w:tc>
          <w:tcPr>
            <w:tcW w:w="1210" w:type="dxa"/>
            <w:tcBorders>
              <w:top w:val="nil"/>
              <w:left w:val="nil"/>
              <w:bottom w:val="single" w:color="auto" w:sz="4" w:space="0"/>
              <w:right w:val="single" w:color="auto" w:sz="4" w:space="0"/>
            </w:tcBorders>
            <w:shd w:val="clear" w:color="auto" w:fill="auto"/>
            <w:noWrap/>
            <w:tcMar>
              <w:left w:w="28" w:type="dxa"/>
              <w:right w:w="28" w:type="dxa"/>
            </w:tcMar>
            <w:vAlign w:val="center"/>
          </w:tcPr>
          <w:p w14:paraId="2631ADDF">
            <w:pPr>
              <w:spacing w:after="0" w:line="240" w:lineRule="auto"/>
              <w:ind w:firstLine="0"/>
              <w:jc w:val="center"/>
              <w:rPr>
                <w:color w:val="000000"/>
                <w:sz w:val="20"/>
                <w:szCs w:val="20"/>
              </w:rPr>
            </w:pPr>
            <w:r>
              <w:rPr>
                <w:color w:val="000000"/>
                <w:sz w:val="20"/>
                <w:szCs w:val="20"/>
              </w:rPr>
              <w:t>77,87</w:t>
            </w:r>
          </w:p>
        </w:tc>
      </w:tr>
      <w:bookmarkEnd w:id="342"/>
    </w:tbl>
    <w:p w14:paraId="5E8EFE35">
      <w:pPr>
        <w:spacing w:after="0" w:line="240" w:lineRule="auto"/>
        <w:ind w:firstLine="0"/>
        <w:contextualSpacing/>
        <w:jc w:val="both"/>
        <w:rPr>
          <w:sz w:val="24"/>
          <w:szCs w:val="24"/>
        </w:rPr>
      </w:pPr>
    </w:p>
    <w:p w14:paraId="261FF67D">
      <w:pPr>
        <w:spacing w:after="0" w:line="240" w:lineRule="auto"/>
        <w:ind w:firstLine="0"/>
        <w:contextualSpacing/>
        <w:jc w:val="both"/>
        <w:rPr>
          <w:sz w:val="24"/>
          <w:szCs w:val="24"/>
        </w:rPr>
      </w:pPr>
    </w:p>
    <w:p w14:paraId="2D1746E9">
      <w:pPr>
        <w:spacing w:after="0" w:line="240" w:lineRule="auto"/>
        <w:ind w:firstLine="0"/>
        <w:contextualSpacing/>
        <w:jc w:val="both"/>
        <w:rPr>
          <w:sz w:val="24"/>
          <w:szCs w:val="24"/>
        </w:rPr>
      </w:pPr>
    </w:p>
    <w:p w14:paraId="00EEF7F3">
      <w:pPr>
        <w:spacing w:after="0" w:line="240" w:lineRule="auto"/>
        <w:ind w:firstLine="0"/>
        <w:contextualSpacing/>
        <w:jc w:val="both"/>
        <w:rPr>
          <w:sz w:val="24"/>
          <w:szCs w:val="24"/>
        </w:rPr>
      </w:pPr>
    </w:p>
    <w:p w14:paraId="017157B4">
      <w:pPr>
        <w:jc w:val="both"/>
        <w:rPr>
          <w:rFonts w:eastAsia="Arial"/>
          <w:spacing w:val="-5"/>
        </w:rPr>
        <w:sectPr>
          <w:pgSz w:w="16838" w:h="11906" w:orient="landscape"/>
          <w:pgMar w:top="1701" w:right="1134" w:bottom="567" w:left="1134" w:header="283" w:footer="567" w:gutter="0"/>
          <w:cols w:space="708" w:num="1"/>
          <w:docGrid w:linePitch="360" w:charSpace="0"/>
        </w:sectPr>
      </w:pPr>
    </w:p>
    <w:p w14:paraId="1A137250">
      <w:pPr>
        <w:pStyle w:val="3"/>
        <w:spacing w:before="0" w:line="240" w:lineRule="auto"/>
        <w:ind w:left="0" w:firstLine="709"/>
        <w:contextualSpacing/>
        <w:rPr>
          <w:rFonts w:cs="Times New Roman"/>
          <w:b w:val="0"/>
          <w:sz w:val="24"/>
          <w:szCs w:val="24"/>
        </w:rPr>
      </w:pPr>
      <w:bookmarkStart w:id="343" w:name="_Toc524614827"/>
      <w:bookmarkStart w:id="344" w:name="_Toc524615043"/>
      <w:bookmarkStart w:id="345" w:name="_Toc182813960"/>
      <w:r>
        <w:rPr>
          <w:rFonts w:cs="Times New Roman"/>
          <w:b w:val="0"/>
          <w:sz w:val="24"/>
          <w:szCs w:val="24"/>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w:t>
      </w:r>
      <w:bookmarkEnd w:id="343"/>
      <w:bookmarkEnd w:id="344"/>
      <w:r>
        <w:rPr>
          <w:rFonts w:cs="Times New Roman"/>
          <w:b w:val="0"/>
          <w:sz w:val="24"/>
          <w:szCs w:val="24"/>
        </w:rPr>
        <w:t>на каждом этапе</w:t>
      </w:r>
      <w:bookmarkEnd w:id="345"/>
    </w:p>
    <w:p w14:paraId="539EA00B">
      <w:pPr>
        <w:spacing w:after="0" w:line="240" w:lineRule="auto"/>
        <w:contextualSpacing/>
        <w:jc w:val="both"/>
        <w:rPr>
          <w:sz w:val="24"/>
          <w:szCs w:val="24"/>
        </w:rPr>
      </w:pPr>
      <w:bookmarkStart w:id="346" w:name="_Hlk28338194"/>
      <w:bookmarkStart w:id="347" w:name="_Hlk43372799"/>
      <w:bookmarkStart w:id="348" w:name="_Hlk26197785"/>
      <w:bookmarkStart w:id="349" w:name="_Hlk22206168"/>
      <w:r>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с.п. Верхеказымский.</w:t>
      </w:r>
    </w:p>
    <w:p w14:paraId="741DEA1B">
      <w:pPr>
        <w:spacing w:after="0" w:line="240" w:lineRule="auto"/>
        <w:contextualSpacing/>
        <w:jc w:val="both"/>
        <w:rPr>
          <w:sz w:val="24"/>
          <w:szCs w:val="24"/>
        </w:rPr>
      </w:pPr>
      <w:r>
        <w:rPr>
          <w:sz w:val="24"/>
          <w:szCs w:val="24"/>
        </w:rPr>
        <w:t>Основными задачами по регенерации и развитию жилых территорий населенного пункта являются:</w:t>
      </w:r>
    </w:p>
    <w:p w14:paraId="7516F4AB">
      <w:pPr>
        <w:spacing w:after="0" w:line="240" w:lineRule="auto"/>
        <w:contextualSpacing/>
        <w:jc w:val="both"/>
        <w:rPr>
          <w:sz w:val="24"/>
          <w:szCs w:val="24"/>
        </w:rPr>
      </w:pPr>
      <w:r>
        <w:rPr>
          <w:sz w:val="24"/>
          <w:szCs w:val="24"/>
        </w:rPr>
        <w:t>1) развитие жилых территорий за счёт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инфраструктуры;</w:t>
      </w:r>
    </w:p>
    <w:p w14:paraId="24ACAB98">
      <w:pPr>
        <w:spacing w:after="0" w:line="240" w:lineRule="auto"/>
        <w:contextualSpacing/>
        <w:jc w:val="both"/>
        <w:rPr>
          <w:sz w:val="24"/>
          <w:szCs w:val="24"/>
        </w:rPr>
      </w:pPr>
      <w:r>
        <w:rPr>
          <w:sz w:val="24"/>
          <w:szCs w:val="24"/>
        </w:rPr>
        <w:t>2) развитие жилых территорий за счёт освоения внутрипоселковых территориальных резервов путём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14:paraId="0682A849">
      <w:pPr>
        <w:spacing w:after="0" w:line="240" w:lineRule="auto"/>
        <w:contextualSpacing/>
        <w:jc w:val="both"/>
        <w:rPr>
          <w:sz w:val="24"/>
          <w:szCs w:val="24"/>
        </w:rPr>
      </w:pPr>
      <w:r>
        <w:rPr>
          <w:sz w:val="24"/>
          <w:szCs w:val="24"/>
        </w:rPr>
        <w:t>3) увеличение объемов комплексной реконструкции и благоустройства жилых территорий, капитального ремонта жилых домов, ликвидация аварийного и ветхого жилищного фонда;</w:t>
      </w:r>
    </w:p>
    <w:p w14:paraId="23D8F5D7">
      <w:pPr>
        <w:spacing w:after="0" w:line="240" w:lineRule="auto"/>
        <w:contextualSpacing/>
        <w:jc w:val="both"/>
        <w:rPr>
          <w:sz w:val="24"/>
          <w:szCs w:val="24"/>
        </w:rPr>
      </w:pPr>
      <w:r>
        <w:rPr>
          <w:sz w:val="24"/>
          <w:szCs w:val="24"/>
        </w:rPr>
        <w:t>4) вынос территории жилых кварталов из санитарно-защитных зон объектов с негативным воздействием на окружающую среду, не соответствующих нормативным требованиям по отношению к застройке этих территорий;</w:t>
      </w:r>
    </w:p>
    <w:p w14:paraId="39EB0E22">
      <w:pPr>
        <w:spacing w:after="0" w:line="240" w:lineRule="auto"/>
        <w:contextualSpacing/>
        <w:jc w:val="both"/>
        <w:rPr>
          <w:sz w:val="24"/>
          <w:szCs w:val="24"/>
        </w:rPr>
      </w:pPr>
      <w:r>
        <w:rPr>
          <w:sz w:val="24"/>
          <w:szCs w:val="24"/>
        </w:rPr>
        <w:t>5) формирование многообразия жилой застройки, удовлетворяющее запросам различных групп населения.</w:t>
      </w:r>
    </w:p>
    <w:p w14:paraId="5D3EE375">
      <w:pPr>
        <w:spacing w:after="0" w:line="240" w:lineRule="auto"/>
        <w:contextualSpacing/>
        <w:jc w:val="both"/>
        <w:rPr>
          <w:sz w:val="24"/>
          <w:szCs w:val="24"/>
        </w:rPr>
      </w:pPr>
    </w:p>
    <w:p w14:paraId="3F85731C">
      <w:pPr>
        <w:spacing w:after="0" w:line="240" w:lineRule="auto"/>
        <w:contextualSpacing/>
        <w:jc w:val="both"/>
        <w:rPr>
          <w:sz w:val="24"/>
          <w:szCs w:val="24"/>
        </w:rPr>
      </w:pPr>
      <w:r>
        <w:rPr>
          <w:sz w:val="24"/>
          <w:szCs w:val="24"/>
        </w:rPr>
        <w:t>Развитие жилой застройки планируется за счет регенерации существующего жилищного фонда – реконструкции либо снос ветхого жилья и организации строительства новых благоустроенных жилых домов. В частности – организация строительства новых домов на месте ветхих в микрорайоне 2, и организация строительства новых многоквартирных жилых домов в микрорайоне 3. На расчетный срок предусматривается освоение свободных территорий в северной и восточной части поселка под строительство кварталов индивидуальной малоэтажной застройки, а также предлагаются резервные территории в северо-восточной части для жилых кварталов за расчетный срок.</w:t>
      </w:r>
    </w:p>
    <w:p w14:paraId="500008E3">
      <w:pPr>
        <w:spacing w:after="0" w:line="240" w:lineRule="auto"/>
        <w:contextualSpacing/>
        <w:jc w:val="both"/>
        <w:rPr>
          <w:sz w:val="24"/>
          <w:szCs w:val="24"/>
        </w:rPr>
      </w:pPr>
      <w:r>
        <w:rPr>
          <w:sz w:val="24"/>
          <w:szCs w:val="24"/>
        </w:rPr>
        <w:t>В таблице 46 приведены прогнозные приросты строительных фондов в с.п. Верхнеказымский. В с.п. Верхнеказымский предполагается только движение жилого фонда.</w:t>
      </w:r>
    </w:p>
    <w:p w14:paraId="4DBE487A">
      <w:pPr>
        <w:spacing w:after="0" w:line="240" w:lineRule="auto"/>
        <w:contextualSpacing/>
        <w:jc w:val="both"/>
        <w:rPr>
          <w:sz w:val="24"/>
          <w:szCs w:val="24"/>
        </w:rPr>
      </w:pPr>
    </w:p>
    <w:p w14:paraId="4C79F074">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46</w:t>
      </w:r>
      <w:r>
        <w:rPr>
          <w:sz w:val="24"/>
          <w:szCs w:val="24"/>
        </w:rPr>
        <w:fldChar w:fldCharType="end"/>
      </w:r>
      <w:r>
        <w:rPr>
          <w:sz w:val="24"/>
          <w:szCs w:val="24"/>
        </w:rPr>
        <w:t xml:space="preserve"> – Прогнозные приросты строительных фондов в с.п. Верхнеказымский</w:t>
      </w:r>
    </w:p>
    <w:tbl>
      <w:tblPr>
        <w:tblStyle w:val="12"/>
        <w:tblW w:w="5000" w:type="pct"/>
        <w:tblInd w:w="0" w:type="dxa"/>
        <w:tblLayout w:type="autofit"/>
        <w:tblCellMar>
          <w:top w:w="0" w:type="dxa"/>
          <w:left w:w="108" w:type="dxa"/>
          <w:bottom w:w="0" w:type="dxa"/>
          <w:right w:w="108" w:type="dxa"/>
        </w:tblCellMar>
      </w:tblPr>
      <w:tblGrid>
        <w:gridCol w:w="6610"/>
        <w:gridCol w:w="3244"/>
      </w:tblGrid>
      <w:tr w14:paraId="73AC9260">
        <w:tblPrEx>
          <w:tblCellMar>
            <w:top w:w="0" w:type="dxa"/>
            <w:left w:w="108" w:type="dxa"/>
            <w:bottom w:w="0" w:type="dxa"/>
            <w:right w:w="108" w:type="dxa"/>
          </w:tblCellMar>
        </w:tblPrEx>
        <w:trPr>
          <w:trHeight w:val="292" w:hRule="atLeast"/>
        </w:trPr>
        <w:tc>
          <w:tcPr>
            <w:tcW w:w="3354" w:type="pct"/>
            <w:tcBorders>
              <w:top w:val="single" w:color="000000" w:sz="4" w:space="0"/>
              <w:left w:val="single" w:color="000000" w:sz="4" w:space="0"/>
              <w:bottom w:val="single" w:color="000000" w:sz="4" w:space="0"/>
            </w:tcBorders>
            <w:vAlign w:val="center"/>
          </w:tcPr>
          <w:p w14:paraId="5D356E46">
            <w:pPr>
              <w:spacing w:after="0" w:line="240" w:lineRule="auto"/>
              <w:ind w:firstLine="0"/>
              <w:contextualSpacing/>
              <w:jc w:val="center"/>
              <w:rPr>
                <w:sz w:val="20"/>
                <w:szCs w:val="20"/>
              </w:rPr>
            </w:pPr>
            <w:r>
              <w:rPr>
                <w:sz w:val="20"/>
                <w:szCs w:val="20"/>
              </w:rPr>
              <w:t>Наименование</w:t>
            </w:r>
          </w:p>
        </w:tc>
        <w:tc>
          <w:tcPr>
            <w:tcW w:w="1646" w:type="pct"/>
            <w:tcBorders>
              <w:top w:val="single" w:color="000000" w:sz="4" w:space="0"/>
              <w:left w:val="single" w:color="000000" w:sz="4" w:space="0"/>
              <w:bottom w:val="single" w:color="000000" w:sz="4" w:space="0"/>
              <w:right w:val="single" w:color="000000" w:sz="4" w:space="0"/>
            </w:tcBorders>
            <w:vAlign w:val="center"/>
          </w:tcPr>
          <w:p w14:paraId="590D6365">
            <w:pPr>
              <w:spacing w:after="0" w:line="240" w:lineRule="auto"/>
              <w:ind w:firstLine="0"/>
              <w:contextualSpacing/>
              <w:jc w:val="center"/>
              <w:rPr>
                <w:sz w:val="20"/>
                <w:szCs w:val="20"/>
              </w:rPr>
            </w:pPr>
            <w:r>
              <w:rPr>
                <w:sz w:val="20"/>
                <w:szCs w:val="20"/>
              </w:rPr>
              <w:t>Расчетный срок, га</w:t>
            </w:r>
          </w:p>
        </w:tc>
      </w:tr>
      <w:tr w14:paraId="1F3A608A">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1D8645CB">
            <w:pPr>
              <w:spacing w:after="0" w:line="240" w:lineRule="auto"/>
              <w:ind w:firstLine="0"/>
              <w:contextualSpacing/>
              <w:rPr>
                <w:sz w:val="20"/>
                <w:szCs w:val="20"/>
              </w:rPr>
            </w:pPr>
            <w:r>
              <w:rPr>
                <w:b/>
                <w:sz w:val="20"/>
                <w:szCs w:val="20"/>
              </w:rPr>
              <w:t>п. Верхнеказымский</w:t>
            </w:r>
          </w:p>
        </w:tc>
        <w:tc>
          <w:tcPr>
            <w:tcW w:w="1646" w:type="pct"/>
            <w:tcBorders>
              <w:top w:val="single" w:color="000000" w:sz="4" w:space="0"/>
              <w:left w:val="single" w:color="000000" w:sz="4" w:space="0"/>
              <w:bottom w:val="single" w:color="000000" w:sz="4" w:space="0"/>
              <w:right w:val="single" w:color="000000" w:sz="4" w:space="0"/>
            </w:tcBorders>
            <w:vAlign w:val="center"/>
          </w:tcPr>
          <w:p w14:paraId="14988EBC">
            <w:pPr>
              <w:spacing w:after="0" w:line="240" w:lineRule="auto"/>
              <w:ind w:firstLine="0"/>
              <w:contextualSpacing/>
              <w:jc w:val="center"/>
              <w:rPr>
                <w:sz w:val="20"/>
                <w:szCs w:val="20"/>
              </w:rPr>
            </w:pPr>
          </w:p>
        </w:tc>
      </w:tr>
      <w:tr w14:paraId="5FCA95A2">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03F5B079">
            <w:pPr>
              <w:spacing w:after="0" w:line="240" w:lineRule="auto"/>
              <w:ind w:firstLine="0"/>
              <w:contextualSpacing/>
              <w:rPr>
                <w:sz w:val="20"/>
                <w:szCs w:val="20"/>
              </w:rPr>
            </w:pPr>
            <w:r>
              <w:rPr>
                <w:sz w:val="20"/>
                <w:szCs w:val="20"/>
              </w:rPr>
              <w:t>Жилищный фонд всего, в том числе:</w:t>
            </w:r>
          </w:p>
        </w:tc>
        <w:tc>
          <w:tcPr>
            <w:tcW w:w="1646" w:type="pct"/>
            <w:tcBorders>
              <w:top w:val="single" w:color="000000" w:sz="4" w:space="0"/>
              <w:left w:val="single" w:color="000000" w:sz="4" w:space="0"/>
              <w:bottom w:val="single" w:color="000000" w:sz="4" w:space="0"/>
              <w:right w:val="single" w:color="000000" w:sz="4" w:space="0"/>
            </w:tcBorders>
            <w:vAlign w:val="center"/>
          </w:tcPr>
          <w:p w14:paraId="4AAE0C80">
            <w:pPr>
              <w:spacing w:after="0" w:line="240" w:lineRule="auto"/>
              <w:ind w:firstLine="0"/>
              <w:contextualSpacing/>
              <w:jc w:val="center"/>
              <w:rPr>
                <w:sz w:val="20"/>
                <w:szCs w:val="20"/>
              </w:rPr>
            </w:pPr>
            <w:r>
              <w:rPr>
                <w:sz w:val="20"/>
                <w:szCs w:val="20"/>
              </w:rPr>
              <w:t>55,4</w:t>
            </w:r>
          </w:p>
        </w:tc>
      </w:tr>
      <w:tr w14:paraId="50DF08D6">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47DF1EE5">
            <w:pPr>
              <w:spacing w:after="0" w:line="240" w:lineRule="auto"/>
              <w:ind w:firstLine="0"/>
              <w:contextualSpacing/>
              <w:rPr>
                <w:sz w:val="20"/>
                <w:szCs w:val="20"/>
              </w:rPr>
            </w:pPr>
            <w:r>
              <w:rPr>
                <w:sz w:val="20"/>
                <w:szCs w:val="20"/>
              </w:rPr>
              <w:t xml:space="preserve">многоквартирный </w:t>
            </w:r>
          </w:p>
        </w:tc>
        <w:tc>
          <w:tcPr>
            <w:tcW w:w="1646" w:type="pct"/>
            <w:tcBorders>
              <w:top w:val="single" w:color="000000" w:sz="4" w:space="0"/>
              <w:left w:val="single" w:color="000000" w:sz="4" w:space="0"/>
              <w:bottom w:val="single" w:color="000000" w:sz="4" w:space="0"/>
              <w:right w:val="single" w:color="000000" w:sz="4" w:space="0"/>
            </w:tcBorders>
            <w:vAlign w:val="center"/>
          </w:tcPr>
          <w:p w14:paraId="73EF6651">
            <w:pPr>
              <w:spacing w:after="0" w:line="240" w:lineRule="auto"/>
              <w:ind w:firstLine="0"/>
              <w:contextualSpacing/>
              <w:jc w:val="center"/>
              <w:rPr>
                <w:sz w:val="20"/>
                <w:szCs w:val="20"/>
              </w:rPr>
            </w:pPr>
            <w:r>
              <w:rPr>
                <w:sz w:val="20"/>
                <w:szCs w:val="20"/>
              </w:rPr>
              <w:t>42,2</w:t>
            </w:r>
          </w:p>
        </w:tc>
      </w:tr>
      <w:tr w14:paraId="1B70F7AE">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6ACB3FAF">
            <w:pPr>
              <w:spacing w:after="0" w:line="240" w:lineRule="auto"/>
              <w:ind w:firstLine="0"/>
              <w:contextualSpacing/>
              <w:rPr>
                <w:sz w:val="20"/>
                <w:szCs w:val="20"/>
              </w:rPr>
            </w:pPr>
            <w:r>
              <w:rPr>
                <w:sz w:val="20"/>
                <w:szCs w:val="20"/>
              </w:rPr>
              <w:t>индивидуальный</w:t>
            </w:r>
          </w:p>
        </w:tc>
        <w:tc>
          <w:tcPr>
            <w:tcW w:w="1646" w:type="pct"/>
            <w:tcBorders>
              <w:top w:val="single" w:color="000000" w:sz="4" w:space="0"/>
              <w:left w:val="single" w:color="000000" w:sz="4" w:space="0"/>
              <w:bottom w:val="single" w:color="000000" w:sz="4" w:space="0"/>
              <w:right w:val="single" w:color="000000" w:sz="4" w:space="0"/>
            </w:tcBorders>
            <w:vAlign w:val="center"/>
          </w:tcPr>
          <w:p w14:paraId="1F247BC0">
            <w:pPr>
              <w:spacing w:after="0" w:line="240" w:lineRule="auto"/>
              <w:ind w:firstLine="0"/>
              <w:contextualSpacing/>
              <w:jc w:val="center"/>
              <w:rPr>
                <w:sz w:val="20"/>
                <w:szCs w:val="20"/>
              </w:rPr>
            </w:pPr>
            <w:r>
              <w:rPr>
                <w:sz w:val="20"/>
                <w:szCs w:val="20"/>
              </w:rPr>
              <w:t>13,2</w:t>
            </w:r>
          </w:p>
        </w:tc>
      </w:tr>
      <w:tr w14:paraId="4FB27988">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24333A77">
            <w:pPr>
              <w:spacing w:after="0" w:line="240" w:lineRule="auto"/>
              <w:ind w:firstLine="0"/>
              <w:contextualSpacing/>
              <w:rPr>
                <w:sz w:val="20"/>
                <w:szCs w:val="20"/>
              </w:rPr>
            </w:pPr>
            <w:r>
              <w:rPr>
                <w:sz w:val="20"/>
                <w:szCs w:val="20"/>
              </w:rPr>
              <w:t>инвентарный</w:t>
            </w:r>
          </w:p>
        </w:tc>
        <w:tc>
          <w:tcPr>
            <w:tcW w:w="1646" w:type="pct"/>
            <w:tcBorders>
              <w:top w:val="single" w:color="000000" w:sz="4" w:space="0"/>
              <w:left w:val="single" w:color="000000" w:sz="4" w:space="0"/>
              <w:bottom w:val="single" w:color="000000" w:sz="4" w:space="0"/>
              <w:right w:val="single" w:color="000000" w:sz="4" w:space="0"/>
            </w:tcBorders>
            <w:vAlign w:val="center"/>
          </w:tcPr>
          <w:p w14:paraId="34E61CE1">
            <w:pPr>
              <w:spacing w:after="0" w:line="240" w:lineRule="auto"/>
              <w:ind w:firstLine="0"/>
              <w:contextualSpacing/>
              <w:jc w:val="center"/>
              <w:rPr>
                <w:sz w:val="20"/>
                <w:szCs w:val="20"/>
              </w:rPr>
            </w:pPr>
            <w:r>
              <w:rPr>
                <w:sz w:val="20"/>
                <w:szCs w:val="20"/>
              </w:rPr>
              <w:t>-</w:t>
            </w:r>
          </w:p>
        </w:tc>
      </w:tr>
      <w:tr w14:paraId="5969E621">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4D664DEF">
            <w:pPr>
              <w:spacing w:after="0" w:line="240" w:lineRule="auto"/>
              <w:ind w:firstLine="0"/>
              <w:contextualSpacing/>
              <w:rPr>
                <w:sz w:val="20"/>
                <w:szCs w:val="20"/>
              </w:rPr>
            </w:pPr>
            <w:r>
              <w:rPr>
                <w:sz w:val="20"/>
                <w:szCs w:val="20"/>
              </w:rPr>
              <w:t>общежитие</w:t>
            </w:r>
          </w:p>
        </w:tc>
        <w:tc>
          <w:tcPr>
            <w:tcW w:w="1646" w:type="pct"/>
            <w:tcBorders>
              <w:top w:val="single" w:color="000000" w:sz="4" w:space="0"/>
              <w:left w:val="single" w:color="000000" w:sz="4" w:space="0"/>
              <w:bottom w:val="single" w:color="000000" w:sz="4" w:space="0"/>
              <w:right w:val="single" w:color="000000" w:sz="4" w:space="0"/>
            </w:tcBorders>
            <w:vAlign w:val="center"/>
          </w:tcPr>
          <w:p w14:paraId="2F4EDABA">
            <w:pPr>
              <w:spacing w:after="0" w:line="240" w:lineRule="auto"/>
              <w:ind w:firstLine="0"/>
              <w:contextualSpacing/>
              <w:jc w:val="center"/>
              <w:rPr>
                <w:sz w:val="20"/>
                <w:szCs w:val="20"/>
              </w:rPr>
            </w:pPr>
            <w:r>
              <w:rPr>
                <w:sz w:val="20"/>
                <w:szCs w:val="20"/>
              </w:rPr>
              <w:t>-</w:t>
            </w:r>
          </w:p>
        </w:tc>
      </w:tr>
      <w:tr w14:paraId="1CFF2FDB">
        <w:tblPrEx>
          <w:tblCellMar>
            <w:top w:w="0" w:type="dxa"/>
            <w:left w:w="108" w:type="dxa"/>
            <w:bottom w:w="0" w:type="dxa"/>
            <w:right w:w="108" w:type="dxa"/>
          </w:tblCellMar>
        </w:tblPrEx>
        <w:tc>
          <w:tcPr>
            <w:tcW w:w="3354" w:type="pct"/>
            <w:tcBorders>
              <w:top w:val="single" w:color="000000" w:sz="4" w:space="0"/>
              <w:left w:val="single" w:color="000000" w:sz="4" w:space="0"/>
              <w:bottom w:val="single" w:color="000000" w:sz="4" w:space="0"/>
            </w:tcBorders>
          </w:tcPr>
          <w:p w14:paraId="022F2E63">
            <w:pPr>
              <w:spacing w:after="0" w:line="240" w:lineRule="auto"/>
              <w:ind w:firstLine="0"/>
              <w:contextualSpacing/>
              <w:rPr>
                <w:sz w:val="20"/>
                <w:szCs w:val="20"/>
              </w:rPr>
            </w:pPr>
            <w:r>
              <w:rPr>
                <w:sz w:val="20"/>
                <w:szCs w:val="20"/>
              </w:rPr>
              <w:t>Средняя жилищная обеспеченность (кв.м/чел.)</w:t>
            </w:r>
          </w:p>
        </w:tc>
        <w:tc>
          <w:tcPr>
            <w:tcW w:w="1646" w:type="pct"/>
            <w:tcBorders>
              <w:top w:val="single" w:color="000000" w:sz="4" w:space="0"/>
              <w:left w:val="single" w:color="000000" w:sz="4" w:space="0"/>
              <w:bottom w:val="single" w:color="000000" w:sz="4" w:space="0"/>
              <w:right w:val="single" w:color="000000" w:sz="4" w:space="0"/>
            </w:tcBorders>
            <w:vAlign w:val="center"/>
          </w:tcPr>
          <w:p w14:paraId="203B3155">
            <w:pPr>
              <w:spacing w:after="0" w:line="240" w:lineRule="auto"/>
              <w:ind w:firstLine="0"/>
              <w:contextualSpacing/>
              <w:jc w:val="center"/>
              <w:rPr>
                <w:sz w:val="20"/>
                <w:szCs w:val="20"/>
              </w:rPr>
            </w:pPr>
            <w:r>
              <w:rPr>
                <w:sz w:val="20"/>
                <w:szCs w:val="20"/>
              </w:rPr>
              <w:t>25</w:t>
            </w:r>
          </w:p>
        </w:tc>
      </w:tr>
    </w:tbl>
    <w:p w14:paraId="4FD8F052">
      <w:pPr>
        <w:spacing w:after="0" w:line="240" w:lineRule="auto"/>
        <w:contextualSpacing/>
        <w:jc w:val="both"/>
        <w:rPr>
          <w:sz w:val="24"/>
          <w:szCs w:val="24"/>
        </w:rPr>
      </w:pPr>
    </w:p>
    <w:bookmarkEnd w:id="346"/>
    <w:bookmarkEnd w:id="347"/>
    <w:bookmarkEnd w:id="348"/>
    <w:bookmarkEnd w:id="349"/>
    <w:p w14:paraId="02BA9D12">
      <w:pPr>
        <w:pStyle w:val="3"/>
        <w:keepNext/>
        <w:spacing w:before="0" w:line="240" w:lineRule="auto"/>
        <w:ind w:left="0" w:firstLine="709"/>
        <w:contextualSpacing/>
        <w:rPr>
          <w:rFonts w:cs="Times New Roman"/>
          <w:b w:val="0"/>
          <w:sz w:val="24"/>
          <w:szCs w:val="24"/>
        </w:rPr>
      </w:pPr>
      <w:bookmarkStart w:id="350" w:name="_Toc524615044"/>
      <w:bookmarkStart w:id="351" w:name="_Toc182813961"/>
      <w:bookmarkStart w:id="352" w:name="_Toc524614828"/>
      <w:r>
        <w:rPr>
          <w:rFonts w:cs="Times New Roman"/>
          <w:b w:val="0"/>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0"/>
      <w:bookmarkEnd w:id="351"/>
      <w:bookmarkEnd w:id="352"/>
    </w:p>
    <w:p w14:paraId="575FF695">
      <w:pPr>
        <w:spacing w:after="0" w:line="240" w:lineRule="auto"/>
        <w:contextualSpacing/>
        <w:jc w:val="both"/>
        <w:rPr>
          <w:color w:val="000000" w:themeColor="text1"/>
          <w:sz w:val="24"/>
          <w:szCs w:val="24"/>
        </w:rPr>
      </w:pPr>
      <w:r>
        <w:rPr>
          <w:color w:val="000000" w:themeColor="text1"/>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3D3AB76C">
      <w:pPr>
        <w:pStyle w:val="153"/>
        <w:numPr>
          <w:ilvl w:val="0"/>
          <w:numId w:val="41"/>
        </w:numPr>
        <w:ind w:left="0" w:firstLine="709"/>
        <w:rPr>
          <w:color w:val="000000" w:themeColor="text1"/>
          <w:sz w:val="24"/>
          <w:szCs w:val="24"/>
        </w:rPr>
      </w:pPr>
      <w:r>
        <w:rPr>
          <w:color w:val="000000" w:themeColor="text1"/>
          <w:sz w:val="24"/>
          <w:szCs w:val="24"/>
        </w:rPr>
        <w:t>Требования Постановления Правительства Российской Федерации от 23 мая 2006 года №306 (в редакции постановления Правительства Российской Федерации от 28 марта 2012 года № 258) для жилых зданий нового строительства.</w:t>
      </w:r>
    </w:p>
    <w:p w14:paraId="159913FA">
      <w:pPr>
        <w:pStyle w:val="153"/>
        <w:numPr>
          <w:ilvl w:val="0"/>
          <w:numId w:val="41"/>
        </w:numPr>
        <w:ind w:left="0" w:firstLine="709"/>
        <w:rPr>
          <w:color w:val="000000" w:themeColor="text1"/>
          <w:sz w:val="24"/>
          <w:szCs w:val="24"/>
        </w:rPr>
      </w:pPr>
      <w:r>
        <w:rPr>
          <w:color w:val="000000" w:themeColor="text1"/>
          <w:sz w:val="24"/>
          <w:szCs w:val="24"/>
        </w:rPr>
        <w:t>СП 50.13330.2012 Тепловая защита зданий (Актуализированная редакция СНиП 23-02-2003).</w:t>
      </w:r>
    </w:p>
    <w:p w14:paraId="3734F7F2">
      <w:pPr>
        <w:pStyle w:val="153"/>
        <w:numPr>
          <w:ilvl w:val="0"/>
          <w:numId w:val="41"/>
        </w:numPr>
        <w:ind w:left="0" w:firstLine="709"/>
        <w:rPr>
          <w:color w:val="000000" w:themeColor="text1"/>
          <w:sz w:val="24"/>
          <w:szCs w:val="24"/>
          <w:shd w:val="clear" w:color="auto" w:fill="FFFFFF"/>
        </w:rPr>
      </w:pPr>
      <w:r>
        <w:rPr>
          <w:color w:val="000000" w:themeColor="text1"/>
          <w:sz w:val="24"/>
          <w:szCs w:val="24"/>
          <w:shd w:val="clear" w:color="auto" w:fill="FFFFFF"/>
        </w:rPr>
        <w:t>Приказ Министерства строительства и жилищно-коммунального хозяйства Российской Федерации от 17.11.2017 № 1550/пр «Об утверждении Требований энергетической эффективности зданий, строений, сооружений».</w:t>
      </w:r>
    </w:p>
    <w:p w14:paraId="2AC9C062">
      <w:pPr>
        <w:pStyle w:val="153"/>
        <w:numPr>
          <w:ilvl w:val="0"/>
          <w:numId w:val="41"/>
        </w:numPr>
        <w:ind w:left="0" w:firstLine="709"/>
        <w:rPr>
          <w:color w:val="000000" w:themeColor="text1"/>
          <w:sz w:val="24"/>
          <w:szCs w:val="24"/>
        </w:rPr>
      </w:pPr>
      <w:r>
        <w:rPr>
          <w:color w:val="111111"/>
          <w:sz w:val="24"/>
          <w:szCs w:val="24"/>
          <w:shd w:val="clear" w:color="auto" w:fill="FFFFFF"/>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w:t>
      </w:r>
    </w:p>
    <w:p w14:paraId="157BD258">
      <w:pPr>
        <w:pStyle w:val="43"/>
        <w:widowControl w:val="0"/>
        <w:spacing w:before="0" w:after="0" w:line="240" w:lineRule="auto"/>
        <w:ind w:firstLine="709"/>
        <w:contextualSpacing/>
        <w:rPr>
          <w:rFonts w:cs="Times New Roman"/>
          <w:b w:val="0"/>
          <w:sz w:val="24"/>
          <w:szCs w:val="24"/>
        </w:rPr>
      </w:pPr>
      <w:bookmarkStart w:id="353" w:name="_Toc77864689"/>
    </w:p>
    <w:p w14:paraId="72D9DA48">
      <w:pPr>
        <w:pStyle w:val="43"/>
        <w:widowControl w:val="0"/>
        <w:spacing w:before="0" w:after="0" w:line="240" w:lineRule="auto"/>
        <w:ind w:firstLine="0"/>
        <w:contextualSpacing/>
        <w:rPr>
          <w:rFonts w:cs="Times New Roman"/>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Pr>
          <w:b w:val="0"/>
          <w:sz w:val="24"/>
          <w:szCs w:val="24"/>
        </w:rPr>
        <w:t>47</w:t>
      </w:r>
      <w:r>
        <w:rPr>
          <w:b w:val="0"/>
          <w:sz w:val="24"/>
          <w:szCs w:val="24"/>
        </w:rPr>
        <w:fldChar w:fldCharType="end"/>
      </w:r>
      <w:r>
        <w:rPr>
          <w:b w:val="0"/>
          <w:sz w:val="24"/>
          <w:szCs w:val="24"/>
        </w:rPr>
        <w:t xml:space="preserve"> – </w:t>
      </w:r>
      <w:r>
        <w:rPr>
          <w:rFonts w:cs="Times New Roman"/>
          <w:b w:val="0"/>
          <w:sz w:val="24"/>
          <w:szCs w:val="24"/>
        </w:rPr>
        <w:t>Нормируемый удельный расход тепловой энергии на отопление жилых домов одноквартирных отдельно стоящих и блокированных, кДж/(м °С сут)</w:t>
      </w:r>
      <w:bookmarkEnd w:id="353"/>
    </w:p>
    <w:tbl>
      <w:tblPr>
        <w:tblStyle w:val="4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4"/>
        <w:gridCol w:w="1543"/>
        <w:gridCol w:w="1208"/>
        <w:gridCol w:w="1603"/>
        <w:gridCol w:w="1736"/>
      </w:tblGrid>
      <w:tr w14:paraId="1365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859" w:type="pct"/>
            <w:vMerge w:val="restart"/>
            <w:shd w:val="clear" w:color="auto" w:fill="auto"/>
            <w:tcMar>
              <w:left w:w="28" w:type="dxa"/>
              <w:right w:w="28" w:type="dxa"/>
            </w:tcMar>
            <w:vAlign w:val="center"/>
          </w:tcPr>
          <w:p w14:paraId="10A2E01F">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Отапливаемая площадь домов, м</w:t>
            </w:r>
            <w:r>
              <w:rPr>
                <w:sz w:val="20"/>
                <w:szCs w:val="20"/>
                <w:vertAlign w:val="superscript"/>
                <w:lang w:bidi="ru-RU"/>
              </w:rPr>
              <w:t>2</w:t>
            </w:r>
          </w:p>
        </w:tc>
        <w:tc>
          <w:tcPr>
            <w:tcW w:w="3141" w:type="pct"/>
            <w:gridSpan w:val="4"/>
            <w:shd w:val="clear" w:color="auto" w:fill="auto"/>
            <w:tcMar>
              <w:left w:w="28" w:type="dxa"/>
              <w:right w:w="28" w:type="dxa"/>
            </w:tcMar>
            <w:vAlign w:val="center"/>
          </w:tcPr>
          <w:p w14:paraId="64FCE0B5">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С числом этажей</w:t>
            </w:r>
          </w:p>
        </w:tc>
      </w:tr>
      <w:tr w14:paraId="2A90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vMerge w:val="continue"/>
            <w:shd w:val="clear" w:color="auto" w:fill="auto"/>
            <w:tcMar>
              <w:left w:w="28" w:type="dxa"/>
              <w:right w:w="28" w:type="dxa"/>
            </w:tcMar>
            <w:vAlign w:val="center"/>
          </w:tcPr>
          <w:p w14:paraId="084D92EA">
            <w:pPr>
              <w:widowControl w:val="0"/>
              <w:overflowPunct w:val="0"/>
              <w:autoSpaceDE w:val="0"/>
              <w:autoSpaceDN w:val="0"/>
              <w:adjustRightInd w:val="0"/>
              <w:spacing w:after="0" w:line="240" w:lineRule="auto"/>
              <w:ind w:firstLine="0"/>
              <w:contextualSpacing/>
              <w:jc w:val="center"/>
              <w:rPr>
                <w:sz w:val="20"/>
                <w:szCs w:val="20"/>
                <w:lang w:bidi="ru-RU"/>
              </w:rPr>
            </w:pPr>
          </w:p>
        </w:tc>
        <w:tc>
          <w:tcPr>
            <w:tcW w:w="796" w:type="pct"/>
            <w:shd w:val="clear" w:color="auto" w:fill="auto"/>
            <w:tcMar>
              <w:left w:w="28" w:type="dxa"/>
              <w:right w:w="28" w:type="dxa"/>
            </w:tcMar>
            <w:vAlign w:val="center"/>
          </w:tcPr>
          <w:p w14:paraId="7203F5C8">
            <w:pPr>
              <w:widowControl w:val="0"/>
              <w:overflowPunct w:val="0"/>
              <w:autoSpaceDE w:val="0"/>
              <w:autoSpaceDN w:val="0"/>
              <w:adjustRightInd w:val="0"/>
              <w:spacing w:after="0" w:line="240" w:lineRule="auto"/>
              <w:ind w:firstLine="0"/>
              <w:contextualSpacing/>
              <w:jc w:val="center"/>
              <w:rPr>
                <w:bCs/>
                <w:sz w:val="20"/>
                <w:szCs w:val="20"/>
                <w:lang w:bidi="ru-RU"/>
              </w:rPr>
            </w:pPr>
            <w:r>
              <w:rPr>
                <w:bCs/>
                <w:sz w:val="20"/>
                <w:szCs w:val="20"/>
              </w:rPr>
              <w:t xml:space="preserve">1 </w:t>
            </w:r>
          </w:p>
        </w:tc>
        <w:tc>
          <w:tcPr>
            <w:tcW w:w="623" w:type="pct"/>
            <w:shd w:val="clear" w:color="auto" w:fill="auto"/>
            <w:tcMar>
              <w:left w:w="28" w:type="dxa"/>
              <w:right w:w="28" w:type="dxa"/>
            </w:tcMar>
            <w:vAlign w:val="center"/>
          </w:tcPr>
          <w:p w14:paraId="7E65CF22">
            <w:pPr>
              <w:widowControl w:val="0"/>
              <w:overflowPunct w:val="0"/>
              <w:autoSpaceDE w:val="0"/>
              <w:autoSpaceDN w:val="0"/>
              <w:adjustRightInd w:val="0"/>
              <w:spacing w:after="0" w:line="240" w:lineRule="auto"/>
              <w:ind w:firstLine="0"/>
              <w:contextualSpacing/>
              <w:jc w:val="center"/>
              <w:rPr>
                <w:bCs/>
                <w:sz w:val="20"/>
                <w:szCs w:val="20"/>
                <w:lang w:bidi="ru-RU"/>
              </w:rPr>
            </w:pPr>
            <w:r>
              <w:rPr>
                <w:bCs/>
                <w:sz w:val="20"/>
                <w:szCs w:val="20"/>
              </w:rPr>
              <w:t xml:space="preserve">2 </w:t>
            </w:r>
          </w:p>
        </w:tc>
        <w:tc>
          <w:tcPr>
            <w:tcW w:w="827" w:type="pct"/>
            <w:shd w:val="clear" w:color="auto" w:fill="auto"/>
            <w:tcMar>
              <w:left w:w="28" w:type="dxa"/>
              <w:right w:w="28" w:type="dxa"/>
            </w:tcMar>
            <w:vAlign w:val="center"/>
          </w:tcPr>
          <w:p w14:paraId="4DB733CE">
            <w:pPr>
              <w:widowControl w:val="0"/>
              <w:overflowPunct w:val="0"/>
              <w:autoSpaceDE w:val="0"/>
              <w:autoSpaceDN w:val="0"/>
              <w:adjustRightInd w:val="0"/>
              <w:spacing w:after="0" w:line="240" w:lineRule="auto"/>
              <w:ind w:firstLine="0"/>
              <w:contextualSpacing/>
              <w:jc w:val="center"/>
              <w:rPr>
                <w:bCs/>
                <w:sz w:val="20"/>
                <w:szCs w:val="20"/>
                <w:lang w:bidi="ru-RU"/>
              </w:rPr>
            </w:pPr>
            <w:r>
              <w:rPr>
                <w:bCs/>
                <w:sz w:val="20"/>
                <w:szCs w:val="20"/>
              </w:rPr>
              <w:t xml:space="preserve">3 </w:t>
            </w:r>
          </w:p>
        </w:tc>
        <w:tc>
          <w:tcPr>
            <w:tcW w:w="895" w:type="pct"/>
            <w:shd w:val="clear" w:color="auto" w:fill="auto"/>
            <w:tcMar>
              <w:left w:w="28" w:type="dxa"/>
              <w:right w:w="28" w:type="dxa"/>
            </w:tcMar>
            <w:vAlign w:val="center"/>
          </w:tcPr>
          <w:p w14:paraId="568EAC0F">
            <w:pPr>
              <w:widowControl w:val="0"/>
              <w:overflowPunct w:val="0"/>
              <w:autoSpaceDE w:val="0"/>
              <w:autoSpaceDN w:val="0"/>
              <w:adjustRightInd w:val="0"/>
              <w:spacing w:after="0" w:line="240" w:lineRule="auto"/>
              <w:ind w:firstLine="0"/>
              <w:contextualSpacing/>
              <w:jc w:val="center"/>
              <w:rPr>
                <w:bCs/>
                <w:sz w:val="20"/>
                <w:szCs w:val="20"/>
                <w:lang w:bidi="ru-RU"/>
              </w:rPr>
            </w:pPr>
            <w:r>
              <w:rPr>
                <w:bCs/>
                <w:sz w:val="20"/>
                <w:szCs w:val="20"/>
              </w:rPr>
              <w:t xml:space="preserve">4, 5 </w:t>
            </w:r>
          </w:p>
        </w:tc>
      </w:tr>
      <w:tr w14:paraId="23A9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141ECC49">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60 и менее</w:t>
            </w:r>
          </w:p>
        </w:tc>
        <w:tc>
          <w:tcPr>
            <w:tcW w:w="796" w:type="pct"/>
            <w:tcMar>
              <w:left w:w="28" w:type="dxa"/>
              <w:right w:w="28" w:type="dxa"/>
            </w:tcMar>
            <w:vAlign w:val="center"/>
          </w:tcPr>
          <w:p w14:paraId="4C42366D">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89,1 </w:t>
            </w:r>
          </w:p>
        </w:tc>
        <w:tc>
          <w:tcPr>
            <w:tcW w:w="623" w:type="pct"/>
            <w:tcMar>
              <w:left w:w="28" w:type="dxa"/>
              <w:right w:w="28" w:type="dxa"/>
            </w:tcMar>
            <w:vAlign w:val="center"/>
          </w:tcPr>
          <w:p w14:paraId="5FCE6EEA">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c>
          <w:tcPr>
            <w:tcW w:w="827" w:type="pct"/>
            <w:tcMar>
              <w:left w:w="28" w:type="dxa"/>
              <w:right w:w="28" w:type="dxa"/>
            </w:tcMar>
            <w:vAlign w:val="center"/>
          </w:tcPr>
          <w:p w14:paraId="674189BA">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c>
          <w:tcPr>
            <w:tcW w:w="895" w:type="pct"/>
            <w:tcMar>
              <w:left w:w="28" w:type="dxa"/>
              <w:right w:w="28" w:type="dxa"/>
            </w:tcMar>
            <w:vAlign w:val="center"/>
          </w:tcPr>
          <w:p w14:paraId="7C08FCBF">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r>
      <w:tr w14:paraId="419F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1C7CDF2D">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100</w:t>
            </w:r>
          </w:p>
        </w:tc>
        <w:tc>
          <w:tcPr>
            <w:tcW w:w="796" w:type="pct"/>
            <w:tcMar>
              <w:left w:w="28" w:type="dxa"/>
              <w:right w:w="28" w:type="dxa"/>
            </w:tcMar>
            <w:vAlign w:val="center"/>
          </w:tcPr>
          <w:p w14:paraId="3876F652">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79,6 </w:t>
            </w:r>
          </w:p>
        </w:tc>
        <w:tc>
          <w:tcPr>
            <w:tcW w:w="623" w:type="pct"/>
            <w:tcMar>
              <w:left w:w="28" w:type="dxa"/>
              <w:right w:w="28" w:type="dxa"/>
            </w:tcMar>
            <w:vAlign w:val="center"/>
          </w:tcPr>
          <w:p w14:paraId="09BE72F0">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85,9 </w:t>
            </w:r>
          </w:p>
        </w:tc>
        <w:tc>
          <w:tcPr>
            <w:tcW w:w="827" w:type="pct"/>
            <w:tcMar>
              <w:left w:w="28" w:type="dxa"/>
              <w:right w:w="28" w:type="dxa"/>
            </w:tcMar>
            <w:vAlign w:val="center"/>
          </w:tcPr>
          <w:p w14:paraId="7DBD0345">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c>
          <w:tcPr>
            <w:tcW w:w="895" w:type="pct"/>
            <w:tcMar>
              <w:left w:w="28" w:type="dxa"/>
              <w:right w:w="28" w:type="dxa"/>
            </w:tcMar>
            <w:vAlign w:val="center"/>
          </w:tcPr>
          <w:p w14:paraId="7DB23408">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r>
      <w:tr w14:paraId="263A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65B8D80A">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150</w:t>
            </w:r>
          </w:p>
        </w:tc>
        <w:tc>
          <w:tcPr>
            <w:tcW w:w="796" w:type="pct"/>
            <w:tcMar>
              <w:left w:w="28" w:type="dxa"/>
              <w:right w:w="28" w:type="dxa"/>
            </w:tcMar>
            <w:vAlign w:val="center"/>
          </w:tcPr>
          <w:p w14:paraId="1119EF62">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70,0 </w:t>
            </w:r>
          </w:p>
        </w:tc>
        <w:tc>
          <w:tcPr>
            <w:tcW w:w="623" w:type="pct"/>
            <w:tcMar>
              <w:left w:w="28" w:type="dxa"/>
              <w:right w:w="28" w:type="dxa"/>
            </w:tcMar>
            <w:vAlign w:val="center"/>
          </w:tcPr>
          <w:p w14:paraId="46A2F801">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76,4 </w:t>
            </w:r>
          </w:p>
        </w:tc>
        <w:tc>
          <w:tcPr>
            <w:tcW w:w="827" w:type="pct"/>
            <w:tcMar>
              <w:left w:w="28" w:type="dxa"/>
              <w:right w:w="28" w:type="dxa"/>
            </w:tcMar>
            <w:vAlign w:val="center"/>
          </w:tcPr>
          <w:p w14:paraId="72487C1F">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82,7 </w:t>
            </w:r>
          </w:p>
        </w:tc>
        <w:tc>
          <w:tcPr>
            <w:tcW w:w="895" w:type="pct"/>
            <w:tcMar>
              <w:left w:w="28" w:type="dxa"/>
              <w:right w:w="28" w:type="dxa"/>
            </w:tcMar>
            <w:vAlign w:val="center"/>
          </w:tcPr>
          <w:p w14:paraId="37D0A1CE">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r>
      <w:tr w14:paraId="5C15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76185291">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250</w:t>
            </w:r>
          </w:p>
        </w:tc>
        <w:tc>
          <w:tcPr>
            <w:tcW w:w="796" w:type="pct"/>
            <w:tcMar>
              <w:left w:w="28" w:type="dxa"/>
              <w:right w:w="28" w:type="dxa"/>
            </w:tcMar>
            <w:vAlign w:val="center"/>
          </w:tcPr>
          <w:p w14:paraId="705B83DC">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63,6 </w:t>
            </w:r>
          </w:p>
        </w:tc>
        <w:tc>
          <w:tcPr>
            <w:tcW w:w="623" w:type="pct"/>
            <w:tcMar>
              <w:left w:w="28" w:type="dxa"/>
              <w:right w:w="28" w:type="dxa"/>
            </w:tcMar>
            <w:vAlign w:val="center"/>
          </w:tcPr>
          <w:p w14:paraId="48991BA7">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66,8 </w:t>
            </w:r>
          </w:p>
        </w:tc>
        <w:tc>
          <w:tcPr>
            <w:tcW w:w="827" w:type="pct"/>
            <w:tcMar>
              <w:left w:w="28" w:type="dxa"/>
              <w:right w:w="28" w:type="dxa"/>
            </w:tcMar>
            <w:vAlign w:val="center"/>
          </w:tcPr>
          <w:p w14:paraId="4CEC8E6F">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70,0 </w:t>
            </w:r>
          </w:p>
        </w:tc>
        <w:tc>
          <w:tcPr>
            <w:tcW w:w="895" w:type="pct"/>
            <w:tcMar>
              <w:left w:w="28" w:type="dxa"/>
              <w:right w:w="28" w:type="dxa"/>
            </w:tcMar>
            <w:vAlign w:val="center"/>
          </w:tcPr>
          <w:p w14:paraId="4F1E044C">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73,2 </w:t>
            </w:r>
          </w:p>
        </w:tc>
      </w:tr>
      <w:tr w14:paraId="235B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11419B34">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400</w:t>
            </w:r>
          </w:p>
        </w:tc>
        <w:tc>
          <w:tcPr>
            <w:tcW w:w="796" w:type="pct"/>
            <w:tcMar>
              <w:left w:w="28" w:type="dxa"/>
              <w:right w:w="28" w:type="dxa"/>
            </w:tcMar>
            <w:vAlign w:val="center"/>
          </w:tcPr>
          <w:p w14:paraId="59300349">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c>
          <w:tcPr>
            <w:tcW w:w="623" w:type="pct"/>
            <w:tcMar>
              <w:left w:w="28" w:type="dxa"/>
              <w:right w:w="28" w:type="dxa"/>
            </w:tcMar>
            <w:vAlign w:val="center"/>
          </w:tcPr>
          <w:p w14:paraId="77FF9E3D">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57,3 </w:t>
            </w:r>
          </w:p>
        </w:tc>
        <w:tc>
          <w:tcPr>
            <w:tcW w:w="827" w:type="pct"/>
            <w:tcMar>
              <w:left w:w="28" w:type="dxa"/>
              <w:right w:w="28" w:type="dxa"/>
            </w:tcMar>
            <w:vAlign w:val="center"/>
          </w:tcPr>
          <w:p w14:paraId="0036782C">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60,5 </w:t>
            </w:r>
          </w:p>
        </w:tc>
        <w:tc>
          <w:tcPr>
            <w:tcW w:w="895" w:type="pct"/>
            <w:tcMar>
              <w:left w:w="28" w:type="dxa"/>
              <w:right w:w="28" w:type="dxa"/>
            </w:tcMar>
            <w:vAlign w:val="center"/>
          </w:tcPr>
          <w:p w14:paraId="2A28C4D8">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63,6 </w:t>
            </w:r>
          </w:p>
        </w:tc>
      </w:tr>
      <w:tr w14:paraId="7BFE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59B4B3EC">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600</w:t>
            </w:r>
          </w:p>
        </w:tc>
        <w:tc>
          <w:tcPr>
            <w:tcW w:w="796" w:type="pct"/>
            <w:tcMar>
              <w:left w:w="28" w:type="dxa"/>
              <w:right w:w="28" w:type="dxa"/>
            </w:tcMar>
            <w:vAlign w:val="center"/>
          </w:tcPr>
          <w:p w14:paraId="3481DC68">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c>
          <w:tcPr>
            <w:tcW w:w="623" w:type="pct"/>
            <w:tcMar>
              <w:left w:w="28" w:type="dxa"/>
              <w:right w:w="28" w:type="dxa"/>
            </w:tcMar>
            <w:vAlign w:val="center"/>
          </w:tcPr>
          <w:p w14:paraId="53BA6535">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50,9 </w:t>
            </w:r>
          </w:p>
        </w:tc>
        <w:tc>
          <w:tcPr>
            <w:tcW w:w="827" w:type="pct"/>
            <w:tcMar>
              <w:left w:w="28" w:type="dxa"/>
              <w:right w:w="28" w:type="dxa"/>
            </w:tcMar>
            <w:vAlign w:val="center"/>
          </w:tcPr>
          <w:p w14:paraId="2D1D5CA2">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54,1 </w:t>
            </w:r>
          </w:p>
        </w:tc>
        <w:tc>
          <w:tcPr>
            <w:tcW w:w="895" w:type="pct"/>
            <w:tcMar>
              <w:left w:w="28" w:type="dxa"/>
              <w:right w:w="28" w:type="dxa"/>
            </w:tcMar>
            <w:vAlign w:val="center"/>
          </w:tcPr>
          <w:p w14:paraId="40E7A7A6">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57,3 </w:t>
            </w:r>
          </w:p>
        </w:tc>
      </w:tr>
      <w:tr w14:paraId="6B80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9" w:type="pct"/>
            <w:tcMar>
              <w:left w:w="28" w:type="dxa"/>
              <w:right w:w="28" w:type="dxa"/>
            </w:tcMar>
            <w:vAlign w:val="center"/>
          </w:tcPr>
          <w:p w14:paraId="6A3B4B11">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1000 и более</w:t>
            </w:r>
          </w:p>
        </w:tc>
        <w:tc>
          <w:tcPr>
            <w:tcW w:w="796" w:type="pct"/>
            <w:tcMar>
              <w:left w:w="28" w:type="dxa"/>
              <w:right w:w="28" w:type="dxa"/>
            </w:tcMar>
            <w:vAlign w:val="center"/>
          </w:tcPr>
          <w:p w14:paraId="68A04C48">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 </w:t>
            </w:r>
          </w:p>
        </w:tc>
        <w:tc>
          <w:tcPr>
            <w:tcW w:w="623" w:type="pct"/>
            <w:tcMar>
              <w:left w:w="28" w:type="dxa"/>
              <w:right w:w="28" w:type="dxa"/>
            </w:tcMar>
            <w:vAlign w:val="center"/>
          </w:tcPr>
          <w:p w14:paraId="243F7C93">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44,6 </w:t>
            </w:r>
          </w:p>
        </w:tc>
        <w:tc>
          <w:tcPr>
            <w:tcW w:w="827" w:type="pct"/>
            <w:tcMar>
              <w:left w:w="28" w:type="dxa"/>
              <w:right w:w="28" w:type="dxa"/>
            </w:tcMar>
            <w:vAlign w:val="center"/>
          </w:tcPr>
          <w:p w14:paraId="767D07C0">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47,7 </w:t>
            </w:r>
          </w:p>
        </w:tc>
        <w:tc>
          <w:tcPr>
            <w:tcW w:w="895" w:type="pct"/>
            <w:tcMar>
              <w:left w:w="28" w:type="dxa"/>
              <w:right w:w="28" w:type="dxa"/>
            </w:tcMar>
            <w:vAlign w:val="center"/>
          </w:tcPr>
          <w:p w14:paraId="01F75084">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rPr>
              <w:t xml:space="preserve">50,9 </w:t>
            </w:r>
          </w:p>
        </w:tc>
      </w:tr>
      <w:tr w14:paraId="63AB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tcMar>
              <w:left w:w="28" w:type="dxa"/>
              <w:right w:w="28" w:type="dxa"/>
            </w:tcMar>
            <w:vAlign w:val="center"/>
          </w:tcPr>
          <w:p w14:paraId="5EDABBF5">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Примечание</w:t>
            </w:r>
            <w:r>
              <w:rPr>
                <w:spacing w:val="-33"/>
                <w:sz w:val="20"/>
                <w:szCs w:val="20"/>
                <w:lang w:bidi="ru-RU"/>
              </w:rPr>
              <w:t xml:space="preserve"> </w:t>
            </w:r>
            <w:r>
              <w:rPr>
                <w:sz w:val="20"/>
                <w:szCs w:val="20"/>
                <w:lang w:bidi="ru-RU"/>
              </w:rPr>
              <w:t>-</w:t>
            </w:r>
            <w:r>
              <w:rPr>
                <w:spacing w:val="-42"/>
                <w:sz w:val="20"/>
                <w:szCs w:val="20"/>
                <w:lang w:bidi="ru-RU"/>
              </w:rPr>
              <w:t xml:space="preserve"> </w:t>
            </w:r>
            <w:r>
              <w:rPr>
                <w:sz w:val="20"/>
                <w:szCs w:val="20"/>
                <w:lang w:bidi="ru-RU"/>
              </w:rPr>
              <w:t>При</w:t>
            </w:r>
            <w:r>
              <w:rPr>
                <w:spacing w:val="-36"/>
                <w:sz w:val="20"/>
                <w:szCs w:val="20"/>
                <w:lang w:bidi="ru-RU"/>
              </w:rPr>
              <w:t xml:space="preserve"> </w:t>
            </w:r>
            <w:r>
              <w:rPr>
                <w:sz w:val="20"/>
                <w:szCs w:val="20"/>
                <w:lang w:bidi="ru-RU"/>
              </w:rPr>
              <w:t>промежуточных</w:t>
            </w:r>
            <w:r>
              <w:rPr>
                <w:spacing w:val="-30"/>
                <w:sz w:val="20"/>
                <w:szCs w:val="20"/>
                <w:lang w:bidi="ru-RU"/>
              </w:rPr>
              <w:t xml:space="preserve"> </w:t>
            </w:r>
            <w:r>
              <w:rPr>
                <w:sz w:val="20"/>
                <w:szCs w:val="20"/>
                <w:lang w:bidi="ru-RU"/>
              </w:rPr>
              <w:t>значениях</w:t>
            </w:r>
            <w:r>
              <w:rPr>
                <w:spacing w:val="-31"/>
                <w:sz w:val="20"/>
                <w:szCs w:val="20"/>
                <w:lang w:bidi="ru-RU"/>
              </w:rPr>
              <w:t xml:space="preserve"> </w:t>
            </w:r>
            <w:r>
              <w:rPr>
                <w:sz w:val="20"/>
                <w:szCs w:val="20"/>
                <w:lang w:bidi="ru-RU"/>
              </w:rPr>
              <w:t>отапливаемой</w:t>
            </w:r>
            <w:r>
              <w:rPr>
                <w:spacing w:val="-29"/>
                <w:sz w:val="20"/>
                <w:szCs w:val="20"/>
                <w:lang w:bidi="ru-RU"/>
              </w:rPr>
              <w:t xml:space="preserve"> </w:t>
            </w:r>
            <w:r>
              <w:rPr>
                <w:sz w:val="20"/>
                <w:szCs w:val="20"/>
                <w:lang w:bidi="ru-RU"/>
              </w:rPr>
              <w:t>площади</w:t>
            </w:r>
            <w:r>
              <w:rPr>
                <w:spacing w:val="-34"/>
                <w:sz w:val="20"/>
                <w:szCs w:val="20"/>
                <w:lang w:bidi="ru-RU"/>
              </w:rPr>
              <w:t xml:space="preserve"> </w:t>
            </w:r>
            <w:r>
              <w:rPr>
                <w:sz w:val="20"/>
                <w:szCs w:val="20"/>
                <w:lang w:bidi="ru-RU"/>
              </w:rPr>
              <w:t>дома</w:t>
            </w:r>
            <w:r>
              <w:rPr>
                <w:spacing w:val="-35"/>
                <w:sz w:val="20"/>
                <w:szCs w:val="20"/>
                <w:lang w:bidi="ru-RU"/>
              </w:rPr>
              <w:t xml:space="preserve"> </w:t>
            </w:r>
            <w:r>
              <w:rPr>
                <w:sz w:val="20"/>
                <w:szCs w:val="20"/>
                <w:lang w:bidi="ru-RU"/>
              </w:rPr>
              <w:t>в</w:t>
            </w:r>
            <w:r>
              <w:rPr>
                <w:spacing w:val="-38"/>
                <w:sz w:val="20"/>
                <w:szCs w:val="20"/>
                <w:lang w:bidi="ru-RU"/>
              </w:rPr>
              <w:t xml:space="preserve"> </w:t>
            </w:r>
            <w:r>
              <w:rPr>
                <w:sz w:val="20"/>
                <w:szCs w:val="20"/>
                <w:lang w:bidi="ru-RU"/>
              </w:rPr>
              <w:t>интервале</w:t>
            </w:r>
            <w:r>
              <w:rPr>
                <w:spacing w:val="-34"/>
                <w:sz w:val="20"/>
                <w:szCs w:val="20"/>
                <w:lang w:bidi="ru-RU"/>
              </w:rPr>
              <w:t xml:space="preserve"> </w:t>
            </w:r>
            <w:r>
              <w:rPr>
                <w:sz w:val="20"/>
                <w:szCs w:val="20"/>
                <w:lang w:bidi="ru-RU"/>
              </w:rPr>
              <w:t>60-</w:t>
            </w:r>
          </w:p>
          <w:p w14:paraId="2620F57C">
            <w:pPr>
              <w:widowControl w:val="0"/>
              <w:overflowPunct w:val="0"/>
              <w:autoSpaceDE w:val="0"/>
              <w:autoSpaceDN w:val="0"/>
              <w:adjustRightInd w:val="0"/>
              <w:spacing w:after="0" w:line="240" w:lineRule="auto"/>
              <w:ind w:firstLine="0"/>
              <w:contextualSpacing/>
              <w:jc w:val="center"/>
              <w:rPr>
                <w:sz w:val="20"/>
                <w:szCs w:val="20"/>
                <w:lang w:bidi="ru-RU"/>
              </w:rPr>
            </w:pPr>
            <w:r>
              <w:rPr>
                <w:sz w:val="20"/>
                <w:szCs w:val="20"/>
                <w:lang w:bidi="ru-RU"/>
              </w:rPr>
              <w:t>1000 м</w:t>
            </w:r>
            <w:r>
              <w:rPr>
                <w:sz w:val="20"/>
                <w:szCs w:val="20"/>
                <w:vertAlign w:val="superscript"/>
                <w:lang w:bidi="ru-RU"/>
              </w:rPr>
              <w:t>2</w:t>
            </w:r>
            <w:r>
              <w:rPr>
                <w:sz w:val="20"/>
                <w:szCs w:val="20"/>
                <w:lang w:bidi="ru-RU"/>
              </w:rPr>
              <w:t xml:space="preserve"> значения должны определяться по линейной интерполяции.</w:t>
            </w:r>
          </w:p>
        </w:tc>
      </w:tr>
    </w:tbl>
    <w:p w14:paraId="0FC17631">
      <w:pPr>
        <w:pStyle w:val="43"/>
        <w:keepNext/>
        <w:spacing w:before="0" w:after="0" w:line="240" w:lineRule="auto"/>
        <w:contextualSpacing/>
        <w:rPr>
          <w:rFonts w:cs="Times New Roman"/>
          <w:b w:val="0"/>
          <w:sz w:val="24"/>
          <w:szCs w:val="24"/>
        </w:rPr>
      </w:pPr>
      <w:bookmarkStart w:id="354" w:name="_Toc77864690"/>
    </w:p>
    <w:p w14:paraId="3576610A">
      <w:pPr>
        <w:pStyle w:val="43"/>
        <w:keepNext/>
        <w:spacing w:before="0" w:after="0" w:line="240" w:lineRule="auto"/>
        <w:ind w:firstLine="0"/>
        <w:contextualSpacing/>
        <w:rPr>
          <w:rFonts w:cs="Times New Roman"/>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Pr>
          <w:b w:val="0"/>
          <w:sz w:val="24"/>
          <w:szCs w:val="24"/>
        </w:rPr>
        <w:t>48</w:t>
      </w:r>
      <w:r>
        <w:rPr>
          <w:b w:val="0"/>
          <w:sz w:val="24"/>
          <w:szCs w:val="24"/>
        </w:rPr>
        <w:fldChar w:fldCharType="end"/>
      </w:r>
      <w:r>
        <w:rPr>
          <w:b w:val="0"/>
          <w:sz w:val="24"/>
          <w:szCs w:val="24"/>
        </w:rPr>
        <w:t xml:space="preserve"> – </w:t>
      </w:r>
      <w:r>
        <w:rPr>
          <w:rFonts w:cs="Times New Roman"/>
          <w:b w:val="0"/>
          <w:sz w:val="24"/>
          <w:szCs w:val="24"/>
        </w:rPr>
        <w:t>Удельный расход тепловой энергии на отопление общественных зданий (ккал/ч на 1 м</w:t>
      </w:r>
      <w:r>
        <w:rPr>
          <w:rFonts w:cs="Times New Roman"/>
          <w:b w:val="0"/>
          <w:sz w:val="24"/>
          <w:szCs w:val="24"/>
          <w:vertAlign w:val="superscript"/>
        </w:rPr>
        <w:t>3</w:t>
      </w:r>
      <w:r>
        <w:rPr>
          <w:rFonts w:cs="Times New Roman"/>
          <w:b w:val="0"/>
          <w:sz w:val="24"/>
          <w:szCs w:val="24"/>
        </w:rPr>
        <w:t xml:space="preserve"> отапливаемого объема)</w:t>
      </w:r>
      <w:bookmarkEnd w:id="354"/>
    </w:p>
    <w:tbl>
      <w:tblPr>
        <w:tblStyle w:val="12"/>
        <w:tblW w:w="5000" w:type="pct"/>
        <w:tblInd w:w="0" w:type="dxa"/>
        <w:tblLayout w:type="autofit"/>
        <w:tblCellMar>
          <w:top w:w="43" w:type="dxa"/>
          <w:left w:w="110" w:type="dxa"/>
          <w:bottom w:w="0" w:type="dxa"/>
          <w:right w:w="65" w:type="dxa"/>
        </w:tblCellMar>
      </w:tblPr>
      <w:tblGrid>
        <w:gridCol w:w="3534"/>
        <w:gridCol w:w="506"/>
        <w:gridCol w:w="781"/>
        <w:gridCol w:w="690"/>
        <w:gridCol w:w="783"/>
        <w:gridCol w:w="875"/>
        <w:gridCol w:w="877"/>
        <w:gridCol w:w="877"/>
        <w:gridCol w:w="771"/>
      </w:tblGrid>
      <w:tr w14:paraId="081948F1">
        <w:tblPrEx>
          <w:tblCellMar>
            <w:top w:w="43" w:type="dxa"/>
            <w:left w:w="110" w:type="dxa"/>
            <w:bottom w:w="0" w:type="dxa"/>
            <w:right w:w="65" w:type="dxa"/>
          </w:tblCellMar>
        </w:tblPrEx>
        <w:trPr>
          <w:trHeight w:val="20" w:hRule="atLeast"/>
          <w:tblHeader/>
        </w:trPr>
        <w:tc>
          <w:tcPr>
            <w:tcW w:w="1839" w:type="pct"/>
            <w:vMerge w:val="restart"/>
            <w:tcBorders>
              <w:top w:val="single" w:color="000000" w:sz="8"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74F46F73">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Типы зданий </w:t>
            </w:r>
          </w:p>
        </w:tc>
        <w:tc>
          <w:tcPr>
            <w:tcW w:w="3161" w:type="pct"/>
            <w:gridSpan w:val="8"/>
            <w:tcBorders>
              <w:top w:val="single" w:color="000000" w:sz="8" w:space="0"/>
              <w:left w:val="single" w:color="000000" w:sz="4" w:space="0"/>
              <w:bottom w:val="single" w:color="000000" w:sz="4" w:space="0"/>
              <w:right w:val="single" w:color="000000" w:sz="8" w:space="0"/>
            </w:tcBorders>
            <w:shd w:val="clear" w:color="auto" w:fill="auto"/>
            <w:tcMar>
              <w:top w:w="0" w:type="dxa"/>
              <w:left w:w="28" w:type="dxa"/>
              <w:right w:w="28" w:type="dxa"/>
            </w:tcMar>
            <w:vAlign w:val="center"/>
          </w:tcPr>
          <w:p w14:paraId="0634E03D">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Этажность зданий </w:t>
            </w:r>
          </w:p>
        </w:tc>
      </w:tr>
      <w:tr w14:paraId="25817BDD">
        <w:tblPrEx>
          <w:tblCellMar>
            <w:top w:w="43" w:type="dxa"/>
            <w:left w:w="110" w:type="dxa"/>
            <w:bottom w:w="0" w:type="dxa"/>
            <w:right w:w="65" w:type="dxa"/>
          </w:tblCellMar>
        </w:tblPrEx>
        <w:trPr>
          <w:trHeight w:val="20" w:hRule="atLeast"/>
          <w:tblHeader/>
        </w:trPr>
        <w:tc>
          <w:tcPr>
            <w:tcW w:w="1839" w:type="pct"/>
            <w:vMerge w:val="continue"/>
            <w:tcBorders>
              <w:top w:val="nil"/>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323F7CED">
            <w:pPr>
              <w:spacing w:after="0" w:line="240" w:lineRule="auto"/>
              <w:ind w:firstLine="0"/>
              <w:contextualSpacing/>
              <w:jc w:val="center"/>
              <w:rPr>
                <w:bCs/>
                <w:color w:val="000000"/>
                <w:sz w:val="20"/>
                <w:szCs w:val="20"/>
                <w:lang w:val="en-US" w:eastAsia="en-US"/>
              </w:rPr>
            </w:pPr>
          </w:p>
        </w:tc>
        <w:tc>
          <w:tcPr>
            <w:tcW w:w="13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7FFF42F3">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1 </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D9592BE">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2 </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0E26DD30">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3 </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672553CD">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4, 5 </w:t>
            </w:r>
          </w:p>
        </w:tc>
        <w:tc>
          <w:tcPr>
            <w:tcW w:w="4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7C3D33A3">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6, 7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3BC18EB9">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8, 9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5F17AC5B">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10, 11 </w:t>
            </w:r>
          </w:p>
        </w:tc>
        <w:tc>
          <w:tcPr>
            <w:tcW w:w="413" w:type="pct"/>
            <w:tcBorders>
              <w:top w:val="single" w:color="000000" w:sz="4" w:space="0"/>
              <w:left w:val="single" w:color="000000" w:sz="4" w:space="0"/>
              <w:bottom w:val="single" w:color="000000" w:sz="4" w:space="0"/>
              <w:right w:val="single" w:color="000000" w:sz="8" w:space="0"/>
            </w:tcBorders>
            <w:shd w:val="clear" w:color="auto" w:fill="auto"/>
            <w:tcMar>
              <w:top w:w="0" w:type="dxa"/>
              <w:left w:w="28" w:type="dxa"/>
              <w:right w:w="28" w:type="dxa"/>
            </w:tcMar>
            <w:vAlign w:val="center"/>
          </w:tcPr>
          <w:p w14:paraId="3FE8B0DA">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12 и </w:t>
            </w:r>
          </w:p>
          <w:p w14:paraId="3CCEB4D1">
            <w:pPr>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выше </w:t>
            </w:r>
          </w:p>
        </w:tc>
      </w:tr>
      <w:tr w14:paraId="09B7E2A4">
        <w:tblPrEx>
          <w:tblCellMar>
            <w:top w:w="43" w:type="dxa"/>
            <w:left w:w="110" w:type="dxa"/>
            <w:bottom w:w="0" w:type="dxa"/>
            <w:right w:w="65" w:type="dxa"/>
          </w:tblCellMar>
        </w:tblPrEx>
        <w:trPr>
          <w:trHeight w:val="20" w:hRule="atLeast"/>
        </w:trPr>
        <w:tc>
          <w:tcPr>
            <w:tcW w:w="183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4F2BC817">
            <w:pPr>
              <w:spacing w:after="0" w:line="240" w:lineRule="auto"/>
              <w:ind w:firstLine="0"/>
              <w:contextualSpacing/>
              <w:jc w:val="center"/>
              <w:rPr>
                <w:color w:val="000000"/>
                <w:sz w:val="20"/>
                <w:szCs w:val="20"/>
                <w:lang w:eastAsia="en-US"/>
              </w:rPr>
            </w:pPr>
            <w:r>
              <w:rPr>
                <w:color w:val="000000"/>
                <w:sz w:val="20"/>
                <w:szCs w:val="20"/>
                <w:lang w:eastAsia="en-US"/>
              </w:rPr>
              <w:t xml:space="preserve"> Общественные, кроме перечисленных в поз. 2, 3 и 4 таблицы </w:t>
            </w:r>
          </w:p>
        </w:tc>
        <w:tc>
          <w:tcPr>
            <w:tcW w:w="13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65CFA7B4">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26,73 </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6A2E775">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24,18 </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71444CEB">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22,91 </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08915AA4">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20,37 </w:t>
            </w:r>
          </w:p>
        </w:tc>
        <w:tc>
          <w:tcPr>
            <w:tcW w:w="4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E0955D6">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19,73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D08D43D">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18,77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45729AF3">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17,82 </w:t>
            </w:r>
          </w:p>
        </w:tc>
        <w:tc>
          <w:tcPr>
            <w:tcW w:w="413" w:type="pct"/>
            <w:tcBorders>
              <w:top w:val="single" w:color="000000" w:sz="4" w:space="0"/>
              <w:left w:val="single" w:color="000000" w:sz="4" w:space="0"/>
              <w:bottom w:val="single" w:color="000000" w:sz="4" w:space="0"/>
              <w:right w:val="single" w:color="000000" w:sz="8" w:space="0"/>
            </w:tcBorders>
            <w:shd w:val="clear" w:color="auto" w:fill="auto"/>
            <w:tcMar>
              <w:top w:w="0" w:type="dxa"/>
              <w:left w:w="28" w:type="dxa"/>
              <w:right w:w="28" w:type="dxa"/>
            </w:tcMar>
            <w:vAlign w:val="center"/>
          </w:tcPr>
          <w:p w14:paraId="4537FDC7">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r>
      <w:tr w14:paraId="6EF09013">
        <w:tblPrEx>
          <w:tblCellMar>
            <w:top w:w="43" w:type="dxa"/>
            <w:left w:w="110" w:type="dxa"/>
            <w:bottom w:w="0" w:type="dxa"/>
            <w:right w:w="65" w:type="dxa"/>
          </w:tblCellMar>
        </w:tblPrEx>
        <w:trPr>
          <w:trHeight w:val="20" w:hRule="atLeast"/>
        </w:trPr>
        <w:tc>
          <w:tcPr>
            <w:tcW w:w="183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40C3114C">
            <w:pPr>
              <w:spacing w:after="0" w:line="240" w:lineRule="auto"/>
              <w:ind w:firstLine="0"/>
              <w:contextualSpacing/>
              <w:jc w:val="center"/>
              <w:rPr>
                <w:color w:val="000000"/>
                <w:sz w:val="20"/>
                <w:szCs w:val="20"/>
                <w:lang w:eastAsia="en-US"/>
              </w:rPr>
            </w:pPr>
            <w:r>
              <w:rPr>
                <w:color w:val="000000"/>
                <w:sz w:val="20"/>
                <w:szCs w:val="20"/>
                <w:lang w:eastAsia="en-US"/>
              </w:rPr>
              <w:t xml:space="preserve">Поликлиники и лечебные учреждения, дома-интернаты </w:t>
            </w:r>
          </w:p>
        </w:tc>
        <w:tc>
          <w:tcPr>
            <w:tcW w:w="13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7237C0B1">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22,25 </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58120A21">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21,59 </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4F79367B">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20,94 </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5978103F">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20,29 </w:t>
            </w:r>
          </w:p>
        </w:tc>
        <w:tc>
          <w:tcPr>
            <w:tcW w:w="4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8A37A57">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19,63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1E01B0E9">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18,98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3371CCBC">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18,32 </w:t>
            </w:r>
          </w:p>
        </w:tc>
        <w:tc>
          <w:tcPr>
            <w:tcW w:w="413" w:type="pct"/>
            <w:tcBorders>
              <w:top w:val="single" w:color="000000" w:sz="4" w:space="0"/>
              <w:left w:val="single" w:color="000000" w:sz="4" w:space="0"/>
              <w:bottom w:val="single" w:color="000000" w:sz="4" w:space="0"/>
              <w:right w:val="single" w:color="000000" w:sz="8" w:space="0"/>
            </w:tcBorders>
            <w:shd w:val="clear" w:color="auto" w:fill="auto"/>
            <w:tcMar>
              <w:top w:w="0" w:type="dxa"/>
              <w:left w:w="28" w:type="dxa"/>
              <w:right w:w="28" w:type="dxa"/>
            </w:tcMar>
            <w:vAlign w:val="center"/>
          </w:tcPr>
          <w:p w14:paraId="2D8725B3">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r>
      <w:tr w14:paraId="5670532E">
        <w:tblPrEx>
          <w:tblCellMar>
            <w:top w:w="43" w:type="dxa"/>
            <w:left w:w="110" w:type="dxa"/>
            <w:bottom w:w="0" w:type="dxa"/>
            <w:right w:w="65" w:type="dxa"/>
          </w:tblCellMar>
        </w:tblPrEx>
        <w:trPr>
          <w:trHeight w:val="20" w:hRule="atLeast"/>
        </w:trPr>
        <w:tc>
          <w:tcPr>
            <w:tcW w:w="183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5053A79D">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Дошкольные учреждения </w:t>
            </w:r>
          </w:p>
        </w:tc>
        <w:tc>
          <w:tcPr>
            <w:tcW w:w="13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18D87A17">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29,09 </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2BB8C9B">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19F0F5DC">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322D8054">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AC88880">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3E44B760">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599590AF">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13" w:type="pct"/>
            <w:tcBorders>
              <w:top w:val="single" w:color="000000" w:sz="4" w:space="0"/>
              <w:left w:val="single" w:color="000000" w:sz="4" w:space="0"/>
              <w:bottom w:val="single" w:color="000000" w:sz="4" w:space="0"/>
              <w:right w:val="single" w:color="000000" w:sz="8" w:space="0"/>
            </w:tcBorders>
            <w:shd w:val="clear" w:color="auto" w:fill="auto"/>
            <w:tcMar>
              <w:top w:w="0" w:type="dxa"/>
              <w:left w:w="28" w:type="dxa"/>
              <w:right w:w="28" w:type="dxa"/>
            </w:tcMar>
            <w:vAlign w:val="center"/>
          </w:tcPr>
          <w:p w14:paraId="73EBEAA9">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r>
      <w:tr w14:paraId="44CF77BF">
        <w:tblPrEx>
          <w:tblCellMar>
            <w:top w:w="43" w:type="dxa"/>
            <w:left w:w="110" w:type="dxa"/>
            <w:bottom w:w="0" w:type="dxa"/>
            <w:right w:w="65" w:type="dxa"/>
          </w:tblCellMar>
        </w:tblPrEx>
        <w:trPr>
          <w:trHeight w:val="20" w:hRule="atLeast"/>
        </w:trPr>
        <w:tc>
          <w:tcPr>
            <w:tcW w:w="183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614B10C">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Сервисного обслуживания </w:t>
            </w:r>
          </w:p>
        </w:tc>
        <w:tc>
          <w:tcPr>
            <w:tcW w:w="13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49C313F6">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14,64 </w:t>
            </w:r>
          </w:p>
        </w:tc>
        <w:tc>
          <w:tcPr>
            <w:tcW w:w="41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02CC3D50">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14 </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037D952D">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13,37 </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341CE74">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12,73 </w:t>
            </w:r>
          </w:p>
        </w:tc>
        <w:tc>
          <w:tcPr>
            <w:tcW w:w="4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2D43B3EC">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12,73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3A420E61">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right w:w="28" w:type="dxa"/>
            </w:tcMar>
            <w:vAlign w:val="center"/>
          </w:tcPr>
          <w:p w14:paraId="4A60ADAD">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413" w:type="pct"/>
            <w:tcBorders>
              <w:top w:val="single" w:color="000000" w:sz="4" w:space="0"/>
              <w:left w:val="single" w:color="000000" w:sz="4" w:space="0"/>
              <w:bottom w:val="single" w:color="000000" w:sz="4" w:space="0"/>
              <w:right w:val="single" w:color="000000" w:sz="8" w:space="0"/>
            </w:tcBorders>
            <w:shd w:val="clear" w:color="auto" w:fill="auto"/>
            <w:tcMar>
              <w:top w:w="0" w:type="dxa"/>
              <w:left w:w="28" w:type="dxa"/>
              <w:right w:w="28" w:type="dxa"/>
            </w:tcMar>
            <w:vAlign w:val="center"/>
          </w:tcPr>
          <w:p w14:paraId="357AA656">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r>
      <w:tr w14:paraId="2B9B7896">
        <w:tblPrEx>
          <w:tblCellMar>
            <w:top w:w="43" w:type="dxa"/>
            <w:left w:w="110" w:type="dxa"/>
            <w:bottom w:w="0" w:type="dxa"/>
            <w:right w:w="65" w:type="dxa"/>
          </w:tblCellMar>
        </w:tblPrEx>
        <w:trPr>
          <w:trHeight w:val="20" w:hRule="atLeast"/>
        </w:trPr>
        <w:tc>
          <w:tcPr>
            <w:tcW w:w="1839"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442AE37D">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Административного назначения (офисы) </w:t>
            </w:r>
          </w:p>
        </w:tc>
        <w:tc>
          <w:tcPr>
            <w:tcW w:w="134"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4A54254E">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22,91 </w:t>
            </w:r>
          </w:p>
        </w:tc>
        <w:tc>
          <w:tcPr>
            <w:tcW w:w="419"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67B9206E">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21,64 </w:t>
            </w:r>
          </w:p>
        </w:tc>
        <w:tc>
          <w:tcPr>
            <w:tcW w:w="372"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7F8B5B2D">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21 </w:t>
            </w:r>
          </w:p>
        </w:tc>
        <w:tc>
          <w:tcPr>
            <w:tcW w:w="420"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55E8B4C1">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17,18 </w:t>
            </w:r>
          </w:p>
        </w:tc>
        <w:tc>
          <w:tcPr>
            <w:tcW w:w="467"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54212361">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15,27 </w:t>
            </w:r>
          </w:p>
        </w:tc>
        <w:tc>
          <w:tcPr>
            <w:tcW w:w="468"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0FA4B584">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14 </w:t>
            </w:r>
          </w:p>
        </w:tc>
        <w:tc>
          <w:tcPr>
            <w:tcW w:w="468" w:type="pct"/>
            <w:tcBorders>
              <w:top w:val="single" w:color="000000" w:sz="4" w:space="0"/>
              <w:left w:val="single" w:color="000000" w:sz="4" w:space="0"/>
              <w:bottom w:val="single" w:color="000000" w:sz="8" w:space="0"/>
              <w:right w:val="single" w:color="000000" w:sz="4" w:space="0"/>
            </w:tcBorders>
            <w:shd w:val="clear" w:color="auto" w:fill="auto"/>
            <w:tcMar>
              <w:top w:w="0" w:type="dxa"/>
              <w:left w:w="28" w:type="dxa"/>
              <w:right w:w="28" w:type="dxa"/>
            </w:tcMar>
            <w:vAlign w:val="center"/>
          </w:tcPr>
          <w:p w14:paraId="283929D9">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12,73 </w:t>
            </w:r>
          </w:p>
        </w:tc>
        <w:tc>
          <w:tcPr>
            <w:tcW w:w="413" w:type="pct"/>
            <w:tcBorders>
              <w:top w:val="single" w:color="000000" w:sz="4" w:space="0"/>
              <w:left w:val="single" w:color="000000" w:sz="4" w:space="0"/>
              <w:bottom w:val="single" w:color="000000" w:sz="8" w:space="0"/>
              <w:right w:val="single" w:color="000000" w:sz="8" w:space="0"/>
            </w:tcBorders>
            <w:shd w:val="clear" w:color="auto" w:fill="auto"/>
            <w:tcMar>
              <w:top w:w="0" w:type="dxa"/>
              <w:left w:w="28" w:type="dxa"/>
              <w:right w:w="28" w:type="dxa"/>
            </w:tcMar>
            <w:vAlign w:val="center"/>
          </w:tcPr>
          <w:p w14:paraId="0498053A">
            <w:pPr>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12,73 </w:t>
            </w:r>
          </w:p>
        </w:tc>
      </w:tr>
    </w:tbl>
    <w:p w14:paraId="01B2D145">
      <w:pPr>
        <w:spacing w:after="0" w:line="240" w:lineRule="auto"/>
        <w:ind w:left="-15" w:right="1" w:firstLine="710"/>
        <w:contextualSpacing/>
        <w:jc w:val="both"/>
        <w:rPr>
          <w:color w:val="000000"/>
          <w:sz w:val="24"/>
          <w:szCs w:val="24"/>
          <w:lang w:eastAsia="en-US"/>
        </w:rPr>
      </w:pPr>
    </w:p>
    <w:p w14:paraId="0DAD1C6C">
      <w:pPr>
        <w:spacing w:after="0" w:line="240" w:lineRule="auto"/>
        <w:ind w:left="-15" w:right="1" w:firstLine="710"/>
        <w:contextualSpacing/>
        <w:jc w:val="both"/>
        <w:rPr>
          <w:color w:val="000000"/>
          <w:sz w:val="24"/>
          <w:szCs w:val="24"/>
          <w:lang w:eastAsia="en-US"/>
        </w:rPr>
      </w:pPr>
      <w:r>
        <w:rPr>
          <w:color w:val="000000"/>
          <w:sz w:val="24"/>
          <w:szCs w:val="24"/>
          <w:lang w:eastAsia="en-US"/>
        </w:rPr>
        <w:t>Согласно приказу Департамента жилищно-коммунального комплекса и энергетики Ханты-Мансийского автономного округа – Югры от 25 декабря 2017 года N 12-нп «Об установлении нормативов потребления коммунальных ресурсов, потребляемых при использовании и содержании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p>
    <w:p w14:paraId="2A3EFCF8">
      <w:pPr>
        <w:spacing w:after="0" w:line="240" w:lineRule="auto"/>
        <w:ind w:left="720" w:right="1" w:hanging="10"/>
        <w:contextualSpacing/>
        <w:jc w:val="both"/>
        <w:rPr>
          <w:color w:val="000000"/>
          <w:sz w:val="24"/>
          <w:szCs w:val="24"/>
          <w:lang w:eastAsia="en-US"/>
        </w:rPr>
      </w:pPr>
      <w:r>
        <w:rPr>
          <w:color w:val="000000"/>
          <w:sz w:val="24"/>
          <w:szCs w:val="24"/>
          <w:lang w:eastAsia="en-US"/>
        </w:rPr>
        <w:t>Данные нормативы приведены в таблице 49.</w:t>
      </w:r>
    </w:p>
    <w:p w14:paraId="6840F541">
      <w:pPr>
        <w:spacing w:after="0" w:line="240" w:lineRule="auto"/>
        <w:ind w:left="720" w:right="1" w:hanging="10"/>
        <w:contextualSpacing/>
        <w:jc w:val="both"/>
        <w:rPr>
          <w:color w:val="000000"/>
          <w:sz w:val="24"/>
          <w:szCs w:val="24"/>
          <w:lang w:eastAsia="en-US"/>
        </w:rPr>
      </w:pPr>
    </w:p>
    <w:p w14:paraId="5E7147A4">
      <w:pPr>
        <w:pStyle w:val="43"/>
        <w:keepNext/>
        <w:spacing w:before="0" w:after="0" w:line="240" w:lineRule="auto"/>
        <w:ind w:firstLine="0"/>
        <w:contextualSpacing/>
        <w:rPr>
          <w:rFonts w:cs="Times New Roman"/>
          <w:b w:val="0"/>
          <w:sz w:val="24"/>
          <w:szCs w:val="24"/>
        </w:rPr>
      </w:pPr>
      <w:bookmarkStart w:id="355" w:name="_Toc77864691"/>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Pr>
          <w:b w:val="0"/>
          <w:sz w:val="24"/>
          <w:szCs w:val="24"/>
        </w:rPr>
        <w:t>49</w:t>
      </w:r>
      <w:r>
        <w:rPr>
          <w:b w:val="0"/>
          <w:sz w:val="24"/>
          <w:szCs w:val="24"/>
        </w:rPr>
        <w:fldChar w:fldCharType="end"/>
      </w:r>
      <w:r>
        <w:rPr>
          <w:b w:val="0"/>
          <w:sz w:val="24"/>
          <w:szCs w:val="24"/>
        </w:rPr>
        <w:t xml:space="preserve"> –</w:t>
      </w:r>
      <w:r>
        <w:rPr>
          <w:rFonts w:cs="Times New Roman"/>
          <w:b w:val="0"/>
          <w:sz w:val="24"/>
          <w:szCs w:val="24"/>
        </w:rPr>
        <w:t xml:space="preserve"> Нормативы потребления горячего водоснабжения для населения </w:t>
      </w:r>
      <w:r>
        <w:rPr>
          <w:rFonts w:cs="Times New Roman"/>
          <w:b w:val="0"/>
          <w:sz w:val="24"/>
          <w:szCs w:val="24"/>
        </w:rPr>
        <w:br w:type="textWrapping"/>
      </w:r>
      <w:bookmarkEnd w:id="355"/>
      <w:r>
        <w:rPr>
          <w:rFonts w:cs="Times New Roman"/>
          <w:b w:val="0"/>
          <w:sz w:val="24"/>
          <w:szCs w:val="24"/>
        </w:rPr>
        <w:t>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6015"/>
        <w:gridCol w:w="1372"/>
        <w:gridCol w:w="1896"/>
      </w:tblGrid>
      <w:tr w14:paraId="2222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90" w:type="pct"/>
            <w:shd w:val="clear" w:color="auto" w:fill="auto"/>
            <w:vAlign w:val="center"/>
          </w:tcPr>
          <w:p w14:paraId="759EA2A6">
            <w:pPr>
              <w:spacing w:after="0" w:line="240" w:lineRule="auto"/>
              <w:ind w:firstLine="0"/>
              <w:jc w:val="center"/>
              <w:rPr>
                <w:sz w:val="20"/>
                <w:szCs w:val="20"/>
              </w:rPr>
            </w:pPr>
            <w:r>
              <w:rPr>
                <w:sz w:val="20"/>
                <w:szCs w:val="20"/>
              </w:rPr>
              <w:t>N п/п</w:t>
            </w:r>
          </w:p>
        </w:tc>
        <w:tc>
          <w:tcPr>
            <w:tcW w:w="3052" w:type="pct"/>
            <w:shd w:val="clear" w:color="auto" w:fill="auto"/>
            <w:vAlign w:val="center"/>
          </w:tcPr>
          <w:p w14:paraId="5F770E18">
            <w:pPr>
              <w:spacing w:after="0" w:line="240" w:lineRule="auto"/>
              <w:ind w:firstLine="0"/>
              <w:jc w:val="center"/>
              <w:rPr>
                <w:sz w:val="20"/>
                <w:szCs w:val="20"/>
              </w:rPr>
            </w:pPr>
            <w:r>
              <w:rPr>
                <w:sz w:val="20"/>
                <w:szCs w:val="20"/>
              </w:rPr>
              <w:t>Категории жилых помещений</w:t>
            </w:r>
          </w:p>
        </w:tc>
        <w:tc>
          <w:tcPr>
            <w:tcW w:w="696" w:type="pct"/>
            <w:shd w:val="clear" w:color="auto" w:fill="auto"/>
            <w:vAlign w:val="center"/>
          </w:tcPr>
          <w:p w14:paraId="25852293">
            <w:pPr>
              <w:spacing w:after="0" w:line="240" w:lineRule="auto"/>
              <w:ind w:firstLine="0"/>
              <w:jc w:val="center"/>
              <w:rPr>
                <w:sz w:val="20"/>
                <w:szCs w:val="20"/>
              </w:rPr>
            </w:pPr>
            <w:r>
              <w:rPr>
                <w:sz w:val="20"/>
                <w:szCs w:val="20"/>
              </w:rPr>
              <w:t>Единица измерения</w:t>
            </w:r>
          </w:p>
        </w:tc>
        <w:tc>
          <w:tcPr>
            <w:tcW w:w="963" w:type="pct"/>
            <w:shd w:val="clear" w:color="auto" w:fill="auto"/>
            <w:vAlign w:val="center"/>
          </w:tcPr>
          <w:p w14:paraId="1AEF2812">
            <w:pPr>
              <w:spacing w:after="0" w:line="240" w:lineRule="auto"/>
              <w:ind w:firstLine="0"/>
              <w:jc w:val="center"/>
              <w:rPr>
                <w:sz w:val="20"/>
                <w:szCs w:val="20"/>
              </w:rPr>
            </w:pPr>
            <w:r>
              <w:rPr>
                <w:sz w:val="20"/>
                <w:szCs w:val="20"/>
              </w:rPr>
              <w:t>Норматив потребления коммунальной услуги горячего водоснабжения</w:t>
            </w:r>
          </w:p>
        </w:tc>
      </w:tr>
      <w:tr w14:paraId="01B2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vAlign w:val="center"/>
          </w:tcPr>
          <w:p w14:paraId="0634DC56">
            <w:pPr>
              <w:spacing w:after="0" w:line="240" w:lineRule="auto"/>
              <w:ind w:firstLine="0"/>
              <w:jc w:val="center"/>
              <w:rPr>
                <w:sz w:val="20"/>
                <w:szCs w:val="20"/>
              </w:rPr>
            </w:pPr>
            <w:r>
              <w:rPr>
                <w:sz w:val="20"/>
                <w:szCs w:val="20"/>
              </w:rPr>
              <w:t>Жилые дома с централизованным горячим водоснабжением при закрытых системах отопления</w:t>
            </w:r>
          </w:p>
        </w:tc>
      </w:tr>
      <w:tr w14:paraId="3438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49AFFA0D">
            <w:pPr>
              <w:spacing w:after="0" w:line="240" w:lineRule="auto"/>
              <w:ind w:firstLine="0"/>
              <w:jc w:val="center"/>
              <w:rPr>
                <w:sz w:val="20"/>
                <w:szCs w:val="20"/>
              </w:rPr>
            </w:pPr>
            <w:r>
              <w:rPr>
                <w:sz w:val="20"/>
                <w:szCs w:val="20"/>
              </w:rPr>
              <w:t>1.</w:t>
            </w:r>
          </w:p>
        </w:tc>
        <w:tc>
          <w:tcPr>
            <w:tcW w:w="3052" w:type="pct"/>
            <w:shd w:val="clear" w:color="auto" w:fill="auto"/>
            <w:vAlign w:val="center"/>
          </w:tcPr>
          <w:p w14:paraId="4EE88033">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696" w:type="pct"/>
            <w:shd w:val="clear" w:color="auto" w:fill="auto"/>
            <w:vAlign w:val="center"/>
          </w:tcPr>
          <w:p w14:paraId="53212C55">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6BA532C">
            <w:pPr>
              <w:spacing w:after="0" w:line="240" w:lineRule="auto"/>
              <w:ind w:firstLine="0"/>
              <w:jc w:val="center"/>
              <w:rPr>
                <w:sz w:val="20"/>
                <w:szCs w:val="20"/>
              </w:rPr>
            </w:pPr>
            <w:r>
              <w:rPr>
                <w:sz w:val="20"/>
                <w:szCs w:val="20"/>
              </w:rPr>
              <w:t>3,331</w:t>
            </w:r>
          </w:p>
        </w:tc>
      </w:tr>
      <w:tr w14:paraId="661F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3EB52EA0">
            <w:pPr>
              <w:spacing w:after="0" w:line="240" w:lineRule="auto"/>
              <w:ind w:firstLine="0"/>
              <w:jc w:val="center"/>
              <w:rPr>
                <w:sz w:val="20"/>
                <w:szCs w:val="20"/>
              </w:rPr>
            </w:pPr>
            <w:r>
              <w:rPr>
                <w:sz w:val="20"/>
                <w:szCs w:val="20"/>
              </w:rPr>
              <w:t>2.</w:t>
            </w:r>
          </w:p>
        </w:tc>
        <w:tc>
          <w:tcPr>
            <w:tcW w:w="3052" w:type="pct"/>
            <w:shd w:val="clear" w:color="auto" w:fill="auto"/>
            <w:vAlign w:val="center"/>
          </w:tcPr>
          <w:p w14:paraId="7356925F">
            <w:pPr>
              <w:spacing w:after="0" w:line="240" w:lineRule="auto"/>
              <w:ind w:firstLine="0"/>
              <w:rPr>
                <w:sz w:val="20"/>
                <w:szCs w:val="20"/>
              </w:rPr>
            </w:pPr>
            <w:r>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696" w:type="pct"/>
            <w:shd w:val="clear" w:color="auto" w:fill="auto"/>
            <w:vAlign w:val="center"/>
          </w:tcPr>
          <w:p w14:paraId="6409F0F8">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7BFD6AB3">
            <w:pPr>
              <w:spacing w:after="0" w:line="240" w:lineRule="auto"/>
              <w:ind w:firstLine="0"/>
              <w:jc w:val="center"/>
              <w:rPr>
                <w:sz w:val="20"/>
                <w:szCs w:val="20"/>
              </w:rPr>
            </w:pPr>
            <w:r>
              <w:rPr>
                <w:sz w:val="20"/>
                <w:szCs w:val="20"/>
              </w:rPr>
              <w:t>3,461</w:t>
            </w:r>
          </w:p>
        </w:tc>
      </w:tr>
      <w:tr w14:paraId="0830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76917B0A">
            <w:pPr>
              <w:spacing w:after="0" w:line="240" w:lineRule="auto"/>
              <w:ind w:firstLine="0"/>
              <w:jc w:val="center"/>
              <w:rPr>
                <w:sz w:val="20"/>
                <w:szCs w:val="20"/>
              </w:rPr>
            </w:pPr>
            <w:r>
              <w:rPr>
                <w:sz w:val="20"/>
                <w:szCs w:val="20"/>
              </w:rPr>
              <w:t>3.</w:t>
            </w:r>
          </w:p>
        </w:tc>
        <w:tc>
          <w:tcPr>
            <w:tcW w:w="3052" w:type="pct"/>
            <w:shd w:val="clear" w:color="auto" w:fill="auto"/>
            <w:vAlign w:val="center"/>
          </w:tcPr>
          <w:p w14:paraId="071D2E91">
            <w:pPr>
              <w:spacing w:after="0" w:line="240" w:lineRule="auto"/>
              <w:ind w:firstLine="0"/>
              <w:rPr>
                <w:sz w:val="20"/>
                <w:szCs w:val="20"/>
              </w:rPr>
            </w:pPr>
            <w:r>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696" w:type="pct"/>
            <w:shd w:val="clear" w:color="auto" w:fill="auto"/>
            <w:vAlign w:val="center"/>
          </w:tcPr>
          <w:p w14:paraId="25D0F37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122A44B">
            <w:pPr>
              <w:spacing w:after="0" w:line="240" w:lineRule="auto"/>
              <w:ind w:firstLine="0"/>
              <w:jc w:val="center"/>
              <w:rPr>
                <w:sz w:val="20"/>
                <w:szCs w:val="20"/>
              </w:rPr>
            </w:pPr>
            <w:r>
              <w:rPr>
                <w:sz w:val="20"/>
                <w:szCs w:val="20"/>
              </w:rPr>
              <w:t>3,539</w:t>
            </w:r>
          </w:p>
        </w:tc>
      </w:tr>
      <w:tr w14:paraId="487B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192D9548">
            <w:pPr>
              <w:spacing w:after="0" w:line="240" w:lineRule="auto"/>
              <w:ind w:firstLine="0"/>
              <w:jc w:val="center"/>
              <w:rPr>
                <w:sz w:val="20"/>
                <w:szCs w:val="20"/>
              </w:rPr>
            </w:pPr>
            <w:r>
              <w:rPr>
                <w:sz w:val="20"/>
                <w:szCs w:val="20"/>
              </w:rPr>
              <w:t>4.</w:t>
            </w:r>
          </w:p>
        </w:tc>
        <w:tc>
          <w:tcPr>
            <w:tcW w:w="3052" w:type="pct"/>
            <w:shd w:val="clear" w:color="auto" w:fill="auto"/>
            <w:vAlign w:val="center"/>
          </w:tcPr>
          <w:p w14:paraId="164E52C0">
            <w:pPr>
              <w:spacing w:after="0" w:line="240" w:lineRule="auto"/>
              <w:ind w:firstLine="0"/>
              <w:rPr>
                <w:sz w:val="20"/>
                <w:szCs w:val="20"/>
              </w:rPr>
            </w:pPr>
            <w:r>
              <w:rPr>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696" w:type="pct"/>
            <w:shd w:val="clear" w:color="auto" w:fill="auto"/>
            <w:vAlign w:val="center"/>
          </w:tcPr>
          <w:p w14:paraId="509340DE">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58C02334">
            <w:pPr>
              <w:spacing w:after="0" w:line="240" w:lineRule="auto"/>
              <w:ind w:firstLine="0"/>
              <w:jc w:val="center"/>
              <w:rPr>
                <w:sz w:val="20"/>
                <w:szCs w:val="20"/>
              </w:rPr>
            </w:pPr>
            <w:r>
              <w:rPr>
                <w:sz w:val="20"/>
                <w:szCs w:val="20"/>
              </w:rPr>
              <w:t>3,885</w:t>
            </w:r>
          </w:p>
        </w:tc>
      </w:tr>
      <w:tr w14:paraId="37E1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5D929A1D">
            <w:pPr>
              <w:spacing w:after="0" w:line="240" w:lineRule="auto"/>
              <w:ind w:firstLine="0"/>
              <w:jc w:val="center"/>
              <w:rPr>
                <w:sz w:val="20"/>
                <w:szCs w:val="20"/>
              </w:rPr>
            </w:pPr>
            <w:r>
              <w:rPr>
                <w:sz w:val="20"/>
                <w:szCs w:val="20"/>
              </w:rPr>
              <w:t>5.</w:t>
            </w:r>
          </w:p>
        </w:tc>
        <w:tc>
          <w:tcPr>
            <w:tcW w:w="3052" w:type="pct"/>
            <w:shd w:val="clear" w:color="auto" w:fill="auto"/>
            <w:vAlign w:val="center"/>
          </w:tcPr>
          <w:p w14:paraId="69362467">
            <w:pPr>
              <w:spacing w:after="0" w:line="240" w:lineRule="auto"/>
              <w:ind w:firstLine="0"/>
              <w:rPr>
                <w:sz w:val="20"/>
                <w:szCs w:val="20"/>
              </w:rPr>
            </w:pPr>
            <w:r>
              <w:rPr>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696" w:type="pct"/>
            <w:shd w:val="clear" w:color="auto" w:fill="auto"/>
            <w:vAlign w:val="center"/>
          </w:tcPr>
          <w:p w14:paraId="05466BF4">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1AFDFA0">
            <w:pPr>
              <w:spacing w:after="0" w:line="240" w:lineRule="auto"/>
              <w:ind w:firstLine="0"/>
              <w:jc w:val="center"/>
              <w:rPr>
                <w:sz w:val="20"/>
                <w:szCs w:val="20"/>
              </w:rPr>
            </w:pPr>
            <w:r>
              <w:rPr>
                <w:sz w:val="20"/>
                <w:szCs w:val="20"/>
              </w:rPr>
              <w:t>3,396</w:t>
            </w:r>
          </w:p>
        </w:tc>
      </w:tr>
      <w:tr w14:paraId="1231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4720F279">
            <w:pPr>
              <w:spacing w:after="0" w:line="240" w:lineRule="auto"/>
              <w:ind w:firstLine="0"/>
              <w:jc w:val="center"/>
              <w:rPr>
                <w:sz w:val="20"/>
                <w:szCs w:val="20"/>
              </w:rPr>
            </w:pPr>
            <w:r>
              <w:rPr>
                <w:sz w:val="20"/>
                <w:szCs w:val="20"/>
              </w:rPr>
              <w:t>6.</w:t>
            </w:r>
          </w:p>
        </w:tc>
        <w:tc>
          <w:tcPr>
            <w:tcW w:w="3052" w:type="pct"/>
            <w:shd w:val="clear" w:color="auto" w:fill="auto"/>
            <w:vAlign w:val="center"/>
          </w:tcPr>
          <w:p w14:paraId="3526FAC6">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696" w:type="pct"/>
            <w:shd w:val="clear" w:color="auto" w:fill="auto"/>
            <w:vAlign w:val="center"/>
          </w:tcPr>
          <w:p w14:paraId="5BC85096">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87566F3">
            <w:pPr>
              <w:spacing w:after="0" w:line="240" w:lineRule="auto"/>
              <w:ind w:firstLine="0"/>
              <w:jc w:val="center"/>
              <w:rPr>
                <w:sz w:val="20"/>
                <w:szCs w:val="20"/>
              </w:rPr>
            </w:pPr>
            <w:r>
              <w:rPr>
                <w:sz w:val="20"/>
                <w:szCs w:val="20"/>
              </w:rPr>
              <w:t>3,127</w:t>
            </w:r>
          </w:p>
        </w:tc>
      </w:tr>
      <w:tr w14:paraId="21BD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3F121BB8">
            <w:pPr>
              <w:spacing w:after="0" w:line="240" w:lineRule="auto"/>
              <w:ind w:firstLine="0"/>
              <w:jc w:val="center"/>
              <w:rPr>
                <w:sz w:val="20"/>
                <w:szCs w:val="20"/>
              </w:rPr>
            </w:pPr>
            <w:r>
              <w:rPr>
                <w:sz w:val="20"/>
                <w:szCs w:val="20"/>
              </w:rPr>
              <w:t>7.</w:t>
            </w:r>
          </w:p>
        </w:tc>
        <w:tc>
          <w:tcPr>
            <w:tcW w:w="3052" w:type="pct"/>
            <w:shd w:val="clear" w:color="auto" w:fill="auto"/>
            <w:vAlign w:val="center"/>
          </w:tcPr>
          <w:p w14:paraId="65D8CE37">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696" w:type="pct"/>
            <w:shd w:val="clear" w:color="auto" w:fill="auto"/>
            <w:vAlign w:val="center"/>
          </w:tcPr>
          <w:p w14:paraId="45FD424B">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B88FCE7">
            <w:pPr>
              <w:spacing w:after="0" w:line="240" w:lineRule="auto"/>
              <w:ind w:firstLine="0"/>
              <w:jc w:val="center"/>
              <w:rPr>
                <w:sz w:val="20"/>
                <w:szCs w:val="20"/>
              </w:rPr>
            </w:pPr>
            <w:r>
              <w:rPr>
                <w:sz w:val="20"/>
                <w:szCs w:val="20"/>
              </w:rPr>
              <w:t>2,815</w:t>
            </w:r>
          </w:p>
        </w:tc>
      </w:tr>
      <w:tr w14:paraId="480F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58330BF1">
            <w:pPr>
              <w:spacing w:after="0" w:line="240" w:lineRule="auto"/>
              <w:ind w:firstLine="0"/>
              <w:jc w:val="center"/>
              <w:rPr>
                <w:sz w:val="20"/>
                <w:szCs w:val="20"/>
              </w:rPr>
            </w:pPr>
            <w:r>
              <w:rPr>
                <w:sz w:val="20"/>
                <w:szCs w:val="20"/>
              </w:rPr>
              <w:t>8.</w:t>
            </w:r>
          </w:p>
        </w:tc>
        <w:tc>
          <w:tcPr>
            <w:tcW w:w="3052" w:type="pct"/>
            <w:shd w:val="clear" w:color="auto" w:fill="auto"/>
            <w:vAlign w:val="center"/>
          </w:tcPr>
          <w:p w14:paraId="77697605">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696" w:type="pct"/>
            <w:shd w:val="clear" w:color="auto" w:fill="auto"/>
            <w:vAlign w:val="center"/>
          </w:tcPr>
          <w:p w14:paraId="47D2DF9F">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00E451B">
            <w:pPr>
              <w:spacing w:after="0" w:line="240" w:lineRule="auto"/>
              <w:ind w:firstLine="0"/>
              <w:jc w:val="center"/>
              <w:rPr>
                <w:sz w:val="20"/>
                <w:szCs w:val="20"/>
              </w:rPr>
            </w:pPr>
            <w:r>
              <w:rPr>
                <w:sz w:val="20"/>
                <w:szCs w:val="20"/>
              </w:rPr>
              <w:t>1,303</w:t>
            </w:r>
          </w:p>
        </w:tc>
      </w:tr>
      <w:tr w14:paraId="24FF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E3A844D">
            <w:pPr>
              <w:spacing w:after="0" w:line="240" w:lineRule="auto"/>
              <w:ind w:firstLine="0"/>
              <w:jc w:val="center"/>
              <w:rPr>
                <w:sz w:val="20"/>
                <w:szCs w:val="20"/>
              </w:rPr>
            </w:pPr>
            <w:r>
              <w:rPr>
                <w:sz w:val="20"/>
                <w:szCs w:val="20"/>
              </w:rPr>
              <w:t>9.</w:t>
            </w:r>
          </w:p>
        </w:tc>
        <w:tc>
          <w:tcPr>
            <w:tcW w:w="3052" w:type="pct"/>
            <w:shd w:val="clear" w:color="auto" w:fill="auto"/>
            <w:vAlign w:val="center"/>
          </w:tcPr>
          <w:p w14:paraId="6052C5E3">
            <w:pPr>
              <w:spacing w:after="0" w:line="240" w:lineRule="auto"/>
              <w:ind w:firstLine="0"/>
              <w:rPr>
                <w:sz w:val="20"/>
                <w:szCs w:val="20"/>
              </w:rPr>
            </w:pPr>
            <w:r>
              <w:rPr>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696" w:type="pct"/>
            <w:shd w:val="clear" w:color="auto" w:fill="auto"/>
            <w:vAlign w:val="center"/>
          </w:tcPr>
          <w:p w14:paraId="7F13F10D">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04301AC">
            <w:pPr>
              <w:spacing w:after="0" w:line="240" w:lineRule="auto"/>
              <w:ind w:firstLine="0"/>
              <w:jc w:val="center"/>
              <w:rPr>
                <w:sz w:val="20"/>
                <w:szCs w:val="20"/>
              </w:rPr>
            </w:pPr>
            <w:r>
              <w:rPr>
                <w:sz w:val="20"/>
                <w:szCs w:val="20"/>
              </w:rPr>
              <w:t>2,377</w:t>
            </w:r>
          </w:p>
        </w:tc>
      </w:tr>
      <w:tr w14:paraId="6E66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673310DA">
            <w:pPr>
              <w:spacing w:after="0" w:line="240" w:lineRule="auto"/>
              <w:ind w:firstLine="0"/>
              <w:jc w:val="center"/>
              <w:rPr>
                <w:sz w:val="20"/>
                <w:szCs w:val="20"/>
              </w:rPr>
            </w:pPr>
            <w:r>
              <w:rPr>
                <w:sz w:val="20"/>
                <w:szCs w:val="20"/>
              </w:rPr>
              <w:t>10.</w:t>
            </w:r>
          </w:p>
        </w:tc>
        <w:tc>
          <w:tcPr>
            <w:tcW w:w="3052" w:type="pct"/>
            <w:shd w:val="clear" w:color="auto" w:fill="auto"/>
            <w:vAlign w:val="center"/>
          </w:tcPr>
          <w:p w14:paraId="0FE767ED">
            <w:pPr>
              <w:spacing w:after="0" w:line="240" w:lineRule="auto"/>
              <w:ind w:firstLine="0"/>
              <w:rPr>
                <w:sz w:val="20"/>
                <w:szCs w:val="20"/>
              </w:rPr>
            </w:pPr>
            <w:r>
              <w:rPr>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696" w:type="pct"/>
            <w:shd w:val="clear" w:color="auto" w:fill="auto"/>
            <w:vAlign w:val="center"/>
          </w:tcPr>
          <w:p w14:paraId="2FBC303E">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1F04A25C">
            <w:pPr>
              <w:spacing w:after="0" w:line="240" w:lineRule="auto"/>
              <w:ind w:firstLine="0"/>
              <w:jc w:val="center"/>
              <w:rPr>
                <w:sz w:val="20"/>
                <w:szCs w:val="20"/>
              </w:rPr>
            </w:pPr>
            <w:r>
              <w:rPr>
                <w:sz w:val="20"/>
                <w:szCs w:val="20"/>
              </w:rPr>
              <w:t>1,637</w:t>
            </w:r>
          </w:p>
        </w:tc>
      </w:tr>
      <w:tr w14:paraId="68C2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6C214D58">
            <w:pPr>
              <w:spacing w:after="0" w:line="240" w:lineRule="auto"/>
              <w:ind w:firstLine="0"/>
              <w:jc w:val="center"/>
              <w:rPr>
                <w:sz w:val="20"/>
                <w:szCs w:val="20"/>
              </w:rPr>
            </w:pPr>
            <w:r>
              <w:rPr>
                <w:sz w:val="20"/>
                <w:szCs w:val="20"/>
              </w:rPr>
              <w:t>11.</w:t>
            </w:r>
          </w:p>
        </w:tc>
        <w:tc>
          <w:tcPr>
            <w:tcW w:w="3052" w:type="pct"/>
            <w:shd w:val="clear" w:color="auto" w:fill="auto"/>
            <w:vAlign w:val="center"/>
          </w:tcPr>
          <w:p w14:paraId="3478E2A6">
            <w:pPr>
              <w:spacing w:after="0" w:line="240" w:lineRule="auto"/>
              <w:ind w:firstLine="0"/>
              <w:rPr>
                <w:sz w:val="20"/>
                <w:szCs w:val="20"/>
              </w:rPr>
            </w:pPr>
            <w:r>
              <w:rPr>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696" w:type="pct"/>
            <w:shd w:val="clear" w:color="auto" w:fill="auto"/>
            <w:vAlign w:val="center"/>
          </w:tcPr>
          <w:p w14:paraId="6D1C7648">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5C738019">
            <w:pPr>
              <w:spacing w:after="0" w:line="240" w:lineRule="auto"/>
              <w:ind w:firstLine="0"/>
              <w:jc w:val="center"/>
              <w:rPr>
                <w:sz w:val="20"/>
                <w:szCs w:val="20"/>
              </w:rPr>
            </w:pPr>
            <w:r>
              <w:rPr>
                <w:sz w:val="20"/>
                <w:szCs w:val="20"/>
              </w:rPr>
              <w:t>0,719</w:t>
            </w:r>
          </w:p>
        </w:tc>
      </w:tr>
      <w:tr w14:paraId="1DEF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vAlign w:val="center"/>
          </w:tcPr>
          <w:p w14:paraId="450C2A27">
            <w:pPr>
              <w:spacing w:after="0" w:line="240" w:lineRule="auto"/>
              <w:ind w:firstLine="0"/>
              <w:jc w:val="center"/>
              <w:rPr>
                <w:sz w:val="20"/>
                <w:szCs w:val="20"/>
              </w:rPr>
            </w:pPr>
            <w:r>
              <w:rPr>
                <w:sz w:val="20"/>
                <w:szCs w:val="20"/>
              </w:rPr>
              <w:t>Жилые дома с централизованным горячим водоснабжением при открытых системах отопления</w:t>
            </w:r>
          </w:p>
        </w:tc>
      </w:tr>
      <w:tr w14:paraId="4F29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3077D90">
            <w:pPr>
              <w:spacing w:after="0" w:line="240" w:lineRule="auto"/>
              <w:ind w:firstLine="0"/>
              <w:jc w:val="center"/>
              <w:rPr>
                <w:sz w:val="20"/>
                <w:szCs w:val="20"/>
              </w:rPr>
            </w:pPr>
            <w:r>
              <w:rPr>
                <w:sz w:val="20"/>
                <w:szCs w:val="20"/>
              </w:rPr>
              <w:t>1.</w:t>
            </w:r>
          </w:p>
        </w:tc>
        <w:tc>
          <w:tcPr>
            <w:tcW w:w="3052" w:type="pct"/>
            <w:shd w:val="clear" w:color="auto" w:fill="auto"/>
            <w:vAlign w:val="center"/>
          </w:tcPr>
          <w:p w14:paraId="24895F92">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696" w:type="pct"/>
            <w:shd w:val="clear" w:color="auto" w:fill="auto"/>
            <w:vAlign w:val="center"/>
          </w:tcPr>
          <w:p w14:paraId="45E042AF">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09F35D78">
            <w:pPr>
              <w:spacing w:after="0" w:line="240" w:lineRule="auto"/>
              <w:ind w:firstLine="0"/>
              <w:jc w:val="center"/>
              <w:rPr>
                <w:sz w:val="20"/>
                <w:szCs w:val="20"/>
              </w:rPr>
            </w:pPr>
            <w:r>
              <w:rPr>
                <w:sz w:val="20"/>
                <w:szCs w:val="20"/>
              </w:rPr>
              <w:t>2,799</w:t>
            </w:r>
          </w:p>
        </w:tc>
      </w:tr>
      <w:tr w14:paraId="7FD0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1664A96B">
            <w:pPr>
              <w:spacing w:after="0" w:line="240" w:lineRule="auto"/>
              <w:ind w:firstLine="0"/>
              <w:jc w:val="center"/>
              <w:rPr>
                <w:sz w:val="20"/>
                <w:szCs w:val="20"/>
              </w:rPr>
            </w:pPr>
            <w:r>
              <w:rPr>
                <w:sz w:val="20"/>
                <w:szCs w:val="20"/>
              </w:rPr>
              <w:t>2.</w:t>
            </w:r>
          </w:p>
        </w:tc>
        <w:tc>
          <w:tcPr>
            <w:tcW w:w="3052" w:type="pct"/>
            <w:shd w:val="clear" w:color="auto" w:fill="auto"/>
            <w:vAlign w:val="center"/>
          </w:tcPr>
          <w:p w14:paraId="6861233B">
            <w:pPr>
              <w:spacing w:after="0" w:line="240" w:lineRule="auto"/>
              <w:ind w:firstLine="0"/>
              <w:rPr>
                <w:sz w:val="20"/>
                <w:szCs w:val="20"/>
              </w:rPr>
            </w:pPr>
            <w:r>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696" w:type="pct"/>
            <w:shd w:val="clear" w:color="auto" w:fill="auto"/>
            <w:vAlign w:val="center"/>
          </w:tcPr>
          <w:p w14:paraId="262417AB">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499DDAC2">
            <w:pPr>
              <w:spacing w:after="0" w:line="240" w:lineRule="auto"/>
              <w:ind w:firstLine="0"/>
              <w:jc w:val="center"/>
              <w:rPr>
                <w:sz w:val="20"/>
                <w:szCs w:val="20"/>
              </w:rPr>
            </w:pPr>
            <w:r>
              <w:rPr>
                <w:sz w:val="20"/>
                <w:szCs w:val="20"/>
              </w:rPr>
              <w:t>2,91</w:t>
            </w:r>
          </w:p>
        </w:tc>
      </w:tr>
      <w:tr w14:paraId="71CE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6A4CC83E">
            <w:pPr>
              <w:spacing w:after="0" w:line="240" w:lineRule="auto"/>
              <w:ind w:firstLine="0"/>
              <w:jc w:val="center"/>
              <w:rPr>
                <w:sz w:val="20"/>
                <w:szCs w:val="20"/>
              </w:rPr>
            </w:pPr>
            <w:r>
              <w:rPr>
                <w:sz w:val="20"/>
                <w:szCs w:val="20"/>
              </w:rPr>
              <w:t>3.</w:t>
            </w:r>
          </w:p>
        </w:tc>
        <w:tc>
          <w:tcPr>
            <w:tcW w:w="3052" w:type="pct"/>
            <w:shd w:val="clear" w:color="auto" w:fill="auto"/>
            <w:vAlign w:val="center"/>
          </w:tcPr>
          <w:p w14:paraId="7C5074BE">
            <w:pPr>
              <w:spacing w:after="0" w:line="240" w:lineRule="auto"/>
              <w:ind w:firstLine="0"/>
              <w:rPr>
                <w:sz w:val="20"/>
                <w:szCs w:val="20"/>
              </w:rPr>
            </w:pPr>
            <w:r>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696" w:type="pct"/>
            <w:shd w:val="clear" w:color="auto" w:fill="auto"/>
            <w:vAlign w:val="center"/>
          </w:tcPr>
          <w:p w14:paraId="0ADE585D">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17D134D5">
            <w:pPr>
              <w:spacing w:after="0" w:line="240" w:lineRule="auto"/>
              <w:ind w:firstLine="0"/>
              <w:jc w:val="center"/>
              <w:rPr>
                <w:sz w:val="20"/>
                <w:szCs w:val="20"/>
              </w:rPr>
            </w:pPr>
            <w:r>
              <w:rPr>
                <w:sz w:val="20"/>
                <w:szCs w:val="20"/>
              </w:rPr>
              <w:t>2,976</w:t>
            </w:r>
          </w:p>
        </w:tc>
      </w:tr>
      <w:tr w14:paraId="659E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496EB22">
            <w:pPr>
              <w:spacing w:after="0" w:line="240" w:lineRule="auto"/>
              <w:ind w:firstLine="0"/>
              <w:jc w:val="center"/>
              <w:rPr>
                <w:sz w:val="20"/>
                <w:szCs w:val="20"/>
              </w:rPr>
            </w:pPr>
            <w:r>
              <w:rPr>
                <w:sz w:val="20"/>
                <w:szCs w:val="20"/>
              </w:rPr>
              <w:t>4.</w:t>
            </w:r>
          </w:p>
        </w:tc>
        <w:tc>
          <w:tcPr>
            <w:tcW w:w="3052" w:type="pct"/>
            <w:shd w:val="clear" w:color="auto" w:fill="auto"/>
            <w:vAlign w:val="center"/>
          </w:tcPr>
          <w:p w14:paraId="39D196F0">
            <w:pPr>
              <w:spacing w:after="0" w:line="240" w:lineRule="auto"/>
              <w:ind w:firstLine="0"/>
              <w:rPr>
                <w:sz w:val="20"/>
                <w:szCs w:val="20"/>
              </w:rPr>
            </w:pPr>
            <w:r>
              <w:rPr>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696" w:type="pct"/>
            <w:shd w:val="clear" w:color="auto" w:fill="auto"/>
            <w:vAlign w:val="center"/>
          </w:tcPr>
          <w:p w14:paraId="2651A196">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4A281B36">
            <w:pPr>
              <w:spacing w:after="0" w:line="240" w:lineRule="auto"/>
              <w:ind w:firstLine="0"/>
              <w:jc w:val="center"/>
              <w:rPr>
                <w:sz w:val="20"/>
                <w:szCs w:val="20"/>
              </w:rPr>
            </w:pPr>
            <w:r>
              <w:rPr>
                <w:sz w:val="20"/>
                <w:szCs w:val="20"/>
              </w:rPr>
              <w:t>3,266</w:t>
            </w:r>
          </w:p>
        </w:tc>
      </w:tr>
      <w:tr w14:paraId="0F05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73DD35C3">
            <w:pPr>
              <w:spacing w:after="0" w:line="240" w:lineRule="auto"/>
              <w:ind w:firstLine="0"/>
              <w:jc w:val="center"/>
              <w:rPr>
                <w:sz w:val="20"/>
                <w:szCs w:val="20"/>
              </w:rPr>
            </w:pPr>
            <w:r>
              <w:rPr>
                <w:sz w:val="20"/>
                <w:szCs w:val="20"/>
              </w:rPr>
              <w:t>5.</w:t>
            </w:r>
          </w:p>
        </w:tc>
        <w:tc>
          <w:tcPr>
            <w:tcW w:w="3052" w:type="pct"/>
            <w:shd w:val="clear" w:color="auto" w:fill="auto"/>
            <w:vAlign w:val="center"/>
          </w:tcPr>
          <w:p w14:paraId="17B1E9B3">
            <w:pPr>
              <w:spacing w:after="0" w:line="240" w:lineRule="auto"/>
              <w:ind w:firstLine="0"/>
              <w:rPr>
                <w:sz w:val="20"/>
                <w:szCs w:val="20"/>
              </w:rPr>
            </w:pPr>
            <w:r>
              <w:rPr>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696" w:type="pct"/>
            <w:shd w:val="clear" w:color="auto" w:fill="auto"/>
            <w:vAlign w:val="center"/>
          </w:tcPr>
          <w:p w14:paraId="2BB622BB">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7C522796">
            <w:pPr>
              <w:spacing w:after="0" w:line="240" w:lineRule="auto"/>
              <w:ind w:firstLine="0"/>
              <w:jc w:val="center"/>
              <w:rPr>
                <w:sz w:val="20"/>
                <w:szCs w:val="20"/>
              </w:rPr>
            </w:pPr>
            <w:r>
              <w:rPr>
                <w:sz w:val="20"/>
                <w:szCs w:val="20"/>
              </w:rPr>
              <w:t>2,855</w:t>
            </w:r>
          </w:p>
        </w:tc>
      </w:tr>
      <w:tr w14:paraId="3BF5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938C6A0">
            <w:pPr>
              <w:spacing w:after="0" w:line="240" w:lineRule="auto"/>
              <w:ind w:firstLine="0"/>
              <w:jc w:val="center"/>
              <w:rPr>
                <w:sz w:val="20"/>
                <w:szCs w:val="20"/>
              </w:rPr>
            </w:pPr>
            <w:r>
              <w:rPr>
                <w:sz w:val="20"/>
                <w:szCs w:val="20"/>
              </w:rPr>
              <w:t>6.</w:t>
            </w:r>
          </w:p>
        </w:tc>
        <w:tc>
          <w:tcPr>
            <w:tcW w:w="3052" w:type="pct"/>
            <w:shd w:val="clear" w:color="auto" w:fill="auto"/>
            <w:vAlign w:val="center"/>
          </w:tcPr>
          <w:p w14:paraId="28A19887">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696" w:type="pct"/>
            <w:shd w:val="clear" w:color="auto" w:fill="auto"/>
            <w:vAlign w:val="center"/>
          </w:tcPr>
          <w:p w14:paraId="3C5F98E2">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04B4321E">
            <w:pPr>
              <w:spacing w:after="0" w:line="240" w:lineRule="auto"/>
              <w:ind w:firstLine="0"/>
              <w:jc w:val="center"/>
              <w:rPr>
                <w:sz w:val="20"/>
                <w:szCs w:val="20"/>
              </w:rPr>
            </w:pPr>
            <w:r>
              <w:rPr>
                <w:sz w:val="20"/>
                <w:szCs w:val="20"/>
              </w:rPr>
              <w:t>2,626</w:t>
            </w:r>
          </w:p>
        </w:tc>
      </w:tr>
      <w:tr w14:paraId="2616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7F7BF4AB">
            <w:pPr>
              <w:spacing w:after="0" w:line="240" w:lineRule="auto"/>
              <w:ind w:firstLine="0"/>
              <w:jc w:val="center"/>
              <w:rPr>
                <w:sz w:val="20"/>
                <w:szCs w:val="20"/>
              </w:rPr>
            </w:pPr>
            <w:r>
              <w:rPr>
                <w:sz w:val="20"/>
                <w:szCs w:val="20"/>
              </w:rPr>
              <w:t>7.</w:t>
            </w:r>
          </w:p>
        </w:tc>
        <w:tc>
          <w:tcPr>
            <w:tcW w:w="3052" w:type="pct"/>
            <w:shd w:val="clear" w:color="auto" w:fill="auto"/>
            <w:vAlign w:val="center"/>
          </w:tcPr>
          <w:p w14:paraId="1BB7C99D">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696" w:type="pct"/>
            <w:shd w:val="clear" w:color="auto" w:fill="auto"/>
            <w:vAlign w:val="center"/>
          </w:tcPr>
          <w:p w14:paraId="00ECED09">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7E279C1">
            <w:pPr>
              <w:spacing w:after="0" w:line="240" w:lineRule="auto"/>
              <w:ind w:firstLine="0"/>
              <w:jc w:val="center"/>
              <w:rPr>
                <w:sz w:val="20"/>
                <w:szCs w:val="20"/>
              </w:rPr>
            </w:pPr>
            <w:r>
              <w:rPr>
                <w:sz w:val="20"/>
                <w:szCs w:val="20"/>
              </w:rPr>
              <w:t>2,361</w:t>
            </w:r>
          </w:p>
        </w:tc>
      </w:tr>
      <w:tr w14:paraId="23F8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7A87F88">
            <w:pPr>
              <w:spacing w:after="0" w:line="240" w:lineRule="auto"/>
              <w:ind w:firstLine="0"/>
              <w:jc w:val="center"/>
              <w:rPr>
                <w:sz w:val="20"/>
                <w:szCs w:val="20"/>
              </w:rPr>
            </w:pPr>
            <w:r>
              <w:rPr>
                <w:sz w:val="20"/>
                <w:szCs w:val="20"/>
              </w:rPr>
              <w:t>8.</w:t>
            </w:r>
          </w:p>
        </w:tc>
        <w:tc>
          <w:tcPr>
            <w:tcW w:w="3052" w:type="pct"/>
            <w:shd w:val="clear" w:color="auto" w:fill="auto"/>
            <w:vAlign w:val="center"/>
          </w:tcPr>
          <w:p w14:paraId="1C131964">
            <w:pPr>
              <w:spacing w:after="0" w:line="240" w:lineRule="auto"/>
              <w:ind w:firstLine="0"/>
              <w:rPr>
                <w:sz w:val="20"/>
                <w:szCs w:val="20"/>
              </w:rPr>
            </w:pPr>
            <w:r>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696" w:type="pct"/>
            <w:shd w:val="clear" w:color="auto" w:fill="auto"/>
            <w:vAlign w:val="center"/>
          </w:tcPr>
          <w:p w14:paraId="5BC3D19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9356C5F">
            <w:pPr>
              <w:spacing w:after="0" w:line="240" w:lineRule="auto"/>
              <w:ind w:firstLine="0"/>
              <w:jc w:val="center"/>
              <w:rPr>
                <w:sz w:val="20"/>
                <w:szCs w:val="20"/>
              </w:rPr>
            </w:pPr>
            <w:r>
              <w:rPr>
                <w:sz w:val="20"/>
                <w:szCs w:val="20"/>
              </w:rPr>
              <w:t>1,616</w:t>
            </w:r>
          </w:p>
        </w:tc>
      </w:tr>
      <w:tr w14:paraId="2705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2F8C3396">
            <w:pPr>
              <w:spacing w:after="0" w:line="240" w:lineRule="auto"/>
              <w:ind w:firstLine="0"/>
              <w:jc w:val="center"/>
              <w:rPr>
                <w:sz w:val="20"/>
                <w:szCs w:val="20"/>
              </w:rPr>
            </w:pPr>
            <w:r>
              <w:rPr>
                <w:sz w:val="20"/>
                <w:szCs w:val="20"/>
              </w:rPr>
              <w:t>9.</w:t>
            </w:r>
          </w:p>
        </w:tc>
        <w:tc>
          <w:tcPr>
            <w:tcW w:w="3052" w:type="pct"/>
            <w:shd w:val="clear" w:color="auto" w:fill="auto"/>
            <w:vAlign w:val="center"/>
          </w:tcPr>
          <w:p w14:paraId="3E6FB22C">
            <w:pPr>
              <w:spacing w:after="0" w:line="240" w:lineRule="auto"/>
              <w:ind w:firstLine="0"/>
              <w:rPr>
                <w:sz w:val="20"/>
                <w:szCs w:val="20"/>
              </w:rPr>
            </w:pPr>
            <w:r>
              <w:rPr>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696" w:type="pct"/>
            <w:shd w:val="clear" w:color="auto" w:fill="auto"/>
            <w:vAlign w:val="center"/>
          </w:tcPr>
          <w:p w14:paraId="112A8F7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D143218">
            <w:pPr>
              <w:spacing w:after="0" w:line="240" w:lineRule="auto"/>
              <w:ind w:firstLine="0"/>
              <w:jc w:val="center"/>
              <w:rPr>
                <w:sz w:val="20"/>
                <w:szCs w:val="20"/>
              </w:rPr>
            </w:pPr>
            <w:r>
              <w:rPr>
                <w:sz w:val="20"/>
                <w:szCs w:val="20"/>
              </w:rPr>
              <w:t>2,004</w:t>
            </w:r>
          </w:p>
        </w:tc>
      </w:tr>
      <w:tr w14:paraId="3491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3183F289">
            <w:pPr>
              <w:spacing w:after="0" w:line="240" w:lineRule="auto"/>
              <w:ind w:firstLine="0"/>
              <w:jc w:val="center"/>
              <w:rPr>
                <w:sz w:val="20"/>
                <w:szCs w:val="20"/>
              </w:rPr>
            </w:pPr>
            <w:r>
              <w:rPr>
                <w:sz w:val="20"/>
                <w:szCs w:val="20"/>
              </w:rPr>
              <w:t>10.</w:t>
            </w:r>
          </w:p>
        </w:tc>
        <w:tc>
          <w:tcPr>
            <w:tcW w:w="3052" w:type="pct"/>
            <w:shd w:val="clear" w:color="auto" w:fill="auto"/>
            <w:vAlign w:val="center"/>
          </w:tcPr>
          <w:p w14:paraId="1C1C2AEB">
            <w:pPr>
              <w:spacing w:after="0" w:line="240" w:lineRule="auto"/>
              <w:ind w:firstLine="0"/>
              <w:rPr>
                <w:sz w:val="20"/>
                <w:szCs w:val="20"/>
              </w:rPr>
            </w:pPr>
            <w:r>
              <w:rPr>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696" w:type="pct"/>
            <w:shd w:val="clear" w:color="auto" w:fill="auto"/>
            <w:vAlign w:val="center"/>
          </w:tcPr>
          <w:p w14:paraId="2922A696">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0ABB6B08">
            <w:pPr>
              <w:spacing w:after="0" w:line="240" w:lineRule="auto"/>
              <w:ind w:firstLine="0"/>
              <w:jc w:val="center"/>
              <w:rPr>
                <w:sz w:val="20"/>
                <w:szCs w:val="20"/>
              </w:rPr>
            </w:pPr>
            <w:r>
              <w:rPr>
                <w:sz w:val="20"/>
                <w:szCs w:val="20"/>
              </w:rPr>
              <w:t>1,375</w:t>
            </w:r>
          </w:p>
        </w:tc>
      </w:tr>
      <w:tr w14:paraId="4162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1FF28482">
            <w:pPr>
              <w:spacing w:after="0" w:line="240" w:lineRule="auto"/>
              <w:ind w:firstLine="0"/>
              <w:jc w:val="center"/>
              <w:rPr>
                <w:sz w:val="20"/>
                <w:szCs w:val="20"/>
              </w:rPr>
            </w:pPr>
            <w:r>
              <w:rPr>
                <w:sz w:val="20"/>
                <w:szCs w:val="20"/>
              </w:rPr>
              <w:t>11.</w:t>
            </w:r>
          </w:p>
        </w:tc>
        <w:tc>
          <w:tcPr>
            <w:tcW w:w="3052" w:type="pct"/>
            <w:shd w:val="clear" w:color="auto" w:fill="auto"/>
            <w:vAlign w:val="center"/>
          </w:tcPr>
          <w:p w14:paraId="3F5F63F5">
            <w:pPr>
              <w:spacing w:after="0" w:line="240" w:lineRule="auto"/>
              <w:ind w:firstLine="0"/>
              <w:rPr>
                <w:sz w:val="20"/>
                <w:szCs w:val="20"/>
              </w:rPr>
            </w:pPr>
            <w:r>
              <w:rPr>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696" w:type="pct"/>
            <w:shd w:val="clear" w:color="auto" w:fill="auto"/>
            <w:vAlign w:val="center"/>
          </w:tcPr>
          <w:p w14:paraId="6EC66657">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4D94F103">
            <w:pPr>
              <w:spacing w:after="0" w:line="240" w:lineRule="auto"/>
              <w:ind w:firstLine="0"/>
              <w:jc w:val="center"/>
              <w:rPr>
                <w:sz w:val="20"/>
                <w:szCs w:val="20"/>
              </w:rPr>
            </w:pPr>
            <w:r>
              <w:rPr>
                <w:sz w:val="20"/>
                <w:szCs w:val="20"/>
              </w:rPr>
              <w:t>0,595</w:t>
            </w:r>
          </w:p>
        </w:tc>
      </w:tr>
      <w:tr w14:paraId="71FA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vAlign w:val="center"/>
          </w:tcPr>
          <w:p w14:paraId="333D68DA">
            <w:pPr>
              <w:spacing w:after="0" w:line="240" w:lineRule="auto"/>
              <w:ind w:firstLine="0"/>
              <w:jc w:val="center"/>
              <w:rPr>
                <w:sz w:val="20"/>
                <w:szCs w:val="20"/>
              </w:rPr>
            </w:pPr>
            <w:r>
              <w:rPr>
                <w:sz w:val="20"/>
                <w:szCs w:val="20"/>
              </w:rPr>
              <w:t>Жилые дома без централизованного горячего водоснабжения</w:t>
            </w:r>
          </w:p>
        </w:tc>
      </w:tr>
      <w:tr w14:paraId="3696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27DCE15D">
            <w:pPr>
              <w:spacing w:after="0" w:line="240" w:lineRule="auto"/>
              <w:ind w:firstLine="0"/>
              <w:jc w:val="center"/>
              <w:rPr>
                <w:sz w:val="20"/>
                <w:szCs w:val="20"/>
              </w:rPr>
            </w:pPr>
            <w:r>
              <w:rPr>
                <w:sz w:val="20"/>
                <w:szCs w:val="20"/>
              </w:rPr>
              <w:t>12.</w:t>
            </w:r>
          </w:p>
        </w:tc>
        <w:tc>
          <w:tcPr>
            <w:tcW w:w="4710" w:type="pct"/>
            <w:gridSpan w:val="3"/>
            <w:shd w:val="clear" w:color="auto" w:fill="auto"/>
            <w:vAlign w:val="center"/>
          </w:tcPr>
          <w:p w14:paraId="1E8A39BF">
            <w:pPr>
              <w:spacing w:after="0" w:line="240" w:lineRule="auto"/>
              <w:ind w:firstLine="0"/>
              <w:jc w:val="both"/>
              <w:rPr>
                <w:rFonts w:ascii="Calibri" w:hAnsi="Calibri" w:cs="Calibri"/>
                <w:sz w:val="20"/>
                <w:szCs w:val="20"/>
                <w:u w:val="single"/>
              </w:rPr>
            </w:pPr>
            <w:r>
              <w:fldChar w:fldCharType="begin"/>
            </w:r>
            <w:r>
              <w:instrText xml:space="preserve"> HYPERLINK "https://login.consultant.ru/link/?req=doc&amp;base=RLAW926&amp;n=194556&amp;dst=100009" </w:instrText>
            </w:r>
            <w:r>
              <w:fldChar w:fldCharType="separate"/>
            </w:r>
            <w:r>
              <w:rPr>
                <w:rFonts w:ascii="Calibri" w:hAnsi="Calibri" w:cs="Calibri"/>
                <w:sz w:val="20"/>
                <w:szCs w:val="20"/>
                <w:u w:val="single"/>
              </w:rPr>
              <w:t>Утратил силу с 1 июля 2019 года. - Приказ Департамента жилищно-коммунального комплекса и энергетики ХМАО - Югры от 21.05.2019 N 6-нп</w:t>
            </w:r>
            <w:r>
              <w:rPr>
                <w:rFonts w:ascii="Calibri" w:hAnsi="Calibri" w:cs="Calibri"/>
                <w:sz w:val="20"/>
                <w:szCs w:val="20"/>
                <w:u w:val="single"/>
              </w:rPr>
              <w:fldChar w:fldCharType="end"/>
            </w:r>
          </w:p>
        </w:tc>
      </w:tr>
      <w:tr w14:paraId="10E3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2E1A43F5">
            <w:pPr>
              <w:spacing w:after="0" w:line="240" w:lineRule="auto"/>
              <w:ind w:firstLine="0"/>
              <w:jc w:val="center"/>
              <w:rPr>
                <w:sz w:val="20"/>
                <w:szCs w:val="20"/>
              </w:rPr>
            </w:pPr>
            <w:r>
              <w:rPr>
                <w:sz w:val="20"/>
                <w:szCs w:val="20"/>
              </w:rPr>
              <w:t>13.</w:t>
            </w:r>
          </w:p>
        </w:tc>
        <w:tc>
          <w:tcPr>
            <w:tcW w:w="3052" w:type="pct"/>
            <w:shd w:val="clear" w:color="auto" w:fill="auto"/>
            <w:vAlign w:val="center"/>
          </w:tcPr>
          <w:p w14:paraId="140EBC13">
            <w:pPr>
              <w:spacing w:after="0" w:line="240" w:lineRule="auto"/>
              <w:ind w:firstLine="0"/>
              <w:rPr>
                <w:sz w:val="20"/>
                <w:szCs w:val="20"/>
              </w:rPr>
            </w:pPr>
            <w:r>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696" w:type="pct"/>
            <w:shd w:val="clear" w:color="auto" w:fill="auto"/>
            <w:vAlign w:val="center"/>
          </w:tcPr>
          <w:p w14:paraId="5D94AF0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19254C5D">
            <w:pPr>
              <w:spacing w:after="0" w:line="240" w:lineRule="auto"/>
              <w:ind w:firstLine="0"/>
              <w:jc w:val="center"/>
              <w:rPr>
                <w:sz w:val="20"/>
                <w:szCs w:val="20"/>
              </w:rPr>
            </w:pPr>
            <w:r>
              <w:rPr>
                <w:sz w:val="20"/>
                <w:szCs w:val="20"/>
              </w:rPr>
              <w:t>-</w:t>
            </w:r>
          </w:p>
        </w:tc>
      </w:tr>
      <w:tr w14:paraId="2EA9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52D6E772">
            <w:pPr>
              <w:spacing w:after="0" w:line="240" w:lineRule="auto"/>
              <w:ind w:firstLine="0"/>
              <w:jc w:val="center"/>
              <w:rPr>
                <w:sz w:val="20"/>
                <w:szCs w:val="20"/>
              </w:rPr>
            </w:pPr>
            <w:r>
              <w:rPr>
                <w:sz w:val="20"/>
                <w:szCs w:val="20"/>
              </w:rPr>
              <w:t>14.</w:t>
            </w:r>
          </w:p>
        </w:tc>
        <w:tc>
          <w:tcPr>
            <w:tcW w:w="3052" w:type="pct"/>
            <w:shd w:val="clear" w:color="auto" w:fill="auto"/>
            <w:vAlign w:val="center"/>
          </w:tcPr>
          <w:p w14:paraId="5099E933">
            <w:pPr>
              <w:spacing w:after="0" w:line="240" w:lineRule="auto"/>
              <w:ind w:firstLine="0"/>
              <w:rPr>
                <w:sz w:val="20"/>
                <w:szCs w:val="20"/>
              </w:rPr>
            </w:pPr>
            <w:r>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696" w:type="pct"/>
            <w:shd w:val="clear" w:color="auto" w:fill="auto"/>
            <w:vAlign w:val="center"/>
          </w:tcPr>
          <w:p w14:paraId="15C062C9">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458378EA">
            <w:pPr>
              <w:spacing w:after="0" w:line="240" w:lineRule="auto"/>
              <w:ind w:firstLine="0"/>
              <w:jc w:val="center"/>
              <w:rPr>
                <w:sz w:val="20"/>
                <w:szCs w:val="20"/>
              </w:rPr>
            </w:pPr>
            <w:r>
              <w:rPr>
                <w:sz w:val="20"/>
                <w:szCs w:val="20"/>
              </w:rPr>
              <w:t>-</w:t>
            </w:r>
          </w:p>
        </w:tc>
      </w:tr>
      <w:tr w14:paraId="6659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11FDD566">
            <w:pPr>
              <w:spacing w:after="0" w:line="240" w:lineRule="auto"/>
              <w:ind w:firstLine="0"/>
              <w:jc w:val="center"/>
              <w:rPr>
                <w:sz w:val="20"/>
                <w:szCs w:val="20"/>
              </w:rPr>
            </w:pPr>
            <w:r>
              <w:rPr>
                <w:sz w:val="20"/>
                <w:szCs w:val="20"/>
              </w:rPr>
              <w:t>15.</w:t>
            </w:r>
          </w:p>
        </w:tc>
        <w:tc>
          <w:tcPr>
            <w:tcW w:w="3052" w:type="pct"/>
            <w:shd w:val="clear" w:color="auto" w:fill="auto"/>
            <w:vAlign w:val="center"/>
          </w:tcPr>
          <w:p w14:paraId="4B13FDDB">
            <w:pPr>
              <w:spacing w:after="0" w:line="240" w:lineRule="auto"/>
              <w:ind w:firstLine="0"/>
              <w:rPr>
                <w:sz w:val="20"/>
                <w:szCs w:val="20"/>
              </w:rPr>
            </w:pPr>
            <w:r>
              <w:rPr>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696" w:type="pct"/>
            <w:shd w:val="clear" w:color="auto" w:fill="auto"/>
            <w:vAlign w:val="center"/>
          </w:tcPr>
          <w:p w14:paraId="07F4C559">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1A5D441D">
            <w:pPr>
              <w:spacing w:after="0" w:line="240" w:lineRule="auto"/>
              <w:ind w:firstLine="0"/>
              <w:jc w:val="center"/>
              <w:rPr>
                <w:sz w:val="20"/>
                <w:szCs w:val="20"/>
              </w:rPr>
            </w:pPr>
            <w:r>
              <w:rPr>
                <w:sz w:val="20"/>
                <w:szCs w:val="20"/>
              </w:rPr>
              <w:t>-</w:t>
            </w:r>
          </w:p>
        </w:tc>
      </w:tr>
      <w:tr w14:paraId="1816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6D2B4A5">
            <w:pPr>
              <w:spacing w:after="0" w:line="240" w:lineRule="auto"/>
              <w:ind w:firstLine="0"/>
              <w:jc w:val="center"/>
              <w:rPr>
                <w:sz w:val="20"/>
                <w:szCs w:val="20"/>
              </w:rPr>
            </w:pPr>
            <w:r>
              <w:rPr>
                <w:sz w:val="20"/>
                <w:szCs w:val="20"/>
              </w:rPr>
              <w:t>16.</w:t>
            </w:r>
          </w:p>
        </w:tc>
        <w:tc>
          <w:tcPr>
            <w:tcW w:w="3052" w:type="pct"/>
            <w:shd w:val="clear" w:color="auto" w:fill="auto"/>
            <w:vAlign w:val="center"/>
          </w:tcPr>
          <w:p w14:paraId="54BFCB79">
            <w:pPr>
              <w:spacing w:after="0" w:line="240" w:lineRule="auto"/>
              <w:ind w:firstLine="0"/>
              <w:rPr>
                <w:sz w:val="20"/>
                <w:szCs w:val="20"/>
              </w:rPr>
            </w:pPr>
            <w:r>
              <w:rPr>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696" w:type="pct"/>
            <w:shd w:val="clear" w:color="auto" w:fill="auto"/>
            <w:vAlign w:val="center"/>
          </w:tcPr>
          <w:p w14:paraId="2ACEBD71">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42C4699B">
            <w:pPr>
              <w:spacing w:after="0" w:line="240" w:lineRule="auto"/>
              <w:ind w:firstLine="0"/>
              <w:jc w:val="center"/>
              <w:rPr>
                <w:sz w:val="20"/>
                <w:szCs w:val="20"/>
              </w:rPr>
            </w:pPr>
            <w:r>
              <w:rPr>
                <w:sz w:val="20"/>
                <w:szCs w:val="20"/>
              </w:rPr>
              <w:t>-</w:t>
            </w:r>
          </w:p>
        </w:tc>
      </w:tr>
      <w:tr w14:paraId="15FA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4B4475B8">
            <w:pPr>
              <w:spacing w:after="0" w:line="240" w:lineRule="auto"/>
              <w:ind w:firstLine="0"/>
              <w:jc w:val="center"/>
              <w:rPr>
                <w:sz w:val="20"/>
                <w:szCs w:val="20"/>
              </w:rPr>
            </w:pPr>
            <w:r>
              <w:rPr>
                <w:sz w:val="20"/>
                <w:szCs w:val="20"/>
              </w:rPr>
              <w:t>17.</w:t>
            </w:r>
          </w:p>
        </w:tc>
        <w:tc>
          <w:tcPr>
            <w:tcW w:w="3052" w:type="pct"/>
            <w:shd w:val="clear" w:color="auto" w:fill="auto"/>
            <w:vAlign w:val="center"/>
          </w:tcPr>
          <w:p w14:paraId="0F46F735">
            <w:pPr>
              <w:spacing w:after="0" w:line="240" w:lineRule="auto"/>
              <w:ind w:firstLine="0"/>
              <w:rPr>
                <w:sz w:val="20"/>
                <w:szCs w:val="20"/>
              </w:rPr>
            </w:pPr>
            <w:r>
              <w:rPr>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696" w:type="pct"/>
            <w:shd w:val="clear" w:color="auto" w:fill="auto"/>
            <w:vAlign w:val="center"/>
          </w:tcPr>
          <w:p w14:paraId="4963DEE0">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261E344D">
            <w:pPr>
              <w:spacing w:after="0" w:line="240" w:lineRule="auto"/>
              <w:ind w:firstLine="0"/>
              <w:jc w:val="center"/>
              <w:rPr>
                <w:sz w:val="20"/>
                <w:szCs w:val="20"/>
              </w:rPr>
            </w:pPr>
            <w:r>
              <w:rPr>
                <w:sz w:val="20"/>
                <w:szCs w:val="20"/>
              </w:rPr>
              <w:t>-</w:t>
            </w:r>
          </w:p>
        </w:tc>
      </w:tr>
      <w:tr w14:paraId="0038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27B433DD">
            <w:pPr>
              <w:spacing w:after="0" w:line="240" w:lineRule="auto"/>
              <w:ind w:firstLine="0"/>
              <w:jc w:val="center"/>
              <w:rPr>
                <w:sz w:val="20"/>
                <w:szCs w:val="20"/>
              </w:rPr>
            </w:pPr>
            <w:r>
              <w:rPr>
                <w:sz w:val="20"/>
                <w:szCs w:val="20"/>
              </w:rPr>
              <w:t>18.</w:t>
            </w:r>
          </w:p>
        </w:tc>
        <w:tc>
          <w:tcPr>
            <w:tcW w:w="3052" w:type="pct"/>
            <w:shd w:val="clear" w:color="auto" w:fill="auto"/>
            <w:vAlign w:val="center"/>
          </w:tcPr>
          <w:p w14:paraId="311C718F">
            <w:pPr>
              <w:spacing w:after="0" w:line="240" w:lineRule="auto"/>
              <w:ind w:firstLine="0"/>
              <w:rPr>
                <w:sz w:val="20"/>
                <w:szCs w:val="20"/>
              </w:rPr>
            </w:pPr>
            <w:r>
              <w:rPr>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696" w:type="pct"/>
            <w:shd w:val="clear" w:color="auto" w:fill="auto"/>
            <w:vAlign w:val="center"/>
          </w:tcPr>
          <w:p w14:paraId="67979B14">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1F2B2F15">
            <w:pPr>
              <w:spacing w:after="0" w:line="240" w:lineRule="auto"/>
              <w:ind w:firstLine="0"/>
              <w:jc w:val="center"/>
              <w:rPr>
                <w:sz w:val="20"/>
                <w:szCs w:val="20"/>
              </w:rPr>
            </w:pPr>
            <w:r>
              <w:rPr>
                <w:sz w:val="20"/>
                <w:szCs w:val="20"/>
              </w:rPr>
              <w:t>-</w:t>
            </w:r>
          </w:p>
        </w:tc>
      </w:tr>
      <w:tr w14:paraId="3D8D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EB9D568">
            <w:pPr>
              <w:spacing w:after="0" w:line="240" w:lineRule="auto"/>
              <w:ind w:firstLine="0"/>
              <w:jc w:val="center"/>
              <w:rPr>
                <w:sz w:val="20"/>
                <w:szCs w:val="20"/>
              </w:rPr>
            </w:pPr>
            <w:r>
              <w:rPr>
                <w:sz w:val="20"/>
                <w:szCs w:val="20"/>
              </w:rPr>
              <w:t>19.</w:t>
            </w:r>
          </w:p>
        </w:tc>
        <w:tc>
          <w:tcPr>
            <w:tcW w:w="3052" w:type="pct"/>
            <w:shd w:val="clear" w:color="auto" w:fill="auto"/>
            <w:vAlign w:val="center"/>
          </w:tcPr>
          <w:p w14:paraId="476455AF">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696" w:type="pct"/>
            <w:shd w:val="clear" w:color="auto" w:fill="auto"/>
            <w:vAlign w:val="center"/>
          </w:tcPr>
          <w:p w14:paraId="3BF8D9A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95A811B">
            <w:pPr>
              <w:spacing w:after="0" w:line="240" w:lineRule="auto"/>
              <w:ind w:firstLine="0"/>
              <w:jc w:val="center"/>
              <w:rPr>
                <w:sz w:val="20"/>
                <w:szCs w:val="20"/>
              </w:rPr>
            </w:pPr>
            <w:r>
              <w:rPr>
                <w:sz w:val="20"/>
                <w:szCs w:val="20"/>
              </w:rPr>
              <w:t>-</w:t>
            </w:r>
          </w:p>
        </w:tc>
      </w:tr>
      <w:tr w14:paraId="5BBA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3E47801">
            <w:pPr>
              <w:spacing w:after="0" w:line="240" w:lineRule="auto"/>
              <w:ind w:firstLine="0"/>
              <w:jc w:val="center"/>
              <w:rPr>
                <w:sz w:val="20"/>
                <w:szCs w:val="20"/>
              </w:rPr>
            </w:pPr>
            <w:r>
              <w:rPr>
                <w:sz w:val="20"/>
                <w:szCs w:val="20"/>
              </w:rPr>
              <w:t>20.</w:t>
            </w:r>
          </w:p>
        </w:tc>
        <w:tc>
          <w:tcPr>
            <w:tcW w:w="3052" w:type="pct"/>
            <w:shd w:val="clear" w:color="auto" w:fill="auto"/>
            <w:vAlign w:val="center"/>
          </w:tcPr>
          <w:p w14:paraId="2E65DA97">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696" w:type="pct"/>
            <w:shd w:val="clear" w:color="auto" w:fill="auto"/>
            <w:vAlign w:val="center"/>
          </w:tcPr>
          <w:p w14:paraId="5CA14CA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17622681">
            <w:pPr>
              <w:spacing w:after="0" w:line="240" w:lineRule="auto"/>
              <w:ind w:firstLine="0"/>
              <w:jc w:val="center"/>
              <w:rPr>
                <w:sz w:val="20"/>
                <w:szCs w:val="20"/>
              </w:rPr>
            </w:pPr>
            <w:r>
              <w:rPr>
                <w:sz w:val="20"/>
                <w:szCs w:val="20"/>
              </w:rPr>
              <w:t>-</w:t>
            </w:r>
          </w:p>
        </w:tc>
      </w:tr>
      <w:tr w14:paraId="7BE4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448E1C86">
            <w:pPr>
              <w:spacing w:after="0" w:line="240" w:lineRule="auto"/>
              <w:ind w:firstLine="0"/>
              <w:jc w:val="center"/>
              <w:rPr>
                <w:sz w:val="20"/>
                <w:szCs w:val="20"/>
              </w:rPr>
            </w:pPr>
            <w:r>
              <w:rPr>
                <w:sz w:val="20"/>
                <w:szCs w:val="20"/>
              </w:rPr>
              <w:t>21.</w:t>
            </w:r>
          </w:p>
        </w:tc>
        <w:tc>
          <w:tcPr>
            <w:tcW w:w="3052" w:type="pct"/>
            <w:shd w:val="clear" w:color="auto" w:fill="auto"/>
            <w:vAlign w:val="center"/>
          </w:tcPr>
          <w:p w14:paraId="0A9A2CFF">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696" w:type="pct"/>
            <w:shd w:val="clear" w:color="auto" w:fill="auto"/>
            <w:vAlign w:val="center"/>
          </w:tcPr>
          <w:p w14:paraId="031A8480">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2A9B53BC">
            <w:pPr>
              <w:spacing w:after="0" w:line="240" w:lineRule="auto"/>
              <w:ind w:firstLine="0"/>
              <w:jc w:val="center"/>
              <w:rPr>
                <w:sz w:val="20"/>
                <w:szCs w:val="20"/>
              </w:rPr>
            </w:pPr>
            <w:r>
              <w:rPr>
                <w:sz w:val="20"/>
                <w:szCs w:val="20"/>
              </w:rPr>
              <w:t>-</w:t>
            </w:r>
          </w:p>
        </w:tc>
      </w:tr>
      <w:tr w14:paraId="0341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1016896C">
            <w:pPr>
              <w:spacing w:after="0" w:line="240" w:lineRule="auto"/>
              <w:ind w:firstLine="0"/>
              <w:jc w:val="center"/>
              <w:rPr>
                <w:sz w:val="20"/>
                <w:szCs w:val="20"/>
              </w:rPr>
            </w:pPr>
            <w:r>
              <w:rPr>
                <w:sz w:val="20"/>
                <w:szCs w:val="20"/>
              </w:rPr>
              <w:t>22.</w:t>
            </w:r>
          </w:p>
        </w:tc>
        <w:tc>
          <w:tcPr>
            <w:tcW w:w="3052" w:type="pct"/>
            <w:shd w:val="clear" w:color="auto" w:fill="auto"/>
            <w:vAlign w:val="center"/>
          </w:tcPr>
          <w:p w14:paraId="18506E6A">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696" w:type="pct"/>
            <w:shd w:val="clear" w:color="auto" w:fill="auto"/>
            <w:vAlign w:val="center"/>
          </w:tcPr>
          <w:p w14:paraId="0515620B">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51C86B95">
            <w:pPr>
              <w:spacing w:after="0" w:line="240" w:lineRule="auto"/>
              <w:ind w:firstLine="0"/>
              <w:jc w:val="center"/>
              <w:rPr>
                <w:sz w:val="20"/>
                <w:szCs w:val="20"/>
              </w:rPr>
            </w:pPr>
            <w:r>
              <w:rPr>
                <w:sz w:val="20"/>
                <w:szCs w:val="20"/>
              </w:rPr>
              <w:t>-</w:t>
            </w:r>
          </w:p>
        </w:tc>
      </w:tr>
      <w:tr w14:paraId="132C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387C69BE">
            <w:pPr>
              <w:spacing w:after="0" w:line="240" w:lineRule="auto"/>
              <w:ind w:firstLine="0"/>
              <w:jc w:val="center"/>
              <w:rPr>
                <w:sz w:val="20"/>
                <w:szCs w:val="20"/>
              </w:rPr>
            </w:pPr>
            <w:r>
              <w:rPr>
                <w:sz w:val="20"/>
                <w:szCs w:val="20"/>
              </w:rPr>
              <w:t>23.</w:t>
            </w:r>
          </w:p>
        </w:tc>
        <w:tc>
          <w:tcPr>
            <w:tcW w:w="3052" w:type="pct"/>
            <w:shd w:val="clear" w:color="auto" w:fill="auto"/>
            <w:vAlign w:val="center"/>
          </w:tcPr>
          <w:p w14:paraId="521ADBAA">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696" w:type="pct"/>
            <w:shd w:val="clear" w:color="auto" w:fill="auto"/>
            <w:vAlign w:val="center"/>
          </w:tcPr>
          <w:p w14:paraId="0094A082">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5288185F">
            <w:pPr>
              <w:spacing w:after="0" w:line="240" w:lineRule="auto"/>
              <w:ind w:firstLine="0"/>
              <w:jc w:val="center"/>
              <w:rPr>
                <w:sz w:val="20"/>
                <w:szCs w:val="20"/>
              </w:rPr>
            </w:pPr>
            <w:r>
              <w:rPr>
                <w:sz w:val="20"/>
                <w:szCs w:val="20"/>
              </w:rPr>
              <w:t>-</w:t>
            </w:r>
          </w:p>
        </w:tc>
      </w:tr>
      <w:tr w14:paraId="0086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10A368BC">
            <w:pPr>
              <w:spacing w:after="0" w:line="240" w:lineRule="auto"/>
              <w:ind w:firstLine="0"/>
              <w:jc w:val="center"/>
              <w:rPr>
                <w:sz w:val="20"/>
                <w:szCs w:val="20"/>
              </w:rPr>
            </w:pPr>
            <w:r>
              <w:rPr>
                <w:sz w:val="20"/>
                <w:szCs w:val="20"/>
              </w:rPr>
              <w:t>24.</w:t>
            </w:r>
          </w:p>
        </w:tc>
        <w:tc>
          <w:tcPr>
            <w:tcW w:w="3052" w:type="pct"/>
            <w:shd w:val="clear" w:color="auto" w:fill="auto"/>
            <w:vAlign w:val="center"/>
          </w:tcPr>
          <w:p w14:paraId="1FA900D5">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696" w:type="pct"/>
            <w:shd w:val="clear" w:color="auto" w:fill="auto"/>
            <w:vAlign w:val="center"/>
          </w:tcPr>
          <w:p w14:paraId="755EF713">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5A832D10">
            <w:pPr>
              <w:spacing w:after="0" w:line="240" w:lineRule="auto"/>
              <w:ind w:firstLine="0"/>
              <w:jc w:val="center"/>
              <w:rPr>
                <w:sz w:val="20"/>
                <w:szCs w:val="20"/>
              </w:rPr>
            </w:pPr>
            <w:r>
              <w:rPr>
                <w:sz w:val="20"/>
                <w:szCs w:val="20"/>
              </w:rPr>
              <w:t>-</w:t>
            </w:r>
          </w:p>
        </w:tc>
      </w:tr>
      <w:tr w14:paraId="6F12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3A30148E">
            <w:pPr>
              <w:spacing w:after="0" w:line="240" w:lineRule="auto"/>
              <w:ind w:firstLine="0"/>
              <w:jc w:val="center"/>
              <w:rPr>
                <w:sz w:val="20"/>
                <w:szCs w:val="20"/>
              </w:rPr>
            </w:pPr>
            <w:r>
              <w:rPr>
                <w:sz w:val="20"/>
                <w:szCs w:val="20"/>
              </w:rPr>
              <w:t>25.</w:t>
            </w:r>
          </w:p>
        </w:tc>
        <w:tc>
          <w:tcPr>
            <w:tcW w:w="3052" w:type="pct"/>
            <w:shd w:val="clear" w:color="auto" w:fill="auto"/>
            <w:vAlign w:val="center"/>
          </w:tcPr>
          <w:p w14:paraId="6A35BE9A">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696" w:type="pct"/>
            <w:shd w:val="clear" w:color="auto" w:fill="auto"/>
            <w:vAlign w:val="center"/>
          </w:tcPr>
          <w:p w14:paraId="4E132AE5">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00E1C573">
            <w:pPr>
              <w:spacing w:after="0" w:line="240" w:lineRule="auto"/>
              <w:ind w:firstLine="0"/>
              <w:jc w:val="center"/>
              <w:rPr>
                <w:sz w:val="20"/>
                <w:szCs w:val="20"/>
              </w:rPr>
            </w:pPr>
            <w:r>
              <w:rPr>
                <w:sz w:val="20"/>
                <w:szCs w:val="20"/>
              </w:rPr>
              <w:t>-</w:t>
            </w:r>
          </w:p>
        </w:tc>
      </w:tr>
      <w:tr w14:paraId="297B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0640CAF9">
            <w:pPr>
              <w:spacing w:after="0" w:line="240" w:lineRule="auto"/>
              <w:ind w:firstLine="0"/>
              <w:jc w:val="center"/>
              <w:rPr>
                <w:sz w:val="20"/>
                <w:szCs w:val="20"/>
              </w:rPr>
            </w:pPr>
            <w:r>
              <w:rPr>
                <w:sz w:val="20"/>
                <w:szCs w:val="20"/>
              </w:rPr>
              <w:t>26.</w:t>
            </w:r>
          </w:p>
        </w:tc>
        <w:tc>
          <w:tcPr>
            <w:tcW w:w="3052" w:type="pct"/>
            <w:shd w:val="clear" w:color="auto" w:fill="auto"/>
            <w:vAlign w:val="center"/>
          </w:tcPr>
          <w:p w14:paraId="4FE0C717">
            <w:pPr>
              <w:spacing w:after="0" w:line="240" w:lineRule="auto"/>
              <w:ind w:firstLine="0"/>
              <w:rPr>
                <w:sz w:val="20"/>
                <w:szCs w:val="20"/>
              </w:rPr>
            </w:pPr>
            <w:r>
              <w:rPr>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696" w:type="pct"/>
            <w:shd w:val="clear" w:color="auto" w:fill="auto"/>
            <w:vAlign w:val="center"/>
          </w:tcPr>
          <w:p w14:paraId="04379B1D">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7D62DC41">
            <w:pPr>
              <w:spacing w:after="0" w:line="240" w:lineRule="auto"/>
              <w:ind w:firstLine="0"/>
              <w:jc w:val="center"/>
              <w:rPr>
                <w:sz w:val="20"/>
                <w:szCs w:val="20"/>
              </w:rPr>
            </w:pPr>
            <w:r>
              <w:rPr>
                <w:sz w:val="20"/>
                <w:szCs w:val="20"/>
              </w:rPr>
              <w:t>-</w:t>
            </w:r>
          </w:p>
        </w:tc>
      </w:tr>
      <w:tr w14:paraId="2326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51A4D0B5">
            <w:pPr>
              <w:spacing w:after="0" w:line="240" w:lineRule="auto"/>
              <w:ind w:firstLine="0"/>
              <w:jc w:val="center"/>
              <w:rPr>
                <w:sz w:val="20"/>
                <w:szCs w:val="20"/>
              </w:rPr>
            </w:pPr>
            <w:r>
              <w:rPr>
                <w:sz w:val="20"/>
                <w:szCs w:val="20"/>
              </w:rPr>
              <w:t>27.</w:t>
            </w:r>
          </w:p>
        </w:tc>
        <w:tc>
          <w:tcPr>
            <w:tcW w:w="3052" w:type="pct"/>
            <w:shd w:val="clear" w:color="auto" w:fill="auto"/>
            <w:vAlign w:val="center"/>
          </w:tcPr>
          <w:p w14:paraId="41EF3B2B">
            <w:pPr>
              <w:spacing w:after="0" w:line="240" w:lineRule="auto"/>
              <w:ind w:firstLine="0"/>
              <w:rPr>
                <w:sz w:val="20"/>
                <w:szCs w:val="20"/>
              </w:rPr>
            </w:pPr>
            <w:r>
              <w:rPr>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696" w:type="pct"/>
            <w:shd w:val="clear" w:color="auto" w:fill="auto"/>
            <w:vAlign w:val="center"/>
          </w:tcPr>
          <w:p w14:paraId="0DE3FD20">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0C0EC47B">
            <w:pPr>
              <w:spacing w:after="0" w:line="240" w:lineRule="auto"/>
              <w:ind w:firstLine="0"/>
              <w:jc w:val="center"/>
              <w:rPr>
                <w:sz w:val="20"/>
                <w:szCs w:val="20"/>
              </w:rPr>
            </w:pPr>
            <w:r>
              <w:rPr>
                <w:sz w:val="20"/>
                <w:szCs w:val="20"/>
              </w:rPr>
              <w:t>-</w:t>
            </w:r>
          </w:p>
        </w:tc>
      </w:tr>
      <w:tr w14:paraId="4ED8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4FB7EB34">
            <w:pPr>
              <w:spacing w:after="0" w:line="240" w:lineRule="auto"/>
              <w:ind w:firstLine="0"/>
              <w:jc w:val="center"/>
              <w:rPr>
                <w:sz w:val="20"/>
                <w:szCs w:val="20"/>
              </w:rPr>
            </w:pPr>
            <w:r>
              <w:rPr>
                <w:sz w:val="20"/>
                <w:szCs w:val="20"/>
              </w:rPr>
              <w:t>28.</w:t>
            </w:r>
          </w:p>
        </w:tc>
        <w:tc>
          <w:tcPr>
            <w:tcW w:w="3052" w:type="pct"/>
            <w:shd w:val="clear" w:color="auto" w:fill="auto"/>
            <w:vAlign w:val="center"/>
          </w:tcPr>
          <w:p w14:paraId="296C4895">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696" w:type="pct"/>
            <w:shd w:val="clear" w:color="auto" w:fill="auto"/>
            <w:vAlign w:val="center"/>
          </w:tcPr>
          <w:p w14:paraId="4A862C41">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4C2894BF">
            <w:pPr>
              <w:spacing w:after="0" w:line="240" w:lineRule="auto"/>
              <w:ind w:firstLine="0"/>
              <w:jc w:val="center"/>
              <w:rPr>
                <w:sz w:val="20"/>
                <w:szCs w:val="20"/>
              </w:rPr>
            </w:pPr>
            <w:r>
              <w:rPr>
                <w:sz w:val="20"/>
                <w:szCs w:val="20"/>
              </w:rPr>
              <w:t>-</w:t>
            </w:r>
          </w:p>
        </w:tc>
      </w:tr>
      <w:tr w14:paraId="349B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497BE567">
            <w:pPr>
              <w:spacing w:after="0" w:line="240" w:lineRule="auto"/>
              <w:ind w:firstLine="0"/>
              <w:jc w:val="center"/>
              <w:rPr>
                <w:sz w:val="20"/>
                <w:szCs w:val="20"/>
              </w:rPr>
            </w:pPr>
            <w:r>
              <w:rPr>
                <w:sz w:val="20"/>
                <w:szCs w:val="20"/>
              </w:rPr>
              <w:t>29.</w:t>
            </w:r>
          </w:p>
        </w:tc>
        <w:tc>
          <w:tcPr>
            <w:tcW w:w="3052" w:type="pct"/>
            <w:shd w:val="clear" w:color="auto" w:fill="auto"/>
            <w:vAlign w:val="center"/>
          </w:tcPr>
          <w:p w14:paraId="4B8D6487">
            <w:pPr>
              <w:spacing w:after="0" w:line="240" w:lineRule="auto"/>
              <w:ind w:firstLine="0"/>
              <w:rPr>
                <w:sz w:val="20"/>
                <w:szCs w:val="20"/>
              </w:rPr>
            </w:pPr>
            <w:r>
              <w:rPr>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696" w:type="pct"/>
            <w:shd w:val="clear" w:color="auto" w:fill="auto"/>
            <w:vAlign w:val="center"/>
          </w:tcPr>
          <w:p w14:paraId="6078C108">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79264B51">
            <w:pPr>
              <w:spacing w:after="0" w:line="240" w:lineRule="auto"/>
              <w:ind w:firstLine="0"/>
              <w:jc w:val="center"/>
              <w:rPr>
                <w:sz w:val="20"/>
                <w:szCs w:val="20"/>
              </w:rPr>
            </w:pPr>
            <w:r>
              <w:rPr>
                <w:sz w:val="20"/>
                <w:szCs w:val="20"/>
              </w:rPr>
              <w:t>-</w:t>
            </w:r>
          </w:p>
        </w:tc>
      </w:tr>
      <w:tr w14:paraId="1FB0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5547B580">
            <w:pPr>
              <w:spacing w:after="0" w:line="240" w:lineRule="auto"/>
              <w:ind w:firstLine="0"/>
              <w:jc w:val="center"/>
              <w:rPr>
                <w:sz w:val="20"/>
                <w:szCs w:val="20"/>
              </w:rPr>
            </w:pPr>
            <w:r>
              <w:rPr>
                <w:sz w:val="20"/>
                <w:szCs w:val="20"/>
              </w:rPr>
              <w:t>30.</w:t>
            </w:r>
          </w:p>
        </w:tc>
        <w:tc>
          <w:tcPr>
            <w:tcW w:w="3052" w:type="pct"/>
            <w:shd w:val="clear" w:color="auto" w:fill="auto"/>
            <w:vAlign w:val="center"/>
          </w:tcPr>
          <w:p w14:paraId="19D6D7E5">
            <w:pPr>
              <w:spacing w:after="0" w:line="240" w:lineRule="auto"/>
              <w:ind w:firstLine="0"/>
              <w:rPr>
                <w:sz w:val="20"/>
                <w:szCs w:val="20"/>
              </w:rPr>
            </w:pPr>
            <w:r>
              <w:rPr>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696" w:type="pct"/>
            <w:shd w:val="clear" w:color="auto" w:fill="auto"/>
            <w:vAlign w:val="center"/>
          </w:tcPr>
          <w:p w14:paraId="4D8C7326">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6D790FF">
            <w:pPr>
              <w:spacing w:after="0" w:line="240" w:lineRule="auto"/>
              <w:ind w:firstLine="0"/>
              <w:jc w:val="center"/>
              <w:rPr>
                <w:sz w:val="20"/>
                <w:szCs w:val="20"/>
              </w:rPr>
            </w:pPr>
            <w:r>
              <w:rPr>
                <w:sz w:val="20"/>
                <w:szCs w:val="20"/>
              </w:rPr>
              <w:t>-</w:t>
            </w:r>
          </w:p>
        </w:tc>
      </w:tr>
      <w:tr w14:paraId="6337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7ADFF386">
            <w:pPr>
              <w:spacing w:after="0" w:line="240" w:lineRule="auto"/>
              <w:ind w:firstLine="0"/>
              <w:jc w:val="center"/>
              <w:rPr>
                <w:sz w:val="20"/>
                <w:szCs w:val="20"/>
              </w:rPr>
            </w:pPr>
            <w:r>
              <w:rPr>
                <w:sz w:val="20"/>
                <w:szCs w:val="20"/>
              </w:rPr>
              <w:t>31.</w:t>
            </w:r>
          </w:p>
        </w:tc>
        <w:tc>
          <w:tcPr>
            <w:tcW w:w="3052" w:type="pct"/>
            <w:shd w:val="clear" w:color="auto" w:fill="auto"/>
            <w:vAlign w:val="center"/>
          </w:tcPr>
          <w:p w14:paraId="4BA6715B">
            <w:pPr>
              <w:spacing w:after="0" w:line="240" w:lineRule="auto"/>
              <w:ind w:firstLine="0"/>
              <w:rPr>
                <w:sz w:val="20"/>
                <w:szCs w:val="20"/>
              </w:rPr>
            </w:pPr>
            <w:r>
              <w:rPr>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696" w:type="pct"/>
            <w:shd w:val="clear" w:color="auto" w:fill="auto"/>
            <w:vAlign w:val="center"/>
          </w:tcPr>
          <w:p w14:paraId="6B48FB62">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0BFA7849">
            <w:pPr>
              <w:spacing w:after="0" w:line="240" w:lineRule="auto"/>
              <w:ind w:firstLine="0"/>
              <w:jc w:val="center"/>
              <w:rPr>
                <w:sz w:val="20"/>
                <w:szCs w:val="20"/>
              </w:rPr>
            </w:pPr>
            <w:r>
              <w:rPr>
                <w:sz w:val="20"/>
                <w:szCs w:val="20"/>
              </w:rPr>
              <w:t>-</w:t>
            </w:r>
          </w:p>
        </w:tc>
      </w:tr>
      <w:tr w14:paraId="08B5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614105E0">
            <w:pPr>
              <w:spacing w:after="0" w:line="240" w:lineRule="auto"/>
              <w:ind w:firstLine="0"/>
              <w:jc w:val="center"/>
              <w:rPr>
                <w:sz w:val="20"/>
                <w:szCs w:val="20"/>
              </w:rPr>
            </w:pPr>
            <w:r>
              <w:rPr>
                <w:sz w:val="20"/>
                <w:szCs w:val="20"/>
              </w:rPr>
              <w:t>32.</w:t>
            </w:r>
          </w:p>
        </w:tc>
        <w:tc>
          <w:tcPr>
            <w:tcW w:w="3052" w:type="pct"/>
            <w:shd w:val="clear" w:color="auto" w:fill="auto"/>
            <w:vAlign w:val="center"/>
          </w:tcPr>
          <w:p w14:paraId="20249F1A">
            <w:pPr>
              <w:spacing w:after="0" w:line="240" w:lineRule="auto"/>
              <w:ind w:firstLine="0"/>
              <w:rPr>
                <w:sz w:val="20"/>
                <w:szCs w:val="20"/>
              </w:rPr>
            </w:pPr>
            <w:r>
              <w:rPr>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696" w:type="pct"/>
            <w:shd w:val="clear" w:color="auto" w:fill="auto"/>
            <w:vAlign w:val="center"/>
          </w:tcPr>
          <w:p w14:paraId="534FC708">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678F45AA">
            <w:pPr>
              <w:spacing w:after="0" w:line="240" w:lineRule="auto"/>
              <w:ind w:firstLine="0"/>
              <w:jc w:val="center"/>
              <w:rPr>
                <w:sz w:val="20"/>
                <w:szCs w:val="20"/>
              </w:rPr>
            </w:pPr>
            <w:r>
              <w:rPr>
                <w:sz w:val="20"/>
                <w:szCs w:val="20"/>
              </w:rPr>
              <w:t>-</w:t>
            </w:r>
          </w:p>
        </w:tc>
      </w:tr>
      <w:tr w14:paraId="73AC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3A9C2F05">
            <w:pPr>
              <w:spacing w:after="0" w:line="240" w:lineRule="auto"/>
              <w:ind w:firstLine="0"/>
              <w:jc w:val="center"/>
              <w:rPr>
                <w:sz w:val="20"/>
                <w:szCs w:val="20"/>
              </w:rPr>
            </w:pPr>
            <w:r>
              <w:rPr>
                <w:sz w:val="20"/>
                <w:szCs w:val="20"/>
              </w:rPr>
              <w:t>33.</w:t>
            </w:r>
          </w:p>
        </w:tc>
        <w:tc>
          <w:tcPr>
            <w:tcW w:w="3052" w:type="pct"/>
            <w:shd w:val="clear" w:color="auto" w:fill="auto"/>
            <w:vAlign w:val="center"/>
          </w:tcPr>
          <w:p w14:paraId="616A92FA">
            <w:pPr>
              <w:spacing w:after="0" w:line="240" w:lineRule="auto"/>
              <w:ind w:firstLine="0"/>
              <w:rPr>
                <w:sz w:val="20"/>
                <w:szCs w:val="20"/>
              </w:rPr>
            </w:pPr>
            <w:r>
              <w:rPr>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696" w:type="pct"/>
            <w:shd w:val="clear" w:color="auto" w:fill="auto"/>
            <w:vAlign w:val="center"/>
          </w:tcPr>
          <w:p w14:paraId="20015532">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A81A71C">
            <w:pPr>
              <w:spacing w:after="0" w:line="240" w:lineRule="auto"/>
              <w:ind w:firstLine="0"/>
              <w:jc w:val="center"/>
              <w:rPr>
                <w:sz w:val="20"/>
                <w:szCs w:val="20"/>
              </w:rPr>
            </w:pPr>
            <w:r>
              <w:rPr>
                <w:sz w:val="20"/>
                <w:szCs w:val="20"/>
              </w:rPr>
              <w:t>-</w:t>
            </w:r>
          </w:p>
        </w:tc>
      </w:tr>
      <w:tr w14:paraId="47B9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64F7432C">
            <w:pPr>
              <w:spacing w:after="0" w:line="240" w:lineRule="auto"/>
              <w:ind w:firstLine="0"/>
              <w:jc w:val="center"/>
              <w:rPr>
                <w:sz w:val="20"/>
                <w:szCs w:val="20"/>
              </w:rPr>
            </w:pPr>
            <w:r>
              <w:rPr>
                <w:sz w:val="20"/>
                <w:szCs w:val="20"/>
              </w:rPr>
              <w:t>34.</w:t>
            </w:r>
          </w:p>
        </w:tc>
        <w:tc>
          <w:tcPr>
            <w:tcW w:w="3052" w:type="pct"/>
            <w:shd w:val="clear" w:color="auto" w:fill="auto"/>
            <w:vAlign w:val="center"/>
          </w:tcPr>
          <w:p w14:paraId="7816E84A">
            <w:pPr>
              <w:spacing w:after="0" w:line="240" w:lineRule="auto"/>
              <w:ind w:firstLine="0"/>
              <w:rPr>
                <w:sz w:val="20"/>
                <w:szCs w:val="20"/>
              </w:rPr>
            </w:pPr>
            <w:r>
              <w:rPr>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696" w:type="pct"/>
            <w:shd w:val="clear" w:color="auto" w:fill="auto"/>
            <w:vAlign w:val="center"/>
          </w:tcPr>
          <w:p w14:paraId="3F2387DF">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3C4FD76A">
            <w:pPr>
              <w:spacing w:after="0" w:line="240" w:lineRule="auto"/>
              <w:ind w:firstLine="0"/>
              <w:jc w:val="center"/>
              <w:rPr>
                <w:sz w:val="20"/>
                <w:szCs w:val="20"/>
              </w:rPr>
            </w:pPr>
            <w:r>
              <w:rPr>
                <w:sz w:val="20"/>
                <w:szCs w:val="20"/>
              </w:rPr>
              <w:t>-</w:t>
            </w:r>
          </w:p>
        </w:tc>
      </w:tr>
      <w:tr w14:paraId="1CF9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0" w:type="pct"/>
            <w:shd w:val="clear" w:color="auto" w:fill="auto"/>
            <w:vAlign w:val="center"/>
          </w:tcPr>
          <w:p w14:paraId="7DA36C8E">
            <w:pPr>
              <w:spacing w:after="0" w:line="240" w:lineRule="auto"/>
              <w:ind w:firstLine="0"/>
              <w:jc w:val="center"/>
              <w:rPr>
                <w:sz w:val="20"/>
                <w:szCs w:val="20"/>
              </w:rPr>
            </w:pPr>
            <w:r>
              <w:rPr>
                <w:sz w:val="20"/>
                <w:szCs w:val="20"/>
              </w:rPr>
              <w:t>35.</w:t>
            </w:r>
          </w:p>
        </w:tc>
        <w:tc>
          <w:tcPr>
            <w:tcW w:w="3052" w:type="pct"/>
            <w:shd w:val="clear" w:color="auto" w:fill="auto"/>
            <w:vAlign w:val="center"/>
          </w:tcPr>
          <w:p w14:paraId="72814368">
            <w:pPr>
              <w:spacing w:after="0" w:line="240" w:lineRule="auto"/>
              <w:ind w:firstLine="0"/>
              <w:rPr>
                <w:sz w:val="20"/>
                <w:szCs w:val="20"/>
              </w:rPr>
            </w:pPr>
            <w:r>
              <w:rPr>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696" w:type="pct"/>
            <w:shd w:val="clear" w:color="auto" w:fill="auto"/>
            <w:vAlign w:val="center"/>
          </w:tcPr>
          <w:p w14:paraId="79E8292A">
            <w:pPr>
              <w:spacing w:after="0" w:line="240" w:lineRule="auto"/>
              <w:ind w:firstLine="0"/>
              <w:jc w:val="center"/>
              <w:rPr>
                <w:sz w:val="20"/>
                <w:szCs w:val="20"/>
              </w:rPr>
            </w:pPr>
            <w:r>
              <w:rPr>
                <w:sz w:val="20"/>
                <w:szCs w:val="20"/>
              </w:rPr>
              <w:t>куб. метр в месяц на человека</w:t>
            </w:r>
          </w:p>
        </w:tc>
        <w:tc>
          <w:tcPr>
            <w:tcW w:w="963" w:type="pct"/>
            <w:shd w:val="clear" w:color="auto" w:fill="auto"/>
            <w:vAlign w:val="center"/>
          </w:tcPr>
          <w:p w14:paraId="2B9AC7FD">
            <w:pPr>
              <w:spacing w:after="0" w:line="240" w:lineRule="auto"/>
              <w:ind w:firstLine="0"/>
              <w:jc w:val="center"/>
              <w:rPr>
                <w:sz w:val="20"/>
                <w:szCs w:val="20"/>
              </w:rPr>
            </w:pPr>
            <w:r>
              <w:rPr>
                <w:sz w:val="20"/>
                <w:szCs w:val="20"/>
              </w:rPr>
              <w:t>-</w:t>
            </w:r>
          </w:p>
        </w:tc>
      </w:tr>
    </w:tbl>
    <w:p w14:paraId="47722EA7">
      <w:pPr>
        <w:spacing w:after="0" w:line="240" w:lineRule="auto"/>
        <w:contextualSpacing/>
        <w:jc w:val="both"/>
        <w:rPr>
          <w:color w:val="000000" w:themeColor="text1"/>
          <w:sz w:val="24"/>
          <w:szCs w:val="24"/>
        </w:rPr>
      </w:pPr>
    </w:p>
    <w:p w14:paraId="7382DD26">
      <w:pPr>
        <w:spacing w:after="0" w:line="240" w:lineRule="auto"/>
        <w:contextualSpacing/>
        <w:jc w:val="both"/>
        <w:rPr>
          <w:color w:val="000000" w:themeColor="text1"/>
          <w:sz w:val="24"/>
          <w:szCs w:val="24"/>
        </w:rPr>
      </w:pPr>
      <w:r>
        <w:rPr>
          <w:color w:val="000000" w:themeColor="text1"/>
          <w:sz w:val="24"/>
          <w:szCs w:val="24"/>
        </w:rPr>
        <w:t>Норматив потребления горячего водоснабжения на общедомовые нужды для собственников и пользователей жилых помещений в многоквартирных домах составит 0,0270 м</w:t>
      </w:r>
      <w:r>
        <w:rPr>
          <w:color w:val="000000" w:themeColor="text1"/>
          <w:sz w:val="24"/>
          <w:szCs w:val="24"/>
          <w:vertAlign w:val="superscript"/>
        </w:rPr>
        <w:t>3</w:t>
      </w:r>
      <w:r>
        <w:rPr>
          <w:color w:val="000000" w:themeColor="text1"/>
          <w:sz w:val="24"/>
          <w:szCs w:val="24"/>
        </w:rPr>
        <w:t xml:space="preserve"> на 1 м</w:t>
      </w:r>
      <w:r>
        <w:rPr>
          <w:color w:val="000000" w:themeColor="text1"/>
          <w:sz w:val="24"/>
          <w:szCs w:val="24"/>
          <w:vertAlign w:val="superscript"/>
        </w:rPr>
        <w:t>2</w:t>
      </w:r>
      <w:r>
        <w:rPr>
          <w:color w:val="000000" w:themeColor="text1"/>
          <w:sz w:val="24"/>
          <w:szCs w:val="24"/>
        </w:rPr>
        <w:t xml:space="preserve"> общей площади помещений, входящих в состав общего имущества в многоквартирном доме, в месяц.</w:t>
      </w:r>
    </w:p>
    <w:p w14:paraId="2F47CC58">
      <w:pPr>
        <w:spacing w:after="0" w:line="240" w:lineRule="auto"/>
        <w:contextualSpacing/>
        <w:jc w:val="both"/>
        <w:rPr>
          <w:color w:val="000000" w:themeColor="text1"/>
          <w:sz w:val="24"/>
          <w:szCs w:val="24"/>
        </w:rPr>
      </w:pPr>
      <w:r>
        <w:rPr>
          <w:color w:val="000000" w:themeColor="text1"/>
          <w:sz w:val="24"/>
          <w:szCs w:val="24"/>
        </w:rPr>
        <w:t>Удельные расходы тепловой энергии на горячее водоснабжение на одного человека в жилых и общественных зданиях представлены в таблицах 50-51.</w:t>
      </w:r>
    </w:p>
    <w:p w14:paraId="0D3F3F84">
      <w:pPr>
        <w:spacing w:after="0" w:line="240" w:lineRule="auto"/>
        <w:contextualSpacing/>
        <w:jc w:val="both"/>
        <w:rPr>
          <w:color w:val="000000" w:themeColor="text1"/>
          <w:sz w:val="24"/>
          <w:szCs w:val="24"/>
        </w:rPr>
      </w:pPr>
    </w:p>
    <w:p w14:paraId="5D4968C1">
      <w:pPr>
        <w:pStyle w:val="43"/>
        <w:keepNext/>
        <w:spacing w:before="0" w:after="0" w:line="240" w:lineRule="auto"/>
        <w:ind w:firstLine="0"/>
        <w:contextualSpacing/>
        <w:rPr>
          <w:rFonts w:cs="Times New Roman"/>
          <w:b w:val="0"/>
          <w:sz w:val="24"/>
          <w:szCs w:val="24"/>
        </w:rPr>
      </w:pPr>
      <w:bookmarkStart w:id="356" w:name="_Toc77864692"/>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Pr>
          <w:b w:val="0"/>
          <w:sz w:val="24"/>
          <w:szCs w:val="24"/>
        </w:rPr>
        <w:t>50</w:t>
      </w:r>
      <w:r>
        <w:rPr>
          <w:b w:val="0"/>
          <w:sz w:val="24"/>
          <w:szCs w:val="24"/>
        </w:rPr>
        <w:fldChar w:fldCharType="end"/>
      </w:r>
      <w:r>
        <w:rPr>
          <w:b w:val="0"/>
          <w:sz w:val="24"/>
          <w:szCs w:val="24"/>
        </w:rPr>
        <w:t xml:space="preserve"> – </w:t>
      </w:r>
      <w:r>
        <w:rPr>
          <w:rFonts w:cs="Times New Roman"/>
          <w:b w:val="0"/>
          <w:sz w:val="24"/>
          <w:szCs w:val="24"/>
        </w:rPr>
        <w:t>Удельный расход тепловой энергии на горячее водоснабжение в жилых зданиях (ккал/ч (Гкал/мес.) на 1 человека)</w:t>
      </w:r>
      <w:bookmarkEnd w:id="356"/>
    </w:p>
    <w:tbl>
      <w:tblPr>
        <w:tblStyle w:val="433"/>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20"/>
        <w:gridCol w:w="2068"/>
        <w:gridCol w:w="1454"/>
        <w:gridCol w:w="1711"/>
      </w:tblGrid>
      <w:tr w14:paraId="1882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290" w:type="pct"/>
            <w:vMerge w:val="restart"/>
            <w:shd w:val="clear" w:color="auto" w:fill="auto"/>
            <w:tcMar>
              <w:left w:w="28" w:type="dxa"/>
              <w:right w:w="28" w:type="dxa"/>
            </w:tcMar>
            <w:vAlign w:val="center"/>
          </w:tcPr>
          <w:p w14:paraId="692172E0">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Водопотребители</w:t>
            </w:r>
          </w:p>
        </w:tc>
        <w:tc>
          <w:tcPr>
            <w:tcW w:w="1071" w:type="pct"/>
            <w:vMerge w:val="restart"/>
            <w:shd w:val="clear" w:color="auto" w:fill="auto"/>
            <w:tcMar>
              <w:left w:w="28" w:type="dxa"/>
              <w:right w:w="28" w:type="dxa"/>
            </w:tcMar>
            <w:vAlign w:val="center"/>
          </w:tcPr>
          <w:p w14:paraId="3B1AE8C7">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r>
              <w:rPr>
                <w:bCs/>
                <w:color w:val="000000"/>
                <w:sz w:val="20"/>
                <w:szCs w:val="20"/>
                <w:lang w:eastAsia="en-US"/>
              </w:rPr>
              <w:t>Суточный расход воды на нужды горячего водоснабжения, л/(сут.*чел.)</w:t>
            </w:r>
          </w:p>
        </w:tc>
        <w:tc>
          <w:tcPr>
            <w:tcW w:w="1639" w:type="pct"/>
            <w:gridSpan w:val="2"/>
            <w:shd w:val="clear" w:color="auto" w:fill="auto"/>
            <w:tcMar>
              <w:left w:w="28" w:type="dxa"/>
              <w:right w:w="28" w:type="dxa"/>
            </w:tcMar>
            <w:vAlign w:val="center"/>
          </w:tcPr>
          <w:p w14:paraId="6BFA4A66">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r>
              <w:rPr>
                <w:bCs/>
                <w:color w:val="000000"/>
                <w:sz w:val="20"/>
                <w:szCs w:val="20"/>
                <w:lang w:eastAsia="en-US"/>
              </w:rPr>
              <w:t xml:space="preserve">Удельный расход тепловой энергии на горячее водоснабжение на одного человека </w:t>
            </w:r>
          </w:p>
        </w:tc>
      </w:tr>
      <w:tr w14:paraId="47ED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290" w:type="pct"/>
            <w:vMerge w:val="continue"/>
            <w:shd w:val="clear" w:color="auto" w:fill="auto"/>
            <w:tcMar>
              <w:left w:w="28" w:type="dxa"/>
              <w:right w:w="28" w:type="dxa"/>
            </w:tcMar>
            <w:vAlign w:val="center"/>
          </w:tcPr>
          <w:p w14:paraId="05C64FBA">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p>
        </w:tc>
        <w:tc>
          <w:tcPr>
            <w:tcW w:w="1071" w:type="pct"/>
            <w:vMerge w:val="continue"/>
            <w:shd w:val="clear" w:color="auto" w:fill="auto"/>
            <w:tcMar>
              <w:left w:w="28" w:type="dxa"/>
              <w:right w:w="28" w:type="dxa"/>
            </w:tcMar>
            <w:vAlign w:val="center"/>
          </w:tcPr>
          <w:p w14:paraId="6D911DF2">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p>
        </w:tc>
        <w:tc>
          <w:tcPr>
            <w:tcW w:w="753" w:type="pct"/>
            <w:shd w:val="clear" w:color="auto" w:fill="auto"/>
            <w:tcMar>
              <w:left w:w="28" w:type="dxa"/>
              <w:right w:w="28" w:type="dxa"/>
            </w:tcMar>
            <w:vAlign w:val="center"/>
          </w:tcPr>
          <w:p w14:paraId="416CD415">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ккал/ч </w:t>
            </w:r>
          </w:p>
        </w:tc>
        <w:tc>
          <w:tcPr>
            <w:tcW w:w="886" w:type="pct"/>
            <w:shd w:val="clear" w:color="auto" w:fill="auto"/>
            <w:tcMar>
              <w:left w:w="28" w:type="dxa"/>
              <w:right w:w="28" w:type="dxa"/>
            </w:tcMar>
            <w:vAlign w:val="center"/>
          </w:tcPr>
          <w:p w14:paraId="182C2A19">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Гкал/мес</w:t>
            </w:r>
            <w:r>
              <w:rPr>
                <w:bCs/>
                <w:color w:val="000000"/>
                <w:sz w:val="20"/>
                <w:szCs w:val="20"/>
                <w:lang w:eastAsia="en-US"/>
              </w:rPr>
              <w:t>.</w:t>
            </w:r>
            <w:r>
              <w:rPr>
                <w:bCs/>
                <w:color w:val="000000"/>
                <w:sz w:val="20"/>
                <w:szCs w:val="20"/>
                <w:lang w:val="en-US" w:eastAsia="en-US"/>
              </w:rPr>
              <w:t xml:space="preserve"> </w:t>
            </w:r>
          </w:p>
        </w:tc>
      </w:tr>
      <w:tr w14:paraId="391F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290" w:type="pct"/>
            <w:tcMar>
              <w:left w:w="28" w:type="dxa"/>
              <w:right w:w="28" w:type="dxa"/>
            </w:tcMar>
            <w:vAlign w:val="center"/>
          </w:tcPr>
          <w:p w14:paraId="524F8651">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Жилые дома квартирного типа:</w:t>
            </w:r>
          </w:p>
        </w:tc>
        <w:tc>
          <w:tcPr>
            <w:tcW w:w="1071" w:type="pct"/>
            <w:tcMar>
              <w:left w:w="28" w:type="dxa"/>
              <w:right w:w="28" w:type="dxa"/>
            </w:tcMar>
            <w:vAlign w:val="center"/>
          </w:tcPr>
          <w:p w14:paraId="12A318C2">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p>
        </w:tc>
        <w:tc>
          <w:tcPr>
            <w:tcW w:w="1639" w:type="pct"/>
            <w:gridSpan w:val="2"/>
            <w:tcMar>
              <w:left w:w="28" w:type="dxa"/>
              <w:right w:w="28" w:type="dxa"/>
            </w:tcMar>
            <w:vAlign w:val="center"/>
          </w:tcPr>
          <w:p w14:paraId="1BF66B31">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p>
        </w:tc>
      </w:tr>
      <w:tr w14:paraId="6AF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290" w:type="pct"/>
            <w:tcMar>
              <w:left w:w="28" w:type="dxa"/>
              <w:right w:w="28" w:type="dxa"/>
            </w:tcMar>
            <w:vAlign w:val="center"/>
          </w:tcPr>
          <w:p w14:paraId="70DB6D6E">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r>
              <w:rPr>
                <w:bCs/>
                <w:color w:val="000000"/>
                <w:sz w:val="20"/>
                <w:szCs w:val="20"/>
                <w:lang w:eastAsia="en-US"/>
              </w:rPr>
              <w:t xml:space="preserve">с централизованным горячим водоснабжением, оборудованные умывальниками, мойками и душами </w:t>
            </w:r>
          </w:p>
        </w:tc>
        <w:tc>
          <w:tcPr>
            <w:tcW w:w="1071" w:type="pct"/>
            <w:tcMar>
              <w:left w:w="28" w:type="dxa"/>
              <w:right w:w="28" w:type="dxa"/>
            </w:tcMar>
            <w:vAlign w:val="center"/>
          </w:tcPr>
          <w:p w14:paraId="35FEAADB">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100 </w:t>
            </w:r>
          </w:p>
        </w:tc>
        <w:tc>
          <w:tcPr>
            <w:tcW w:w="753" w:type="pct"/>
            <w:tcMar>
              <w:left w:w="28" w:type="dxa"/>
              <w:right w:w="28" w:type="dxa"/>
            </w:tcMar>
            <w:vAlign w:val="center"/>
          </w:tcPr>
          <w:p w14:paraId="10CCD8A8">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229,82 </w:t>
            </w:r>
          </w:p>
        </w:tc>
        <w:tc>
          <w:tcPr>
            <w:tcW w:w="886" w:type="pct"/>
            <w:tcMar>
              <w:left w:w="28" w:type="dxa"/>
              <w:right w:w="28" w:type="dxa"/>
            </w:tcMar>
            <w:vAlign w:val="center"/>
          </w:tcPr>
          <w:p w14:paraId="5E86B7CD">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0,165 </w:t>
            </w:r>
          </w:p>
        </w:tc>
      </w:tr>
      <w:tr w14:paraId="6945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290" w:type="pct"/>
            <w:tcMar>
              <w:left w:w="28" w:type="dxa"/>
              <w:right w:w="28" w:type="dxa"/>
            </w:tcMar>
            <w:vAlign w:val="center"/>
          </w:tcPr>
          <w:p w14:paraId="44799AC3">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r>
              <w:rPr>
                <w:bCs/>
                <w:color w:val="000000"/>
                <w:sz w:val="20"/>
                <w:szCs w:val="20"/>
                <w:lang w:eastAsia="en-US"/>
              </w:rPr>
              <w:t>с сидячими ваннами, оборудованными душами</w:t>
            </w:r>
          </w:p>
        </w:tc>
        <w:tc>
          <w:tcPr>
            <w:tcW w:w="1071" w:type="pct"/>
            <w:tcMar>
              <w:left w:w="28" w:type="dxa"/>
              <w:right w:w="28" w:type="dxa"/>
            </w:tcMar>
            <w:vAlign w:val="center"/>
          </w:tcPr>
          <w:p w14:paraId="014EE7C7">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110 </w:t>
            </w:r>
          </w:p>
        </w:tc>
        <w:tc>
          <w:tcPr>
            <w:tcW w:w="753" w:type="pct"/>
            <w:tcMar>
              <w:left w:w="28" w:type="dxa"/>
              <w:right w:w="28" w:type="dxa"/>
            </w:tcMar>
            <w:vAlign w:val="center"/>
          </w:tcPr>
          <w:p w14:paraId="42AF7D46">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252,80 </w:t>
            </w:r>
          </w:p>
        </w:tc>
        <w:tc>
          <w:tcPr>
            <w:tcW w:w="886" w:type="pct"/>
            <w:tcMar>
              <w:left w:w="28" w:type="dxa"/>
              <w:right w:w="28" w:type="dxa"/>
            </w:tcMar>
            <w:vAlign w:val="center"/>
          </w:tcPr>
          <w:p w14:paraId="4F8973EE">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0,182 </w:t>
            </w:r>
          </w:p>
        </w:tc>
      </w:tr>
      <w:tr w14:paraId="0C9C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290" w:type="pct"/>
            <w:tcMar>
              <w:left w:w="28" w:type="dxa"/>
              <w:right w:w="28" w:type="dxa"/>
            </w:tcMar>
            <w:vAlign w:val="center"/>
          </w:tcPr>
          <w:p w14:paraId="168CEDB7">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r>
              <w:rPr>
                <w:bCs/>
                <w:color w:val="000000"/>
                <w:sz w:val="20"/>
                <w:szCs w:val="20"/>
                <w:lang w:eastAsia="en-US"/>
              </w:rPr>
              <w:t>с ваннами длиной от 1500 до 1700 мм, оборудованными душами</w:t>
            </w:r>
          </w:p>
        </w:tc>
        <w:tc>
          <w:tcPr>
            <w:tcW w:w="1071" w:type="pct"/>
            <w:tcMar>
              <w:left w:w="28" w:type="dxa"/>
              <w:right w:w="28" w:type="dxa"/>
            </w:tcMar>
            <w:vAlign w:val="center"/>
          </w:tcPr>
          <w:p w14:paraId="4167B1A2">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120 </w:t>
            </w:r>
          </w:p>
        </w:tc>
        <w:tc>
          <w:tcPr>
            <w:tcW w:w="753" w:type="pct"/>
            <w:tcMar>
              <w:left w:w="28" w:type="dxa"/>
              <w:right w:w="28" w:type="dxa"/>
            </w:tcMar>
            <w:vAlign w:val="center"/>
          </w:tcPr>
          <w:p w14:paraId="3A02E4F4">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275,78 </w:t>
            </w:r>
          </w:p>
        </w:tc>
        <w:tc>
          <w:tcPr>
            <w:tcW w:w="886" w:type="pct"/>
            <w:tcMar>
              <w:left w:w="28" w:type="dxa"/>
              <w:right w:w="28" w:type="dxa"/>
            </w:tcMar>
            <w:vAlign w:val="center"/>
          </w:tcPr>
          <w:p w14:paraId="07AE516E">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0,199 </w:t>
            </w:r>
          </w:p>
        </w:tc>
      </w:tr>
      <w:tr w14:paraId="4120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290" w:type="pct"/>
            <w:tcMar>
              <w:left w:w="28" w:type="dxa"/>
              <w:right w:w="28" w:type="dxa"/>
            </w:tcMar>
            <w:vAlign w:val="center"/>
          </w:tcPr>
          <w:p w14:paraId="4070CD83">
            <w:pPr>
              <w:overflowPunct w:val="0"/>
              <w:autoSpaceDE w:val="0"/>
              <w:autoSpaceDN w:val="0"/>
              <w:adjustRightInd w:val="0"/>
              <w:spacing w:after="0" w:line="240" w:lineRule="auto"/>
              <w:ind w:firstLine="0"/>
              <w:contextualSpacing/>
              <w:jc w:val="center"/>
              <w:textAlignment w:val="baseline"/>
              <w:rPr>
                <w:bCs/>
                <w:color w:val="000000"/>
                <w:sz w:val="20"/>
                <w:szCs w:val="20"/>
                <w:lang w:eastAsia="en-US"/>
              </w:rPr>
            </w:pPr>
            <w:r>
              <w:rPr>
                <w:bCs/>
                <w:color w:val="000000"/>
                <w:sz w:val="20"/>
                <w:szCs w:val="20"/>
                <w:lang w:eastAsia="en-US"/>
              </w:rPr>
              <w:t>высотой св. 12 этажей с централизованным горячим водоснабжением и повышенными требованиями к их благоустройству</w:t>
            </w:r>
          </w:p>
        </w:tc>
        <w:tc>
          <w:tcPr>
            <w:tcW w:w="1071" w:type="pct"/>
            <w:tcMar>
              <w:left w:w="28" w:type="dxa"/>
              <w:right w:w="28" w:type="dxa"/>
            </w:tcMar>
            <w:vAlign w:val="center"/>
          </w:tcPr>
          <w:p w14:paraId="363AEADD">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130 </w:t>
            </w:r>
          </w:p>
        </w:tc>
        <w:tc>
          <w:tcPr>
            <w:tcW w:w="753" w:type="pct"/>
            <w:tcMar>
              <w:left w:w="28" w:type="dxa"/>
              <w:right w:w="28" w:type="dxa"/>
            </w:tcMar>
            <w:vAlign w:val="center"/>
          </w:tcPr>
          <w:p w14:paraId="626B6AA0">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298,76 </w:t>
            </w:r>
          </w:p>
        </w:tc>
        <w:tc>
          <w:tcPr>
            <w:tcW w:w="886" w:type="pct"/>
            <w:tcMar>
              <w:left w:w="28" w:type="dxa"/>
              <w:right w:w="28" w:type="dxa"/>
            </w:tcMar>
            <w:vAlign w:val="center"/>
          </w:tcPr>
          <w:p w14:paraId="30B1E23F">
            <w:pPr>
              <w:overflowPunct w:val="0"/>
              <w:autoSpaceDE w:val="0"/>
              <w:autoSpaceDN w:val="0"/>
              <w:adjustRightInd w:val="0"/>
              <w:spacing w:after="0" w:line="240" w:lineRule="auto"/>
              <w:ind w:firstLine="0"/>
              <w:contextualSpacing/>
              <w:jc w:val="center"/>
              <w:textAlignment w:val="baseline"/>
              <w:rPr>
                <w:bCs/>
                <w:color w:val="000000"/>
                <w:sz w:val="20"/>
                <w:szCs w:val="20"/>
                <w:lang w:val="en-US" w:eastAsia="en-US"/>
              </w:rPr>
            </w:pPr>
            <w:r>
              <w:rPr>
                <w:bCs/>
                <w:color w:val="000000"/>
                <w:sz w:val="20"/>
                <w:szCs w:val="20"/>
                <w:lang w:val="en-US" w:eastAsia="en-US"/>
              </w:rPr>
              <w:t xml:space="preserve">0,215 </w:t>
            </w:r>
          </w:p>
        </w:tc>
      </w:tr>
    </w:tbl>
    <w:p w14:paraId="2BC52C64">
      <w:pPr>
        <w:pStyle w:val="43"/>
        <w:keepNext/>
        <w:spacing w:before="0" w:after="0" w:line="240" w:lineRule="auto"/>
        <w:ind w:firstLine="0"/>
        <w:contextualSpacing/>
        <w:rPr>
          <w:b w:val="0"/>
          <w:sz w:val="24"/>
          <w:szCs w:val="24"/>
        </w:rPr>
      </w:pPr>
      <w:bookmarkStart w:id="357" w:name="_Toc77864693"/>
    </w:p>
    <w:p w14:paraId="0BB8A809">
      <w:pPr>
        <w:pStyle w:val="43"/>
        <w:widowControl w:val="0"/>
        <w:spacing w:before="0" w:after="0" w:line="240" w:lineRule="auto"/>
        <w:ind w:firstLine="0"/>
        <w:contextualSpacing/>
        <w:rPr>
          <w:rFonts w:cs="Times New Roman"/>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Pr>
          <w:b w:val="0"/>
          <w:sz w:val="24"/>
          <w:szCs w:val="24"/>
        </w:rPr>
        <w:t>51</w:t>
      </w:r>
      <w:r>
        <w:rPr>
          <w:b w:val="0"/>
          <w:sz w:val="24"/>
          <w:szCs w:val="24"/>
        </w:rPr>
        <w:fldChar w:fldCharType="end"/>
      </w:r>
      <w:r>
        <w:rPr>
          <w:b w:val="0"/>
          <w:sz w:val="24"/>
          <w:szCs w:val="24"/>
        </w:rPr>
        <w:t xml:space="preserve"> – </w:t>
      </w:r>
      <w:r>
        <w:rPr>
          <w:rFonts w:cs="Times New Roman"/>
          <w:b w:val="0"/>
          <w:sz w:val="24"/>
          <w:szCs w:val="24"/>
        </w:rPr>
        <w:t>Удельный расход тепловой энергии на горячее водоснабжение в общественных зданиях (ккал/ч (Гкал/мес.) на 1 человека)</w:t>
      </w:r>
      <w:bookmarkEnd w:id="357"/>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3" w:type="dxa"/>
          <w:left w:w="110" w:type="dxa"/>
          <w:bottom w:w="0" w:type="dxa"/>
          <w:right w:w="55" w:type="dxa"/>
        </w:tblCellMar>
      </w:tblPr>
      <w:tblGrid>
        <w:gridCol w:w="651"/>
        <w:gridCol w:w="3333"/>
        <w:gridCol w:w="2391"/>
        <w:gridCol w:w="1561"/>
        <w:gridCol w:w="1735"/>
        <w:gridCol w:w="23"/>
      </w:tblGrid>
      <w:tr w14:paraId="4F43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blHeader/>
        </w:trPr>
        <w:tc>
          <w:tcPr>
            <w:tcW w:w="336" w:type="pct"/>
            <w:vMerge w:val="restart"/>
            <w:shd w:val="clear" w:color="auto" w:fill="auto"/>
            <w:tcMar>
              <w:top w:w="0" w:type="dxa"/>
              <w:left w:w="28" w:type="dxa"/>
              <w:right w:w="28" w:type="dxa"/>
            </w:tcMar>
            <w:vAlign w:val="center"/>
          </w:tcPr>
          <w:p w14:paraId="44DC3E7F">
            <w:pPr>
              <w:widowControl w:val="0"/>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 </w:t>
            </w:r>
          </w:p>
          <w:p w14:paraId="2CE229B4">
            <w:pPr>
              <w:widowControl w:val="0"/>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п/п </w:t>
            </w:r>
          </w:p>
        </w:tc>
        <w:tc>
          <w:tcPr>
            <w:tcW w:w="1719" w:type="pct"/>
            <w:vMerge w:val="restart"/>
            <w:shd w:val="clear" w:color="auto" w:fill="auto"/>
            <w:tcMar>
              <w:top w:w="0" w:type="dxa"/>
              <w:left w:w="28" w:type="dxa"/>
              <w:right w:w="28" w:type="dxa"/>
            </w:tcMar>
            <w:vAlign w:val="center"/>
          </w:tcPr>
          <w:p w14:paraId="2D96679A">
            <w:pPr>
              <w:widowControl w:val="0"/>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Водопотребители </w:t>
            </w:r>
          </w:p>
        </w:tc>
        <w:tc>
          <w:tcPr>
            <w:tcW w:w="1233" w:type="pct"/>
            <w:vMerge w:val="restart"/>
            <w:shd w:val="clear" w:color="auto" w:fill="auto"/>
            <w:tcMar>
              <w:top w:w="0" w:type="dxa"/>
              <w:left w:w="28" w:type="dxa"/>
              <w:right w:w="28" w:type="dxa"/>
            </w:tcMar>
            <w:vAlign w:val="center"/>
          </w:tcPr>
          <w:p w14:paraId="3C8CC884">
            <w:pPr>
              <w:widowControl w:val="0"/>
              <w:spacing w:after="0" w:line="240" w:lineRule="auto"/>
              <w:ind w:firstLine="0"/>
              <w:contextualSpacing/>
              <w:jc w:val="center"/>
              <w:rPr>
                <w:bCs/>
                <w:color w:val="000000"/>
                <w:sz w:val="20"/>
                <w:szCs w:val="20"/>
                <w:lang w:eastAsia="en-US"/>
              </w:rPr>
            </w:pPr>
            <w:r>
              <w:rPr>
                <w:bCs/>
                <w:color w:val="000000"/>
                <w:sz w:val="20"/>
                <w:szCs w:val="20"/>
                <w:lang w:eastAsia="en-US"/>
              </w:rPr>
              <w:t xml:space="preserve">Суточный расход воды на нужды горячего водоснабжения, л/(сут.*чел.) </w:t>
            </w:r>
          </w:p>
        </w:tc>
        <w:tc>
          <w:tcPr>
            <w:tcW w:w="1700" w:type="pct"/>
            <w:gridSpan w:val="2"/>
            <w:shd w:val="clear" w:color="auto" w:fill="auto"/>
            <w:tcMar>
              <w:top w:w="0" w:type="dxa"/>
              <w:left w:w="28" w:type="dxa"/>
              <w:right w:w="28" w:type="dxa"/>
            </w:tcMar>
            <w:vAlign w:val="center"/>
          </w:tcPr>
          <w:p w14:paraId="5C2726C7">
            <w:pPr>
              <w:widowControl w:val="0"/>
              <w:spacing w:after="0" w:line="240" w:lineRule="auto"/>
              <w:ind w:firstLine="0"/>
              <w:contextualSpacing/>
              <w:jc w:val="center"/>
              <w:rPr>
                <w:bCs/>
                <w:color w:val="000000"/>
                <w:sz w:val="20"/>
                <w:szCs w:val="20"/>
                <w:lang w:eastAsia="en-US"/>
              </w:rPr>
            </w:pPr>
            <w:r>
              <w:rPr>
                <w:bCs/>
                <w:color w:val="000000"/>
                <w:sz w:val="20"/>
                <w:szCs w:val="20"/>
                <w:lang w:eastAsia="en-US"/>
              </w:rPr>
              <w:t xml:space="preserve">Удельный расход тепловой энергии на горячее водоснабжение на одного человека </w:t>
            </w:r>
          </w:p>
        </w:tc>
      </w:tr>
      <w:tr w14:paraId="661F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blHeader/>
        </w:trPr>
        <w:tc>
          <w:tcPr>
            <w:tcW w:w="336" w:type="pct"/>
            <w:vMerge w:val="continue"/>
            <w:shd w:val="clear" w:color="auto" w:fill="auto"/>
            <w:tcMar>
              <w:top w:w="0" w:type="dxa"/>
              <w:left w:w="28" w:type="dxa"/>
              <w:right w:w="28" w:type="dxa"/>
            </w:tcMar>
            <w:vAlign w:val="center"/>
          </w:tcPr>
          <w:p w14:paraId="23F16A28">
            <w:pPr>
              <w:widowControl w:val="0"/>
              <w:spacing w:after="0" w:line="240" w:lineRule="auto"/>
              <w:ind w:firstLine="0"/>
              <w:contextualSpacing/>
              <w:jc w:val="center"/>
              <w:rPr>
                <w:bCs/>
                <w:color w:val="000000"/>
                <w:sz w:val="20"/>
                <w:szCs w:val="20"/>
                <w:lang w:eastAsia="en-US"/>
              </w:rPr>
            </w:pPr>
          </w:p>
        </w:tc>
        <w:tc>
          <w:tcPr>
            <w:tcW w:w="1719" w:type="pct"/>
            <w:vMerge w:val="continue"/>
            <w:shd w:val="clear" w:color="auto" w:fill="auto"/>
            <w:tcMar>
              <w:top w:w="0" w:type="dxa"/>
              <w:left w:w="28" w:type="dxa"/>
              <w:right w:w="28" w:type="dxa"/>
            </w:tcMar>
            <w:vAlign w:val="center"/>
          </w:tcPr>
          <w:p w14:paraId="62F31584">
            <w:pPr>
              <w:widowControl w:val="0"/>
              <w:spacing w:after="0" w:line="240" w:lineRule="auto"/>
              <w:ind w:firstLine="0"/>
              <w:contextualSpacing/>
              <w:jc w:val="center"/>
              <w:rPr>
                <w:bCs/>
                <w:color w:val="000000"/>
                <w:sz w:val="20"/>
                <w:szCs w:val="20"/>
                <w:lang w:eastAsia="en-US"/>
              </w:rPr>
            </w:pPr>
          </w:p>
        </w:tc>
        <w:tc>
          <w:tcPr>
            <w:tcW w:w="1233" w:type="pct"/>
            <w:vMerge w:val="continue"/>
            <w:shd w:val="clear" w:color="auto" w:fill="auto"/>
            <w:tcMar>
              <w:top w:w="0" w:type="dxa"/>
              <w:left w:w="28" w:type="dxa"/>
              <w:right w:w="28" w:type="dxa"/>
            </w:tcMar>
            <w:vAlign w:val="center"/>
          </w:tcPr>
          <w:p w14:paraId="522997A4">
            <w:pPr>
              <w:widowControl w:val="0"/>
              <w:spacing w:after="0" w:line="240" w:lineRule="auto"/>
              <w:ind w:firstLine="0"/>
              <w:contextualSpacing/>
              <w:jc w:val="center"/>
              <w:rPr>
                <w:bCs/>
                <w:color w:val="000000"/>
                <w:sz w:val="20"/>
                <w:szCs w:val="20"/>
                <w:lang w:eastAsia="en-US"/>
              </w:rPr>
            </w:pPr>
          </w:p>
        </w:tc>
        <w:tc>
          <w:tcPr>
            <w:tcW w:w="805" w:type="pct"/>
            <w:shd w:val="clear" w:color="auto" w:fill="auto"/>
            <w:tcMar>
              <w:top w:w="0" w:type="dxa"/>
              <w:left w:w="28" w:type="dxa"/>
              <w:right w:w="28" w:type="dxa"/>
            </w:tcMar>
            <w:vAlign w:val="center"/>
          </w:tcPr>
          <w:p w14:paraId="3E4DBF7D">
            <w:pPr>
              <w:widowControl w:val="0"/>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ккал/ч </w:t>
            </w:r>
          </w:p>
        </w:tc>
        <w:tc>
          <w:tcPr>
            <w:tcW w:w="895" w:type="pct"/>
            <w:shd w:val="clear" w:color="auto" w:fill="auto"/>
            <w:tcMar>
              <w:top w:w="0" w:type="dxa"/>
              <w:left w:w="28" w:type="dxa"/>
              <w:right w:w="28" w:type="dxa"/>
            </w:tcMar>
            <w:vAlign w:val="center"/>
          </w:tcPr>
          <w:p w14:paraId="0F6C0AC4">
            <w:pPr>
              <w:widowControl w:val="0"/>
              <w:spacing w:after="0" w:line="240" w:lineRule="auto"/>
              <w:ind w:firstLine="0"/>
              <w:contextualSpacing/>
              <w:jc w:val="center"/>
              <w:rPr>
                <w:bCs/>
                <w:color w:val="000000"/>
                <w:sz w:val="20"/>
                <w:szCs w:val="20"/>
                <w:lang w:val="en-US" w:eastAsia="en-US"/>
              </w:rPr>
            </w:pPr>
            <w:r>
              <w:rPr>
                <w:bCs/>
                <w:color w:val="000000"/>
                <w:sz w:val="20"/>
                <w:szCs w:val="20"/>
                <w:lang w:val="en-US" w:eastAsia="en-US"/>
              </w:rPr>
              <w:t xml:space="preserve">Гкал/мес </w:t>
            </w:r>
          </w:p>
        </w:tc>
      </w:tr>
      <w:tr w14:paraId="1367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346CF501">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 </w:t>
            </w:r>
          </w:p>
        </w:tc>
        <w:tc>
          <w:tcPr>
            <w:tcW w:w="1719" w:type="pct"/>
            <w:shd w:val="clear" w:color="auto" w:fill="auto"/>
            <w:tcMar>
              <w:top w:w="0" w:type="dxa"/>
              <w:left w:w="28" w:type="dxa"/>
              <w:right w:w="28" w:type="dxa"/>
            </w:tcMar>
            <w:vAlign w:val="center"/>
          </w:tcPr>
          <w:p w14:paraId="3A75FB91">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Общежития</w:t>
            </w:r>
          </w:p>
        </w:tc>
        <w:tc>
          <w:tcPr>
            <w:tcW w:w="1233" w:type="pct"/>
            <w:shd w:val="clear" w:color="auto" w:fill="auto"/>
            <w:tcMar>
              <w:top w:w="0" w:type="dxa"/>
              <w:left w:w="28" w:type="dxa"/>
              <w:right w:w="28" w:type="dxa"/>
            </w:tcMar>
            <w:vAlign w:val="center"/>
          </w:tcPr>
          <w:p w14:paraId="2467E04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90</w:t>
            </w:r>
          </w:p>
        </w:tc>
        <w:tc>
          <w:tcPr>
            <w:tcW w:w="805" w:type="pct"/>
            <w:shd w:val="clear" w:color="auto" w:fill="auto"/>
            <w:tcMar>
              <w:top w:w="0" w:type="dxa"/>
              <w:left w:w="28" w:type="dxa"/>
              <w:right w:w="28" w:type="dxa"/>
            </w:tcMar>
            <w:vAlign w:val="center"/>
          </w:tcPr>
          <w:p w14:paraId="2E32FAA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206,84 </w:t>
            </w:r>
          </w:p>
        </w:tc>
        <w:tc>
          <w:tcPr>
            <w:tcW w:w="895" w:type="pct"/>
            <w:shd w:val="clear" w:color="auto" w:fill="auto"/>
            <w:tcMar>
              <w:top w:w="0" w:type="dxa"/>
              <w:left w:w="28" w:type="dxa"/>
              <w:right w:w="28" w:type="dxa"/>
            </w:tcMar>
            <w:vAlign w:val="center"/>
          </w:tcPr>
          <w:p w14:paraId="0109A27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0,149 </w:t>
            </w:r>
          </w:p>
        </w:tc>
      </w:tr>
      <w:tr w14:paraId="6BAB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5E48ACC1">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 </w:t>
            </w:r>
          </w:p>
        </w:tc>
        <w:tc>
          <w:tcPr>
            <w:tcW w:w="1719" w:type="pct"/>
            <w:shd w:val="clear" w:color="auto" w:fill="auto"/>
            <w:tcMar>
              <w:top w:w="0" w:type="dxa"/>
              <w:left w:w="28" w:type="dxa"/>
              <w:right w:w="28" w:type="dxa"/>
            </w:tcMar>
            <w:vAlign w:val="center"/>
          </w:tcPr>
          <w:p w14:paraId="21C3AC99">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Гостиницы и пансионаты с душами во всех отдельных номерах </w:t>
            </w:r>
          </w:p>
        </w:tc>
        <w:tc>
          <w:tcPr>
            <w:tcW w:w="1233" w:type="pct"/>
            <w:shd w:val="clear" w:color="auto" w:fill="auto"/>
            <w:tcMar>
              <w:top w:w="0" w:type="dxa"/>
              <w:left w:w="28" w:type="dxa"/>
              <w:right w:w="28" w:type="dxa"/>
            </w:tcMar>
            <w:vAlign w:val="center"/>
          </w:tcPr>
          <w:p w14:paraId="57E6B17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140 </w:t>
            </w:r>
          </w:p>
        </w:tc>
        <w:tc>
          <w:tcPr>
            <w:tcW w:w="805" w:type="pct"/>
            <w:shd w:val="clear" w:color="auto" w:fill="auto"/>
            <w:tcMar>
              <w:top w:w="0" w:type="dxa"/>
              <w:left w:w="28" w:type="dxa"/>
              <w:right w:w="28" w:type="dxa"/>
            </w:tcMar>
            <w:vAlign w:val="center"/>
          </w:tcPr>
          <w:p w14:paraId="184A231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321,75 </w:t>
            </w:r>
          </w:p>
        </w:tc>
        <w:tc>
          <w:tcPr>
            <w:tcW w:w="895" w:type="pct"/>
            <w:shd w:val="clear" w:color="auto" w:fill="auto"/>
            <w:tcMar>
              <w:top w:w="0" w:type="dxa"/>
              <w:left w:w="28" w:type="dxa"/>
              <w:right w:w="28" w:type="dxa"/>
            </w:tcMar>
            <w:vAlign w:val="center"/>
          </w:tcPr>
          <w:p w14:paraId="6FAB242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0,232 </w:t>
            </w:r>
          </w:p>
        </w:tc>
      </w:tr>
      <w:tr w14:paraId="4D22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3C4EC11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 </w:t>
            </w:r>
          </w:p>
        </w:tc>
        <w:tc>
          <w:tcPr>
            <w:tcW w:w="1719" w:type="pct"/>
            <w:shd w:val="clear" w:color="auto" w:fill="auto"/>
            <w:tcMar>
              <w:top w:w="0" w:type="dxa"/>
              <w:left w:w="28" w:type="dxa"/>
              <w:right w:w="28" w:type="dxa"/>
            </w:tcMar>
            <w:vAlign w:val="center"/>
          </w:tcPr>
          <w:p w14:paraId="16510C9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Больницы</w:t>
            </w:r>
          </w:p>
        </w:tc>
        <w:tc>
          <w:tcPr>
            <w:tcW w:w="1233" w:type="pct"/>
            <w:shd w:val="clear" w:color="auto" w:fill="auto"/>
            <w:tcMar>
              <w:top w:w="0" w:type="dxa"/>
              <w:left w:w="28" w:type="dxa"/>
              <w:right w:w="28" w:type="dxa"/>
            </w:tcMar>
            <w:vAlign w:val="center"/>
          </w:tcPr>
          <w:p w14:paraId="24B9DF0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90 </w:t>
            </w:r>
          </w:p>
        </w:tc>
        <w:tc>
          <w:tcPr>
            <w:tcW w:w="805" w:type="pct"/>
            <w:shd w:val="clear" w:color="auto" w:fill="auto"/>
            <w:tcMar>
              <w:top w:w="0" w:type="dxa"/>
              <w:left w:w="28" w:type="dxa"/>
              <w:right w:w="28" w:type="dxa"/>
            </w:tcMar>
            <w:vAlign w:val="center"/>
          </w:tcPr>
          <w:p w14:paraId="4C3D2B8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206,84 </w:t>
            </w:r>
          </w:p>
        </w:tc>
        <w:tc>
          <w:tcPr>
            <w:tcW w:w="895" w:type="pct"/>
            <w:shd w:val="clear" w:color="auto" w:fill="auto"/>
            <w:tcMar>
              <w:top w:w="0" w:type="dxa"/>
              <w:left w:w="28" w:type="dxa"/>
              <w:right w:w="28" w:type="dxa"/>
            </w:tcMar>
            <w:vAlign w:val="center"/>
          </w:tcPr>
          <w:p w14:paraId="4FDE8A2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0,149 </w:t>
            </w:r>
          </w:p>
        </w:tc>
      </w:tr>
      <w:tr w14:paraId="460D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151AA3A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4 </w:t>
            </w:r>
          </w:p>
        </w:tc>
        <w:tc>
          <w:tcPr>
            <w:tcW w:w="1719" w:type="pct"/>
            <w:shd w:val="clear" w:color="auto" w:fill="auto"/>
            <w:tcMar>
              <w:top w:w="0" w:type="dxa"/>
              <w:left w:w="28" w:type="dxa"/>
              <w:right w:w="28" w:type="dxa"/>
            </w:tcMar>
            <w:vAlign w:val="center"/>
          </w:tcPr>
          <w:p w14:paraId="661E4D9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Санатории и дома отдыха</w:t>
            </w:r>
          </w:p>
        </w:tc>
        <w:tc>
          <w:tcPr>
            <w:tcW w:w="1233" w:type="pct"/>
            <w:shd w:val="clear" w:color="auto" w:fill="auto"/>
            <w:tcMar>
              <w:top w:w="0" w:type="dxa"/>
              <w:left w:w="28" w:type="dxa"/>
              <w:right w:w="28" w:type="dxa"/>
            </w:tcMar>
            <w:vAlign w:val="center"/>
          </w:tcPr>
          <w:p w14:paraId="009241F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75 </w:t>
            </w:r>
          </w:p>
        </w:tc>
        <w:tc>
          <w:tcPr>
            <w:tcW w:w="805" w:type="pct"/>
            <w:shd w:val="clear" w:color="auto" w:fill="auto"/>
            <w:tcMar>
              <w:top w:w="0" w:type="dxa"/>
              <w:left w:w="28" w:type="dxa"/>
              <w:right w:w="28" w:type="dxa"/>
            </w:tcMar>
            <w:vAlign w:val="center"/>
          </w:tcPr>
          <w:p w14:paraId="69B8035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172,36 </w:t>
            </w:r>
          </w:p>
        </w:tc>
        <w:tc>
          <w:tcPr>
            <w:tcW w:w="895" w:type="pct"/>
            <w:shd w:val="clear" w:color="auto" w:fill="auto"/>
            <w:tcMar>
              <w:top w:w="0" w:type="dxa"/>
              <w:left w:w="28" w:type="dxa"/>
              <w:right w:w="28" w:type="dxa"/>
            </w:tcMar>
            <w:vAlign w:val="center"/>
          </w:tcPr>
          <w:p w14:paraId="379C755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0,124 </w:t>
            </w:r>
          </w:p>
        </w:tc>
      </w:tr>
      <w:tr w14:paraId="13E3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6B7DEEB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5 </w:t>
            </w:r>
          </w:p>
        </w:tc>
        <w:tc>
          <w:tcPr>
            <w:tcW w:w="1719" w:type="pct"/>
            <w:shd w:val="clear" w:color="auto" w:fill="auto"/>
            <w:tcMar>
              <w:top w:w="0" w:type="dxa"/>
              <w:left w:w="28" w:type="dxa"/>
              <w:right w:w="28" w:type="dxa"/>
            </w:tcMar>
            <w:vAlign w:val="center"/>
          </w:tcPr>
          <w:p w14:paraId="0C7FCEC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Поликлиники и амбулатории </w:t>
            </w:r>
          </w:p>
        </w:tc>
        <w:tc>
          <w:tcPr>
            <w:tcW w:w="1233" w:type="pct"/>
            <w:shd w:val="clear" w:color="auto" w:fill="auto"/>
            <w:tcMar>
              <w:top w:w="0" w:type="dxa"/>
              <w:left w:w="28" w:type="dxa"/>
              <w:right w:w="28" w:type="dxa"/>
            </w:tcMar>
            <w:vAlign w:val="center"/>
          </w:tcPr>
          <w:p w14:paraId="0D540A6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 </w:t>
            </w:r>
          </w:p>
        </w:tc>
        <w:tc>
          <w:tcPr>
            <w:tcW w:w="805" w:type="pct"/>
            <w:shd w:val="clear" w:color="auto" w:fill="auto"/>
            <w:tcMar>
              <w:top w:w="0" w:type="dxa"/>
              <w:left w:w="28" w:type="dxa"/>
              <w:right w:w="28" w:type="dxa"/>
            </w:tcMar>
            <w:vAlign w:val="center"/>
          </w:tcPr>
          <w:p w14:paraId="3DD32B0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13,79 </w:t>
            </w:r>
          </w:p>
        </w:tc>
        <w:tc>
          <w:tcPr>
            <w:tcW w:w="895" w:type="pct"/>
            <w:shd w:val="clear" w:color="auto" w:fill="auto"/>
            <w:tcMar>
              <w:top w:w="0" w:type="dxa"/>
              <w:left w:w="28" w:type="dxa"/>
              <w:right w:w="28" w:type="dxa"/>
            </w:tcMar>
            <w:vAlign w:val="center"/>
          </w:tcPr>
          <w:p w14:paraId="71A6C7C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0,010 </w:t>
            </w:r>
          </w:p>
        </w:tc>
      </w:tr>
      <w:tr w14:paraId="419B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2F49675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 </w:t>
            </w:r>
          </w:p>
        </w:tc>
        <w:tc>
          <w:tcPr>
            <w:tcW w:w="1719" w:type="pct"/>
            <w:shd w:val="clear" w:color="auto" w:fill="auto"/>
            <w:tcMar>
              <w:top w:w="0" w:type="dxa"/>
              <w:left w:w="28" w:type="dxa"/>
              <w:right w:w="28" w:type="dxa"/>
            </w:tcMar>
            <w:vAlign w:val="center"/>
          </w:tcPr>
          <w:p w14:paraId="688540E2">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Детские ясли-сады с дневным пребыванием детей </w:t>
            </w:r>
          </w:p>
        </w:tc>
        <w:tc>
          <w:tcPr>
            <w:tcW w:w="1233" w:type="pct"/>
            <w:shd w:val="clear" w:color="auto" w:fill="auto"/>
            <w:tcMar>
              <w:top w:w="0" w:type="dxa"/>
              <w:left w:w="28" w:type="dxa"/>
              <w:right w:w="28" w:type="dxa"/>
            </w:tcMar>
            <w:vAlign w:val="center"/>
          </w:tcPr>
          <w:p w14:paraId="5E3832F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35 </w:t>
            </w:r>
          </w:p>
        </w:tc>
        <w:tc>
          <w:tcPr>
            <w:tcW w:w="805" w:type="pct"/>
            <w:shd w:val="clear" w:color="auto" w:fill="auto"/>
            <w:tcMar>
              <w:top w:w="0" w:type="dxa"/>
              <w:left w:w="28" w:type="dxa"/>
              <w:right w:w="28" w:type="dxa"/>
            </w:tcMar>
            <w:vAlign w:val="center"/>
          </w:tcPr>
          <w:p w14:paraId="7512729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80,44 </w:t>
            </w:r>
          </w:p>
        </w:tc>
        <w:tc>
          <w:tcPr>
            <w:tcW w:w="895" w:type="pct"/>
            <w:shd w:val="clear" w:color="auto" w:fill="auto"/>
            <w:tcMar>
              <w:top w:w="0" w:type="dxa"/>
              <w:left w:w="28" w:type="dxa"/>
              <w:right w:w="28" w:type="dxa"/>
            </w:tcMar>
            <w:vAlign w:val="center"/>
          </w:tcPr>
          <w:p w14:paraId="7B11E88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0,058 </w:t>
            </w:r>
          </w:p>
        </w:tc>
      </w:tr>
      <w:tr w14:paraId="6B53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342249E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7 </w:t>
            </w:r>
          </w:p>
        </w:tc>
        <w:tc>
          <w:tcPr>
            <w:tcW w:w="1719" w:type="pct"/>
            <w:shd w:val="clear" w:color="auto" w:fill="auto"/>
            <w:tcMar>
              <w:top w:w="0" w:type="dxa"/>
              <w:left w:w="28" w:type="dxa"/>
              <w:right w:w="28" w:type="dxa"/>
            </w:tcMar>
            <w:vAlign w:val="center"/>
          </w:tcPr>
          <w:p w14:paraId="24874FEE">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Пионерские лагеря (в том числе круглогодичного действия) </w:t>
            </w:r>
          </w:p>
        </w:tc>
        <w:tc>
          <w:tcPr>
            <w:tcW w:w="1233" w:type="pct"/>
            <w:shd w:val="clear" w:color="auto" w:fill="auto"/>
            <w:tcMar>
              <w:top w:w="0" w:type="dxa"/>
              <w:left w:w="28" w:type="dxa"/>
              <w:right w:w="28" w:type="dxa"/>
            </w:tcMar>
            <w:vAlign w:val="center"/>
          </w:tcPr>
          <w:p w14:paraId="508B1FC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40 </w:t>
            </w:r>
          </w:p>
        </w:tc>
        <w:tc>
          <w:tcPr>
            <w:tcW w:w="805" w:type="pct"/>
            <w:shd w:val="clear" w:color="auto" w:fill="auto"/>
            <w:tcMar>
              <w:top w:w="0" w:type="dxa"/>
              <w:left w:w="28" w:type="dxa"/>
              <w:right w:w="28" w:type="dxa"/>
            </w:tcMar>
            <w:vAlign w:val="center"/>
          </w:tcPr>
          <w:p w14:paraId="5034430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91,93 </w:t>
            </w:r>
          </w:p>
        </w:tc>
        <w:tc>
          <w:tcPr>
            <w:tcW w:w="895" w:type="pct"/>
            <w:shd w:val="clear" w:color="auto" w:fill="auto"/>
            <w:tcMar>
              <w:top w:w="0" w:type="dxa"/>
              <w:left w:w="28" w:type="dxa"/>
              <w:right w:w="28" w:type="dxa"/>
            </w:tcMar>
            <w:vAlign w:val="center"/>
          </w:tcPr>
          <w:p w14:paraId="1DA4B9D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0,066 </w:t>
            </w:r>
          </w:p>
        </w:tc>
      </w:tr>
      <w:tr w14:paraId="1759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07CC8F6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8 </w:t>
            </w:r>
          </w:p>
        </w:tc>
        <w:tc>
          <w:tcPr>
            <w:tcW w:w="1719" w:type="pct"/>
            <w:shd w:val="clear" w:color="auto" w:fill="auto"/>
            <w:tcMar>
              <w:top w:w="0" w:type="dxa"/>
              <w:left w:w="28" w:type="dxa"/>
              <w:right w:w="28" w:type="dxa"/>
            </w:tcMar>
            <w:vAlign w:val="center"/>
          </w:tcPr>
          <w:p w14:paraId="07A8B71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Административные здания </w:t>
            </w:r>
          </w:p>
        </w:tc>
        <w:tc>
          <w:tcPr>
            <w:tcW w:w="1233" w:type="pct"/>
            <w:shd w:val="clear" w:color="auto" w:fill="auto"/>
            <w:tcMar>
              <w:top w:w="0" w:type="dxa"/>
              <w:left w:w="28" w:type="dxa"/>
              <w:right w:w="28" w:type="dxa"/>
            </w:tcMar>
            <w:vAlign w:val="center"/>
          </w:tcPr>
          <w:p w14:paraId="738AE83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7 </w:t>
            </w:r>
          </w:p>
        </w:tc>
        <w:tc>
          <w:tcPr>
            <w:tcW w:w="805" w:type="pct"/>
            <w:shd w:val="clear" w:color="auto" w:fill="auto"/>
            <w:tcMar>
              <w:top w:w="0" w:type="dxa"/>
              <w:left w:w="28" w:type="dxa"/>
              <w:right w:w="28" w:type="dxa"/>
            </w:tcMar>
            <w:vAlign w:val="center"/>
          </w:tcPr>
          <w:p w14:paraId="03531CF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16,09 </w:t>
            </w:r>
          </w:p>
        </w:tc>
        <w:tc>
          <w:tcPr>
            <w:tcW w:w="895" w:type="pct"/>
            <w:shd w:val="clear" w:color="auto" w:fill="auto"/>
            <w:tcMar>
              <w:top w:w="0" w:type="dxa"/>
              <w:left w:w="28" w:type="dxa"/>
              <w:right w:w="28" w:type="dxa"/>
            </w:tcMar>
            <w:vAlign w:val="center"/>
          </w:tcPr>
          <w:p w14:paraId="55A3F12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0,012 </w:t>
            </w:r>
          </w:p>
        </w:tc>
      </w:tr>
      <w:tr w14:paraId="4ABF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4AA0A4D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9 </w:t>
            </w:r>
          </w:p>
        </w:tc>
        <w:tc>
          <w:tcPr>
            <w:tcW w:w="1719" w:type="pct"/>
            <w:shd w:val="clear" w:color="auto" w:fill="auto"/>
            <w:tcMar>
              <w:top w:w="0" w:type="dxa"/>
              <w:left w:w="28" w:type="dxa"/>
              <w:right w:w="28" w:type="dxa"/>
            </w:tcMar>
            <w:vAlign w:val="center"/>
          </w:tcPr>
          <w:p w14:paraId="313CF428">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Учебные заведения (в том числе высшие и средние специальные) с душевыми при гимнастических залах и буфетами, реализующими готовую продукцию </w:t>
            </w:r>
          </w:p>
        </w:tc>
        <w:tc>
          <w:tcPr>
            <w:tcW w:w="1233" w:type="pct"/>
            <w:shd w:val="clear" w:color="auto" w:fill="auto"/>
            <w:tcMar>
              <w:top w:w="0" w:type="dxa"/>
              <w:left w:w="28" w:type="dxa"/>
              <w:right w:w="28" w:type="dxa"/>
            </w:tcMar>
            <w:vAlign w:val="center"/>
          </w:tcPr>
          <w:p w14:paraId="69A9A08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8 </w:t>
            </w:r>
          </w:p>
        </w:tc>
        <w:tc>
          <w:tcPr>
            <w:tcW w:w="805" w:type="pct"/>
            <w:shd w:val="clear" w:color="auto" w:fill="auto"/>
            <w:tcMar>
              <w:top w:w="0" w:type="dxa"/>
              <w:left w:w="28" w:type="dxa"/>
              <w:right w:w="28" w:type="dxa"/>
            </w:tcMar>
            <w:vAlign w:val="center"/>
          </w:tcPr>
          <w:p w14:paraId="2ABC39A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18,39 </w:t>
            </w:r>
          </w:p>
        </w:tc>
        <w:tc>
          <w:tcPr>
            <w:tcW w:w="895" w:type="pct"/>
            <w:shd w:val="clear" w:color="auto" w:fill="auto"/>
            <w:tcMar>
              <w:top w:w="0" w:type="dxa"/>
              <w:left w:w="28" w:type="dxa"/>
              <w:right w:w="28" w:type="dxa"/>
            </w:tcMar>
            <w:vAlign w:val="center"/>
          </w:tcPr>
          <w:p w14:paraId="4B8003F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0,013 </w:t>
            </w:r>
          </w:p>
        </w:tc>
      </w:tr>
      <w:tr w14:paraId="2D9C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47B93EC7">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10 </w:t>
            </w:r>
          </w:p>
        </w:tc>
        <w:tc>
          <w:tcPr>
            <w:tcW w:w="1719" w:type="pct"/>
            <w:shd w:val="clear" w:color="auto" w:fill="auto"/>
            <w:tcMar>
              <w:top w:w="0" w:type="dxa"/>
              <w:left w:w="28" w:type="dxa"/>
              <w:right w:w="28" w:type="dxa"/>
            </w:tcMar>
            <w:vAlign w:val="center"/>
          </w:tcPr>
          <w:p w14:paraId="23F07C88">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Лаборатории высших и средних специальных учебных заведений </w:t>
            </w:r>
          </w:p>
        </w:tc>
        <w:tc>
          <w:tcPr>
            <w:tcW w:w="1233" w:type="pct"/>
            <w:shd w:val="clear" w:color="auto" w:fill="auto"/>
            <w:tcMar>
              <w:top w:w="0" w:type="dxa"/>
              <w:left w:w="28" w:type="dxa"/>
              <w:right w:w="28" w:type="dxa"/>
            </w:tcMar>
            <w:vAlign w:val="center"/>
          </w:tcPr>
          <w:p w14:paraId="2E7AA5D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130 </w:t>
            </w:r>
          </w:p>
        </w:tc>
        <w:tc>
          <w:tcPr>
            <w:tcW w:w="805" w:type="pct"/>
            <w:shd w:val="clear" w:color="auto" w:fill="auto"/>
            <w:tcMar>
              <w:top w:w="0" w:type="dxa"/>
              <w:left w:w="28" w:type="dxa"/>
              <w:right w:w="28" w:type="dxa"/>
            </w:tcMar>
            <w:vAlign w:val="center"/>
          </w:tcPr>
          <w:p w14:paraId="013DD0A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298,76 </w:t>
            </w:r>
          </w:p>
        </w:tc>
        <w:tc>
          <w:tcPr>
            <w:tcW w:w="895" w:type="pct"/>
            <w:shd w:val="clear" w:color="auto" w:fill="auto"/>
            <w:tcMar>
              <w:top w:w="0" w:type="dxa"/>
              <w:left w:w="28" w:type="dxa"/>
              <w:right w:w="28" w:type="dxa"/>
            </w:tcMar>
            <w:vAlign w:val="center"/>
          </w:tcPr>
          <w:p w14:paraId="1D4C377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0,215 </w:t>
            </w:r>
          </w:p>
        </w:tc>
      </w:tr>
      <w:tr w14:paraId="6098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gridAfter w:val="1"/>
          <w:wAfter w:w="12" w:type="pct"/>
          <w:trHeight w:val="20" w:hRule="atLeast"/>
        </w:trPr>
        <w:tc>
          <w:tcPr>
            <w:tcW w:w="336" w:type="pct"/>
            <w:shd w:val="clear" w:color="auto" w:fill="auto"/>
            <w:tcMar>
              <w:top w:w="0" w:type="dxa"/>
              <w:left w:w="28" w:type="dxa"/>
              <w:right w:w="28" w:type="dxa"/>
            </w:tcMar>
            <w:vAlign w:val="center"/>
          </w:tcPr>
          <w:p w14:paraId="41316B2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11 </w:t>
            </w:r>
          </w:p>
        </w:tc>
        <w:tc>
          <w:tcPr>
            <w:tcW w:w="1719" w:type="pct"/>
            <w:shd w:val="clear" w:color="auto" w:fill="auto"/>
            <w:tcMar>
              <w:top w:w="0" w:type="dxa"/>
              <w:left w:w="28" w:type="dxa"/>
              <w:right w:w="28" w:type="dxa"/>
            </w:tcMar>
            <w:vAlign w:val="center"/>
          </w:tcPr>
          <w:p w14:paraId="7ED3D5A4">
            <w:pPr>
              <w:widowControl w:val="0"/>
              <w:spacing w:after="0" w:line="240" w:lineRule="auto"/>
              <w:ind w:firstLine="0"/>
              <w:contextualSpacing/>
              <w:jc w:val="center"/>
              <w:rPr>
                <w:color w:val="000000"/>
                <w:sz w:val="20"/>
                <w:szCs w:val="20"/>
                <w:lang w:eastAsia="en-US"/>
              </w:rPr>
            </w:pPr>
            <w:r>
              <w:rPr>
                <w:color w:val="000000"/>
                <w:sz w:val="20"/>
                <w:szCs w:val="20"/>
                <w:lang w:eastAsia="en-US"/>
              </w:rPr>
              <w:t>Общеобразовательные школы с душевыми при гимнастических залах и столовыми, работающими на полуфабрикатах, с продленным днем -</w:t>
            </w:r>
          </w:p>
        </w:tc>
        <w:tc>
          <w:tcPr>
            <w:tcW w:w="1233" w:type="pct"/>
            <w:shd w:val="clear" w:color="auto" w:fill="auto"/>
            <w:tcMar>
              <w:top w:w="0" w:type="dxa"/>
              <w:left w:w="28" w:type="dxa"/>
              <w:right w:w="28" w:type="dxa"/>
            </w:tcMar>
            <w:vAlign w:val="center"/>
          </w:tcPr>
          <w:p w14:paraId="050176E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3,5 </w:t>
            </w:r>
          </w:p>
        </w:tc>
        <w:tc>
          <w:tcPr>
            <w:tcW w:w="805" w:type="pct"/>
            <w:shd w:val="clear" w:color="auto" w:fill="auto"/>
            <w:tcMar>
              <w:top w:w="0" w:type="dxa"/>
              <w:left w:w="28" w:type="dxa"/>
              <w:right w:w="28" w:type="dxa"/>
            </w:tcMar>
            <w:vAlign w:val="center"/>
          </w:tcPr>
          <w:p w14:paraId="49BCB1B7">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8,04 </w:t>
            </w:r>
          </w:p>
        </w:tc>
        <w:tc>
          <w:tcPr>
            <w:tcW w:w="895" w:type="pct"/>
            <w:shd w:val="clear" w:color="auto" w:fill="auto"/>
            <w:tcMar>
              <w:top w:w="0" w:type="dxa"/>
              <w:left w:w="28" w:type="dxa"/>
              <w:right w:w="28" w:type="dxa"/>
            </w:tcMar>
            <w:vAlign w:val="center"/>
          </w:tcPr>
          <w:p w14:paraId="0A6119B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0,006 </w:t>
            </w:r>
          </w:p>
        </w:tc>
      </w:tr>
      <w:tr w14:paraId="6ED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37BA9D0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12 </w:t>
            </w:r>
          </w:p>
        </w:tc>
        <w:tc>
          <w:tcPr>
            <w:tcW w:w="1719" w:type="pct"/>
            <w:shd w:val="clear" w:color="auto" w:fill="auto"/>
            <w:tcMar>
              <w:top w:w="0" w:type="dxa"/>
              <w:left w:w="28" w:type="dxa"/>
              <w:right w:w="28" w:type="dxa"/>
            </w:tcMar>
            <w:vAlign w:val="center"/>
          </w:tcPr>
          <w:p w14:paraId="647E7AE6">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Профессионально- технические училища с душевыми при гимнастических залах и столовыми, работающими на полуфабрикатах </w:t>
            </w:r>
          </w:p>
        </w:tc>
        <w:tc>
          <w:tcPr>
            <w:tcW w:w="1233" w:type="pct"/>
            <w:shd w:val="clear" w:color="auto" w:fill="auto"/>
            <w:tcMar>
              <w:top w:w="0" w:type="dxa"/>
              <w:left w:w="28" w:type="dxa"/>
              <w:right w:w="28" w:type="dxa"/>
            </w:tcMar>
            <w:vAlign w:val="center"/>
          </w:tcPr>
          <w:p w14:paraId="743B09A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9 </w:t>
            </w:r>
          </w:p>
        </w:tc>
        <w:tc>
          <w:tcPr>
            <w:tcW w:w="805" w:type="pct"/>
            <w:shd w:val="clear" w:color="auto" w:fill="auto"/>
            <w:tcMar>
              <w:top w:w="0" w:type="dxa"/>
              <w:left w:w="28" w:type="dxa"/>
              <w:right w:w="28" w:type="dxa"/>
            </w:tcMar>
            <w:vAlign w:val="center"/>
          </w:tcPr>
          <w:p w14:paraId="565B757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20,68 </w:t>
            </w:r>
          </w:p>
        </w:tc>
        <w:tc>
          <w:tcPr>
            <w:tcW w:w="907" w:type="pct"/>
            <w:gridSpan w:val="2"/>
            <w:shd w:val="clear" w:color="auto" w:fill="auto"/>
            <w:tcMar>
              <w:top w:w="0" w:type="dxa"/>
              <w:left w:w="28" w:type="dxa"/>
              <w:right w:w="28" w:type="dxa"/>
            </w:tcMar>
            <w:vAlign w:val="center"/>
          </w:tcPr>
          <w:p w14:paraId="776178D7">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0,015 </w:t>
            </w:r>
          </w:p>
        </w:tc>
      </w:tr>
      <w:tr w14:paraId="1FF7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3482AEA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13 </w:t>
            </w:r>
          </w:p>
        </w:tc>
        <w:tc>
          <w:tcPr>
            <w:tcW w:w="1719" w:type="pct"/>
            <w:shd w:val="clear" w:color="auto" w:fill="auto"/>
            <w:tcMar>
              <w:top w:w="0" w:type="dxa"/>
              <w:left w:w="28" w:type="dxa"/>
              <w:right w:w="28" w:type="dxa"/>
            </w:tcMar>
            <w:vAlign w:val="center"/>
          </w:tcPr>
          <w:p w14:paraId="76EFBCD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Школы-интернаты с помещениями</w:t>
            </w:r>
          </w:p>
        </w:tc>
        <w:tc>
          <w:tcPr>
            <w:tcW w:w="1233" w:type="pct"/>
            <w:shd w:val="clear" w:color="auto" w:fill="auto"/>
            <w:tcMar>
              <w:top w:w="0" w:type="dxa"/>
              <w:left w:w="28" w:type="dxa"/>
              <w:right w:w="28" w:type="dxa"/>
            </w:tcMar>
            <w:vAlign w:val="center"/>
          </w:tcPr>
          <w:p w14:paraId="02C129F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30 </w:t>
            </w:r>
          </w:p>
        </w:tc>
        <w:tc>
          <w:tcPr>
            <w:tcW w:w="805" w:type="pct"/>
            <w:shd w:val="clear" w:color="auto" w:fill="auto"/>
            <w:tcMar>
              <w:top w:w="0" w:type="dxa"/>
              <w:left w:w="28" w:type="dxa"/>
              <w:right w:w="28" w:type="dxa"/>
            </w:tcMar>
            <w:vAlign w:val="center"/>
          </w:tcPr>
          <w:p w14:paraId="01570EB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68,95 </w:t>
            </w:r>
          </w:p>
        </w:tc>
        <w:tc>
          <w:tcPr>
            <w:tcW w:w="907" w:type="pct"/>
            <w:gridSpan w:val="2"/>
            <w:shd w:val="clear" w:color="auto" w:fill="auto"/>
            <w:tcMar>
              <w:top w:w="0" w:type="dxa"/>
              <w:left w:w="28" w:type="dxa"/>
              <w:right w:w="28" w:type="dxa"/>
            </w:tcMar>
            <w:vAlign w:val="center"/>
          </w:tcPr>
          <w:p w14:paraId="5FDE31C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0,050 </w:t>
            </w:r>
          </w:p>
        </w:tc>
      </w:tr>
      <w:tr w14:paraId="2CCB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1F9B50E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14 </w:t>
            </w:r>
          </w:p>
        </w:tc>
        <w:tc>
          <w:tcPr>
            <w:tcW w:w="1719" w:type="pct"/>
            <w:shd w:val="clear" w:color="auto" w:fill="auto"/>
            <w:tcMar>
              <w:top w:w="0" w:type="dxa"/>
              <w:left w:w="28" w:type="dxa"/>
              <w:right w:w="28" w:type="dxa"/>
            </w:tcMar>
            <w:vAlign w:val="center"/>
          </w:tcPr>
          <w:p w14:paraId="4900B29F">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Научно-исследовательские институты и лаборатории </w:t>
            </w:r>
          </w:p>
        </w:tc>
        <w:tc>
          <w:tcPr>
            <w:tcW w:w="1233" w:type="pct"/>
            <w:shd w:val="clear" w:color="auto" w:fill="auto"/>
            <w:tcMar>
              <w:top w:w="0" w:type="dxa"/>
              <w:left w:w="28" w:type="dxa"/>
              <w:right w:w="28" w:type="dxa"/>
            </w:tcMar>
            <w:vAlign w:val="center"/>
          </w:tcPr>
          <w:p w14:paraId="3590783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80 </w:t>
            </w:r>
          </w:p>
        </w:tc>
        <w:tc>
          <w:tcPr>
            <w:tcW w:w="805" w:type="pct"/>
            <w:shd w:val="clear" w:color="auto" w:fill="auto"/>
            <w:tcMar>
              <w:top w:w="0" w:type="dxa"/>
              <w:left w:w="28" w:type="dxa"/>
              <w:right w:w="28" w:type="dxa"/>
            </w:tcMar>
            <w:vAlign w:val="center"/>
          </w:tcPr>
          <w:p w14:paraId="69D5239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183,85 </w:t>
            </w:r>
          </w:p>
        </w:tc>
        <w:tc>
          <w:tcPr>
            <w:tcW w:w="907" w:type="pct"/>
            <w:gridSpan w:val="2"/>
            <w:shd w:val="clear" w:color="auto" w:fill="auto"/>
            <w:tcMar>
              <w:top w:w="0" w:type="dxa"/>
              <w:left w:w="28" w:type="dxa"/>
              <w:right w:w="28" w:type="dxa"/>
            </w:tcMar>
            <w:vAlign w:val="center"/>
          </w:tcPr>
          <w:p w14:paraId="1515ED5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0,132 </w:t>
            </w:r>
          </w:p>
        </w:tc>
      </w:tr>
      <w:tr w14:paraId="39B7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1C6A26D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15 </w:t>
            </w:r>
          </w:p>
        </w:tc>
        <w:tc>
          <w:tcPr>
            <w:tcW w:w="1719" w:type="pct"/>
            <w:shd w:val="clear" w:color="auto" w:fill="auto"/>
            <w:tcMar>
              <w:top w:w="0" w:type="dxa"/>
              <w:left w:w="28" w:type="dxa"/>
              <w:right w:w="28" w:type="dxa"/>
            </w:tcMar>
            <w:vAlign w:val="center"/>
          </w:tcPr>
          <w:p w14:paraId="11619B6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Аптеки: </w:t>
            </w:r>
          </w:p>
        </w:tc>
        <w:tc>
          <w:tcPr>
            <w:tcW w:w="1233" w:type="pct"/>
            <w:shd w:val="clear" w:color="auto" w:fill="auto"/>
            <w:tcMar>
              <w:top w:w="0" w:type="dxa"/>
              <w:left w:w="28" w:type="dxa"/>
              <w:right w:w="28" w:type="dxa"/>
            </w:tcMar>
            <w:vAlign w:val="center"/>
          </w:tcPr>
          <w:p w14:paraId="6316307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805" w:type="pct"/>
            <w:shd w:val="clear" w:color="auto" w:fill="auto"/>
            <w:tcMar>
              <w:top w:w="0" w:type="dxa"/>
              <w:left w:w="28" w:type="dxa"/>
              <w:right w:w="28" w:type="dxa"/>
            </w:tcMar>
            <w:vAlign w:val="center"/>
          </w:tcPr>
          <w:p w14:paraId="1C9A98A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 </w:t>
            </w:r>
          </w:p>
        </w:tc>
        <w:tc>
          <w:tcPr>
            <w:tcW w:w="907" w:type="pct"/>
            <w:gridSpan w:val="2"/>
            <w:shd w:val="clear" w:color="auto" w:fill="auto"/>
            <w:tcMar>
              <w:top w:w="0" w:type="dxa"/>
              <w:left w:w="28" w:type="dxa"/>
              <w:right w:w="28" w:type="dxa"/>
            </w:tcMar>
            <w:vAlign w:val="center"/>
          </w:tcPr>
          <w:p w14:paraId="4B3CD7D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0,000 </w:t>
            </w:r>
          </w:p>
        </w:tc>
      </w:tr>
      <w:tr w14:paraId="5E81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53DD9FC1">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15.1 </w:t>
            </w:r>
          </w:p>
        </w:tc>
        <w:tc>
          <w:tcPr>
            <w:tcW w:w="1719" w:type="pct"/>
            <w:shd w:val="clear" w:color="auto" w:fill="auto"/>
            <w:tcMar>
              <w:top w:w="0" w:type="dxa"/>
              <w:left w:w="28" w:type="dxa"/>
              <w:right w:w="28" w:type="dxa"/>
            </w:tcMar>
            <w:vAlign w:val="center"/>
          </w:tcPr>
          <w:p w14:paraId="5EEC04F3">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торговый зал и подсобные помещения </w:t>
            </w:r>
          </w:p>
        </w:tc>
        <w:tc>
          <w:tcPr>
            <w:tcW w:w="1233" w:type="pct"/>
            <w:shd w:val="clear" w:color="auto" w:fill="auto"/>
            <w:tcMar>
              <w:top w:w="0" w:type="dxa"/>
              <w:left w:w="28" w:type="dxa"/>
              <w:right w:w="28" w:type="dxa"/>
            </w:tcMar>
            <w:vAlign w:val="center"/>
          </w:tcPr>
          <w:p w14:paraId="57B939A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7 </w:t>
            </w:r>
          </w:p>
        </w:tc>
        <w:tc>
          <w:tcPr>
            <w:tcW w:w="805" w:type="pct"/>
            <w:shd w:val="clear" w:color="auto" w:fill="auto"/>
            <w:tcMar>
              <w:top w:w="0" w:type="dxa"/>
              <w:left w:w="28" w:type="dxa"/>
              <w:right w:w="28" w:type="dxa"/>
            </w:tcMar>
            <w:vAlign w:val="center"/>
          </w:tcPr>
          <w:p w14:paraId="2B4DA7B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16,09 </w:t>
            </w:r>
          </w:p>
        </w:tc>
        <w:tc>
          <w:tcPr>
            <w:tcW w:w="907" w:type="pct"/>
            <w:gridSpan w:val="2"/>
            <w:shd w:val="clear" w:color="auto" w:fill="auto"/>
            <w:tcMar>
              <w:top w:w="0" w:type="dxa"/>
              <w:left w:w="28" w:type="dxa"/>
              <w:right w:w="28" w:type="dxa"/>
            </w:tcMar>
            <w:vAlign w:val="center"/>
          </w:tcPr>
          <w:p w14:paraId="09F69DB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0,012 </w:t>
            </w:r>
          </w:p>
        </w:tc>
      </w:tr>
      <w:tr w14:paraId="3302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790AE47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15.2 </w:t>
            </w:r>
          </w:p>
        </w:tc>
        <w:tc>
          <w:tcPr>
            <w:tcW w:w="1719" w:type="pct"/>
            <w:shd w:val="clear" w:color="auto" w:fill="auto"/>
            <w:tcMar>
              <w:top w:w="0" w:type="dxa"/>
              <w:left w:w="28" w:type="dxa"/>
              <w:right w:w="28" w:type="dxa"/>
            </w:tcMar>
            <w:vAlign w:val="center"/>
          </w:tcPr>
          <w:p w14:paraId="268D96B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лаборатория приготовления лекарств </w:t>
            </w:r>
          </w:p>
        </w:tc>
        <w:tc>
          <w:tcPr>
            <w:tcW w:w="1233" w:type="pct"/>
            <w:shd w:val="clear" w:color="auto" w:fill="auto"/>
            <w:tcMar>
              <w:top w:w="0" w:type="dxa"/>
              <w:left w:w="28" w:type="dxa"/>
              <w:right w:w="28" w:type="dxa"/>
            </w:tcMar>
            <w:vAlign w:val="center"/>
          </w:tcPr>
          <w:p w14:paraId="50D80F0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75 </w:t>
            </w:r>
          </w:p>
        </w:tc>
        <w:tc>
          <w:tcPr>
            <w:tcW w:w="805" w:type="pct"/>
            <w:shd w:val="clear" w:color="auto" w:fill="auto"/>
            <w:tcMar>
              <w:top w:w="0" w:type="dxa"/>
              <w:left w:w="28" w:type="dxa"/>
              <w:right w:w="28" w:type="dxa"/>
            </w:tcMar>
            <w:vAlign w:val="center"/>
          </w:tcPr>
          <w:p w14:paraId="1F490A2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172,36 </w:t>
            </w:r>
          </w:p>
        </w:tc>
        <w:tc>
          <w:tcPr>
            <w:tcW w:w="907" w:type="pct"/>
            <w:gridSpan w:val="2"/>
            <w:shd w:val="clear" w:color="auto" w:fill="auto"/>
            <w:tcMar>
              <w:top w:w="0" w:type="dxa"/>
              <w:left w:w="28" w:type="dxa"/>
              <w:right w:w="28" w:type="dxa"/>
            </w:tcMar>
            <w:vAlign w:val="center"/>
          </w:tcPr>
          <w:p w14:paraId="11CD738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0,124 </w:t>
            </w:r>
          </w:p>
        </w:tc>
      </w:tr>
      <w:tr w14:paraId="5298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692DF1D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16 </w:t>
            </w:r>
          </w:p>
        </w:tc>
        <w:tc>
          <w:tcPr>
            <w:tcW w:w="1719" w:type="pct"/>
            <w:shd w:val="clear" w:color="auto" w:fill="auto"/>
            <w:tcMar>
              <w:top w:w="0" w:type="dxa"/>
              <w:left w:w="28" w:type="dxa"/>
              <w:right w:w="28" w:type="dxa"/>
            </w:tcMar>
            <w:vAlign w:val="center"/>
          </w:tcPr>
          <w:p w14:paraId="488407F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Магазины: </w:t>
            </w:r>
          </w:p>
        </w:tc>
        <w:tc>
          <w:tcPr>
            <w:tcW w:w="1233" w:type="pct"/>
            <w:shd w:val="clear" w:color="auto" w:fill="auto"/>
            <w:tcMar>
              <w:top w:w="0" w:type="dxa"/>
              <w:left w:w="28" w:type="dxa"/>
              <w:right w:w="28" w:type="dxa"/>
            </w:tcMar>
            <w:vAlign w:val="center"/>
          </w:tcPr>
          <w:p w14:paraId="78FFE5D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  </w:t>
            </w:r>
          </w:p>
        </w:tc>
        <w:tc>
          <w:tcPr>
            <w:tcW w:w="805" w:type="pct"/>
            <w:shd w:val="clear" w:color="auto" w:fill="auto"/>
            <w:tcMar>
              <w:top w:w="0" w:type="dxa"/>
              <w:left w:w="28" w:type="dxa"/>
              <w:right w:w="28" w:type="dxa"/>
            </w:tcMar>
            <w:vAlign w:val="center"/>
          </w:tcPr>
          <w:p w14:paraId="69C7B82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 </w:t>
            </w:r>
          </w:p>
        </w:tc>
        <w:tc>
          <w:tcPr>
            <w:tcW w:w="907" w:type="pct"/>
            <w:gridSpan w:val="2"/>
            <w:shd w:val="clear" w:color="auto" w:fill="auto"/>
            <w:tcMar>
              <w:top w:w="0" w:type="dxa"/>
              <w:left w:w="28" w:type="dxa"/>
              <w:right w:w="28" w:type="dxa"/>
            </w:tcMar>
            <w:vAlign w:val="center"/>
          </w:tcPr>
          <w:p w14:paraId="517AAD0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0,000 </w:t>
            </w:r>
          </w:p>
        </w:tc>
      </w:tr>
      <w:tr w14:paraId="7F2E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10BDFA6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16.1 </w:t>
            </w:r>
          </w:p>
        </w:tc>
        <w:tc>
          <w:tcPr>
            <w:tcW w:w="1719" w:type="pct"/>
            <w:shd w:val="clear" w:color="auto" w:fill="auto"/>
            <w:tcMar>
              <w:top w:w="0" w:type="dxa"/>
              <w:left w:w="28" w:type="dxa"/>
              <w:right w:w="28" w:type="dxa"/>
            </w:tcMar>
            <w:vAlign w:val="center"/>
          </w:tcPr>
          <w:p w14:paraId="67FE13A1">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продовольственные </w:t>
            </w:r>
          </w:p>
        </w:tc>
        <w:tc>
          <w:tcPr>
            <w:tcW w:w="1233" w:type="pct"/>
            <w:shd w:val="clear" w:color="auto" w:fill="auto"/>
            <w:tcMar>
              <w:top w:w="0" w:type="dxa"/>
              <w:left w:w="28" w:type="dxa"/>
              <w:right w:w="28" w:type="dxa"/>
            </w:tcMar>
            <w:vAlign w:val="center"/>
          </w:tcPr>
          <w:p w14:paraId="5174702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65 </w:t>
            </w:r>
          </w:p>
        </w:tc>
        <w:tc>
          <w:tcPr>
            <w:tcW w:w="805" w:type="pct"/>
            <w:shd w:val="clear" w:color="auto" w:fill="auto"/>
            <w:tcMar>
              <w:top w:w="0" w:type="dxa"/>
              <w:left w:w="28" w:type="dxa"/>
              <w:right w:w="28" w:type="dxa"/>
            </w:tcMar>
            <w:vAlign w:val="center"/>
          </w:tcPr>
          <w:p w14:paraId="5CD1306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149,38 </w:t>
            </w:r>
          </w:p>
        </w:tc>
        <w:tc>
          <w:tcPr>
            <w:tcW w:w="907" w:type="pct"/>
            <w:gridSpan w:val="2"/>
            <w:shd w:val="clear" w:color="auto" w:fill="auto"/>
            <w:tcMar>
              <w:top w:w="0" w:type="dxa"/>
              <w:left w:w="28" w:type="dxa"/>
              <w:right w:w="28" w:type="dxa"/>
            </w:tcMar>
            <w:vAlign w:val="center"/>
          </w:tcPr>
          <w:p w14:paraId="1C72078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0,108 </w:t>
            </w:r>
          </w:p>
        </w:tc>
      </w:tr>
      <w:tr w14:paraId="110D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71295D8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16.2 </w:t>
            </w:r>
          </w:p>
        </w:tc>
        <w:tc>
          <w:tcPr>
            <w:tcW w:w="1719" w:type="pct"/>
            <w:shd w:val="clear" w:color="auto" w:fill="auto"/>
            <w:tcMar>
              <w:top w:w="0" w:type="dxa"/>
              <w:left w:w="28" w:type="dxa"/>
              <w:right w:w="28" w:type="dxa"/>
            </w:tcMar>
            <w:vAlign w:val="center"/>
          </w:tcPr>
          <w:p w14:paraId="3ED1E66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промтоварные </w:t>
            </w:r>
          </w:p>
        </w:tc>
        <w:tc>
          <w:tcPr>
            <w:tcW w:w="1233" w:type="pct"/>
            <w:shd w:val="clear" w:color="auto" w:fill="auto"/>
            <w:tcMar>
              <w:top w:w="0" w:type="dxa"/>
              <w:left w:w="28" w:type="dxa"/>
              <w:right w:w="28" w:type="dxa"/>
            </w:tcMar>
            <w:vAlign w:val="center"/>
          </w:tcPr>
          <w:p w14:paraId="62D545A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7 </w:t>
            </w:r>
          </w:p>
        </w:tc>
        <w:tc>
          <w:tcPr>
            <w:tcW w:w="805" w:type="pct"/>
            <w:shd w:val="clear" w:color="auto" w:fill="auto"/>
            <w:tcMar>
              <w:top w:w="0" w:type="dxa"/>
              <w:left w:w="28" w:type="dxa"/>
              <w:right w:w="28" w:type="dxa"/>
            </w:tcMar>
            <w:vAlign w:val="center"/>
          </w:tcPr>
          <w:p w14:paraId="174DAEA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16,09 </w:t>
            </w:r>
          </w:p>
        </w:tc>
        <w:tc>
          <w:tcPr>
            <w:tcW w:w="907" w:type="pct"/>
            <w:gridSpan w:val="2"/>
            <w:shd w:val="clear" w:color="auto" w:fill="auto"/>
            <w:tcMar>
              <w:top w:w="0" w:type="dxa"/>
              <w:left w:w="28" w:type="dxa"/>
              <w:right w:w="28" w:type="dxa"/>
            </w:tcMar>
            <w:vAlign w:val="center"/>
          </w:tcPr>
          <w:p w14:paraId="20E005F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0,012 </w:t>
            </w:r>
          </w:p>
        </w:tc>
      </w:tr>
      <w:tr w14:paraId="2A08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354A9FE7">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17 </w:t>
            </w:r>
          </w:p>
        </w:tc>
        <w:tc>
          <w:tcPr>
            <w:tcW w:w="1719" w:type="pct"/>
            <w:shd w:val="clear" w:color="auto" w:fill="auto"/>
            <w:tcMar>
              <w:top w:w="0" w:type="dxa"/>
              <w:left w:w="28" w:type="dxa"/>
              <w:right w:w="28" w:type="dxa"/>
            </w:tcMar>
            <w:vAlign w:val="center"/>
          </w:tcPr>
          <w:p w14:paraId="3A4BC44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Парикмахерские </w:t>
            </w:r>
          </w:p>
        </w:tc>
        <w:tc>
          <w:tcPr>
            <w:tcW w:w="1233" w:type="pct"/>
            <w:shd w:val="clear" w:color="auto" w:fill="auto"/>
            <w:tcMar>
              <w:top w:w="0" w:type="dxa"/>
              <w:left w:w="28" w:type="dxa"/>
              <w:right w:w="28" w:type="dxa"/>
            </w:tcMar>
            <w:vAlign w:val="center"/>
          </w:tcPr>
          <w:p w14:paraId="5BE6F71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35 </w:t>
            </w:r>
          </w:p>
        </w:tc>
        <w:tc>
          <w:tcPr>
            <w:tcW w:w="805" w:type="pct"/>
            <w:shd w:val="clear" w:color="auto" w:fill="auto"/>
            <w:tcMar>
              <w:top w:w="0" w:type="dxa"/>
              <w:left w:w="28" w:type="dxa"/>
              <w:right w:w="28" w:type="dxa"/>
            </w:tcMar>
            <w:vAlign w:val="center"/>
          </w:tcPr>
          <w:p w14:paraId="62F9DB5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80,44 </w:t>
            </w:r>
          </w:p>
        </w:tc>
        <w:tc>
          <w:tcPr>
            <w:tcW w:w="907" w:type="pct"/>
            <w:gridSpan w:val="2"/>
            <w:shd w:val="clear" w:color="auto" w:fill="auto"/>
            <w:tcMar>
              <w:top w:w="0" w:type="dxa"/>
              <w:left w:w="28" w:type="dxa"/>
              <w:right w:w="28" w:type="dxa"/>
            </w:tcMar>
            <w:vAlign w:val="center"/>
          </w:tcPr>
          <w:p w14:paraId="0A3EE54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0,058 </w:t>
            </w:r>
          </w:p>
        </w:tc>
      </w:tr>
      <w:tr w14:paraId="42DC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43E1C9C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18 </w:t>
            </w:r>
          </w:p>
        </w:tc>
        <w:tc>
          <w:tcPr>
            <w:tcW w:w="1719" w:type="pct"/>
            <w:shd w:val="clear" w:color="auto" w:fill="auto"/>
            <w:tcMar>
              <w:top w:w="0" w:type="dxa"/>
              <w:left w:w="28" w:type="dxa"/>
              <w:right w:w="28" w:type="dxa"/>
            </w:tcMar>
            <w:vAlign w:val="center"/>
          </w:tcPr>
          <w:p w14:paraId="3FB6F72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Кинотеатры </w:t>
            </w:r>
          </w:p>
        </w:tc>
        <w:tc>
          <w:tcPr>
            <w:tcW w:w="1233" w:type="pct"/>
            <w:shd w:val="clear" w:color="auto" w:fill="auto"/>
            <w:tcMar>
              <w:top w:w="0" w:type="dxa"/>
              <w:left w:w="28" w:type="dxa"/>
              <w:right w:w="28" w:type="dxa"/>
            </w:tcMar>
            <w:vAlign w:val="center"/>
          </w:tcPr>
          <w:p w14:paraId="6A393447">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1,5 </w:t>
            </w:r>
          </w:p>
        </w:tc>
        <w:tc>
          <w:tcPr>
            <w:tcW w:w="805" w:type="pct"/>
            <w:shd w:val="clear" w:color="auto" w:fill="auto"/>
            <w:tcMar>
              <w:top w:w="0" w:type="dxa"/>
              <w:left w:w="28" w:type="dxa"/>
              <w:right w:w="28" w:type="dxa"/>
            </w:tcMar>
            <w:vAlign w:val="center"/>
          </w:tcPr>
          <w:p w14:paraId="33E0D389">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3,45 </w:t>
            </w:r>
          </w:p>
        </w:tc>
        <w:tc>
          <w:tcPr>
            <w:tcW w:w="907" w:type="pct"/>
            <w:gridSpan w:val="2"/>
            <w:shd w:val="clear" w:color="auto" w:fill="auto"/>
            <w:tcMar>
              <w:top w:w="0" w:type="dxa"/>
              <w:left w:w="28" w:type="dxa"/>
              <w:right w:w="28" w:type="dxa"/>
            </w:tcMar>
            <w:vAlign w:val="center"/>
          </w:tcPr>
          <w:p w14:paraId="02C5C64B">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0,002 </w:t>
            </w:r>
          </w:p>
        </w:tc>
      </w:tr>
      <w:tr w14:paraId="290C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00982BA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19 </w:t>
            </w:r>
          </w:p>
        </w:tc>
        <w:tc>
          <w:tcPr>
            <w:tcW w:w="1719" w:type="pct"/>
            <w:shd w:val="clear" w:color="auto" w:fill="auto"/>
            <w:tcMar>
              <w:top w:w="0" w:type="dxa"/>
              <w:left w:w="28" w:type="dxa"/>
              <w:right w:w="28" w:type="dxa"/>
            </w:tcMar>
            <w:vAlign w:val="center"/>
          </w:tcPr>
          <w:p w14:paraId="22D3432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Клубы </w:t>
            </w:r>
          </w:p>
        </w:tc>
        <w:tc>
          <w:tcPr>
            <w:tcW w:w="1233" w:type="pct"/>
            <w:shd w:val="clear" w:color="auto" w:fill="auto"/>
            <w:tcMar>
              <w:top w:w="0" w:type="dxa"/>
              <w:left w:w="28" w:type="dxa"/>
              <w:right w:w="28" w:type="dxa"/>
            </w:tcMar>
            <w:vAlign w:val="center"/>
          </w:tcPr>
          <w:p w14:paraId="6AE225E7">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3 </w:t>
            </w:r>
          </w:p>
        </w:tc>
        <w:tc>
          <w:tcPr>
            <w:tcW w:w="805" w:type="pct"/>
            <w:shd w:val="clear" w:color="auto" w:fill="auto"/>
            <w:tcMar>
              <w:top w:w="0" w:type="dxa"/>
              <w:left w:w="28" w:type="dxa"/>
              <w:right w:w="28" w:type="dxa"/>
            </w:tcMar>
            <w:vAlign w:val="center"/>
          </w:tcPr>
          <w:p w14:paraId="416894D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6,89 </w:t>
            </w:r>
          </w:p>
        </w:tc>
        <w:tc>
          <w:tcPr>
            <w:tcW w:w="907" w:type="pct"/>
            <w:gridSpan w:val="2"/>
            <w:shd w:val="clear" w:color="auto" w:fill="auto"/>
            <w:tcMar>
              <w:top w:w="0" w:type="dxa"/>
              <w:left w:w="28" w:type="dxa"/>
              <w:right w:w="28" w:type="dxa"/>
            </w:tcMar>
            <w:vAlign w:val="center"/>
          </w:tcPr>
          <w:p w14:paraId="6051CEF4">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0,005 </w:t>
            </w:r>
          </w:p>
        </w:tc>
      </w:tr>
      <w:tr w14:paraId="0BA4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24B1E1F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20 </w:t>
            </w:r>
          </w:p>
        </w:tc>
        <w:tc>
          <w:tcPr>
            <w:tcW w:w="1719" w:type="pct"/>
            <w:shd w:val="clear" w:color="auto" w:fill="auto"/>
            <w:tcMar>
              <w:top w:w="0" w:type="dxa"/>
              <w:left w:w="28" w:type="dxa"/>
              <w:right w:w="28" w:type="dxa"/>
            </w:tcMar>
            <w:vAlign w:val="center"/>
          </w:tcPr>
          <w:p w14:paraId="38BBC30A">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Театры </w:t>
            </w:r>
          </w:p>
        </w:tc>
        <w:tc>
          <w:tcPr>
            <w:tcW w:w="1233" w:type="pct"/>
            <w:shd w:val="clear" w:color="auto" w:fill="auto"/>
            <w:tcMar>
              <w:top w:w="0" w:type="dxa"/>
              <w:left w:w="28" w:type="dxa"/>
              <w:right w:w="28" w:type="dxa"/>
            </w:tcMar>
            <w:vAlign w:val="center"/>
          </w:tcPr>
          <w:p w14:paraId="342CD25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25 </w:t>
            </w:r>
          </w:p>
        </w:tc>
        <w:tc>
          <w:tcPr>
            <w:tcW w:w="805" w:type="pct"/>
            <w:shd w:val="clear" w:color="auto" w:fill="auto"/>
            <w:tcMar>
              <w:top w:w="0" w:type="dxa"/>
              <w:left w:w="28" w:type="dxa"/>
              <w:right w:w="28" w:type="dxa"/>
            </w:tcMar>
            <w:vAlign w:val="center"/>
          </w:tcPr>
          <w:p w14:paraId="4C973C3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57,45 </w:t>
            </w:r>
          </w:p>
        </w:tc>
        <w:tc>
          <w:tcPr>
            <w:tcW w:w="907" w:type="pct"/>
            <w:gridSpan w:val="2"/>
            <w:shd w:val="clear" w:color="auto" w:fill="auto"/>
            <w:tcMar>
              <w:top w:w="0" w:type="dxa"/>
              <w:left w:w="28" w:type="dxa"/>
              <w:right w:w="28" w:type="dxa"/>
            </w:tcMar>
            <w:vAlign w:val="center"/>
          </w:tcPr>
          <w:p w14:paraId="17F0CE8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0,041 </w:t>
            </w:r>
          </w:p>
        </w:tc>
      </w:tr>
      <w:tr w14:paraId="2536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3F1DC3A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21 </w:t>
            </w:r>
          </w:p>
        </w:tc>
        <w:tc>
          <w:tcPr>
            <w:tcW w:w="1719" w:type="pct"/>
            <w:shd w:val="clear" w:color="auto" w:fill="auto"/>
            <w:tcMar>
              <w:top w:w="0" w:type="dxa"/>
              <w:left w:w="28" w:type="dxa"/>
              <w:right w:w="28" w:type="dxa"/>
            </w:tcMar>
            <w:vAlign w:val="center"/>
          </w:tcPr>
          <w:p w14:paraId="6B140B9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Стадионы и спортзалы: </w:t>
            </w:r>
          </w:p>
        </w:tc>
        <w:tc>
          <w:tcPr>
            <w:tcW w:w="1233" w:type="pct"/>
            <w:shd w:val="clear" w:color="auto" w:fill="auto"/>
            <w:tcMar>
              <w:top w:w="0" w:type="dxa"/>
              <w:left w:w="28" w:type="dxa"/>
              <w:right w:w="28" w:type="dxa"/>
            </w:tcMar>
            <w:vAlign w:val="center"/>
          </w:tcPr>
          <w:p w14:paraId="2F4DA4B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60 </w:t>
            </w:r>
          </w:p>
        </w:tc>
        <w:tc>
          <w:tcPr>
            <w:tcW w:w="805" w:type="pct"/>
            <w:shd w:val="clear" w:color="auto" w:fill="auto"/>
            <w:tcMar>
              <w:top w:w="0" w:type="dxa"/>
              <w:left w:w="28" w:type="dxa"/>
              <w:right w:w="28" w:type="dxa"/>
            </w:tcMar>
            <w:vAlign w:val="center"/>
          </w:tcPr>
          <w:p w14:paraId="216D772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137,89 </w:t>
            </w:r>
          </w:p>
        </w:tc>
        <w:tc>
          <w:tcPr>
            <w:tcW w:w="907" w:type="pct"/>
            <w:gridSpan w:val="2"/>
            <w:shd w:val="clear" w:color="auto" w:fill="auto"/>
            <w:tcMar>
              <w:top w:w="0" w:type="dxa"/>
              <w:left w:w="28" w:type="dxa"/>
              <w:right w:w="28" w:type="dxa"/>
            </w:tcMar>
            <w:vAlign w:val="center"/>
          </w:tcPr>
          <w:p w14:paraId="3C27324D">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0,099 </w:t>
            </w:r>
          </w:p>
        </w:tc>
      </w:tr>
      <w:tr w14:paraId="277F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5D0AADB3">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22 </w:t>
            </w:r>
          </w:p>
        </w:tc>
        <w:tc>
          <w:tcPr>
            <w:tcW w:w="1719" w:type="pct"/>
            <w:shd w:val="clear" w:color="auto" w:fill="auto"/>
            <w:tcMar>
              <w:top w:w="0" w:type="dxa"/>
              <w:left w:w="28" w:type="dxa"/>
              <w:right w:w="28" w:type="dxa"/>
            </w:tcMar>
            <w:vAlign w:val="center"/>
          </w:tcPr>
          <w:p w14:paraId="6350F9C6">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Плавательные бассейны </w:t>
            </w:r>
          </w:p>
        </w:tc>
        <w:tc>
          <w:tcPr>
            <w:tcW w:w="1233" w:type="pct"/>
            <w:shd w:val="clear" w:color="auto" w:fill="auto"/>
            <w:tcMar>
              <w:top w:w="0" w:type="dxa"/>
              <w:left w:w="28" w:type="dxa"/>
              <w:right w:w="28" w:type="dxa"/>
            </w:tcMar>
            <w:vAlign w:val="center"/>
          </w:tcPr>
          <w:p w14:paraId="75F08EB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60 </w:t>
            </w:r>
          </w:p>
        </w:tc>
        <w:tc>
          <w:tcPr>
            <w:tcW w:w="805" w:type="pct"/>
            <w:shd w:val="clear" w:color="auto" w:fill="auto"/>
            <w:tcMar>
              <w:top w:w="0" w:type="dxa"/>
              <w:left w:w="28" w:type="dxa"/>
              <w:right w:w="28" w:type="dxa"/>
            </w:tcMar>
            <w:vAlign w:val="center"/>
          </w:tcPr>
          <w:p w14:paraId="0F3376E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137,89 </w:t>
            </w:r>
          </w:p>
        </w:tc>
        <w:tc>
          <w:tcPr>
            <w:tcW w:w="907" w:type="pct"/>
            <w:gridSpan w:val="2"/>
            <w:shd w:val="clear" w:color="auto" w:fill="auto"/>
            <w:tcMar>
              <w:top w:w="0" w:type="dxa"/>
              <w:left w:w="28" w:type="dxa"/>
              <w:right w:w="28" w:type="dxa"/>
            </w:tcMar>
            <w:vAlign w:val="center"/>
          </w:tcPr>
          <w:p w14:paraId="1D26D59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0,099 </w:t>
            </w:r>
          </w:p>
        </w:tc>
      </w:tr>
      <w:tr w14:paraId="2AF5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7F9C402E">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23 </w:t>
            </w:r>
          </w:p>
        </w:tc>
        <w:tc>
          <w:tcPr>
            <w:tcW w:w="1719" w:type="pct"/>
            <w:shd w:val="clear" w:color="auto" w:fill="auto"/>
            <w:tcMar>
              <w:top w:w="0" w:type="dxa"/>
              <w:left w:w="28" w:type="dxa"/>
              <w:right w:w="28" w:type="dxa"/>
            </w:tcMar>
            <w:vAlign w:val="center"/>
          </w:tcPr>
          <w:p w14:paraId="40FD6A3C">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Бани </w:t>
            </w:r>
          </w:p>
        </w:tc>
        <w:tc>
          <w:tcPr>
            <w:tcW w:w="1233" w:type="pct"/>
            <w:shd w:val="clear" w:color="auto" w:fill="auto"/>
            <w:tcMar>
              <w:top w:w="0" w:type="dxa"/>
              <w:left w:w="28" w:type="dxa"/>
              <w:right w:w="28" w:type="dxa"/>
            </w:tcMar>
            <w:vAlign w:val="center"/>
          </w:tcPr>
          <w:p w14:paraId="6ABBCDE5">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190 </w:t>
            </w:r>
          </w:p>
        </w:tc>
        <w:tc>
          <w:tcPr>
            <w:tcW w:w="805" w:type="pct"/>
            <w:shd w:val="clear" w:color="auto" w:fill="auto"/>
            <w:tcMar>
              <w:top w:w="0" w:type="dxa"/>
              <w:left w:w="28" w:type="dxa"/>
              <w:right w:w="28" w:type="dxa"/>
            </w:tcMar>
            <w:vAlign w:val="center"/>
          </w:tcPr>
          <w:p w14:paraId="0BE866E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436,65 </w:t>
            </w:r>
          </w:p>
        </w:tc>
        <w:tc>
          <w:tcPr>
            <w:tcW w:w="907" w:type="pct"/>
            <w:gridSpan w:val="2"/>
            <w:shd w:val="clear" w:color="auto" w:fill="auto"/>
            <w:tcMar>
              <w:top w:w="0" w:type="dxa"/>
              <w:left w:w="28" w:type="dxa"/>
              <w:right w:w="28" w:type="dxa"/>
            </w:tcMar>
            <w:vAlign w:val="center"/>
          </w:tcPr>
          <w:p w14:paraId="5146B31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0,314 </w:t>
            </w:r>
          </w:p>
        </w:tc>
      </w:tr>
      <w:tr w14:paraId="11A5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79CBCBD0">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24 </w:t>
            </w:r>
          </w:p>
        </w:tc>
        <w:tc>
          <w:tcPr>
            <w:tcW w:w="1719" w:type="pct"/>
            <w:shd w:val="clear" w:color="auto" w:fill="auto"/>
            <w:tcMar>
              <w:top w:w="0" w:type="dxa"/>
              <w:left w:w="28" w:type="dxa"/>
              <w:right w:w="28" w:type="dxa"/>
            </w:tcMar>
            <w:vAlign w:val="center"/>
          </w:tcPr>
          <w:p w14:paraId="15741702">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Душевые в бытовых помещениях промышленных предприятий </w:t>
            </w:r>
          </w:p>
        </w:tc>
        <w:tc>
          <w:tcPr>
            <w:tcW w:w="1233" w:type="pct"/>
            <w:shd w:val="clear" w:color="auto" w:fill="auto"/>
            <w:tcMar>
              <w:top w:w="0" w:type="dxa"/>
              <w:left w:w="28" w:type="dxa"/>
              <w:right w:w="28" w:type="dxa"/>
            </w:tcMar>
            <w:vAlign w:val="center"/>
          </w:tcPr>
          <w:p w14:paraId="1A375BA8">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230 </w:t>
            </w:r>
          </w:p>
        </w:tc>
        <w:tc>
          <w:tcPr>
            <w:tcW w:w="805" w:type="pct"/>
            <w:shd w:val="clear" w:color="auto" w:fill="auto"/>
            <w:tcMar>
              <w:top w:w="0" w:type="dxa"/>
              <w:left w:w="28" w:type="dxa"/>
              <w:right w:w="28" w:type="dxa"/>
            </w:tcMar>
            <w:vAlign w:val="center"/>
          </w:tcPr>
          <w:p w14:paraId="012C4011">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528,58 </w:t>
            </w:r>
          </w:p>
        </w:tc>
        <w:tc>
          <w:tcPr>
            <w:tcW w:w="907" w:type="pct"/>
            <w:gridSpan w:val="2"/>
            <w:shd w:val="clear" w:color="auto" w:fill="auto"/>
            <w:tcMar>
              <w:top w:w="0" w:type="dxa"/>
              <w:left w:w="28" w:type="dxa"/>
              <w:right w:w="28" w:type="dxa"/>
            </w:tcMar>
            <w:vAlign w:val="center"/>
          </w:tcPr>
          <w:p w14:paraId="24C68432">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0,381 </w:t>
            </w:r>
          </w:p>
        </w:tc>
      </w:tr>
      <w:tr w14:paraId="20DD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2C11820F">
            <w:pPr>
              <w:widowControl w:val="0"/>
              <w:spacing w:after="0" w:line="240" w:lineRule="auto"/>
              <w:ind w:firstLine="0"/>
              <w:contextualSpacing/>
              <w:jc w:val="center"/>
              <w:rPr>
                <w:color w:val="000000"/>
                <w:sz w:val="20"/>
                <w:szCs w:val="20"/>
                <w:lang w:val="en-US" w:eastAsia="en-US"/>
              </w:rPr>
            </w:pPr>
            <w:r>
              <w:rPr>
                <w:color w:val="000000"/>
                <w:sz w:val="20"/>
                <w:szCs w:val="20"/>
                <w:lang w:val="en-US" w:eastAsia="en-US"/>
              </w:rPr>
              <w:t xml:space="preserve">25 </w:t>
            </w:r>
          </w:p>
        </w:tc>
        <w:tc>
          <w:tcPr>
            <w:tcW w:w="1719" w:type="pct"/>
            <w:shd w:val="clear" w:color="auto" w:fill="auto"/>
            <w:tcMar>
              <w:top w:w="0" w:type="dxa"/>
              <w:left w:w="28" w:type="dxa"/>
              <w:right w:w="28" w:type="dxa"/>
            </w:tcMar>
            <w:vAlign w:val="center"/>
          </w:tcPr>
          <w:p w14:paraId="3BF713A4">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Цехи с тепловыделениями св. 84 кДж на 1 куб.м/ч </w:t>
            </w:r>
          </w:p>
        </w:tc>
        <w:tc>
          <w:tcPr>
            <w:tcW w:w="1233" w:type="pct"/>
            <w:shd w:val="clear" w:color="auto" w:fill="auto"/>
            <w:tcMar>
              <w:top w:w="0" w:type="dxa"/>
              <w:left w:w="28" w:type="dxa"/>
              <w:right w:w="28" w:type="dxa"/>
            </w:tcMar>
            <w:vAlign w:val="center"/>
          </w:tcPr>
          <w:p w14:paraId="743BCDD7">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24 </w:t>
            </w:r>
          </w:p>
        </w:tc>
        <w:tc>
          <w:tcPr>
            <w:tcW w:w="805" w:type="pct"/>
            <w:shd w:val="clear" w:color="auto" w:fill="auto"/>
            <w:tcMar>
              <w:top w:w="0" w:type="dxa"/>
              <w:left w:w="28" w:type="dxa"/>
              <w:right w:w="28" w:type="dxa"/>
            </w:tcMar>
            <w:vAlign w:val="center"/>
          </w:tcPr>
          <w:p w14:paraId="10FBC499">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55,16 </w:t>
            </w:r>
          </w:p>
        </w:tc>
        <w:tc>
          <w:tcPr>
            <w:tcW w:w="907" w:type="pct"/>
            <w:gridSpan w:val="2"/>
            <w:shd w:val="clear" w:color="auto" w:fill="auto"/>
            <w:tcMar>
              <w:top w:w="0" w:type="dxa"/>
              <w:left w:w="28" w:type="dxa"/>
              <w:right w:w="28" w:type="dxa"/>
            </w:tcMar>
            <w:vAlign w:val="center"/>
          </w:tcPr>
          <w:p w14:paraId="05A18087">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0,040 </w:t>
            </w:r>
          </w:p>
        </w:tc>
      </w:tr>
      <w:tr w14:paraId="26A1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0" w:type="dxa"/>
            <w:bottom w:w="0" w:type="dxa"/>
            <w:right w:w="55" w:type="dxa"/>
          </w:tblCellMar>
        </w:tblPrEx>
        <w:trPr>
          <w:trHeight w:val="20" w:hRule="atLeast"/>
        </w:trPr>
        <w:tc>
          <w:tcPr>
            <w:tcW w:w="336" w:type="pct"/>
            <w:shd w:val="clear" w:color="auto" w:fill="auto"/>
            <w:tcMar>
              <w:top w:w="0" w:type="dxa"/>
              <w:left w:w="28" w:type="dxa"/>
              <w:right w:w="28" w:type="dxa"/>
            </w:tcMar>
            <w:vAlign w:val="center"/>
          </w:tcPr>
          <w:p w14:paraId="287D29BA">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26 </w:t>
            </w:r>
          </w:p>
        </w:tc>
        <w:tc>
          <w:tcPr>
            <w:tcW w:w="1719" w:type="pct"/>
            <w:shd w:val="clear" w:color="auto" w:fill="auto"/>
            <w:tcMar>
              <w:top w:w="0" w:type="dxa"/>
              <w:left w:w="28" w:type="dxa"/>
              <w:right w:w="28" w:type="dxa"/>
            </w:tcMar>
            <w:vAlign w:val="center"/>
          </w:tcPr>
          <w:p w14:paraId="36D37CDE">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Остальные цехи </w:t>
            </w:r>
          </w:p>
        </w:tc>
        <w:tc>
          <w:tcPr>
            <w:tcW w:w="1233" w:type="pct"/>
            <w:shd w:val="clear" w:color="auto" w:fill="auto"/>
            <w:tcMar>
              <w:top w:w="0" w:type="dxa"/>
              <w:left w:w="28" w:type="dxa"/>
              <w:right w:w="28" w:type="dxa"/>
            </w:tcMar>
            <w:vAlign w:val="center"/>
          </w:tcPr>
          <w:p w14:paraId="5ECBBE15">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11 </w:t>
            </w:r>
          </w:p>
        </w:tc>
        <w:tc>
          <w:tcPr>
            <w:tcW w:w="805" w:type="pct"/>
            <w:shd w:val="clear" w:color="auto" w:fill="auto"/>
            <w:tcMar>
              <w:top w:w="0" w:type="dxa"/>
              <w:left w:w="28" w:type="dxa"/>
              <w:right w:w="28" w:type="dxa"/>
            </w:tcMar>
            <w:vAlign w:val="center"/>
          </w:tcPr>
          <w:p w14:paraId="45D348FF">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25,28 </w:t>
            </w:r>
          </w:p>
        </w:tc>
        <w:tc>
          <w:tcPr>
            <w:tcW w:w="907" w:type="pct"/>
            <w:gridSpan w:val="2"/>
            <w:shd w:val="clear" w:color="auto" w:fill="auto"/>
            <w:tcMar>
              <w:top w:w="0" w:type="dxa"/>
              <w:left w:w="28" w:type="dxa"/>
              <w:right w:w="28" w:type="dxa"/>
            </w:tcMar>
            <w:vAlign w:val="center"/>
          </w:tcPr>
          <w:p w14:paraId="540E9E2B">
            <w:pPr>
              <w:widowControl w:val="0"/>
              <w:spacing w:after="0" w:line="240" w:lineRule="auto"/>
              <w:ind w:firstLine="0"/>
              <w:contextualSpacing/>
              <w:jc w:val="center"/>
              <w:rPr>
                <w:color w:val="000000"/>
                <w:sz w:val="20"/>
                <w:szCs w:val="20"/>
                <w:lang w:eastAsia="en-US"/>
              </w:rPr>
            </w:pPr>
            <w:r>
              <w:rPr>
                <w:color w:val="000000"/>
                <w:sz w:val="20"/>
                <w:szCs w:val="20"/>
                <w:lang w:eastAsia="en-US"/>
              </w:rPr>
              <w:t xml:space="preserve">0,018 </w:t>
            </w:r>
          </w:p>
        </w:tc>
      </w:tr>
    </w:tbl>
    <w:p w14:paraId="6C798BD7">
      <w:pPr>
        <w:spacing w:after="0" w:line="240" w:lineRule="auto"/>
        <w:contextualSpacing/>
        <w:jc w:val="both"/>
        <w:rPr>
          <w:color w:val="000000" w:themeColor="text1"/>
          <w:sz w:val="24"/>
          <w:szCs w:val="24"/>
        </w:rPr>
      </w:pPr>
    </w:p>
    <w:p w14:paraId="715EA8CA">
      <w:pPr>
        <w:pStyle w:val="3"/>
        <w:spacing w:before="0" w:line="240" w:lineRule="auto"/>
        <w:ind w:left="0" w:firstLine="709"/>
        <w:contextualSpacing/>
        <w:rPr>
          <w:rFonts w:cs="Times New Roman"/>
          <w:b w:val="0"/>
          <w:sz w:val="24"/>
          <w:szCs w:val="24"/>
        </w:rPr>
      </w:pPr>
      <w:bookmarkStart w:id="358" w:name="_Toc182813962"/>
      <w:bookmarkStart w:id="359" w:name="_Toc524615045"/>
      <w:bookmarkStart w:id="360" w:name="_Toc524614829"/>
      <w:r>
        <w:rPr>
          <w:rFonts w:cs="Times New Roman"/>
          <w:b w:val="0"/>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8"/>
      <w:bookmarkEnd w:id="359"/>
      <w:bookmarkEnd w:id="360"/>
    </w:p>
    <w:p w14:paraId="2CC74C00">
      <w:pPr>
        <w:spacing w:after="0" w:line="240" w:lineRule="auto"/>
        <w:contextualSpacing/>
        <w:jc w:val="both"/>
        <w:rPr>
          <w:rFonts w:eastAsiaTheme="minorHAnsi"/>
          <w:sz w:val="24"/>
          <w:szCs w:val="24"/>
          <w:lang w:eastAsia="en-US"/>
        </w:rPr>
      </w:pPr>
      <w:bookmarkStart w:id="361" w:name="_Hlk43376807"/>
      <w:bookmarkStart w:id="362" w:name="_Hlk37147088"/>
      <w:bookmarkStart w:id="363" w:name="_Hlk22206195"/>
      <w:bookmarkStart w:id="364" w:name="_Hlk26629645"/>
      <w:r>
        <w:rPr>
          <w:rFonts w:eastAsiaTheme="minorHAnsi"/>
          <w:sz w:val="24"/>
          <w:szCs w:val="24"/>
          <w:lang w:eastAsia="en-US"/>
        </w:rPr>
        <w:t>Централизованное теплоснабжение объектов перспективного строительства предусматривается от существующих источников теплоснабжения.</w:t>
      </w:r>
    </w:p>
    <w:bookmarkEnd w:id="361"/>
    <w:p w14:paraId="4C74A97C">
      <w:pPr>
        <w:spacing w:after="0" w:line="240" w:lineRule="auto"/>
        <w:contextualSpacing/>
        <w:jc w:val="both"/>
        <w:rPr>
          <w:rFonts w:eastAsiaTheme="minorHAnsi"/>
          <w:sz w:val="24"/>
          <w:szCs w:val="24"/>
          <w:lang w:eastAsia="en-US"/>
        </w:rPr>
      </w:pPr>
      <w:bookmarkStart w:id="365" w:name="_Hlk43376867"/>
      <w:r>
        <w:rPr>
          <w:rFonts w:eastAsiaTheme="minorHAnsi"/>
          <w:sz w:val="24"/>
          <w:szCs w:val="24"/>
          <w:lang w:eastAsia="en-US"/>
        </w:rPr>
        <w:t>Данные о прогнозах приростов объемов потребления тепловой энергии в границах с.п. Верхнеказымский представлены в таблице</w:t>
      </w:r>
      <w:bookmarkEnd w:id="362"/>
      <w:r>
        <w:rPr>
          <w:rFonts w:eastAsiaTheme="minorHAnsi"/>
          <w:sz w:val="24"/>
          <w:szCs w:val="24"/>
          <w:lang w:eastAsia="en-US"/>
        </w:rPr>
        <w:t xml:space="preserve"> </w:t>
      </w:r>
      <w:bookmarkEnd w:id="365"/>
      <w:r>
        <w:rPr>
          <w:rFonts w:eastAsiaTheme="minorHAnsi"/>
          <w:sz w:val="24"/>
          <w:szCs w:val="24"/>
          <w:lang w:eastAsia="en-US"/>
        </w:rPr>
        <w:t>52.</w:t>
      </w:r>
    </w:p>
    <w:p w14:paraId="61CFCDB4">
      <w:pPr>
        <w:spacing w:after="0" w:line="240" w:lineRule="auto"/>
        <w:contextualSpacing/>
        <w:jc w:val="both"/>
        <w:rPr>
          <w:rFonts w:eastAsiaTheme="minorHAnsi"/>
          <w:sz w:val="24"/>
          <w:szCs w:val="24"/>
          <w:lang w:eastAsia="en-US"/>
        </w:rPr>
      </w:pPr>
    </w:p>
    <w:p w14:paraId="7CD3BE76">
      <w:pPr>
        <w:pStyle w:val="43"/>
        <w:keepNext/>
        <w:spacing w:before="0" w:after="0" w:line="240" w:lineRule="auto"/>
        <w:ind w:firstLine="0"/>
        <w:contextualSpacing/>
        <w:rPr>
          <w:rFonts w:cs="Times New Roman"/>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Pr>
          <w:b w:val="0"/>
          <w:sz w:val="24"/>
          <w:szCs w:val="24"/>
        </w:rPr>
        <w:t>52</w:t>
      </w:r>
      <w:r>
        <w:rPr>
          <w:b w:val="0"/>
          <w:sz w:val="24"/>
          <w:szCs w:val="24"/>
        </w:rPr>
        <w:fldChar w:fldCharType="end"/>
      </w:r>
      <w:r>
        <w:rPr>
          <w:b w:val="0"/>
          <w:sz w:val="24"/>
          <w:szCs w:val="24"/>
        </w:rPr>
        <w:t xml:space="preserve"> – </w:t>
      </w:r>
      <w:r>
        <w:rPr>
          <w:rFonts w:cs="Times New Roman"/>
          <w:b w:val="0"/>
          <w:sz w:val="24"/>
          <w:szCs w:val="24"/>
        </w:rPr>
        <w:t>Прогнозы приростов объёмов потребления тепловой энергии (мощности)</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869"/>
        <w:gridCol w:w="1017"/>
        <w:gridCol w:w="1161"/>
        <w:gridCol w:w="1161"/>
        <w:gridCol w:w="1015"/>
        <w:gridCol w:w="1015"/>
        <w:gridCol w:w="1009"/>
      </w:tblGrid>
      <w:tr w14:paraId="77B6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23" w:type="pct"/>
            <w:shd w:val="clear" w:color="auto" w:fill="auto"/>
            <w:vAlign w:val="center"/>
          </w:tcPr>
          <w:p w14:paraId="4066EC35">
            <w:pPr>
              <w:spacing w:after="0" w:line="240" w:lineRule="auto"/>
              <w:ind w:firstLine="0"/>
              <w:jc w:val="center"/>
              <w:rPr>
                <w:color w:val="000000"/>
                <w:sz w:val="20"/>
                <w:szCs w:val="20"/>
              </w:rPr>
            </w:pPr>
            <w:r>
              <w:rPr>
                <w:color w:val="000000"/>
                <w:sz w:val="20"/>
                <w:szCs w:val="20"/>
              </w:rPr>
              <w:t>Наименование показателя</w:t>
            </w:r>
          </w:p>
        </w:tc>
        <w:tc>
          <w:tcPr>
            <w:tcW w:w="441" w:type="pct"/>
            <w:shd w:val="clear" w:color="auto" w:fill="auto"/>
            <w:noWrap/>
            <w:vAlign w:val="center"/>
          </w:tcPr>
          <w:p w14:paraId="5F1F2688">
            <w:pPr>
              <w:spacing w:after="0" w:line="240" w:lineRule="auto"/>
              <w:ind w:firstLine="0"/>
              <w:jc w:val="center"/>
              <w:rPr>
                <w:color w:val="000000"/>
                <w:sz w:val="20"/>
                <w:szCs w:val="20"/>
              </w:rPr>
            </w:pPr>
            <w:r>
              <w:rPr>
                <w:color w:val="000000"/>
                <w:sz w:val="20"/>
                <w:szCs w:val="20"/>
              </w:rPr>
              <w:t>ед. изм.</w:t>
            </w:r>
          </w:p>
        </w:tc>
        <w:tc>
          <w:tcPr>
            <w:tcW w:w="516" w:type="pct"/>
            <w:shd w:val="clear" w:color="auto" w:fill="auto"/>
            <w:vAlign w:val="center"/>
          </w:tcPr>
          <w:p w14:paraId="7D529D60">
            <w:pPr>
              <w:spacing w:after="0" w:line="240" w:lineRule="auto"/>
              <w:ind w:firstLine="0"/>
              <w:jc w:val="center"/>
              <w:rPr>
                <w:color w:val="000000"/>
                <w:sz w:val="20"/>
                <w:szCs w:val="20"/>
              </w:rPr>
            </w:pPr>
            <w:r>
              <w:rPr>
                <w:color w:val="000000"/>
                <w:sz w:val="20"/>
                <w:szCs w:val="20"/>
              </w:rPr>
              <w:t>2024</w:t>
            </w:r>
          </w:p>
        </w:tc>
        <w:tc>
          <w:tcPr>
            <w:tcW w:w="589" w:type="pct"/>
            <w:shd w:val="clear" w:color="auto" w:fill="auto"/>
            <w:vAlign w:val="center"/>
          </w:tcPr>
          <w:p w14:paraId="1E6FC913">
            <w:pPr>
              <w:spacing w:after="0" w:line="240" w:lineRule="auto"/>
              <w:ind w:firstLine="0"/>
              <w:jc w:val="center"/>
              <w:rPr>
                <w:color w:val="000000"/>
                <w:sz w:val="20"/>
                <w:szCs w:val="20"/>
              </w:rPr>
            </w:pPr>
            <w:r>
              <w:rPr>
                <w:color w:val="000000"/>
                <w:sz w:val="20"/>
                <w:szCs w:val="20"/>
              </w:rPr>
              <w:t>2025</w:t>
            </w:r>
          </w:p>
        </w:tc>
        <w:tc>
          <w:tcPr>
            <w:tcW w:w="589" w:type="pct"/>
            <w:shd w:val="clear" w:color="auto" w:fill="auto"/>
            <w:vAlign w:val="center"/>
          </w:tcPr>
          <w:p w14:paraId="4E7BCD4B">
            <w:pPr>
              <w:spacing w:after="0" w:line="240" w:lineRule="auto"/>
              <w:ind w:firstLine="0"/>
              <w:jc w:val="center"/>
              <w:rPr>
                <w:color w:val="000000"/>
                <w:sz w:val="20"/>
                <w:szCs w:val="20"/>
              </w:rPr>
            </w:pPr>
            <w:r>
              <w:rPr>
                <w:color w:val="000000"/>
                <w:sz w:val="20"/>
                <w:szCs w:val="20"/>
              </w:rPr>
              <w:t>2026</w:t>
            </w:r>
          </w:p>
        </w:tc>
        <w:tc>
          <w:tcPr>
            <w:tcW w:w="515" w:type="pct"/>
            <w:shd w:val="clear" w:color="auto" w:fill="auto"/>
            <w:vAlign w:val="center"/>
          </w:tcPr>
          <w:p w14:paraId="07CA25F4">
            <w:pPr>
              <w:spacing w:after="0" w:line="240" w:lineRule="auto"/>
              <w:ind w:firstLine="0"/>
              <w:jc w:val="center"/>
              <w:rPr>
                <w:color w:val="000000"/>
                <w:sz w:val="20"/>
                <w:szCs w:val="20"/>
              </w:rPr>
            </w:pPr>
            <w:r>
              <w:rPr>
                <w:color w:val="000000"/>
                <w:sz w:val="20"/>
                <w:szCs w:val="20"/>
              </w:rPr>
              <w:t>2027</w:t>
            </w:r>
          </w:p>
        </w:tc>
        <w:tc>
          <w:tcPr>
            <w:tcW w:w="515" w:type="pct"/>
            <w:shd w:val="clear" w:color="auto" w:fill="auto"/>
            <w:vAlign w:val="center"/>
          </w:tcPr>
          <w:p w14:paraId="7DA9800C">
            <w:pPr>
              <w:spacing w:after="0" w:line="240" w:lineRule="auto"/>
              <w:ind w:firstLine="0"/>
              <w:jc w:val="center"/>
              <w:rPr>
                <w:color w:val="000000"/>
                <w:sz w:val="20"/>
                <w:szCs w:val="20"/>
              </w:rPr>
            </w:pPr>
            <w:r>
              <w:rPr>
                <w:color w:val="000000"/>
                <w:sz w:val="20"/>
                <w:szCs w:val="20"/>
              </w:rPr>
              <w:t>2028</w:t>
            </w:r>
          </w:p>
        </w:tc>
        <w:tc>
          <w:tcPr>
            <w:tcW w:w="512" w:type="pct"/>
            <w:shd w:val="clear" w:color="auto" w:fill="auto"/>
            <w:vAlign w:val="center"/>
          </w:tcPr>
          <w:p w14:paraId="7C4ED23E">
            <w:pPr>
              <w:spacing w:after="0" w:line="240" w:lineRule="auto"/>
              <w:ind w:firstLine="0"/>
              <w:jc w:val="center"/>
              <w:rPr>
                <w:color w:val="000000"/>
                <w:sz w:val="20"/>
                <w:szCs w:val="20"/>
              </w:rPr>
            </w:pPr>
            <w:r>
              <w:rPr>
                <w:color w:val="000000"/>
                <w:sz w:val="20"/>
                <w:szCs w:val="20"/>
              </w:rPr>
              <w:t>2029</w:t>
            </w:r>
          </w:p>
        </w:tc>
      </w:tr>
      <w:tr w14:paraId="3754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23" w:type="pct"/>
            <w:shd w:val="clear" w:color="auto" w:fill="auto"/>
            <w:noWrap/>
            <w:vAlign w:val="center"/>
          </w:tcPr>
          <w:p w14:paraId="21D27BE4">
            <w:pPr>
              <w:spacing w:after="0" w:line="240" w:lineRule="auto"/>
              <w:ind w:firstLine="0"/>
              <w:rPr>
                <w:color w:val="000000"/>
                <w:sz w:val="20"/>
                <w:szCs w:val="20"/>
              </w:rPr>
            </w:pPr>
            <w:r>
              <w:rPr>
                <w:color w:val="000000"/>
                <w:sz w:val="20"/>
                <w:szCs w:val="20"/>
              </w:rPr>
              <w:t>Прирост нагрузки</w:t>
            </w:r>
          </w:p>
        </w:tc>
        <w:tc>
          <w:tcPr>
            <w:tcW w:w="441" w:type="pct"/>
            <w:shd w:val="clear" w:color="auto" w:fill="auto"/>
            <w:noWrap/>
            <w:vAlign w:val="center"/>
          </w:tcPr>
          <w:p w14:paraId="7EDC890A">
            <w:pPr>
              <w:spacing w:after="0" w:line="240" w:lineRule="auto"/>
              <w:ind w:firstLine="0"/>
              <w:jc w:val="center"/>
              <w:rPr>
                <w:color w:val="000000"/>
                <w:sz w:val="20"/>
                <w:szCs w:val="20"/>
              </w:rPr>
            </w:pPr>
            <w:r>
              <w:rPr>
                <w:color w:val="000000"/>
                <w:sz w:val="20"/>
                <w:szCs w:val="20"/>
              </w:rPr>
              <w:t>Гкал/ч</w:t>
            </w:r>
          </w:p>
        </w:tc>
        <w:tc>
          <w:tcPr>
            <w:tcW w:w="516" w:type="pct"/>
            <w:tcBorders>
              <w:bottom w:val="single" w:color="auto" w:sz="4" w:space="0"/>
            </w:tcBorders>
            <w:shd w:val="clear" w:color="auto" w:fill="auto"/>
            <w:noWrap/>
            <w:vAlign w:val="center"/>
          </w:tcPr>
          <w:p w14:paraId="0B9BCB55">
            <w:pPr>
              <w:spacing w:after="0" w:line="240" w:lineRule="auto"/>
              <w:ind w:firstLine="0"/>
              <w:jc w:val="center"/>
              <w:rPr>
                <w:color w:val="000000"/>
                <w:sz w:val="20"/>
                <w:szCs w:val="20"/>
              </w:rPr>
            </w:pPr>
            <w:r>
              <w:rPr>
                <w:color w:val="000000"/>
                <w:sz w:val="20"/>
                <w:szCs w:val="20"/>
              </w:rPr>
              <w:t>0,13</w:t>
            </w:r>
          </w:p>
        </w:tc>
        <w:tc>
          <w:tcPr>
            <w:tcW w:w="589" w:type="pct"/>
            <w:tcBorders>
              <w:bottom w:val="single" w:color="auto" w:sz="4" w:space="0"/>
            </w:tcBorders>
            <w:shd w:val="clear" w:color="auto" w:fill="auto"/>
            <w:noWrap/>
            <w:vAlign w:val="center"/>
          </w:tcPr>
          <w:p w14:paraId="616D2D1B">
            <w:pPr>
              <w:spacing w:after="0" w:line="240" w:lineRule="auto"/>
              <w:ind w:firstLine="0"/>
              <w:jc w:val="center"/>
              <w:rPr>
                <w:color w:val="000000"/>
                <w:sz w:val="20"/>
                <w:szCs w:val="20"/>
              </w:rPr>
            </w:pPr>
            <w:r>
              <w:rPr>
                <w:color w:val="000000"/>
                <w:sz w:val="20"/>
                <w:szCs w:val="20"/>
              </w:rPr>
              <w:t>0,14</w:t>
            </w:r>
          </w:p>
        </w:tc>
        <w:tc>
          <w:tcPr>
            <w:tcW w:w="589" w:type="pct"/>
            <w:tcBorders>
              <w:bottom w:val="single" w:color="auto" w:sz="4" w:space="0"/>
            </w:tcBorders>
            <w:shd w:val="clear" w:color="auto" w:fill="auto"/>
            <w:noWrap/>
            <w:vAlign w:val="center"/>
          </w:tcPr>
          <w:p w14:paraId="2A558F91">
            <w:pPr>
              <w:spacing w:after="0" w:line="240" w:lineRule="auto"/>
              <w:ind w:firstLine="0"/>
              <w:jc w:val="center"/>
              <w:rPr>
                <w:color w:val="000000"/>
                <w:sz w:val="20"/>
                <w:szCs w:val="20"/>
              </w:rPr>
            </w:pPr>
            <w:r>
              <w:rPr>
                <w:color w:val="000000"/>
                <w:sz w:val="20"/>
                <w:szCs w:val="20"/>
              </w:rPr>
              <w:t>0,15</w:t>
            </w:r>
          </w:p>
        </w:tc>
        <w:tc>
          <w:tcPr>
            <w:tcW w:w="515" w:type="pct"/>
            <w:tcBorders>
              <w:bottom w:val="single" w:color="auto" w:sz="4" w:space="0"/>
            </w:tcBorders>
            <w:shd w:val="clear" w:color="auto" w:fill="auto"/>
            <w:noWrap/>
            <w:vAlign w:val="center"/>
          </w:tcPr>
          <w:p w14:paraId="5D6F0668">
            <w:pPr>
              <w:spacing w:after="0" w:line="240" w:lineRule="auto"/>
              <w:ind w:firstLine="0"/>
              <w:jc w:val="center"/>
              <w:rPr>
                <w:color w:val="000000"/>
                <w:sz w:val="20"/>
                <w:szCs w:val="20"/>
              </w:rPr>
            </w:pPr>
            <w:r>
              <w:rPr>
                <w:color w:val="000000"/>
                <w:sz w:val="20"/>
                <w:szCs w:val="20"/>
              </w:rPr>
              <w:t>0,16</w:t>
            </w:r>
          </w:p>
        </w:tc>
        <w:tc>
          <w:tcPr>
            <w:tcW w:w="515" w:type="pct"/>
            <w:tcBorders>
              <w:bottom w:val="single" w:color="auto" w:sz="4" w:space="0"/>
            </w:tcBorders>
            <w:shd w:val="clear" w:color="auto" w:fill="auto"/>
            <w:noWrap/>
            <w:vAlign w:val="center"/>
          </w:tcPr>
          <w:p w14:paraId="7539BAF8">
            <w:pPr>
              <w:spacing w:after="0" w:line="240" w:lineRule="auto"/>
              <w:ind w:firstLine="0"/>
              <w:jc w:val="center"/>
              <w:rPr>
                <w:color w:val="000000"/>
                <w:sz w:val="20"/>
                <w:szCs w:val="20"/>
              </w:rPr>
            </w:pPr>
            <w:r>
              <w:rPr>
                <w:color w:val="000000"/>
                <w:sz w:val="20"/>
                <w:szCs w:val="20"/>
              </w:rPr>
              <w:t>0,18</w:t>
            </w:r>
          </w:p>
        </w:tc>
        <w:tc>
          <w:tcPr>
            <w:tcW w:w="512" w:type="pct"/>
            <w:tcBorders>
              <w:bottom w:val="single" w:color="auto" w:sz="4" w:space="0"/>
            </w:tcBorders>
            <w:shd w:val="clear" w:color="auto" w:fill="auto"/>
            <w:noWrap/>
            <w:vAlign w:val="center"/>
          </w:tcPr>
          <w:p w14:paraId="471DECFB">
            <w:pPr>
              <w:spacing w:after="0" w:line="240" w:lineRule="auto"/>
              <w:ind w:firstLine="0"/>
              <w:jc w:val="center"/>
              <w:rPr>
                <w:color w:val="000000"/>
                <w:sz w:val="20"/>
                <w:szCs w:val="20"/>
              </w:rPr>
            </w:pPr>
            <w:r>
              <w:rPr>
                <w:color w:val="000000"/>
                <w:sz w:val="20"/>
                <w:szCs w:val="20"/>
              </w:rPr>
              <w:t>0,19</w:t>
            </w:r>
          </w:p>
        </w:tc>
      </w:tr>
      <w:tr w14:paraId="6625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23" w:type="pct"/>
            <w:shd w:val="clear" w:color="auto" w:fill="auto"/>
            <w:noWrap/>
            <w:vAlign w:val="center"/>
          </w:tcPr>
          <w:p w14:paraId="7B88E178">
            <w:pPr>
              <w:spacing w:after="0" w:line="240" w:lineRule="auto"/>
              <w:ind w:firstLine="0"/>
              <w:rPr>
                <w:color w:val="000000"/>
                <w:sz w:val="20"/>
                <w:szCs w:val="20"/>
              </w:rPr>
            </w:pPr>
            <w:r>
              <w:rPr>
                <w:color w:val="000000"/>
                <w:sz w:val="20"/>
                <w:szCs w:val="20"/>
              </w:rPr>
              <w:t>Прирост потребления тепловой энергии</w:t>
            </w:r>
          </w:p>
        </w:tc>
        <w:tc>
          <w:tcPr>
            <w:tcW w:w="441" w:type="pct"/>
            <w:shd w:val="clear" w:color="auto" w:fill="auto"/>
            <w:noWrap/>
            <w:vAlign w:val="center"/>
          </w:tcPr>
          <w:p w14:paraId="368E7C0A">
            <w:pPr>
              <w:spacing w:after="0" w:line="240" w:lineRule="auto"/>
              <w:ind w:firstLine="0"/>
              <w:jc w:val="center"/>
              <w:rPr>
                <w:color w:val="000000"/>
                <w:sz w:val="20"/>
                <w:szCs w:val="20"/>
              </w:rPr>
            </w:pPr>
            <w:r>
              <w:rPr>
                <w:color w:val="000000"/>
                <w:sz w:val="20"/>
                <w:szCs w:val="20"/>
              </w:rPr>
              <w:t>Гкал</w:t>
            </w:r>
          </w:p>
        </w:tc>
        <w:tc>
          <w:tcPr>
            <w:tcW w:w="516" w:type="pct"/>
            <w:tcBorders>
              <w:top w:val="single" w:color="auto" w:sz="4" w:space="0"/>
              <w:left w:val="nil"/>
              <w:bottom w:val="single" w:color="auto" w:sz="4" w:space="0"/>
              <w:right w:val="single" w:color="auto" w:sz="4" w:space="0"/>
            </w:tcBorders>
            <w:shd w:val="clear" w:color="auto" w:fill="auto"/>
            <w:noWrap/>
            <w:vAlign w:val="center"/>
          </w:tcPr>
          <w:p w14:paraId="3F3EF392">
            <w:pPr>
              <w:spacing w:after="0" w:line="240" w:lineRule="auto"/>
              <w:ind w:firstLine="0"/>
              <w:jc w:val="center"/>
              <w:rPr>
                <w:color w:val="000000"/>
                <w:sz w:val="20"/>
                <w:szCs w:val="20"/>
              </w:rPr>
            </w:pPr>
            <w:r>
              <w:rPr>
                <w:color w:val="000000"/>
                <w:sz w:val="20"/>
                <w:szCs w:val="20"/>
              </w:rPr>
              <w:t>982,30</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A175FA">
            <w:pPr>
              <w:spacing w:after="0" w:line="240" w:lineRule="auto"/>
              <w:ind w:firstLine="0"/>
              <w:jc w:val="center"/>
              <w:rPr>
                <w:color w:val="000000"/>
                <w:sz w:val="20"/>
                <w:szCs w:val="20"/>
              </w:rPr>
            </w:pPr>
            <w:r>
              <w:rPr>
                <w:color w:val="000000"/>
                <w:sz w:val="20"/>
                <w:szCs w:val="20"/>
              </w:rPr>
              <w:t>1 059,09</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DF61D6">
            <w:pPr>
              <w:spacing w:after="0" w:line="240" w:lineRule="auto"/>
              <w:ind w:firstLine="0"/>
              <w:jc w:val="center"/>
              <w:rPr>
                <w:color w:val="000000"/>
                <w:sz w:val="20"/>
                <w:szCs w:val="20"/>
              </w:rPr>
            </w:pPr>
            <w:r>
              <w:rPr>
                <w:color w:val="000000"/>
                <w:sz w:val="20"/>
                <w:szCs w:val="20"/>
              </w:rPr>
              <w:t>1 141,88</w:t>
            </w:r>
          </w:p>
        </w:tc>
        <w:tc>
          <w:tcPr>
            <w:tcW w:w="5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E556B1">
            <w:pPr>
              <w:spacing w:after="0" w:line="240" w:lineRule="auto"/>
              <w:ind w:firstLine="0"/>
              <w:jc w:val="center"/>
              <w:rPr>
                <w:color w:val="000000"/>
                <w:sz w:val="20"/>
                <w:szCs w:val="20"/>
              </w:rPr>
            </w:pPr>
            <w:r>
              <w:rPr>
                <w:color w:val="000000"/>
                <w:sz w:val="20"/>
                <w:szCs w:val="20"/>
              </w:rPr>
              <w:t>1 231,14</w:t>
            </w:r>
          </w:p>
        </w:tc>
        <w:tc>
          <w:tcPr>
            <w:tcW w:w="5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517668">
            <w:pPr>
              <w:spacing w:after="0" w:line="240" w:lineRule="auto"/>
              <w:ind w:firstLine="0"/>
              <w:jc w:val="center"/>
              <w:rPr>
                <w:color w:val="000000"/>
                <w:sz w:val="20"/>
                <w:szCs w:val="20"/>
              </w:rPr>
            </w:pPr>
            <w:r>
              <w:rPr>
                <w:color w:val="000000"/>
                <w:sz w:val="20"/>
                <w:szCs w:val="20"/>
              </w:rPr>
              <w:t>1 327,39</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094B21">
            <w:pPr>
              <w:spacing w:after="0" w:line="240" w:lineRule="auto"/>
              <w:ind w:firstLine="0"/>
              <w:jc w:val="center"/>
              <w:rPr>
                <w:color w:val="000000"/>
                <w:sz w:val="20"/>
                <w:szCs w:val="20"/>
              </w:rPr>
            </w:pPr>
            <w:r>
              <w:rPr>
                <w:color w:val="000000"/>
                <w:sz w:val="20"/>
                <w:szCs w:val="20"/>
              </w:rPr>
              <w:t>1 431,15</w:t>
            </w:r>
          </w:p>
        </w:tc>
      </w:tr>
    </w:tbl>
    <w:p w14:paraId="35699007">
      <w:pPr>
        <w:spacing w:after="0" w:line="240" w:lineRule="auto"/>
        <w:contextualSpacing/>
        <w:jc w:val="both"/>
        <w:rPr>
          <w:rFonts w:eastAsiaTheme="minorHAnsi"/>
          <w:sz w:val="24"/>
          <w:szCs w:val="24"/>
          <w:lang w:eastAsia="en-US"/>
        </w:rPr>
      </w:pPr>
    </w:p>
    <w:bookmarkEnd w:id="363"/>
    <w:bookmarkEnd w:id="364"/>
    <w:p w14:paraId="1292D3BE">
      <w:pPr>
        <w:pStyle w:val="3"/>
        <w:spacing w:before="0" w:line="240" w:lineRule="auto"/>
        <w:ind w:left="0" w:firstLine="709"/>
        <w:contextualSpacing/>
        <w:rPr>
          <w:rFonts w:cs="Times New Roman"/>
          <w:b w:val="0"/>
          <w:sz w:val="24"/>
          <w:szCs w:val="24"/>
        </w:rPr>
      </w:pPr>
      <w:bookmarkStart w:id="366" w:name="_Toc524614830"/>
      <w:bookmarkStart w:id="367" w:name="_Toc182813963"/>
      <w:bookmarkStart w:id="368" w:name="_Toc524615046"/>
      <w:r>
        <w:rPr>
          <w:rFonts w:cs="Times New Roman"/>
          <w:b w:val="0"/>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6"/>
      <w:bookmarkEnd w:id="367"/>
      <w:bookmarkEnd w:id="368"/>
    </w:p>
    <w:p w14:paraId="14D03318">
      <w:pPr>
        <w:spacing w:after="0" w:line="240" w:lineRule="auto"/>
        <w:contextualSpacing/>
        <w:jc w:val="both"/>
        <w:rPr>
          <w:sz w:val="24"/>
          <w:szCs w:val="24"/>
        </w:rPr>
      </w:pPr>
      <w:bookmarkStart w:id="369" w:name="_Hlk37163937"/>
      <w:bookmarkStart w:id="370" w:name="_Hlk22207811"/>
      <w:bookmarkStart w:id="371" w:name="_Hlk28338376"/>
      <w:r>
        <w:rPr>
          <w:sz w:val="24"/>
          <w:szCs w:val="24"/>
        </w:rPr>
        <w:t>По данным Генерального плана с.п. Верхнеказымский приростов потребления тепловой энергии и теплоносителя в зонах действия индивидуального теплоснабжения не планируется.</w:t>
      </w:r>
    </w:p>
    <w:p w14:paraId="5E36D6B6">
      <w:pPr>
        <w:spacing w:after="0" w:line="240" w:lineRule="auto"/>
        <w:contextualSpacing/>
        <w:jc w:val="both"/>
        <w:rPr>
          <w:sz w:val="24"/>
          <w:szCs w:val="24"/>
        </w:rPr>
      </w:pPr>
    </w:p>
    <w:p w14:paraId="75C77397">
      <w:pPr>
        <w:pStyle w:val="3"/>
        <w:spacing w:before="0" w:line="240" w:lineRule="auto"/>
        <w:ind w:left="0" w:firstLine="709"/>
        <w:contextualSpacing/>
        <w:rPr>
          <w:rFonts w:cs="Times New Roman"/>
          <w:b w:val="0"/>
          <w:sz w:val="24"/>
          <w:szCs w:val="24"/>
        </w:rPr>
      </w:pPr>
      <w:bookmarkStart w:id="372" w:name="_Toc182813964"/>
      <w:r>
        <w:rPr>
          <w:rFonts w:cs="Times New Roman"/>
          <w:b w:val="0"/>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2"/>
    </w:p>
    <w:p w14:paraId="0F148784">
      <w:pPr>
        <w:widowControl w:val="0"/>
        <w:autoSpaceDE w:val="0"/>
        <w:autoSpaceDN w:val="0"/>
        <w:adjustRightInd w:val="0"/>
        <w:spacing w:after="0" w:line="240" w:lineRule="auto"/>
        <w:contextualSpacing/>
        <w:jc w:val="both"/>
        <w:rPr>
          <w:sz w:val="24"/>
          <w:szCs w:val="24"/>
        </w:rPr>
      </w:pPr>
      <w:bookmarkStart w:id="373" w:name="_Hlk43376752"/>
      <w:bookmarkStart w:id="374" w:name="_Hlk22206964"/>
      <w:bookmarkStart w:id="375" w:name="_Hlk37147417"/>
      <w:r>
        <w:rPr>
          <w:sz w:val="24"/>
          <w:szCs w:val="24"/>
        </w:rPr>
        <w:t>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Перепрофилирование производственных зон не планируется.</w:t>
      </w:r>
    </w:p>
    <w:p w14:paraId="02715899">
      <w:pPr>
        <w:widowControl w:val="0"/>
        <w:autoSpaceDE w:val="0"/>
        <w:autoSpaceDN w:val="0"/>
        <w:adjustRightInd w:val="0"/>
        <w:spacing w:after="0" w:line="240" w:lineRule="auto"/>
        <w:contextualSpacing/>
        <w:jc w:val="both"/>
        <w:rPr>
          <w:sz w:val="24"/>
          <w:szCs w:val="24"/>
        </w:rPr>
      </w:pPr>
    </w:p>
    <w:bookmarkEnd w:id="369"/>
    <w:bookmarkEnd w:id="370"/>
    <w:bookmarkEnd w:id="371"/>
    <w:bookmarkEnd w:id="373"/>
    <w:bookmarkEnd w:id="374"/>
    <w:bookmarkEnd w:id="375"/>
    <w:p w14:paraId="11E88E2D">
      <w:pPr>
        <w:pStyle w:val="3"/>
        <w:keepNext/>
        <w:spacing w:before="0" w:line="240" w:lineRule="auto"/>
        <w:ind w:left="0" w:firstLine="709"/>
        <w:contextualSpacing/>
        <w:rPr>
          <w:rFonts w:cs="Times New Roman"/>
          <w:b w:val="0"/>
          <w:sz w:val="24"/>
          <w:szCs w:val="24"/>
        </w:rPr>
      </w:pPr>
      <w:bookmarkStart w:id="376" w:name="_Toc182813965"/>
      <w:bookmarkStart w:id="377" w:name="_Hlk43280144"/>
      <w:r>
        <w:rPr>
          <w:rFonts w:cs="Times New Roman"/>
          <w:b w:val="0"/>
          <w:sz w:val="24"/>
          <w:szCs w:val="24"/>
        </w:rPr>
        <w:t>Описание изменений показателей существующего и перспективного потребления тепловой энергии на цели теплоснабжения</w:t>
      </w:r>
      <w:bookmarkEnd w:id="376"/>
    </w:p>
    <w:bookmarkEnd w:id="377"/>
    <w:p w14:paraId="3F766C92">
      <w:pPr>
        <w:spacing w:after="0" w:line="240" w:lineRule="auto"/>
        <w:contextualSpacing/>
        <w:jc w:val="both"/>
        <w:rPr>
          <w:sz w:val="24"/>
          <w:szCs w:val="24"/>
        </w:rPr>
      </w:pPr>
      <w:r>
        <w:rPr>
          <w:sz w:val="24"/>
          <w:szCs w:val="24"/>
        </w:rPr>
        <w:t>Описание изменений показателей существующего и перспективного потребления тепловой энергии на цели теплоснабжения представлено в таблице 54.</w:t>
      </w:r>
    </w:p>
    <w:p w14:paraId="0C198A17">
      <w:pPr>
        <w:spacing w:after="0" w:line="240" w:lineRule="auto"/>
        <w:contextualSpacing/>
        <w:jc w:val="both"/>
        <w:rPr>
          <w:sz w:val="24"/>
          <w:szCs w:val="24"/>
        </w:rPr>
      </w:pPr>
    </w:p>
    <w:p w14:paraId="08D3814F">
      <w:pPr>
        <w:pStyle w:val="3"/>
        <w:keepNext/>
        <w:spacing w:before="0" w:line="240" w:lineRule="auto"/>
        <w:ind w:left="0" w:firstLine="709"/>
        <w:contextualSpacing/>
        <w:rPr>
          <w:rFonts w:cs="Times New Roman"/>
          <w:b w:val="0"/>
          <w:sz w:val="24"/>
          <w:szCs w:val="24"/>
        </w:rPr>
      </w:pPr>
      <w:bookmarkStart w:id="378" w:name="_Toc182813966"/>
      <w:bookmarkStart w:id="379" w:name="_Hlk43280154"/>
      <w:r>
        <w:rPr>
          <w:rFonts w:cs="Times New Roman"/>
          <w:b w:val="0"/>
          <w:sz w:val="24"/>
          <w:szCs w:val="24"/>
        </w:rPr>
        <w:t xml:space="preserve">Перечень объектов теплопотребления, подключенных к тепловым сетям существующих систем теплоснабжения </w:t>
      </w:r>
      <w:bookmarkStart w:id="380" w:name="_Hlk10105035"/>
      <w:r>
        <w:rPr>
          <w:rFonts w:cs="Times New Roman"/>
          <w:b w:val="0"/>
          <w:sz w:val="24"/>
          <w:szCs w:val="24"/>
        </w:rPr>
        <w:t>в период, предшествующий актуализации схемы теплоснабжения</w:t>
      </w:r>
      <w:bookmarkEnd w:id="378"/>
    </w:p>
    <w:bookmarkEnd w:id="379"/>
    <w:bookmarkEnd w:id="380"/>
    <w:p w14:paraId="5DBAE380">
      <w:pPr>
        <w:spacing w:after="0" w:line="240" w:lineRule="auto"/>
        <w:contextualSpacing/>
        <w:jc w:val="both"/>
        <w:rPr>
          <w:sz w:val="24"/>
          <w:szCs w:val="24"/>
        </w:rPr>
      </w:pPr>
      <w:r>
        <w:rPr>
          <w:sz w:val="24"/>
          <w:szCs w:val="24"/>
        </w:rPr>
        <w:t>Сведения по объектам теплопотребления, подключённых к тепловым сетям существующих систем теплоснабжения в период, предшествующий актуализации схемы теплоснабжения, на территории с.п. Верхнеказымский, отсутствуют.</w:t>
      </w:r>
    </w:p>
    <w:p w14:paraId="4FA459B9">
      <w:pPr>
        <w:spacing w:after="0" w:line="240" w:lineRule="auto"/>
        <w:contextualSpacing/>
        <w:jc w:val="both"/>
        <w:rPr>
          <w:sz w:val="24"/>
          <w:szCs w:val="24"/>
        </w:rPr>
      </w:pPr>
    </w:p>
    <w:p w14:paraId="301B91BF">
      <w:pPr>
        <w:pStyle w:val="3"/>
        <w:spacing w:before="0" w:line="240" w:lineRule="auto"/>
        <w:ind w:left="0" w:firstLine="709"/>
        <w:contextualSpacing/>
        <w:rPr>
          <w:rFonts w:cs="Times New Roman"/>
          <w:b w:val="0"/>
          <w:sz w:val="24"/>
          <w:szCs w:val="24"/>
        </w:rPr>
      </w:pPr>
      <w:bookmarkStart w:id="381" w:name="_Toc524614833"/>
      <w:bookmarkStart w:id="382" w:name="_Toc524615049"/>
      <w:bookmarkStart w:id="383" w:name="_Toc182813967"/>
      <w:bookmarkStart w:id="384" w:name="_Hlk43280160"/>
      <w:r>
        <w:rPr>
          <w:rFonts w:cs="Times New Roman"/>
          <w:b w:val="0"/>
          <w:sz w:val="24"/>
          <w:szCs w:val="24"/>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81"/>
      <w:bookmarkEnd w:id="382"/>
      <w:bookmarkEnd w:id="383"/>
    </w:p>
    <w:bookmarkEnd w:id="384"/>
    <w:p w14:paraId="2CEE0A8A">
      <w:pPr>
        <w:spacing w:after="0" w:line="240" w:lineRule="auto"/>
        <w:contextualSpacing/>
        <w:jc w:val="both"/>
        <w:rPr>
          <w:sz w:val="24"/>
          <w:szCs w:val="24"/>
        </w:rPr>
      </w:pPr>
      <w:r>
        <w:rPr>
          <w:sz w:val="24"/>
          <w:szCs w:val="24"/>
        </w:rPr>
        <w:t>Актуализированный прогноз перспективной застройки представлен разделе 2.2.</w:t>
      </w:r>
    </w:p>
    <w:p w14:paraId="6C562545">
      <w:pPr>
        <w:spacing w:after="0" w:line="240" w:lineRule="auto"/>
        <w:contextualSpacing/>
        <w:jc w:val="both"/>
        <w:rPr>
          <w:sz w:val="24"/>
          <w:szCs w:val="24"/>
        </w:rPr>
      </w:pPr>
    </w:p>
    <w:p w14:paraId="5B8C28A5">
      <w:pPr>
        <w:pStyle w:val="3"/>
        <w:keepNext/>
        <w:spacing w:before="0" w:line="240" w:lineRule="auto"/>
        <w:ind w:left="0" w:firstLine="709"/>
        <w:contextualSpacing/>
        <w:rPr>
          <w:rFonts w:cs="Times New Roman"/>
          <w:b w:val="0"/>
          <w:sz w:val="24"/>
          <w:szCs w:val="24"/>
        </w:rPr>
      </w:pPr>
      <w:bookmarkStart w:id="385" w:name="_Toc182813968"/>
      <w:bookmarkStart w:id="386" w:name="_Hlk527724755"/>
      <w:r>
        <w:rPr>
          <w:rFonts w:cs="Times New Roman"/>
          <w:b w:val="0"/>
          <w:sz w:val="24"/>
          <w:szCs w:val="24"/>
        </w:rPr>
        <w:t>Расчетная тепловая нагрузка на коллекторах источников тепловой энергии</w:t>
      </w:r>
      <w:bookmarkEnd w:id="385"/>
    </w:p>
    <w:bookmarkEnd w:id="386"/>
    <w:p w14:paraId="4220A2DD">
      <w:pPr>
        <w:spacing w:after="0" w:line="240" w:lineRule="auto"/>
        <w:contextualSpacing/>
        <w:jc w:val="both"/>
        <w:rPr>
          <w:sz w:val="24"/>
          <w:szCs w:val="24"/>
        </w:rPr>
      </w:pPr>
      <w:r>
        <w:rPr>
          <w:sz w:val="24"/>
          <w:szCs w:val="24"/>
        </w:rPr>
        <w:t>Расчетная тепловая нагрузка на коллекторах источников тепловой энергии представлена в таблице 53.</w:t>
      </w:r>
    </w:p>
    <w:p w14:paraId="70A96FED">
      <w:pPr>
        <w:spacing w:after="0" w:line="240" w:lineRule="auto"/>
        <w:contextualSpacing/>
        <w:jc w:val="both"/>
        <w:rPr>
          <w:sz w:val="24"/>
          <w:szCs w:val="24"/>
        </w:rPr>
      </w:pPr>
    </w:p>
    <w:p w14:paraId="5228D4BF">
      <w:pPr>
        <w:widowControl w:val="0"/>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53</w:t>
      </w:r>
      <w:r>
        <w:rPr>
          <w:sz w:val="24"/>
          <w:szCs w:val="24"/>
        </w:rPr>
        <w:fldChar w:fldCharType="end"/>
      </w:r>
      <w:r>
        <w:rPr>
          <w:sz w:val="24"/>
          <w:szCs w:val="24"/>
        </w:rPr>
        <w:t xml:space="preserve"> – Фактический и перспективный баланс тепловой мощности котельных и нагрузок в с.п. Верхеказымский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857"/>
        <w:gridCol w:w="857"/>
        <w:gridCol w:w="857"/>
        <w:gridCol w:w="857"/>
        <w:gridCol w:w="857"/>
        <w:gridCol w:w="857"/>
        <w:gridCol w:w="858"/>
        <w:gridCol w:w="858"/>
      </w:tblGrid>
      <w:tr w14:paraId="719A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3063EB0D">
            <w:pPr>
              <w:spacing w:after="0" w:line="240" w:lineRule="auto"/>
              <w:ind w:firstLine="0"/>
              <w:jc w:val="center"/>
              <w:rPr>
                <w:color w:val="000000"/>
                <w:sz w:val="20"/>
                <w:szCs w:val="20"/>
              </w:rPr>
            </w:pPr>
            <w:r>
              <w:rPr>
                <w:color w:val="000000"/>
                <w:sz w:val="20"/>
                <w:szCs w:val="20"/>
              </w:rPr>
              <w:t>Наименование источника</w:t>
            </w:r>
          </w:p>
        </w:tc>
        <w:tc>
          <w:tcPr>
            <w:tcW w:w="435" w:type="pct"/>
            <w:shd w:val="clear" w:color="auto" w:fill="auto"/>
            <w:vAlign w:val="center"/>
          </w:tcPr>
          <w:p w14:paraId="28324B94">
            <w:pPr>
              <w:spacing w:after="0" w:line="240" w:lineRule="auto"/>
              <w:ind w:firstLine="0"/>
              <w:jc w:val="center"/>
              <w:rPr>
                <w:color w:val="000000"/>
                <w:sz w:val="20"/>
                <w:szCs w:val="20"/>
              </w:rPr>
            </w:pPr>
            <w:r>
              <w:rPr>
                <w:color w:val="000000"/>
                <w:sz w:val="20"/>
                <w:szCs w:val="20"/>
              </w:rPr>
              <w:t>Ед. изм.</w:t>
            </w:r>
          </w:p>
        </w:tc>
        <w:tc>
          <w:tcPr>
            <w:tcW w:w="435" w:type="pct"/>
            <w:shd w:val="clear" w:color="auto" w:fill="auto"/>
            <w:vAlign w:val="center"/>
          </w:tcPr>
          <w:p w14:paraId="3EE3F858">
            <w:pPr>
              <w:spacing w:after="0" w:line="240" w:lineRule="auto"/>
              <w:ind w:firstLine="0"/>
              <w:jc w:val="center"/>
              <w:rPr>
                <w:color w:val="000000"/>
                <w:sz w:val="20"/>
                <w:szCs w:val="20"/>
              </w:rPr>
            </w:pPr>
            <w:r>
              <w:rPr>
                <w:color w:val="000000"/>
                <w:sz w:val="20"/>
                <w:szCs w:val="20"/>
              </w:rPr>
              <w:t>2023</w:t>
            </w:r>
          </w:p>
        </w:tc>
        <w:tc>
          <w:tcPr>
            <w:tcW w:w="435" w:type="pct"/>
            <w:shd w:val="clear" w:color="auto" w:fill="auto"/>
            <w:vAlign w:val="center"/>
          </w:tcPr>
          <w:p w14:paraId="38CA19A8">
            <w:pPr>
              <w:spacing w:after="0" w:line="240" w:lineRule="auto"/>
              <w:ind w:firstLine="0"/>
              <w:jc w:val="center"/>
              <w:rPr>
                <w:color w:val="000000"/>
                <w:sz w:val="20"/>
                <w:szCs w:val="20"/>
              </w:rPr>
            </w:pPr>
            <w:r>
              <w:rPr>
                <w:color w:val="000000"/>
                <w:sz w:val="20"/>
                <w:szCs w:val="20"/>
              </w:rPr>
              <w:t>2024</w:t>
            </w:r>
          </w:p>
        </w:tc>
        <w:tc>
          <w:tcPr>
            <w:tcW w:w="435" w:type="pct"/>
            <w:shd w:val="clear" w:color="auto" w:fill="auto"/>
            <w:vAlign w:val="center"/>
          </w:tcPr>
          <w:p w14:paraId="25772AE3">
            <w:pPr>
              <w:spacing w:after="0" w:line="240" w:lineRule="auto"/>
              <w:ind w:firstLine="0"/>
              <w:jc w:val="center"/>
              <w:rPr>
                <w:color w:val="000000"/>
                <w:sz w:val="20"/>
                <w:szCs w:val="20"/>
              </w:rPr>
            </w:pPr>
            <w:r>
              <w:rPr>
                <w:color w:val="000000"/>
                <w:sz w:val="20"/>
                <w:szCs w:val="20"/>
              </w:rPr>
              <w:t>2025</w:t>
            </w:r>
          </w:p>
        </w:tc>
        <w:tc>
          <w:tcPr>
            <w:tcW w:w="435" w:type="pct"/>
            <w:shd w:val="clear" w:color="auto" w:fill="auto"/>
            <w:vAlign w:val="center"/>
          </w:tcPr>
          <w:p w14:paraId="57BBFDAC">
            <w:pPr>
              <w:spacing w:after="0" w:line="240" w:lineRule="auto"/>
              <w:ind w:firstLine="0"/>
              <w:jc w:val="center"/>
              <w:rPr>
                <w:color w:val="000000"/>
                <w:sz w:val="20"/>
                <w:szCs w:val="20"/>
              </w:rPr>
            </w:pPr>
            <w:r>
              <w:rPr>
                <w:color w:val="000000"/>
                <w:sz w:val="20"/>
                <w:szCs w:val="20"/>
              </w:rPr>
              <w:t>2026</w:t>
            </w:r>
          </w:p>
        </w:tc>
        <w:tc>
          <w:tcPr>
            <w:tcW w:w="435" w:type="pct"/>
            <w:shd w:val="clear" w:color="auto" w:fill="auto"/>
            <w:vAlign w:val="center"/>
          </w:tcPr>
          <w:p w14:paraId="703B3876">
            <w:pPr>
              <w:spacing w:after="0" w:line="240" w:lineRule="auto"/>
              <w:ind w:firstLine="0"/>
              <w:jc w:val="center"/>
              <w:rPr>
                <w:color w:val="000000"/>
                <w:sz w:val="20"/>
                <w:szCs w:val="20"/>
              </w:rPr>
            </w:pPr>
            <w:r>
              <w:rPr>
                <w:color w:val="000000"/>
                <w:sz w:val="20"/>
                <w:szCs w:val="20"/>
              </w:rPr>
              <w:t>2027</w:t>
            </w:r>
          </w:p>
        </w:tc>
        <w:tc>
          <w:tcPr>
            <w:tcW w:w="435" w:type="pct"/>
            <w:shd w:val="clear" w:color="auto" w:fill="auto"/>
            <w:vAlign w:val="center"/>
          </w:tcPr>
          <w:p w14:paraId="6CCA0E27">
            <w:pPr>
              <w:spacing w:after="0" w:line="240" w:lineRule="auto"/>
              <w:ind w:firstLine="0"/>
              <w:jc w:val="center"/>
              <w:rPr>
                <w:color w:val="000000"/>
                <w:sz w:val="20"/>
                <w:szCs w:val="20"/>
              </w:rPr>
            </w:pPr>
            <w:r>
              <w:rPr>
                <w:color w:val="000000"/>
                <w:sz w:val="20"/>
                <w:szCs w:val="20"/>
              </w:rPr>
              <w:t>2028</w:t>
            </w:r>
          </w:p>
        </w:tc>
        <w:tc>
          <w:tcPr>
            <w:tcW w:w="435" w:type="pct"/>
            <w:shd w:val="clear" w:color="auto" w:fill="auto"/>
            <w:vAlign w:val="center"/>
          </w:tcPr>
          <w:p w14:paraId="11681FAC">
            <w:pPr>
              <w:spacing w:after="0" w:line="240" w:lineRule="auto"/>
              <w:ind w:firstLine="0"/>
              <w:jc w:val="center"/>
              <w:rPr>
                <w:color w:val="000000"/>
                <w:sz w:val="20"/>
                <w:szCs w:val="20"/>
              </w:rPr>
            </w:pPr>
            <w:r>
              <w:rPr>
                <w:color w:val="000000"/>
                <w:sz w:val="20"/>
                <w:szCs w:val="20"/>
              </w:rPr>
              <w:t>2029</w:t>
            </w:r>
          </w:p>
        </w:tc>
      </w:tr>
      <w:tr w14:paraId="6AE0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3A424FE1">
            <w:pPr>
              <w:spacing w:after="0" w:line="240" w:lineRule="auto"/>
              <w:ind w:firstLine="0"/>
              <w:jc w:val="center"/>
              <w:rPr>
                <w:color w:val="000000"/>
                <w:sz w:val="20"/>
                <w:szCs w:val="20"/>
              </w:rPr>
            </w:pPr>
            <w:r>
              <w:rPr>
                <w:color w:val="000000"/>
                <w:sz w:val="20"/>
                <w:szCs w:val="20"/>
              </w:rPr>
              <w:t>Котельная №2 МУП «БКС»</w:t>
            </w:r>
          </w:p>
        </w:tc>
        <w:tc>
          <w:tcPr>
            <w:tcW w:w="435" w:type="pct"/>
            <w:shd w:val="clear" w:color="auto" w:fill="auto"/>
            <w:vAlign w:val="center"/>
          </w:tcPr>
          <w:p w14:paraId="3376E829">
            <w:pPr>
              <w:spacing w:after="0" w:line="240" w:lineRule="auto"/>
              <w:ind w:firstLine="0"/>
              <w:jc w:val="center"/>
              <w:rPr>
                <w:color w:val="000000"/>
                <w:sz w:val="20"/>
                <w:szCs w:val="20"/>
              </w:rPr>
            </w:pPr>
            <w:r>
              <w:rPr>
                <w:color w:val="000000"/>
                <w:sz w:val="20"/>
                <w:szCs w:val="20"/>
              </w:rPr>
              <w:t> </w:t>
            </w:r>
          </w:p>
        </w:tc>
        <w:tc>
          <w:tcPr>
            <w:tcW w:w="435" w:type="pct"/>
            <w:shd w:val="clear" w:color="auto" w:fill="auto"/>
            <w:noWrap/>
            <w:vAlign w:val="bottom"/>
          </w:tcPr>
          <w:p w14:paraId="756EDA1D">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14965054">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6D3F2CEB">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5319F87A">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5DE2684B">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63CFD738">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5EE9EC06">
            <w:pPr>
              <w:spacing w:after="0" w:line="240" w:lineRule="auto"/>
              <w:ind w:firstLine="0"/>
              <w:rPr>
                <w:color w:val="000000"/>
                <w:sz w:val="20"/>
                <w:szCs w:val="20"/>
              </w:rPr>
            </w:pPr>
            <w:r>
              <w:rPr>
                <w:color w:val="000000"/>
                <w:sz w:val="20"/>
                <w:szCs w:val="20"/>
              </w:rPr>
              <w:t> </w:t>
            </w:r>
          </w:p>
        </w:tc>
      </w:tr>
      <w:tr w14:paraId="0F29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3515A0BF">
            <w:pPr>
              <w:spacing w:after="0" w:line="240" w:lineRule="auto"/>
              <w:ind w:firstLine="0"/>
              <w:rPr>
                <w:color w:val="000000"/>
                <w:sz w:val="20"/>
                <w:szCs w:val="20"/>
              </w:rPr>
            </w:pPr>
            <w:r>
              <w:rPr>
                <w:color w:val="000000"/>
                <w:sz w:val="20"/>
                <w:szCs w:val="20"/>
              </w:rPr>
              <w:t>Установленная мощность</w:t>
            </w:r>
          </w:p>
        </w:tc>
        <w:tc>
          <w:tcPr>
            <w:tcW w:w="435" w:type="pct"/>
            <w:shd w:val="clear" w:color="auto" w:fill="auto"/>
            <w:vAlign w:val="center"/>
          </w:tcPr>
          <w:p w14:paraId="66804524">
            <w:pPr>
              <w:spacing w:after="0" w:line="240" w:lineRule="auto"/>
              <w:ind w:firstLine="0"/>
              <w:jc w:val="center"/>
              <w:rPr>
                <w:color w:val="000000"/>
                <w:sz w:val="20"/>
                <w:szCs w:val="20"/>
              </w:rPr>
            </w:pPr>
            <w:r>
              <w:rPr>
                <w:color w:val="000000"/>
                <w:sz w:val="20"/>
                <w:szCs w:val="20"/>
              </w:rPr>
              <w:t>Гкал/ч</w:t>
            </w:r>
          </w:p>
        </w:tc>
        <w:tc>
          <w:tcPr>
            <w:tcW w:w="435" w:type="pct"/>
            <w:shd w:val="clear" w:color="auto" w:fill="auto"/>
            <w:noWrap/>
            <w:vAlign w:val="bottom"/>
          </w:tcPr>
          <w:p w14:paraId="5EAEB9FB">
            <w:pPr>
              <w:spacing w:after="0" w:line="240" w:lineRule="auto"/>
              <w:ind w:firstLine="0"/>
              <w:jc w:val="right"/>
              <w:rPr>
                <w:color w:val="000000"/>
                <w:sz w:val="20"/>
                <w:szCs w:val="20"/>
              </w:rPr>
            </w:pPr>
            <w:r>
              <w:rPr>
                <w:color w:val="000000"/>
                <w:sz w:val="20"/>
                <w:szCs w:val="20"/>
              </w:rPr>
              <w:t>6,02</w:t>
            </w:r>
          </w:p>
        </w:tc>
        <w:tc>
          <w:tcPr>
            <w:tcW w:w="435" w:type="pct"/>
            <w:shd w:val="clear" w:color="auto" w:fill="auto"/>
            <w:noWrap/>
            <w:vAlign w:val="bottom"/>
          </w:tcPr>
          <w:p w14:paraId="51CF47C6">
            <w:pPr>
              <w:spacing w:after="0" w:line="240" w:lineRule="auto"/>
              <w:ind w:firstLine="0"/>
              <w:jc w:val="right"/>
              <w:rPr>
                <w:color w:val="000000"/>
                <w:sz w:val="20"/>
                <w:szCs w:val="20"/>
              </w:rPr>
            </w:pPr>
            <w:r>
              <w:rPr>
                <w:color w:val="000000"/>
                <w:sz w:val="20"/>
                <w:szCs w:val="20"/>
              </w:rPr>
              <w:t>6,02</w:t>
            </w:r>
          </w:p>
        </w:tc>
        <w:tc>
          <w:tcPr>
            <w:tcW w:w="435" w:type="pct"/>
            <w:shd w:val="clear" w:color="auto" w:fill="auto"/>
            <w:noWrap/>
            <w:vAlign w:val="bottom"/>
          </w:tcPr>
          <w:p w14:paraId="17762E3D">
            <w:pPr>
              <w:spacing w:after="0" w:line="240" w:lineRule="auto"/>
              <w:ind w:firstLine="0"/>
              <w:jc w:val="right"/>
              <w:rPr>
                <w:color w:val="000000"/>
                <w:sz w:val="20"/>
                <w:szCs w:val="20"/>
              </w:rPr>
            </w:pPr>
            <w:r>
              <w:rPr>
                <w:color w:val="000000"/>
                <w:sz w:val="20"/>
                <w:szCs w:val="20"/>
              </w:rPr>
              <w:t>6,02</w:t>
            </w:r>
          </w:p>
        </w:tc>
        <w:tc>
          <w:tcPr>
            <w:tcW w:w="435" w:type="pct"/>
            <w:shd w:val="clear" w:color="auto" w:fill="auto"/>
            <w:noWrap/>
            <w:vAlign w:val="bottom"/>
          </w:tcPr>
          <w:p w14:paraId="32488266">
            <w:pPr>
              <w:spacing w:after="0" w:line="240" w:lineRule="auto"/>
              <w:ind w:firstLine="0"/>
              <w:jc w:val="right"/>
              <w:rPr>
                <w:color w:val="000000"/>
                <w:sz w:val="20"/>
                <w:szCs w:val="20"/>
              </w:rPr>
            </w:pPr>
            <w:r>
              <w:rPr>
                <w:color w:val="000000"/>
                <w:sz w:val="20"/>
                <w:szCs w:val="20"/>
              </w:rPr>
              <w:t>6,02</w:t>
            </w:r>
          </w:p>
        </w:tc>
        <w:tc>
          <w:tcPr>
            <w:tcW w:w="435" w:type="pct"/>
            <w:shd w:val="clear" w:color="auto" w:fill="auto"/>
            <w:noWrap/>
            <w:vAlign w:val="bottom"/>
          </w:tcPr>
          <w:p w14:paraId="724CDBFA">
            <w:pPr>
              <w:spacing w:after="0" w:line="240" w:lineRule="auto"/>
              <w:ind w:firstLine="0"/>
              <w:jc w:val="right"/>
              <w:rPr>
                <w:color w:val="000000"/>
                <w:sz w:val="20"/>
                <w:szCs w:val="20"/>
              </w:rPr>
            </w:pPr>
            <w:r>
              <w:rPr>
                <w:color w:val="000000"/>
                <w:sz w:val="20"/>
                <w:szCs w:val="20"/>
              </w:rPr>
              <w:t>6,02</w:t>
            </w:r>
          </w:p>
        </w:tc>
        <w:tc>
          <w:tcPr>
            <w:tcW w:w="435" w:type="pct"/>
            <w:shd w:val="clear" w:color="auto" w:fill="auto"/>
            <w:noWrap/>
            <w:vAlign w:val="bottom"/>
          </w:tcPr>
          <w:p w14:paraId="26A5C937">
            <w:pPr>
              <w:spacing w:after="0" w:line="240" w:lineRule="auto"/>
              <w:ind w:firstLine="0"/>
              <w:jc w:val="right"/>
              <w:rPr>
                <w:color w:val="000000"/>
                <w:sz w:val="20"/>
                <w:szCs w:val="20"/>
              </w:rPr>
            </w:pPr>
            <w:r>
              <w:rPr>
                <w:color w:val="000000"/>
                <w:sz w:val="20"/>
                <w:szCs w:val="20"/>
              </w:rPr>
              <w:t>6,02</w:t>
            </w:r>
          </w:p>
        </w:tc>
        <w:tc>
          <w:tcPr>
            <w:tcW w:w="435" w:type="pct"/>
            <w:shd w:val="clear" w:color="auto" w:fill="auto"/>
            <w:noWrap/>
            <w:vAlign w:val="bottom"/>
          </w:tcPr>
          <w:p w14:paraId="566F536F">
            <w:pPr>
              <w:spacing w:after="0" w:line="240" w:lineRule="auto"/>
              <w:ind w:firstLine="0"/>
              <w:jc w:val="right"/>
              <w:rPr>
                <w:color w:val="000000"/>
                <w:sz w:val="20"/>
                <w:szCs w:val="20"/>
              </w:rPr>
            </w:pPr>
            <w:r>
              <w:rPr>
                <w:color w:val="000000"/>
                <w:sz w:val="20"/>
                <w:szCs w:val="20"/>
              </w:rPr>
              <w:t>6,02</w:t>
            </w:r>
          </w:p>
        </w:tc>
      </w:tr>
      <w:tr w14:paraId="57F3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6B6495F8">
            <w:pPr>
              <w:spacing w:after="0" w:line="240" w:lineRule="auto"/>
              <w:ind w:firstLine="0"/>
              <w:rPr>
                <w:color w:val="000000"/>
                <w:sz w:val="20"/>
                <w:szCs w:val="20"/>
              </w:rPr>
            </w:pPr>
            <w:r>
              <w:rPr>
                <w:color w:val="000000"/>
                <w:sz w:val="20"/>
                <w:szCs w:val="20"/>
              </w:rPr>
              <w:t>Нагрузка на коллекторах</w:t>
            </w:r>
          </w:p>
        </w:tc>
        <w:tc>
          <w:tcPr>
            <w:tcW w:w="435" w:type="pct"/>
            <w:shd w:val="clear" w:color="auto" w:fill="auto"/>
            <w:vAlign w:val="center"/>
          </w:tcPr>
          <w:p w14:paraId="70E7905B">
            <w:pPr>
              <w:spacing w:after="0" w:line="240" w:lineRule="auto"/>
              <w:ind w:firstLine="0"/>
              <w:jc w:val="center"/>
              <w:rPr>
                <w:color w:val="000000"/>
                <w:sz w:val="20"/>
                <w:szCs w:val="20"/>
              </w:rPr>
            </w:pPr>
            <w:r>
              <w:rPr>
                <w:color w:val="000000"/>
                <w:sz w:val="20"/>
                <w:szCs w:val="20"/>
              </w:rPr>
              <w:t>Гкал/ч</w:t>
            </w:r>
          </w:p>
        </w:tc>
        <w:tc>
          <w:tcPr>
            <w:tcW w:w="43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B06B6D">
            <w:pPr>
              <w:spacing w:after="0" w:line="240" w:lineRule="auto"/>
              <w:ind w:firstLine="0"/>
              <w:jc w:val="right"/>
              <w:rPr>
                <w:color w:val="000000"/>
                <w:sz w:val="20"/>
                <w:szCs w:val="20"/>
              </w:rPr>
            </w:pPr>
            <w:r>
              <w:rPr>
                <w:color w:val="000000"/>
                <w:sz w:val="20"/>
                <w:szCs w:val="20"/>
              </w:rPr>
              <w:t>0,72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6D23E3DE">
            <w:pPr>
              <w:spacing w:after="0" w:line="240" w:lineRule="auto"/>
              <w:ind w:firstLine="0"/>
              <w:jc w:val="right"/>
              <w:rPr>
                <w:color w:val="000000"/>
                <w:sz w:val="20"/>
                <w:szCs w:val="20"/>
              </w:rPr>
            </w:pPr>
            <w:r>
              <w:rPr>
                <w:color w:val="000000"/>
                <w:sz w:val="20"/>
                <w:szCs w:val="20"/>
              </w:rPr>
              <w:t>0,72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161DBF2D">
            <w:pPr>
              <w:spacing w:after="0" w:line="240" w:lineRule="auto"/>
              <w:ind w:firstLine="0"/>
              <w:jc w:val="right"/>
              <w:rPr>
                <w:color w:val="000000"/>
                <w:sz w:val="20"/>
                <w:szCs w:val="20"/>
              </w:rPr>
            </w:pPr>
            <w:r>
              <w:rPr>
                <w:color w:val="000000"/>
                <w:sz w:val="20"/>
                <w:szCs w:val="20"/>
              </w:rPr>
              <w:t>0,72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795BA9C1">
            <w:pPr>
              <w:spacing w:after="0" w:line="240" w:lineRule="auto"/>
              <w:ind w:firstLine="0"/>
              <w:jc w:val="right"/>
              <w:rPr>
                <w:color w:val="000000"/>
                <w:sz w:val="20"/>
                <w:szCs w:val="20"/>
              </w:rPr>
            </w:pPr>
            <w:r>
              <w:rPr>
                <w:color w:val="000000"/>
                <w:sz w:val="20"/>
                <w:szCs w:val="20"/>
              </w:rPr>
              <w:t>0,72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084AAB56">
            <w:pPr>
              <w:spacing w:after="0" w:line="240" w:lineRule="auto"/>
              <w:ind w:firstLine="0"/>
              <w:jc w:val="right"/>
              <w:rPr>
                <w:color w:val="000000"/>
                <w:sz w:val="20"/>
                <w:szCs w:val="20"/>
              </w:rPr>
            </w:pPr>
            <w:r>
              <w:rPr>
                <w:color w:val="000000"/>
                <w:sz w:val="20"/>
                <w:szCs w:val="20"/>
              </w:rPr>
              <w:t>0,72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38AA122D">
            <w:pPr>
              <w:spacing w:after="0" w:line="240" w:lineRule="auto"/>
              <w:ind w:firstLine="0"/>
              <w:jc w:val="right"/>
              <w:rPr>
                <w:color w:val="000000"/>
                <w:sz w:val="20"/>
                <w:szCs w:val="20"/>
              </w:rPr>
            </w:pPr>
            <w:r>
              <w:rPr>
                <w:color w:val="000000"/>
                <w:sz w:val="20"/>
                <w:szCs w:val="20"/>
              </w:rPr>
              <w:t>0,72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2654B8DC">
            <w:pPr>
              <w:spacing w:after="0" w:line="240" w:lineRule="auto"/>
              <w:ind w:firstLine="0"/>
              <w:jc w:val="right"/>
              <w:rPr>
                <w:color w:val="000000"/>
                <w:sz w:val="20"/>
                <w:szCs w:val="20"/>
              </w:rPr>
            </w:pPr>
            <w:r>
              <w:rPr>
                <w:color w:val="000000"/>
                <w:sz w:val="20"/>
                <w:szCs w:val="20"/>
              </w:rPr>
              <w:t>0,72</w:t>
            </w:r>
          </w:p>
        </w:tc>
      </w:tr>
      <w:tr w14:paraId="282A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1B0EC59B">
            <w:pPr>
              <w:spacing w:after="0" w:line="240" w:lineRule="auto"/>
              <w:ind w:firstLine="0"/>
              <w:jc w:val="center"/>
              <w:rPr>
                <w:color w:val="000000"/>
                <w:sz w:val="20"/>
                <w:szCs w:val="20"/>
              </w:rPr>
            </w:pPr>
            <w:r>
              <w:rPr>
                <w:color w:val="000000"/>
                <w:sz w:val="20"/>
                <w:szCs w:val="20"/>
              </w:rPr>
              <w:t>КС «Верхнеказымская», котельные «Вирбекс», «2БВК»</w:t>
            </w:r>
          </w:p>
        </w:tc>
        <w:tc>
          <w:tcPr>
            <w:tcW w:w="435" w:type="pct"/>
            <w:shd w:val="clear" w:color="auto" w:fill="auto"/>
            <w:noWrap/>
            <w:vAlign w:val="bottom"/>
          </w:tcPr>
          <w:p w14:paraId="1913ECB3">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5CB2720D">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789EC8EF">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61777267">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1A9902F4">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44DCA2F6">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6BE414C6">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76CDBA92">
            <w:pPr>
              <w:spacing w:after="0" w:line="240" w:lineRule="auto"/>
              <w:ind w:firstLine="0"/>
              <w:rPr>
                <w:color w:val="000000"/>
                <w:sz w:val="20"/>
                <w:szCs w:val="20"/>
              </w:rPr>
            </w:pPr>
            <w:r>
              <w:rPr>
                <w:color w:val="000000"/>
                <w:sz w:val="20"/>
                <w:szCs w:val="20"/>
              </w:rPr>
              <w:t> </w:t>
            </w:r>
          </w:p>
        </w:tc>
      </w:tr>
      <w:tr w14:paraId="6223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6A82A52D">
            <w:pPr>
              <w:spacing w:after="0" w:line="240" w:lineRule="auto"/>
              <w:ind w:firstLine="0"/>
              <w:rPr>
                <w:color w:val="000000"/>
                <w:sz w:val="20"/>
                <w:szCs w:val="20"/>
              </w:rPr>
            </w:pPr>
            <w:r>
              <w:rPr>
                <w:color w:val="000000"/>
                <w:sz w:val="20"/>
                <w:szCs w:val="20"/>
              </w:rPr>
              <w:t>Установленная мощность</w:t>
            </w:r>
          </w:p>
        </w:tc>
        <w:tc>
          <w:tcPr>
            <w:tcW w:w="435" w:type="pct"/>
            <w:shd w:val="clear" w:color="auto" w:fill="auto"/>
            <w:vAlign w:val="center"/>
          </w:tcPr>
          <w:p w14:paraId="1E68027F">
            <w:pPr>
              <w:spacing w:after="0" w:line="240" w:lineRule="auto"/>
              <w:ind w:firstLine="0"/>
              <w:jc w:val="center"/>
              <w:rPr>
                <w:color w:val="000000"/>
                <w:sz w:val="20"/>
                <w:szCs w:val="20"/>
              </w:rPr>
            </w:pPr>
            <w:r>
              <w:rPr>
                <w:color w:val="000000"/>
                <w:sz w:val="20"/>
                <w:szCs w:val="20"/>
              </w:rPr>
              <w:t>Гкал/ч</w:t>
            </w:r>
          </w:p>
        </w:tc>
        <w:tc>
          <w:tcPr>
            <w:tcW w:w="435" w:type="pct"/>
            <w:shd w:val="clear" w:color="auto" w:fill="auto"/>
            <w:noWrap/>
            <w:vAlign w:val="bottom"/>
          </w:tcPr>
          <w:p w14:paraId="0F3B94CA">
            <w:pPr>
              <w:spacing w:after="0" w:line="240" w:lineRule="auto"/>
              <w:ind w:firstLine="0"/>
              <w:jc w:val="right"/>
              <w:rPr>
                <w:color w:val="000000"/>
                <w:sz w:val="20"/>
                <w:szCs w:val="20"/>
              </w:rPr>
            </w:pPr>
            <w:r>
              <w:rPr>
                <w:color w:val="000000"/>
                <w:sz w:val="20"/>
                <w:szCs w:val="20"/>
              </w:rPr>
              <w:t>47,72</w:t>
            </w:r>
          </w:p>
        </w:tc>
        <w:tc>
          <w:tcPr>
            <w:tcW w:w="435" w:type="pct"/>
            <w:shd w:val="clear" w:color="auto" w:fill="auto"/>
            <w:noWrap/>
            <w:vAlign w:val="bottom"/>
          </w:tcPr>
          <w:p w14:paraId="408FB670">
            <w:pPr>
              <w:spacing w:after="0" w:line="240" w:lineRule="auto"/>
              <w:ind w:firstLine="0"/>
              <w:jc w:val="right"/>
              <w:rPr>
                <w:color w:val="000000"/>
                <w:sz w:val="20"/>
                <w:szCs w:val="20"/>
              </w:rPr>
            </w:pPr>
            <w:r>
              <w:rPr>
                <w:color w:val="000000"/>
                <w:sz w:val="20"/>
                <w:szCs w:val="20"/>
              </w:rPr>
              <w:t>47,72</w:t>
            </w:r>
          </w:p>
        </w:tc>
        <w:tc>
          <w:tcPr>
            <w:tcW w:w="435" w:type="pct"/>
            <w:shd w:val="clear" w:color="auto" w:fill="auto"/>
            <w:noWrap/>
            <w:vAlign w:val="bottom"/>
          </w:tcPr>
          <w:p w14:paraId="69BC32AD">
            <w:pPr>
              <w:spacing w:after="0" w:line="240" w:lineRule="auto"/>
              <w:ind w:firstLine="0"/>
              <w:jc w:val="right"/>
              <w:rPr>
                <w:color w:val="000000"/>
                <w:sz w:val="20"/>
                <w:szCs w:val="20"/>
              </w:rPr>
            </w:pPr>
            <w:r>
              <w:rPr>
                <w:color w:val="000000"/>
                <w:sz w:val="20"/>
                <w:szCs w:val="20"/>
              </w:rPr>
              <w:t>47,72</w:t>
            </w:r>
          </w:p>
        </w:tc>
        <w:tc>
          <w:tcPr>
            <w:tcW w:w="435" w:type="pct"/>
            <w:shd w:val="clear" w:color="auto" w:fill="auto"/>
            <w:noWrap/>
            <w:vAlign w:val="bottom"/>
          </w:tcPr>
          <w:p w14:paraId="4C6E52CE">
            <w:pPr>
              <w:spacing w:after="0" w:line="240" w:lineRule="auto"/>
              <w:ind w:firstLine="0"/>
              <w:jc w:val="right"/>
              <w:rPr>
                <w:color w:val="000000"/>
                <w:sz w:val="20"/>
                <w:szCs w:val="20"/>
              </w:rPr>
            </w:pPr>
            <w:r>
              <w:rPr>
                <w:color w:val="000000"/>
                <w:sz w:val="20"/>
                <w:szCs w:val="20"/>
              </w:rPr>
              <w:t>47,72</w:t>
            </w:r>
          </w:p>
        </w:tc>
        <w:tc>
          <w:tcPr>
            <w:tcW w:w="435" w:type="pct"/>
            <w:shd w:val="clear" w:color="auto" w:fill="auto"/>
            <w:noWrap/>
            <w:vAlign w:val="bottom"/>
          </w:tcPr>
          <w:p w14:paraId="290047A4">
            <w:pPr>
              <w:spacing w:after="0" w:line="240" w:lineRule="auto"/>
              <w:ind w:firstLine="0"/>
              <w:jc w:val="right"/>
              <w:rPr>
                <w:color w:val="000000"/>
                <w:sz w:val="20"/>
                <w:szCs w:val="20"/>
              </w:rPr>
            </w:pPr>
            <w:r>
              <w:rPr>
                <w:color w:val="000000"/>
                <w:sz w:val="20"/>
                <w:szCs w:val="20"/>
              </w:rPr>
              <w:t>47,72</w:t>
            </w:r>
          </w:p>
        </w:tc>
        <w:tc>
          <w:tcPr>
            <w:tcW w:w="435" w:type="pct"/>
            <w:shd w:val="clear" w:color="auto" w:fill="auto"/>
            <w:noWrap/>
            <w:vAlign w:val="bottom"/>
          </w:tcPr>
          <w:p w14:paraId="574F78E0">
            <w:pPr>
              <w:spacing w:after="0" w:line="240" w:lineRule="auto"/>
              <w:ind w:firstLine="0"/>
              <w:jc w:val="right"/>
              <w:rPr>
                <w:color w:val="000000"/>
                <w:sz w:val="20"/>
                <w:szCs w:val="20"/>
              </w:rPr>
            </w:pPr>
            <w:r>
              <w:rPr>
                <w:color w:val="000000"/>
                <w:sz w:val="20"/>
                <w:szCs w:val="20"/>
              </w:rPr>
              <w:t>47,72</w:t>
            </w:r>
          </w:p>
        </w:tc>
        <w:tc>
          <w:tcPr>
            <w:tcW w:w="435" w:type="pct"/>
            <w:shd w:val="clear" w:color="auto" w:fill="auto"/>
            <w:noWrap/>
            <w:vAlign w:val="bottom"/>
          </w:tcPr>
          <w:p w14:paraId="06B9197A">
            <w:pPr>
              <w:spacing w:after="0" w:line="240" w:lineRule="auto"/>
              <w:ind w:firstLine="0"/>
              <w:jc w:val="right"/>
              <w:rPr>
                <w:color w:val="000000"/>
                <w:sz w:val="20"/>
                <w:szCs w:val="20"/>
              </w:rPr>
            </w:pPr>
            <w:r>
              <w:rPr>
                <w:color w:val="000000"/>
                <w:sz w:val="20"/>
                <w:szCs w:val="20"/>
              </w:rPr>
              <w:t>47,72</w:t>
            </w:r>
          </w:p>
        </w:tc>
      </w:tr>
      <w:tr w14:paraId="36A4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17521492">
            <w:pPr>
              <w:spacing w:after="0" w:line="240" w:lineRule="auto"/>
              <w:ind w:firstLine="0"/>
              <w:rPr>
                <w:color w:val="000000"/>
                <w:sz w:val="20"/>
                <w:szCs w:val="20"/>
              </w:rPr>
            </w:pPr>
            <w:r>
              <w:rPr>
                <w:color w:val="000000"/>
                <w:sz w:val="20"/>
                <w:szCs w:val="20"/>
              </w:rPr>
              <w:t>Нагрузка на коллекторах</w:t>
            </w:r>
          </w:p>
        </w:tc>
        <w:tc>
          <w:tcPr>
            <w:tcW w:w="435" w:type="pct"/>
            <w:shd w:val="clear" w:color="auto" w:fill="auto"/>
            <w:vAlign w:val="center"/>
          </w:tcPr>
          <w:p w14:paraId="7350A49B">
            <w:pPr>
              <w:spacing w:after="0" w:line="240" w:lineRule="auto"/>
              <w:ind w:firstLine="0"/>
              <w:jc w:val="center"/>
              <w:rPr>
                <w:color w:val="000000"/>
                <w:sz w:val="20"/>
                <w:szCs w:val="20"/>
              </w:rPr>
            </w:pPr>
            <w:r>
              <w:rPr>
                <w:color w:val="000000"/>
                <w:sz w:val="20"/>
                <w:szCs w:val="20"/>
              </w:rPr>
              <w:t>Гкал/ч</w:t>
            </w:r>
          </w:p>
        </w:tc>
        <w:tc>
          <w:tcPr>
            <w:tcW w:w="43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37C0C1">
            <w:pPr>
              <w:spacing w:after="0" w:line="240" w:lineRule="auto"/>
              <w:ind w:firstLine="0"/>
              <w:jc w:val="right"/>
              <w:rPr>
                <w:color w:val="000000"/>
                <w:sz w:val="20"/>
                <w:szCs w:val="20"/>
              </w:rPr>
            </w:pPr>
            <w:r>
              <w:rPr>
                <w:color w:val="000000"/>
                <w:sz w:val="20"/>
                <w:szCs w:val="20"/>
              </w:rPr>
              <w:t>2,30</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07C25250">
            <w:pPr>
              <w:spacing w:after="0" w:line="240" w:lineRule="auto"/>
              <w:ind w:firstLine="0"/>
              <w:jc w:val="right"/>
              <w:rPr>
                <w:color w:val="000000"/>
                <w:sz w:val="20"/>
                <w:szCs w:val="20"/>
              </w:rPr>
            </w:pPr>
            <w:r>
              <w:rPr>
                <w:color w:val="000000"/>
                <w:sz w:val="20"/>
                <w:szCs w:val="20"/>
              </w:rPr>
              <w:t>2,43</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6AD9B035">
            <w:pPr>
              <w:spacing w:after="0" w:line="240" w:lineRule="auto"/>
              <w:ind w:firstLine="0"/>
              <w:jc w:val="right"/>
              <w:rPr>
                <w:color w:val="000000"/>
                <w:sz w:val="20"/>
                <w:szCs w:val="20"/>
              </w:rPr>
            </w:pPr>
            <w:r>
              <w:rPr>
                <w:color w:val="000000"/>
                <w:sz w:val="20"/>
                <w:szCs w:val="20"/>
              </w:rPr>
              <w:t>2,57</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5E34143D">
            <w:pPr>
              <w:spacing w:after="0" w:line="240" w:lineRule="auto"/>
              <w:ind w:firstLine="0"/>
              <w:jc w:val="right"/>
              <w:rPr>
                <w:color w:val="000000"/>
                <w:sz w:val="20"/>
                <w:szCs w:val="20"/>
              </w:rPr>
            </w:pPr>
            <w:r>
              <w:rPr>
                <w:color w:val="000000"/>
                <w:sz w:val="20"/>
                <w:szCs w:val="20"/>
              </w:rPr>
              <w:t>2,73</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3F067399">
            <w:pPr>
              <w:spacing w:after="0" w:line="240" w:lineRule="auto"/>
              <w:ind w:firstLine="0"/>
              <w:jc w:val="right"/>
              <w:rPr>
                <w:color w:val="000000"/>
                <w:sz w:val="20"/>
                <w:szCs w:val="20"/>
              </w:rPr>
            </w:pPr>
            <w:r>
              <w:rPr>
                <w:color w:val="000000"/>
                <w:sz w:val="20"/>
                <w:szCs w:val="20"/>
              </w:rPr>
              <w:t>2,89</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50CA557E">
            <w:pPr>
              <w:spacing w:after="0" w:line="240" w:lineRule="auto"/>
              <w:ind w:firstLine="0"/>
              <w:jc w:val="right"/>
              <w:rPr>
                <w:color w:val="000000"/>
                <w:sz w:val="20"/>
                <w:szCs w:val="20"/>
              </w:rPr>
            </w:pPr>
            <w:r>
              <w:rPr>
                <w:color w:val="000000"/>
                <w:sz w:val="20"/>
                <w:szCs w:val="20"/>
              </w:rPr>
              <w:t>3,07</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7017BE6C">
            <w:pPr>
              <w:spacing w:after="0" w:line="240" w:lineRule="auto"/>
              <w:ind w:firstLine="0"/>
              <w:jc w:val="right"/>
              <w:rPr>
                <w:color w:val="000000"/>
                <w:sz w:val="20"/>
                <w:szCs w:val="20"/>
              </w:rPr>
            </w:pPr>
            <w:r>
              <w:rPr>
                <w:color w:val="000000"/>
                <w:sz w:val="20"/>
                <w:szCs w:val="20"/>
              </w:rPr>
              <w:t>3,26</w:t>
            </w:r>
          </w:p>
        </w:tc>
      </w:tr>
      <w:tr w14:paraId="32EB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noWrap/>
            <w:vAlign w:val="center"/>
          </w:tcPr>
          <w:p w14:paraId="76B59229">
            <w:pPr>
              <w:spacing w:after="0" w:line="240" w:lineRule="auto"/>
              <w:ind w:firstLine="0"/>
              <w:jc w:val="center"/>
              <w:rPr>
                <w:color w:val="000000"/>
                <w:sz w:val="20"/>
                <w:szCs w:val="20"/>
              </w:rPr>
            </w:pPr>
            <w:r>
              <w:rPr>
                <w:color w:val="000000"/>
                <w:sz w:val="20"/>
                <w:szCs w:val="20"/>
              </w:rPr>
              <w:t>Итого по с.п. Верхнеказымский</w:t>
            </w:r>
          </w:p>
        </w:tc>
        <w:tc>
          <w:tcPr>
            <w:tcW w:w="435" w:type="pct"/>
            <w:shd w:val="clear" w:color="auto" w:fill="auto"/>
            <w:noWrap/>
            <w:vAlign w:val="bottom"/>
          </w:tcPr>
          <w:p w14:paraId="3E957B85">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35D7642D">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462FD359">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544D0A8F">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121454A4">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5BA30139">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4360A937">
            <w:pPr>
              <w:spacing w:after="0" w:line="240" w:lineRule="auto"/>
              <w:ind w:firstLine="0"/>
              <w:rPr>
                <w:color w:val="000000"/>
                <w:sz w:val="20"/>
                <w:szCs w:val="20"/>
              </w:rPr>
            </w:pPr>
            <w:r>
              <w:rPr>
                <w:color w:val="000000"/>
                <w:sz w:val="20"/>
                <w:szCs w:val="20"/>
              </w:rPr>
              <w:t> </w:t>
            </w:r>
          </w:p>
        </w:tc>
        <w:tc>
          <w:tcPr>
            <w:tcW w:w="435" w:type="pct"/>
            <w:shd w:val="clear" w:color="auto" w:fill="auto"/>
            <w:noWrap/>
            <w:vAlign w:val="bottom"/>
          </w:tcPr>
          <w:p w14:paraId="2B9930A8">
            <w:pPr>
              <w:spacing w:after="0" w:line="240" w:lineRule="auto"/>
              <w:ind w:firstLine="0"/>
              <w:rPr>
                <w:color w:val="000000"/>
                <w:sz w:val="20"/>
                <w:szCs w:val="20"/>
              </w:rPr>
            </w:pPr>
            <w:r>
              <w:rPr>
                <w:color w:val="000000"/>
                <w:sz w:val="20"/>
                <w:szCs w:val="20"/>
              </w:rPr>
              <w:t> </w:t>
            </w:r>
          </w:p>
        </w:tc>
      </w:tr>
      <w:tr w14:paraId="6434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3B49C375">
            <w:pPr>
              <w:spacing w:after="0" w:line="240" w:lineRule="auto"/>
              <w:ind w:firstLine="0"/>
              <w:rPr>
                <w:color w:val="000000"/>
                <w:sz w:val="20"/>
                <w:szCs w:val="20"/>
              </w:rPr>
            </w:pPr>
            <w:r>
              <w:rPr>
                <w:color w:val="000000"/>
                <w:sz w:val="20"/>
                <w:szCs w:val="20"/>
              </w:rPr>
              <w:t>Установленная мощность</w:t>
            </w:r>
          </w:p>
        </w:tc>
        <w:tc>
          <w:tcPr>
            <w:tcW w:w="435" w:type="pct"/>
            <w:shd w:val="clear" w:color="auto" w:fill="auto"/>
            <w:vAlign w:val="center"/>
          </w:tcPr>
          <w:p w14:paraId="0DD6C03E">
            <w:pPr>
              <w:spacing w:after="0" w:line="240" w:lineRule="auto"/>
              <w:ind w:firstLine="0"/>
              <w:jc w:val="center"/>
              <w:rPr>
                <w:color w:val="000000"/>
                <w:sz w:val="20"/>
                <w:szCs w:val="20"/>
              </w:rPr>
            </w:pPr>
            <w:r>
              <w:rPr>
                <w:color w:val="000000"/>
                <w:sz w:val="20"/>
                <w:szCs w:val="20"/>
              </w:rPr>
              <w:t>Гкал/ч</w:t>
            </w:r>
          </w:p>
        </w:tc>
        <w:tc>
          <w:tcPr>
            <w:tcW w:w="435" w:type="pct"/>
            <w:shd w:val="clear" w:color="auto" w:fill="auto"/>
            <w:noWrap/>
            <w:vAlign w:val="bottom"/>
          </w:tcPr>
          <w:p w14:paraId="5D5FB74E">
            <w:pPr>
              <w:spacing w:after="0" w:line="240" w:lineRule="auto"/>
              <w:ind w:firstLine="0"/>
              <w:jc w:val="right"/>
              <w:rPr>
                <w:color w:val="000000"/>
                <w:sz w:val="20"/>
                <w:szCs w:val="20"/>
              </w:rPr>
            </w:pPr>
            <w:r>
              <w:rPr>
                <w:color w:val="000000"/>
                <w:sz w:val="20"/>
                <w:szCs w:val="20"/>
              </w:rPr>
              <w:t>53,74</w:t>
            </w:r>
          </w:p>
        </w:tc>
        <w:tc>
          <w:tcPr>
            <w:tcW w:w="435" w:type="pct"/>
            <w:shd w:val="clear" w:color="auto" w:fill="auto"/>
            <w:noWrap/>
            <w:vAlign w:val="bottom"/>
          </w:tcPr>
          <w:p w14:paraId="5D579838">
            <w:pPr>
              <w:spacing w:after="0" w:line="240" w:lineRule="auto"/>
              <w:ind w:firstLine="0"/>
              <w:jc w:val="right"/>
              <w:rPr>
                <w:color w:val="000000"/>
                <w:sz w:val="20"/>
                <w:szCs w:val="20"/>
              </w:rPr>
            </w:pPr>
            <w:r>
              <w:rPr>
                <w:color w:val="000000"/>
                <w:sz w:val="20"/>
                <w:szCs w:val="20"/>
              </w:rPr>
              <w:t>53,74</w:t>
            </w:r>
          </w:p>
        </w:tc>
        <w:tc>
          <w:tcPr>
            <w:tcW w:w="435" w:type="pct"/>
            <w:shd w:val="clear" w:color="auto" w:fill="auto"/>
            <w:noWrap/>
            <w:vAlign w:val="bottom"/>
          </w:tcPr>
          <w:p w14:paraId="696B70C5">
            <w:pPr>
              <w:spacing w:after="0" w:line="240" w:lineRule="auto"/>
              <w:ind w:firstLine="0"/>
              <w:jc w:val="right"/>
              <w:rPr>
                <w:color w:val="000000"/>
                <w:sz w:val="20"/>
                <w:szCs w:val="20"/>
              </w:rPr>
            </w:pPr>
            <w:r>
              <w:rPr>
                <w:color w:val="000000"/>
                <w:sz w:val="20"/>
                <w:szCs w:val="20"/>
              </w:rPr>
              <w:t>53,74</w:t>
            </w:r>
          </w:p>
        </w:tc>
        <w:tc>
          <w:tcPr>
            <w:tcW w:w="435" w:type="pct"/>
            <w:shd w:val="clear" w:color="auto" w:fill="auto"/>
            <w:noWrap/>
            <w:vAlign w:val="bottom"/>
          </w:tcPr>
          <w:p w14:paraId="33E14DFC">
            <w:pPr>
              <w:spacing w:after="0" w:line="240" w:lineRule="auto"/>
              <w:ind w:firstLine="0"/>
              <w:jc w:val="right"/>
              <w:rPr>
                <w:color w:val="000000"/>
                <w:sz w:val="20"/>
                <w:szCs w:val="20"/>
              </w:rPr>
            </w:pPr>
            <w:r>
              <w:rPr>
                <w:color w:val="000000"/>
                <w:sz w:val="20"/>
                <w:szCs w:val="20"/>
              </w:rPr>
              <w:t>53,74</w:t>
            </w:r>
          </w:p>
        </w:tc>
        <w:tc>
          <w:tcPr>
            <w:tcW w:w="435" w:type="pct"/>
            <w:shd w:val="clear" w:color="auto" w:fill="auto"/>
            <w:noWrap/>
            <w:vAlign w:val="bottom"/>
          </w:tcPr>
          <w:p w14:paraId="3A17976B">
            <w:pPr>
              <w:spacing w:after="0" w:line="240" w:lineRule="auto"/>
              <w:ind w:firstLine="0"/>
              <w:jc w:val="right"/>
              <w:rPr>
                <w:color w:val="000000"/>
                <w:sz w:val="20"/>
                <w:szCs w:val="20"/>
              </w:rPr>
            </w:pPr>
            <w:r>
              <w:rPr>
                <w:color w:val="000000"/>
                <w:sz w:val="20"/>
                <w:szCs w:val="20"/>
              </w:rPr>
              <w:t>53,74</w:t>
            </w:r>
          </w:p>
        </w:tc>
        <w:tc>
          <w:tcPr>
            <w:tcW w:w="435" w:type="pct"/>
            <w:shd w:val="clear" w:color="auto" w:fill="auto"/>
            <w:noWrap/>
            <w:vAlign w:val="bottom"/>
          </w:tcPr>
          <w:p w14:paraId="76332970">
            <w:pPr>
              <w:spacing w:after="0" w:line="240" w:lineRule="auto"/>
              <w:ind w:firstLine="0"/>
              <w:jc w:val="right"/>
              <w:rPr>
                <w:color w:val="000000"/>
                <w:sz w:val="20"/>
                <w:szCs w:val="20"/>
              </w:rPr>
            </w:pPr>
            <w:r>
              <w:rPr>
                <w:color w:val="000000"/>
                <w:sz w:val="20"/>
                <w:szCs w:val="20"/>
              </w:rPr>
              <w:t>53,74</w:t>
            </w:r>
          </w:p>
        </w:tc>
        <w:tc>
          <w:tcPr>
            <w:tcW w:w="435" w:type="pct"/>
            <w:shd w:val="clear" w:color="auto" w:fill="auto"/>
            <w:noWrap/>
            <w:vAlign w:val="bottom"/>
          </w:tcPr>
          <w:p w14:paraId="6F798A91">
            <w:pPr>
              <w:spacing w:after="0" w:line="240" w:lineRule="auto"/>
              <w:ind w:firstLine="0"/>
              <w:jc w:val="right"/>
              <w:rPr>
                <w:color w:val="000000"/>
                <w:sz w:val="20"/>
                <w:szCs w:val="20"/>
              </w:rPr>
            </w:pPr>
            <w:r>
              <w:rPr>
                <w:color w:val="000000"/>
                <w:sz w:val="20"/>
                <w:szCs w:val="20"/>
              </w:rPr>
              <w:t>53,74</w:t>
            </w:r>
          </w:p>
        </w:tc>
      </w:tr>
      <w:tr w14:paraId="4BF6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0" w:type="pct"/>
            <w:shd w:val="clear" w:color="auto" w:fill="auto"/>
            <w:vAlign w:val="center"/>
          </w:tcPr>
          <w:p w14:paraId="7E7BB542">
            <w:pPr>
              <w:spacing w:after="0" w:line="240" w:lineRule="auto"/>
              <w:ind w:firstLine="0"/>
              <w:rPr>
                <w:color w:val="000000"/>
                <w:sz w:val="20"/>
                <w:szCs w:val="20"/>
              </w:rPr>
            </w:pPr>
            <w:r>
              <w:rPr>
                <w:color w:val="000000"/>
                <w:sz w:val="20"/>
                <w:szCs w:val="20"/>
              </w:rPr>
              <w:t>Нагрузка на коллекторах</w:t>
            </w:r>
          </w:p>
        </w:tc>
        <w:tc>
          <w:tcPr>
            <w:tcW w:w="435" w:type="pct"/>
            <w:shd w:val="clear" w:color="auto" w:fill="auto"/>
            <w:vAlign w:val="center"/>
          </w:tcPr>
          <w:p w14:paraId="5CFCB62A">
            <w:pPr>
              <w:spacing w:after="0" w:line="240" w:lineRule="auto"/>
              <w:ind w:firstLine="0"/>
              <w:jc w:val="center"/>
              <w:rPr>
                <w:color w:val="000000"/>
                <w:sz w:val="20"/>
                <w:szCs w:val="20"/>
              </w:rPr>
            </w:pPr>
            <w:r>
              <w:rPr>
                <w:color w:val="000000"/>
                <w:sz w:val="20"/>
                <w:szCs w:val="20"/>
              </w:rPr>
              <w:t>Гкал/ч</w:t>
            </w:r>
          </w:p>
        </w:tc>
        <w:tc>
          <w:tcPr>
            <w:tcW w:w="43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D5BEB3">
            <w:pPr>
              <w:spacing w:after="0" w:line="240" w:lineRule="auto"/>
              <w:ind w:firstLine="0"/>
              <w:jc w:val="right"/>
              <w:rPr>
                <w:color w:val="000000"/>
                <w:sz w:val="20"/>
                <w:szCs w:val="20"/>
              </w:rPr>
            </w:pPr>
            <w:r>
              <w:rPr>
                <w:color w:val="000000"/>
                <w:sz w:val="20"/>
                <w:szCs w:val="20"/>
              </w:rPr>
              <w:t>3,02</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4E4B13EC">
            <w:pPr>
              <w:spacing w:after="0" w:line="240" w:lineRule="auto"/>
              <w:ind w:firstLine="0"/>
              <w:jc w:val="right"/>
              <w:rPr>
                <w:color w:val="000000"/>
                <w:sz w:val="20"/>
                <w:szCs w:val="20"/>
              </w:rPr>
            </w:pPr>
            <w:r>
              <w:rPr>
                <w:color w:val="000000"/>
                <w:sz w:val="20"/>
                <w:szCs w:val="20"/>
              </w:rPr>
              <w:t>3,15</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79A38507">
            <w:pPr>
              <w:spacing w:after="0" w:line="240" w:lineRule="auto"/>
              <w:ind w:firstLine="0"/>
              <w:jc w:val="right"/>
              <w:rPr>
                <w:color w:val="000000"/>
                <w:sz w:val="20"/>
                <w:szCs w:val="20"/>
              </w:rPr>
            </w:pPr>
            <w:r>
              <w:rPr>
                <w:color w:val="000000"/>
                <w:sz w:val="20"/>
                <w:szCs w:val="20"/>
              </w:rPr>
              <w:t>3,29</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4A106398">
            <w:pPr>
              <w:spacing w:after="0" w:line="240" w:lineRule="auto"/>
              <w:ind w:firstLine="0"/>
              <w:jc w:val="right"/>
              <w:rPr>
                <w:color w:val="000000"/>
                <w:sz w:val="20"/>
                <w:szCs w:val="20"/>
              </w:rPr>
            </w:pPr>
            <w:r>
              <w:rPr>
                <w:color w:val="000000"/>
                <w:sz w:val="20"/>
                <w:szCs w:val="20"/>
              </w:rPr>
              <w:t>3,45</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3DAABA48">
            <w:pPr>
              <w:spacing w:after="0" w:line="240" w:lineRule="auto"/>
              <w:ind w:firstLine="0"/>
              <w:jc w:val="right"/>
              <w:rPr>
                <w:color w:val="000000"/>
                <w:sz w:val="20"/>
                <w:szCs w:val="20"/>
              </w:rPr>
            </w:pPr>
            <w:r>
              <w:rPr>
                <w:color w:val="000000"/>
                <w:sz w:val="20"/>
                <w:szCs w:val="20"/>
              </w:rPr>
              <w:t>3,61</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731CA9A8">
            <w:pPr>
              <w:spacing w:after="0" w:line="240" w:lineRule="auto"/>
              <w:ind w:firstLine="0"/>
              <w:jc w:val="right"/>
              <w:rPr>
                <w:color w:val="000000"/>
                <w:sz w:val="20"/>
                <w:szCs w:val="20"/>
              </w:rPr>
            </w:pPr>
            <w:r>
              <w:rPr>
                <w:color w:val="000000"/>
                <w:sz w:val="20"/>
                <w:szCs w:val="20"/>
              </w:rPr>
              <w:t>3,79</w:t>
            </w:r>
          </w:p>
        </w:tc>
        <w:tc>
          <w:tcPr>
            <w:tcW w:w="435" w:type="pct"/>
            <w:tcBorders>
              <w:top w:val="single" w:color="auto" w:sz="4" w:space="0"/>
              <w:left w:val="nil"/>
              <w:bottom w:val="single" w:color="auto" w:sz="4" w:space="0"/>
              <w:right w:val="single" w:color="auto" w:sz="4" w:space="0"/>
            </w:tcBorders>
            <w:shd w:val="clear" w:color="auto" w:fill="auto"/>
            <w:noWrap/>
            <w:vAlign w:val="center"/>
          </w:tcPr>
          <w:p w14:paraId="4F17D6DF">
            <w:pPr>
              <w:spacing w:after="0" w:line="240" w:lineRule="auto"/>
              <w:ind w:firstLine="0"/>
              <w:jc w:val="right"/>
              <w:rPr>
                <w:color w:val="000000"/>
                <w:sz w:val="20"/>
                <w:szCs w:val="20"/>
              </w:rPr>
            </w:pPr>
            <w:r>
              <w:rPr>
                <w:color w:val="000000"/>
                <w:sz w:val="20"/>
                <w:szCs w:val="20"/>
              </w:rPr>
              <w:t>3,98</w:t>
            </w:r>
          </w:p>
        </w:tc>
      </w:tr>
    </w:tbl>
    <w:p w14:paraId="37BEA929">
      <w:pPr>
        <w:spacing w:after="0" w:line="240" w:lineRule="auto"/>
        <w:contextualSpacing/>
        <w:jc w:val="both"/>
        <w:rPr>
          <w:sz w:val="24"/>
          <w:szCs w:val="24"/>
        </w:rPr>
      </w:pPr>
    </w:p>
    <w:p w14:paraId="4D7FA140">
      <w:pPr>
        <w:pStyle w:val="3"/>
        <w:spacing w:before="0" w:line="240" w:lineRule="auto"/>
        <w:ind w:left="0" w:firstLine="709"/>
        <w:contextualSpacing/>
        <w:rPr>
          <w:rFonts w:cs="Times New Roman"/>
          <w:b w:val="0"/>
          <w:sz w:val="24"/>
          <w:szCs w:val="24"/>
        </w:rPr>
      </w:pPr>
      <w:bookmarkStart w:id="387" w:name="_Toc182813969"/>
      <w:bookmarkStart w:id="388" w:name="_Hlk43280170"/>
      <w:r>
        <w:rPr>
          <w:rFonts w:cs="Times New Roman"/>
          <w:b w:val="0"/>
          <w:sz w:val="24"/>
          <w:szCs w:val="24"/>
        </w:rPr>
        <w:t>Фактические расходы теплоносителя в отопительный и летний периоды</w:t>
      </w:r>
      <w:bookmarkEnd w:id="387"/>
    </w:p>
    <w:bookmarkEnd w:id="388"/>
    <w:p w14:paraId="2BFE161B">
      <w:pPr>
        <w:spacing w:after="0" w:line="240" w:lineRule="auto"/>
        <w:contextualSpacing/>
        <w:jc w:val="both"/>
        <w:rPr>
          <w:sz w:val="24"/>
          <w:szCs w:val="24"/>
        </w:rPr>
      </w:pPr>
      <w:r>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62A62DC8">
      <w:pPr>
        <w:spacing w:after="0" w:line="240" w:lineRule="auto"/>
        <w:contextualSpacing/>
        <w:jc w:val="both"/>
        <w:rPr>
          <w:sz w:val="24"/>
          <w:szCs w:val="24"/>
        </w:rPr>
      </w:pPr>
      <w:r>
        <w:rPr>
          <w:sz w:val="24"/>
          <w:szCs w:val="24"/>
        </w:rPr>
        <w:t>Температурный график отпуска тепла в системы отопления составляет 95/70 °С и горячего водоснабжения – 65/55°С. Данные по фактическим расходам теплоносителя на территории с.п. Верхнеказымский не предоставлены.</w:t>
      </w:r>
    </w:p>
    <w:p w14:paraId="56C10FDC">
      <w:pPr>
        <w:pStyle w:val="2"/>
        <w:keepLines w:val="0"/>
        <w:pageBreakBefore/>
        <w:widowControl w:val="0"/>
        <w:spacing w:before="0" w:line="240" w:lineRule="auto"/>
        <w:ind w:left="0" w:firstLine="709"/>
        <w:contextualSpacing/>
        <w:rPr>
          <w:rFonts w:cs="Times New Roman"/>
          <w:b w:val="0"/>
          <w:sz w:val="24"/>
          <w:szCs w:val="24"/>
        </w:rPr>
      </w:pPr>
      <w:bookmarkStart w:id="389" w:name="_Toc182813970"/>
      <w:bookmarkStart w:id="390" w:name="_Toc524615050"/>
      <w:bookmarkStart w:id="391" w:name="_Toc524614834"/>
      <w:r>
        <w:rPr>
          <w:rFonts w:cs="Times New Roman"/>
          <w:b w:val="0"/>
          <w:sz w:val="24"/>
          <w:szCs w:val="24"/>
        </w:rPr>
        <w:t>Глава 3. Электронная модель системы теплоснабжения муниципального образования</w:t>
      </w:r>
      <w:bookmarkEnd w:id="389"/>
    </w:p>
    <w:p w14:paraId="1CDF62BE">
      <w:pPr>
        <w:pStyle w:val="404"/>
        <w:spacing w:line="240" w:lineRule="auto"/>
        <w:contextualSpacing/>
        <w:rPr>
          <w:rFonts w:cs="Times New Roman"/>
          <w:sz w:val="24"/>
          <w:szCs w:val="24"/>
        </w:rPr>
      </w:pPr>
      <w:r>
        <w:rPr>
          <w:rFonts w:cs="Times New Roman"/>
          <w:sz w:val="24"/>
          <w:szCs w:val="24"/>
        </w:rPr>
        <w:t xml:space="preserve">Разработчиком Схемы теплоснабжения была выполнена электронная модель в программно-расчетном комплексе Zulu Thermo 2021 (разработчик ПРК – компания «Политерм», г. Санкт-Петербург). </w:t>
      </w:r>
    </w:p>
    <w:p w14:paraId="5FEAD41D">
      <w:pPr>
        <w:spacing w:after="0" w:line="240" w:lineRule="auto"/>
        <w:contextualSpacing/>
        <w:jc w:val="both"/>
        <w:rPr>
          <w:sz w:val="24"/>
          <w:szCs w:val="24"/>
        </w:rPr>
      </w:pPr>
      <w:r>
        <w:rPr>
          <w:sz w:val="24"/>
          <w:szCs w:val="24"/>
        </w:rPr>
        <w:t>Электронная модель системы теплоснабжения содержит:</w:t>
      </w:r>
    </w:p>
    <w:p w14:paraId="7AAD3AAB">
      <w:pPr>
        <w:spacing w:after="0" w:line="240" w:lineRule="auto"/>
        <w:contextualSpacing/>
        <w:jc w:val="both"/>
        <w:rPr>
          <w:sz w:val="24"/>
          <w:szCs w:val="24"/>
        </w:rPr>
      </w:pPr>
      <w:r>
        <w:rPr>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32C6EBFA">
      <w:pPr>
        <w:spacing w:after="0" w:line="240" w:lineRule="auto"/>
        <w:contextualSpacing/>
        <w:jc w:val="both"/>
        <w:rPr>
          <w:sz w:val="24"/>
          <w:szCs w:val="24"/>
        </w:rPr>
      </w:pPr>
      <w:r>
        <w:rPr>
          <w:sz w:val="24"/>
          <w:szCs w:val="24"/>
        </w:rPr>
        <w:t>б) паспортизацию объектов системы теплоснабжения;</w:t>
      </w:r>
    </w:p>
    <w:p w14:paraId="4000279F">
      <w:pPr>
        <w:spacing w:after="0" w:line="240" w:lineRule="auto"/>
        <w:contextualSpacing/>
        <w:jc w:val="both"/>
        <w:rPr>
          <w:sz w:val="24"/>
          <w:szCs w:val="24"/>
        </w:rPr>
      </w:pPr>
      <w:r>
        <w:rPr>
          <w:sz w:val="24"/>
          <w:szCs w:val="24"/>
        </w:rPr>
        <w:t>в) паспортизацию и описание расчетных единиц территориального деления, включая административное;</w:t>
      </w:r>
    </w:p>
    <w:p w14:paraId="332C23B6">
      <w:pPr>
        <w:spacing w:after="0" w:line="240" w:lineRule="auto"/>
        <w:contextualSpacing/>
        <w:jc w:val="both"/>
        <w:rPr>
          <w:sz w:val="24"/>
          <w:szCs w:val="24"/>
        </w:rPr>
      </w:pPr>
      <w:r>
        <w:rPr>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379FC9E6">
      <w:pPr>
        <w:spacing w:after="0" w:line="240" w:lineRule="auto"/>
        <w:contextualSpacing/>
        <w:jc w:val="both"/>
        <w:rPr>
          <w:sz w:val="24"/>
          <w:szCs w:val="24"/>
        </w:rPr>
      </w:pPr>
      <w:r>
        <w:rPr>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377E5F20">
      <w:pPr>
        <w:spacing w:after="0" w:line="240" w:lineRule="auto"/>
        <w:contextualSpacing/>
        <w:jc w:val="both"/>
        <w:rPr>
          <w:sz w:val="24"/>
          <w:szCs w:val="24"/>
        </w:rPr>
      </w:pPr>
      <w:r>
        <w:rPr>
          <w:sz w:val="24"/>
          <w:szCs w:val="24"/>
        </w:rPr>
        <w:t>е) расчет балансов тепловой энергии по источникам тепловой энергии и по территориальному признаку;</w:t>
      </w:r>
    </w:p>
    <w:p w14:paraId="2753536C">
      <w:pPr>
        <w:spacing w:after="0" w:line="240" w:lineRule="auto"/>
        <w:contextualSpacing/>
        <w:jc w:val="both"/>
        <w:rPr>
          <w:sz w:val="24"/>
          <w:szCs w:val="24"/>
        </w:rPr>
      </w:pPr>
      <w:r>
        <w:rPr>
          <w:sz w:val="24"/>
          <w:szCs w:val="24"/>
        </w:rPr>
        <w:t>ж) расчет потерь тепловой энергии через изоляцию и с утечками теплоносителя;</w:t>
      </w:r>
    </w:p>
    <w:p w14:paraId="5D45B776">
      <w:pPr>
        <w:spacing w:after="0" w:line="240" w:lineRule="auto"/>
        <w:contextualSpacing/>
        <w:jc w:val="both"/>
        <w:rPr>
          <w:sz w:val="24"/>
          <w:szCs w:val="24"/>
        </w:rPr>
      </w:pPr>
      <w:r>
        <w:rPr>
          <w:sz w:val="24"/>
          <w:szCs w:val="24"/>
        </w:rPr>
        <w:t>з) расчет показателей надежности теплоснабжения;</w:t>
      </w:r>
    </w:p>
    <w:p w14:paraId="471F865F">
      <w:pPr>
        <w:spacing w:after="0" w:line="240" w:lineRule="auto"/>
        <w:contextualSpacing/>
        <w:jc w:val="both"/>
        <w:rPr>
          <w:sz w:val="24"/>
          <w:szCs w:val="24"/>
        </w:rPr>
      </w:pPr>
      <w:r>
        <w:rPr>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DB99ECF">
      <w:pPr>
        <w:spacing w:after="0" w:line="240" w:lineRule="auto"/>
        <w:contextualSpacing/>
        <w:jc w:val="both"/>
        <w:rPr>
          <w:sz w:val="24"/>
          <w:szCs w:val="24"/>
        </w:rPr>
      </w:pPr>
      <w:r>
        <w:rPr>
          <w:sz w:val="24"/>
          <w:szCs w:val="24"/>
        </w:rPr>
        <w:t>к) сравнительные пьезометрические графики для разработки и анализа сценариев перспективного развития тепловых сетей.</w:t>
      </w:r>
    </w:p>
    <w:p w14:paraId="0D5A2D67">
      <w:pPr>
        <w:spacing w:after="0" w:line="240" w:lineRule="auto"/>
        <w:contextualSpacing/>
        <w:jc w:val="both"/>
        <w:rPr>
          <w:sz w:val="24"/>
          <w:szCs w:val="24"/>
        </w:rPr>
      </w:pPr>
    </w:p>
    <w:p w14:paraId="720D2049">
      <w:pPr>
        <w:spacing w:after="0" w:line="240" w:lineRule="auto"/>
        <w:contextualSpacing/>
        <w:jc w:val="both"/>
        <w:rPr>
          <w:sz w:val="24"/>
          <w:szCs w:val="24"/>
        </w:rPr>
      </w:pPr>
      <w:r>
        <w:rPr>
          <w:sz w:val="24"/>
          <w:szCs w:val="24"/>
        </w:rPr>
        <w:t>Информационно-географическая система «Zulu».</w:t>
      </w:r>
    </w:p>
    <w:p w14:paraId="4D2F8BBB">
      <w:pPr>
        <w:spacing w:after="0" w:line="240" w:lineRule="auto"/>
        <w:contextualSpacing/>
        <w:jc w:val="both"/>
        <w:rPr>
          <w:sz w:val="24"/>
          <w:szCs w:val="24"/>
        </w:rPr>
      </w:pPr>
      <w:r>
        <w:rPr>
          <w:sz w:val="24"/>
          <w:szCs w:val="24"/>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6145D4FD">
      <w:pPr>
        <w:spacing w:after="0" w:line="240" w:lineRule="auto"/>
        <w:contextualSpacing/>
        <w:jc w:val="both"/>
        <w:rPr>
          <w:sz w:val="24"/>
          <w:szCs w:val="24"/>
        </w:rPr>
      </w:pPr>
      <w:r>
        <w:rPr>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2999A77">
      <w:pPr>
        <w:spacing w:after="0" w:line="240" w:lineRule="auto"/>
        <w:contextualSpacing/>
        <w:jc w:val="both"/>
        <w:rPr>
          <w:sz w:val="24"/>
          <w:szCs w:val="24"/>
        </w:rPr>
      </w:pPr>
      <w:r>
        <w:rPr>
          <w:sz w:val="24"/>
          <w:szCs w:val="24"/>
        </w:rPr>
        <w:t>С помощью данного продукта возможна реализация следующего состава задач:</w:t>
      </w:r>
    </w:p>
    <w:p w14:paraId="67F3175B">
      <w:pPr>
        <w:spacing w:after="0" w:line="240" w:lineRule="auto"/>
        <w:contextualSpacing/>
        <w:jc w:val="both"/>
        <w:rPr>
          <w:sz w:val="24"/>
          <w:szCs w:val="24"/>
          <w:u w:val="single"/>
        </w:rPr>
      </w:pPr>
      <w:r>
        <w:rPr>
          <w:sz w:val="24"/>
          <w:szCs w:val="24"/>
          <w:u w:val="single"/>
        </w:rPr>
        <w:t>Построение расчетной модели тепловой сети.</w:t>
      </w:r>
    </w:p>
    <w:p w14:paraId="1BF9E678">
      <w:pPr>
        <w:spacing w:after="0" w:line="240" w:lineRule="auto"/>
        <w:contextualSpacing/>
        <w:jc w:val="both"/>
        <w:rPr>
          <w:sz w:val="24"/>
          <w:szCs w:val="24"/>
        </w:rPr>
      </w:pPr>
      <w:r>
        <w:rPr>
          <w:sz w:val="24"/>
          <w:szCs w:val="24"/>
        </w:rP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396235CA">
      <w:pPr>
        <w:spacing w:after="0" w:line="240" w:lineRule="auto"/>
        <w:contextualSpacing/>
        <w:jc w:val="both"/>
        <w:rPr>
          <w:sz w:val="24"/>
          <w:szCs w:val="24"/>
          <w:u w:val="single"/>
        </w:rPr>
      </w:pPr>
    </w:p>
    <w:p w14:paraId="50E7D337">
      <w:pPr>
        <w:spacing w:after="0" w:line="240" w:lineRule="auto"/>
        <w:contextualSpacing/>
        <w:jc w:val="both"/>
        <w:rPr>
          <w:sz w:val="24"/>
          <w:szCs w:val="24"/>
        </w:rPr>
      </w:pPr>
      <w:r>
        <w:rPr>
          <w:sz w:val="24"/>
          <w:szCs w:val="24"/>
          <w:u w:val="single"/>
        </w:rPr>
        <w:t>Наладочный расчет тепловой сети.</w:t>
      </w:r>
    </w:p>
    <w:p w14:paraId="491B8ABE">
      <w:pPr>
        <w:spacing w:after="0" w:line="240" w:lineRule="auto"/>
        <w:contextualSpacing/>
        <w:jc w:val="both"/>
        <w:rPr>
          <w:sz w:val="24"/>
          <w:szCs w:val="24"/>
        </w:rPr>
      </w:pPr>
      <w:r>
        <w:rPr>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36F6E7DD">
      <w:pPr>
        <w:spacing w:after="0" w:line="240" w:lineRule="auto"/>
        <w:contextualSpacing/>
        <w:jc w:val="both"/>
        <w:rPr>
          <w:sz w:val="24"/>
          <w:szCs w:val="24"/>
        </w:rPr>
      </w:pPr>
      <w:r>
        <w:rPr>
          <w:sz w:val="24"/>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60FFAA72">
      <w:pPr>
        <w:spacing w:after="0" w:line="240" w:lineRule="auto"/>
        <w:contextualSpacing/>
        <w:jc w:val="both"/>
        <w:rPr>
          <w:sz w:val="24"/>
          <w:szCs w:val="24"/>
        </w:rPr>
      </w:pPr>
      <w:r>
        <w:rPr>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60CEE03">
      <w:pPr>
        <w:spacing w:after="0" w:line="240" w:lineRule="auto"/>
        <w:contextualSpacing/>
        <w:jc w:val="both"/>
        <w:rPr>
          <w:sz w:val="24"/>
          <w:szCs w:val="24"/>
        </w:rPr>
      </w:pPr>
      <w:r>
        <w:rPr>
          <w:sz w:val="24"/>
          <w:szCs w:val="24"/>
        </w:rPr>
        <w:t>Определяются потребители и соответствующий им источник, от которого данные потребители получают воду и тепловую энергию.</w:t>
      </w:r>
    </w:p>
    <w:p w14:paraId="29C6BC61">
      <w:pPr>
        <w:spacing w:after="0" w:line="240" w:lineRule="auto"/>
        <w:contextualSpacing/>
        <w:jc w:val="both"/>
        <w:rPr>
          <w:sz w:val="24"/>
          <w:szCs w:val="24"/>
          <w:u w:val="single"/>
        </w:rPr>
      </w:pPr>
    </w:p>
    <w:p w14:paraId="38829F13">
      <w:pPr>
        <w:spacing w:after="0" w:line="240" w:lineRule="auto"/>
        <w:contextualSpacing/>
        <w:jc w:val="both"/>
        <w:rPr>
          <w:sz w:val="24"/>
          <w:szCs w:val="24"/>
          <w:u w:val="single"/>
        </w:rPr>
      </w:pPr>
      <w:r>
        <w:rPr>
          <w:sz w:val="24"/>
          <w:szCs w:val="24"/>
          <w:u w:val="single"/>
        </w:rPr>
        <w:t>Поверочный расчет тепловой сети.</w:t>
      </w:r>
    </w:p>
    <w:p w14:paraId="53D5C0A5">
      <w:pPr>
        <w:spacing w:after="0" w:line="240" w:lineRule="auto"/>
        <w:contextualSpacing/>
        <w:jc w:val="both"/>
        <w:rPr>
          <w:sz w:val="24"/>
          <w:szCs w:val="24"/>
        </w:rPr>
      </w:pPr>
      <w:r>
        <w:rPr>
          <w:sz w:val="24"/>
          <w:szCs w:val="24"/>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1AA2C1AC">
      <w:pPr>
        <w:spacing w:after="0" w:line="240" w:lineRule="auto"/>
        <w:contextualSpacing/>
        <w:jc w:val="both"/>
        <w:rPr>
          <w:sz w:val="24"/>
          <w:szCs w:val="24"/>
        </w:rPr>
      </w:pPr>
      <w:r>
        <w:rPr>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52061776">
      <w:pPr>
        <w:spacing w:after="0" w:line="240" w:lineRule="auto"/>
        <w:contextualSpacing/>
        <w:jc w:val="both"/>
        <w:rPr>
          <w:sz w:val="24"/>
          <w:szCs w:val="24"/>
        </w:rPr>
      </w:pPr>
      <w:r>
        <w:rPr>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4F80F8D9">
      <w:pPr>
        <w:spacing w:after="0" w:line="240" w:lineRule="auto"/>
        <w:contextualSpacing/>
        <w:jc w:val="both"/>
        <w:rPr>
          <w:sz w:val="24"/>
          <w:szCs w:val="24"/>
          <w:u w:val="single"/>
        </w:rPr>
      </w:pPr>
      <w:r>
        <w:rPr>
          <w:sz w:val="24"/>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2115BD1F">
      <w:pPr>
        <w:spacing w:after="0" w:line="240" w:lineRule="auto"/>
        <w:contextualSpacing/>
        <w:jc w:val="both"/>
        <w:rPr>
          <w:sz w:val="24"/>
          <w:szCs w:val="24"/>
          <w:u w:val="single"/>
        </w:rPr>
      </w:pPr>
    </w:p>
    <w:p w14:paraId="10BFE5BA">
      <w:pPr>
        <w:spacing w:after="0" w:line="240" w:lineRule="auto"/>
        <w:contextualSpacing/>
        <w:jc w:val="both"/>
        <w:rPr>
          <w:sz w:val="24"/>
          <w:szCs w:val="24"/>
          <w:u w:val="single"/>
        </w:rPr>
      </w:pPr>
      <w:r>
        <w:rPr>
          <w:sz w:val="24"/>
          <w:szCs w:val="24"/>
          <w:u w:val="single"/>
        </w:rPr>
        <w:t>Конструкторский расчет тепловой сети</w:t>
      </w:r>
    </w:p>
    <w:p w14:paraId="20310139">
      <w:pPr>
        <w:spacing w:after="0" w:line="240" w:lineRule="auto"/>
        <w:contextualSpacing/>
        <w:jc w:val="both"/>
        <w:rPr>
          <w:sz w:val="24"/>
          <w:szCs w:val="24"/>
        </w:rPr>
      </w:pPr>
      <w:r>
        <w:rPr>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4A73A5C">
      <w:pPr>
        <w:spacing w:after="0" w:line="240" w:lineRule="auto"/>
        <w:contextualSpacing/>
        <w:jc w:val="both"/>
        <w:rPr>
          <w:sz w:val="24"/>
          <w:szCs w:val="24"/>
        </w:rPr>
      </w:pPr>
      <w:r>
        <w:rPr>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6D1AE5D8">
      <w:pPr>
        <w:spacing w:after="0" w:line="240" w:lineRule="auto"/>
        <w:contextualSpacing/>
        <w:jc w:val="both"/>
        <w:rPr>
          <w:sz w:val="24"/>
          <w:szCs w:val="24"/>
        </w:rPr>
      </w:pPr>
      <w:r>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29B493B2">
      <w:pPr>
        <w:spacing w:after="0" w:line="240" w:lineRule="auto"/>
        <w:contextualSpacing/>
        <w:jc w:val="both"/>
        <w:rPr>
          <w:sz w:val="24"/>
          <w:szCs w:val="24"/>
          <w:u w:val="single"/>
        </w:rPr>
      </w:pPr>
    </w:p>
    <w:p w14:paraId="1279B9C9">
      <w:pPr>
        <w:spacing w:after="0" w:line="240" w:lineRule="auto"/>
        <w:contextualSpacing/>
        <w:jc w:val="both"/>
        <w:rPr>
          <w:sz w:val="24"/>
          <w:szCs w:val="24"/>
          <w:u w:val="single"/>
        </w:rPr>
      </w:pPr>
      <w:r>
        <w:rPr>
          <w:sz w:val="24"/>
          <w:szCs w:val="24"/>
          <w:u w:val="single"/>
        </w:rPr>
        <w:t>Расчет требуемой температуры на источнике.</w:t>
      </w:r>
    </w:p>
    <w:p w14:paraId="6641C876">
      <w:pPr>
        <w:spacing w:after="0" w:line="240" w:lineRule="auto"/>
        <w:contextualSpacing/>
        <w:jc w:val="both"/>
        <w:rPr>
          <w:sz w:val="24"/>
          <w:szCs w:val="24"/>
        </w:rPr>
      </w:pPr>
      <w:r>
        <w:rPr>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582B62AD">
      <w:pPr>
        <w:spacing w:after="0" w:line="240" w:lineRule="auto"/>
        <w:contextualSpacing/>
        <w:jc w:val="both"/>
        <w:rPr>
          <w:sz w:val="24"/>
          <w:szCs w:val="24"/>
          <w:u w:val="single"/>
        </w:rPr>
      </w:pPr>
    </w:p>
    <w:p w14:paraId="59212F69">
      <w:pPr>
        <w:spacing w:after="0" w:line="240" w:lineRule="auto"/>
        <w:contextualSpacing/>
        <w:jc w:val="both"/>
        <w:rPr>
          <w:sz w:val="24"/>
          <w:szCs w:val="24"/>
          <w:u w:val="single"/>
        </w:rPr>
      </w:pPr>
      <w:r>
        <w:rPr>
          <w:sz w:val="24"/>
          <w:szCs w:val="24"/>
          <w:u w:val="single"/>
        </w:rPr>
        <w:t>Коммутационные задачи.</w:t>
      </w:r>
    </w:p>
    <w:p w14:paraId="06D561B2">
      <w:pPr>
        <w:spacing w:after="0" w:line="240" w:lineRule="auto"/>
        <w:contextualSpacing/>
        <w:jc w:val="both"/>
        <w:rPr>
          <w:sz w:val="24"/>
          <w:szCs w:val="24"/>
        </w:rPr>
      </w:pPr>
      <w:r>
        <w:rPr>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56861CB9">
      <w:pPr>
        <w:keepNext/>
        <w:keepLines/>
        <w:spacing w:after="0" w:line="240" w:lineRule="auto"/>
        <w:contextualSpacing/>
        <w:jc w:val="both"/>
        <w:rPr>
          <w:sz w:val="24"/>
          <w:szCs w:val="24"/>
          <w:u w:val="single"/>
        </w:rPr>
      </w:pPr>
    </w:p>
    <w:p w14:paraId="49A75F4A">
      <w:pPr>
        <w:keepNext/>
        <w:keepLines/>
        <w:spacing w:after="0" w:line="240" w:lineRule="auto"/>
        <w:contextualSpacing/>
        <w:jc w:val="both"/>
        <w:rPr>
          <w:sz w:val="24"/>
          <w:szCs w:val="24"/>
          <w:u w:val="single"/>
        </w:rPr>
      </w:pPr>
      <w:r>
        <w:rPr>
          <w:sz w:val="24"/>
          <w:szCs w:val="24"/>
          <w:u w:val="single"/>
        </w:rPr>
        <w:t>Построение пьезометрических графиков.</w:t>
      </w:r>
    </w:p>
    <w:p w14:paraId="51CD9CD5">
      <w:pPr>
        <w:spacing w:after="0" w:line="240" w:lineRule="auto"/>
        <w:contextualSpacing/>
        <w:jc w:val="both"/>
        <w:rPr>
          <w:sz w:val="24"/>
          <w:szCs w:val="24"/>
        </w:rPr>
      </w:pPr>
      <w:r>
        <w:rPr>
          <w:sz w:val="24"/>
          <w:szCs w:val="24"/>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118BB7B6">
      <w:pPr>
        <w:spacing w:after="0" w:line="240" w:lineRule="auto"/>
        <w:contextualSpacing/>
        <w:jc w:val="both"/>
        <w:rPr>
          <w:sz w:val="24"/>
          <w:szCs w:val="24"/>
          <w:u w:val="single"/>
        </w:rPr>
      </w:pPr>
    </w:p>
    <w:p w14:paraId="2A209B2B">
      <w:pPr>
        <w:spacing w:after="0" w:line="240" w:lineRule="auto"/>
        <w:contextualSpacing/>
        <w:jc w:val="both"/>
        <w:rPr>
          <w:sz w:val="24"/>
          <w:szCs w:val="24"/>
          <w:u w:val="single"/>
        </w:rPr>
      </w:pPr>
      <w:r>
        <w:rPr>
          <w:sz w:val="24"/>
          <w:szCs w:val="24"/>
          <w:u w:val="single"/>
        </w:rPr>
        <w:t>Расчет нормативных потерь тепла через изоляцию.</w:t>
      </w:r>
    </w:p>
    <w:p w14:paraId="35C397E3">
      <w:pPr>
        <w:spacing w:after="0" w:line="240" w:lineRule="auto"/>
        <w:contextualSpacing/>
        <w:jc w:val="both"/>
        <w:rPr>
          <w:sz w:val="24"/>
          <w:szCs w:val="24"/>
        </w:rPr>
      </w:pPr>
      <w:r>
        <w:rPr>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336BE7C8">
      <w:pPr>
        <w:spacing w:after="0" w:line="240" w:lineRule="auto"/>
        <w:contextualSpacing/>
        <w:jc w:val="both"/>
        <w:rPr>
          <w:sz w:val="24"/>
          <w:szCs w:val="24"/>
        </w:rPr>
      </w:pPr>
    </w:p>
    <w:p w14:paraId="1673AC8C">
      <w:pPr>
        <w:pStyle w:val="3"/>
        <w:spacing w:before="0" w:line="240" w:lineRule="auto"/>
        <w:ind w:left="0" w:firstLine="709"/>
        <w:contextualSpacing/>
        <w:rPr>
          <w:rFonts w:cs="Times New Roman"/>
          <w:b w:val="0"/>
          <w:sz w:val="24"/>
          <w:szCs w:val="24"/>
        </w:rPr>
      </w:pPr>
      <w:bookmarkStart w:id="392" w:name="_Toc527000684"/>
      <w:bookmarkStart w:id="393" w:name="_Toc182813971"/>
      <w:bookmarkStart w:id="394" w:name="_Toc466045897"/>
      <w:bookmarkStart w:id="395" w:name="_Toc488914459"/>
      <w:r>
        <w:rPr>
          <w:rFonts w:cs="Times New Roman"/>
          <w:b w:val="0"/>
          <w:sz w:val="24"/>
          <w:szCs w:val="24"/>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392"/>
      <w:bookmarkEnd w:id="393"/>
      <w:bookmarkEnd w:id="394"/>
      <w:bookmarkEnd w:id="395"/>
    </w:p>
    <w:p w14:paraId="490A090E">
      <w:pPr>
        <w:spacing w:after="0" w:line="240" w:lineRule="auto"/>
        <w:contextualSpacing/>
        <w:jc w:val="both"/>
        <w:rPr>
          <w:sz w:val="24"/>
          <w:szCs w:val="24"/>
        </w:rPr>
      </w:pPr>
      <w:r>
        <w:rPr>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0034B588">
      <w:pPr>
        <w:spacing w:after="0" w:line="240" w:lineRule="auto"/>
        <w:contextualSpacing/>
        <w:jc w:val="both"/>
        <w:rPr>
          <w:sz w:val="24"/>
          <w:szCs w:val="24"/>
        </w:rPr>
      </w:pPr>
      <w:r>
        <w:rPr>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4D9FF9DC">
      <w:pPr>
        <w:spacing w:after="0" w:line="240" w:lineRule="auto"/>
        <w:contextualSpacing/>
        <w:jc w:val="both"/>
        <w:rPr>
          <w:sz w:val="24"/>
          <w:szCs w:val="24"/>
        </w:rPr>
      </w:pPr>
      <w:r>
        <w:rPr>
          <w:sz w:val="24"/>
          <w:szCs w:val="24"/>
        </w:rPr>
        <w:t xml:space="preserve">В составе электронной модели (ЭМ) существующей системы теплоснабжения отдельными слоями представлены: </w:t>
      </w:r>
    </w:p>
    <w:p w14:paraId="52B13622">
      <w:pPr>
        <w:spacing w:after="0" w:line="240" w:lineRule="auto"/>
        <w:contextualSpacing/>
        <w:jc w:val="both"/>
        <w:rPr>
          <w:sz w:val="24"/>
          <w:szCs w:val="24"/>
        </w:rPr>
      </w:pPr>
      <w:r>
        <w:rPr>
          <w:sz w:val="24"/>
          <w:szCs w:val="24"/>
        </w:rPr>
        <w:t>•</w:t>
      </w:r>
      <w:r>
        <w:rPr>
          <w:sz w:val="24"/>
          <w:szCs w:val="24"/>
        </w:rPr>
        <w:tab/>
      </w:r>
      <w:r>
        <w:rPr>
          <w:sz w:val="24"/>
          <w:szCs w:val="24"/>
        </w:rPr>
        <w:t xml:space="preserve">топоснова населенного пункта; </w:t>
      </w:r>
    </w:p>
    <w:p w14:paraId="5DE0CC7A">
      <w:pPr>
        <w:spacing w:after="0" w:line="240" w:lineRule="auto"/>
        <w:contextualSpacing/>
        <w:jc w:val="both"/>
        <w:rPr>
          <w:sz w:val="24"/>
          <w:szCs w:val="24"/>
        </w:rPr>
      </w:pPr>
      <w:r>
        <w:rPr>
          <w:sz w:val="24"/>
          <w:szCs w:val="24"/>
        </w:rPr>
        <w:t>•</w:t>
      </w:r>
      <w:r>
        <w:rPr>
          <w:sz w:val="24"/>
          <w:szCs w:val="24"/>
        </w:rPr>
        <w:tab/>
      </w:r>
      <w:r>
        <w:rPr>
          <w:sz w:val="24"/>
          <w:szCs w:val="24"/>
        </w:rPr>
        <w:t xml:space="preserve">адресный план населенного пункта; </w:t>
      </w:r>
    </w:p>
    <w:p w14:paraId="0AC461A2">
      <w:pPr>
        <w:spacing w:after="0" w:line="240" w:lineRule="auto"/>
        <w:contextualSpacing/>
        <w:jc w:val="both"/>
        <w:rPr>
          <w:sz w:val="24"/>
          <w:szCs w:val="24"/>
        </w:rPr>
      </w:pPr>
      <w:r>
        <w:rPr>
          <w:sz w:val="24"/>
          <w:szCs w:val="24"/>
        </w:rPr>
        <w:t>•</w:t>
      </w:r>
      <w:r>
        <w:rPr>
          <w:sz w:val="24"/>
          <w:szCs w:val="24"/>
        </w:rPr>
        <w:tab/>
      </w:r>
      <w:r>
        <w:rPr>
          <w:sz w:val="24"/>
          <w:szCs w:val="24"/>
        </w:rPr>
        <w:t xml:space="preserve">слои, содержащие сетки районирования населенного пункта; </w:t>
      </w:r>
    </w:p>
    <w:p w14:paraId="1BE4EEA9">
      <w:pPr>
        <w:spacing w:after="0" w:line="240" w:lineRule="auto"/>
        <w:contextualSpacing/>
        <w:jc w:val="both"/>
        <w:rPr>
          <w:sz w:val="24"/>
          <w:szCs w:val="24"/>
        </w:rPr>
      </w:pPr>
      <w:r>
        <w:rPr>
          <w:sz w:val="24"/>
          <w:szCs w:val="24"/>
        </w:rPr>
        <w:t>•</w:t>
      </w:r>
      <w:r>
        <w:rPr>
          <w:sz w:val="24"/>
          <w:szCs w:val="24"/>
        </w:rPr>
        <w:tab/>
      </w:r>
      <w:r>
        <w:rPr>
          <w:sz w:val="24"/>
          <w:szCs w:val="24"/>
        </w:rPr>
        <w:t xml:space="preserve">отдельные расчетные слои ZULU по отдельным зонам теплоснабжения населенного пункта; </w:t>
      </w:r>
    </w:p>
    <w:p w14:paraId="3E4AF112">
      <w:pPr>
        <w:spacing w:after="0" w:line="240" w:lineRule="auto"/>
        <w:contextualSpacing/>
        <w:jc w:val="both"/>
        <w:rPr>
          <w:sz w:val="24"/>
          <w:szCs w:val="24"/>
        </w:rPr>
      </w:pPr>
      <w:r>
        <w:rPr>
          <w:sz w:val="24"/>
          <w:szCs w:val="24"/>
        </w:rPr>
        <w:t>•</w:t>
      </w:r>
      <w:r>
        <w:rPr>
          <w:sz w:val="24"/>
          <w:szCs w:val="24"/>
        </w:rPr>
        <w:tab/>
      </w:r>
      <w:r>
        <w:rPr>
          <w:sz w:val="24"/>
          <w:szCs w:val="24"/>
        </w:rPr>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3A7A4D94">
      <w:pPr>
        <w:spacing w:after="0" w:line="240" w:lineRule="auto"/>
        <w:contextualSpacing/>
        <w:jc w:val="both"/>
        <w:rPr>
          <w:sz w:val="24"/>
          <w:szCs w:val="24"/>
        </w:rPr>
      </w:pPr>
    </w:p>
    <w:p w14:paraId="768AB19D">
      <w:pPr>
        <w:pStyle w:val="3"/>
        <w:spacing w:before="0" w:line="240" w:lineRule="auto"/>
        <w:ind w:left="0" w:firstLine="709"/>
        <w:contextualSpacing/>
        <w:rPr>
          <w:rFonts w:cs="Times New Roman"/>
          <w:b w:val="0"/>
          <w:sz w:val="24"/>
          <w:szCs w:val="24"/>
        </w:rPr>
      </w:pPr>
      <w:bookmarkStart w:id="396" w:name="_Toc466045898"/>
      <w:bookmarkStart w:id="397" w:name="_Toc488914460"/>
      <w:bookmarkStart w:id="398" w:name="_Toc527000685"/>
      <w:bookmarkStart w:id="399" w:name="_Toc182813972"/>
      <w:r>
        <w:rPr>
          <w:rFonts w:cs="Times New Roman"/>
          <w:b w:val="0"/>
          <w:sz w:val="24"/>
          <w:szCs w:val="24"/>
        </w:rPr>
        <w:t>Паспортизация объектов системы теплоснабжения</w:t>
      </w:r>
      <w:bookmarkEnd w:id="396"/>
      <w:bookmarkEnd w:id="397"/>
      <w:bookmarkEnd w:id="398"/>
      <w:bookmarkEnd w:id="399"/>
    </w:p>
    <w:p w14:paraId="7E4B4429">
      <w:pPr>
        <w:spacing w:after="0" w:line="240" w:lineRule="auto"/>
        <w:contextualSpacing/>
        <w:jc w:val="both"/>
        <w:rPr>
          <w:sz w:val="24"/>
          <w:szCs w:val="24"/>
        </w:rPr>
      </w:pPr>
      <w:r>
        <w:rPr>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3BE4CFDB">
      <w:pPr>
        <w:spacing w:after="0" w:line="240" w:lineRule="auto"/>
        <w:contextualSpacing/>
        <w:jc w:val="both"/>
        <w:rPr>
          <w:sz w:val="24"/>
          <w:szCs w:val="24"/>
        </w:rPr>
      </w:pPr>
    </w:p>
    <w:p w14:paraId="67458F33">
      <w:pPr>
        <w:pStyle w:val="3"/>
        <w:keepNext/>
        <w:spacing w:before="0" w:line="240" w:lineRule="auto"/>
        <w:ind w:left="0" w:firstLine="709"/>
        <w:contextualSpacing/>
        <w:rPr>
          <w:rFonts w:cs="Times New Roman"/>
          <w:b w:val="0"/>
          <w:sz w:val="24"/>
          <w:szCs w:val="24"/>
        </w:rPr>
      </w:pPr>
      <w:bookmarkStart w:id="400" w:name="_Toc527000686"/>
      <w:bookmarkStart w:id="401" w:name="_Toc466045899"/>
      <w:bookmarkStart w:id="402" w:name="_Toc488914461"/>
      <w:bookmarkStart w:id="403" w:name="_Toc182813973"/>
      <w:r>
        <w:rPr>
          <w:rFonts w:cs="Times New Roman"/>
          <w:b w:val="0"/>
          <w:sz w:val="24"/>
          <w:szCs w:val="24"/>
        </w:rPr>
        <w:t>Паспортизация и описание расчетных единиц территориального деления, включая административное</w:t>
      </w:r>
      <w:bookmarkEnd w:id="400"/>
      <w:bookmarkEnd w:id="401"/>
      <w:bookmarkEnd w:id="402"/>
      <w:bookmarkEnd w:id="403"/>
    </w:p>
    <w:p w14:paraId="3DC85487">
      <w:pPr>
        <w:spacing w:after="0" w:line="240" w:lineRule="auto"/>
        <w:contextualSpacing/>
        <w:jc w:val="both"/>
        <w:rPr>
          <w:sz w:val="24"/>
          <w:szCs w:val="24"/>
        </w:rPr>
      </w:pPr>
      <w:r>
        <w:rPr>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0219217C">
      <w:pPr>
        <w:spacing w:after="0" w:line="240" w:lineRule="auto"/>
        <w:contextualSpacing/>
        <w:jc w:val="both"/>
        <w:rPr>
          <w:sz w:val="24"/>
          <w:szCs w:val="24"/>
        </w:rPr>
      </w:pPr>
    </w:p>
    <w:p w14:paraId="388CE70F">
      <w:pPr>
        <w:pStyle w:val="3"/>
        <w:keepLines w:val="0"/>
        <w:widowControl w:val="0"/>
        <w:spacing w:before="0" w:line="240" w:lineRule="auto"/>
        <w:ind w:left="0" w:firstLine="709"/>
        <w:contextualSpacing/>
        <w:rPr>
          <w:rFonts w:cs="Times New Roman"/>
          <w:b w:val="0"/>
          <w:sz w:val="24"/>
          <w:szCs w:val="24"/>
        </w:rPr>
      </w:pPr>
      <w:bookmarkStart w:id="404" w:name="_Toc527000687"/>
      <w:bookmarkStart w:id="405" w:name="_Toc488914462"/>
      <w:bookmarkStart w:id="406" w:name="_Toc182813974"/>
      <w:bookmarkStart w:id="407" w:name="_Toc466045900"/>
      <w:r>
        <w:rPr>
          <w:rFonts w:cs="Times New Roman"/>
          <w:b w:val="0"/>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04"/>
      <w:bookmarkEnd w:id="405"/>
      <w:bookmarkEnd w:id="406"/>
      <w:bookmarkEnd w:id="407"/>
    </w:p>
    <w:p w14:paraId="226088AA">
      <w:pPr>
        <w:widowControl w:val="0"/>
        <w:spacing w:after="0" w:line="240" w:lineRule="auto"/>
        <w:contextualSpacing/>
        <w:jc w:val="both"/>
        <w:rPr>
          <w:sz w:val="24"/>
          <w:szCs w:val="24"/>
        </w:rPr>
      </w:pPr>
      <w:r>
        <w:rPr>
          <w:sz w:val="24"/>
          <w:szCs w:val="24"/>
        </w:rPr>
        <w:t>Теплогидравлический расчет ПРК Zulu Thermo 2021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AEED1B4">
      <w:pPr>
        <w:widowControl w:val="0"/>
        <w:spacing w:after="0" w:line="240" w:lineRule="auto"/>
        <w:contextualSpacing/>
        <w:jc w:val="both"/>
        <w:rPr>
          <w:sz w:val="24"/>
          <w:szCs w:val="24"/>
        </w:rPr>
      </w:pPr>
      <w:r>
        <w:rPr>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418C6ABA">
      <w:pPr>
        <w:spacing w:after="0" w:line="240" w:lineRule="auto"/>
        <w:contextualSpacing/>
        <w:jc w:val="both"/>
        <w:rPr>
          <w:sz w:val="24"/>
          <w:szCs w:val="24"/>
        </w:rPr>
      </w:pPr>
      <w:r>
        <w:rPr>
          <w:sz w:val="24"/>
          <w:szCs w:val="24"/>
        </w:rPr>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222C08FB">
      <w:pPr>
        <w:spacing w:after="0" w:line="240" w:lineRule="auto"/>
        <w:contextualSpacing/>
        <w:jc w:val="both"/>
        <w:rPr>
          <w:sz w:val="24"/>
          <w:szCs w:val="24"/>
        </w:rPr>
      </w:pPr>
    </w:p>
    <w:p w14:paraId="719F39D8">
      <w:pPr>
        <w:pStyle w:val="3"/>
        <w:spacing w:before="0" w:line="240" w:lineRule="auto"/>
        <w:ind w:left="0" w:firstLine="709"/>
        <w:contextualSpacing/>
        <w:rPr>
          <w:rFonts w:cs="Times New Roman"/>
          <w:b w:val="0"/>
          <w:sz w:val="24"/>
          <w:szCs w:val="24"/>
        </w:rPr>
      </w:pPr>
      <w:bookmarkStart w:id="408" w:name="_Toc488914463"/>
      <w:bookmarkStart w:id="409" w:name="_Toc527000688"/>
      <w:bookmarkStart w:id="410" w:name="_Toc466045901"/>
      <w:bookmarkStart w:id="411" w:name="_Toc182813975"/>
      <w:r>
        <w:rPr>
          <w:rFonts w:cs="Times New Roman"/>
          <w:b w:val="0"/>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08"/>
      <w:bookmarkEnd w:id="409"/>
      <w:bookmarkEnd w:id="410"/>
      <w:bookmarkEnd w:id="411"/>
    </w:p>
    <w:p w14:paraId="27B26C92">
      <w:pPr>
        <w:spacing w:after="0" w:line="240" w:lineRule="auto"/>
        <w:contextualSpacing/>
        <w:jc w:val="both"/>
        <w:rPr>
          <w:sz w:val="24"/>
          <w:szCs w:val="24"/>
        </w:rPr>
      </w:pPr>
      <w:r>
        <w:rPr>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232C6C31">
      <w:pPr>
        <w:spacing w:after="0" w:line="240" w:lineRule="auto"/>
        <w:contextualSpacing/>
        <w:jc w:val="both"/>
        <w:rPr>
          <w:sz w:val="24"/>
          <w:szCs w:val="24"/>
        </w:rPr>
      </w:pPr>
    </w:p>
    <w:p w14:paraId="4EE822CA">
      <w:pPr>
        <w:pStyle w:val="3"/>
        <w:spacing w:before="0" w:line="240" w:lineRule="auto"/>
        <w:ind w:left="0" w:firstLine="709"/>
        <w:contextualSpacing/>
        <w:rPr>
          <w:rFonts w:cs="Times New Roman"/>
          <w:b w:val="0"/>
          <w:sz w:val="24"/>
          <w:szCs w:val="24"/>
        </w:rPr>
      </w:pPr>
      <w:bookmarkStart w:id="412" w:name="_Toc466045902"/>
      <w:bookmarkStart w:id="413" w:name="_Toc488914464"/>
      <w:bookmarkStart w:id="414" w:name="_Toc527000689"/>
      <w:bookmarkStart w:id="415" w:name="_Toc182813976"/>
      <w:r>
        <w:rPr>
          <w:rFonts w:cs="Times New Roman"/>
          <w:b w:val="0"/>
          <w:sz w:val="24"/>
          <w:szCs w:val="24"/>
        </w:rPr>
        <w:t>Расчет балансов тепловой энергии по источникам тепловой энергии и по территориальному признаку</w:t>
      </w:r>
      <w:bookmarkEnd w:id="412"/>
      <w:bookmarkEnd w:id="413"/>
      <w:bookmarkEnd w:id="414"/>
      <w:bookmarkEnd w:id="415"/>
    </w:p>
    <w:p w14:paraId="655C49E5">
      <w:pPr>
        <w:spacing w:after="0" w:line="240" w:lineRule="auto"/>
        <w:contextualSpacing/>
        <w:jc w:val="both"/>
        <w:rPr>
          <w:sz w:val="24"/>
          <w:szCs w:val="24"/>
        </w:rPr>
      </w:pPr>
      <w:r>
        <w:rPr>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8DE1B0C">
      <w:pPr>
        <w:spacing w:after="0" w:line="240" w:lineRule="auto"/>
        <w:contextualSpacing/>
        <w:jc w:val="both"/>
        <w:rPr>
          <w:sz w:val="24"/>
          <w:szCs w:val="24"/>
        </w:rPr>
      </w:pPr>
    </w:p>
    <w:p w14:paraId="5A30B850">
      <w:pPr>
        <w:pStyle w:val="3"/>
        <w:spacing w:before="0" w:line="240" w:lineRule="auto"/>
        <w:ind w:left="0" w:firstLine="709"/>
        <w:contextualSpacing/>
        <w:rPr>
          <w:rFonts w:cs="Times New Roman"/>
          <w:b w:val="0"/>
          <w:sz w:val="24"/>
          <w:szCs w:val="24"/>
        </w:rPr>
      </w:pPr>
      <w:bookmarkStart w:id="416" w:name="_Toc182813977"/>
      <w:bookmarkStart w:id="417" w:name="_Toc527000690"/>
      <w:bookmarkStart w:id="418" w:name="_Toc466045903"/>
      <w:bookmarkStart w:id="419" w:name="_Toc488914465"/>
      <w:r>
        <w:rPr>
          <w:rFonts w:cs="Times New Roman"/>
          <w:b w:val="0"/>
          <w:sz w:val="24"/>
          <w:szCs w:val="24"/>
        </w:rPr>
        <w:t>Расчет потерь тепловой энергии через изоляцию и с утечками теплоносителя</w:t>
      </w:r>
      <w:bookmarkEnd w:id="416"/>
      <w:bookmarkEnd w:id="417"/>
      <w:bookmarkEnd w:id="418"/>
      <w:bookmarkEnd w:id="419"/>
    </w:p>
    <w:p w14:paraId="794C4CA7">
      <w:pPr>
        <w:spacing w:after="0" w:line="240" w:lineRule="auto"/>
        <w:contextualSpacing/>
        <w:jc w:val="both"/>
        <w:rPr>
          <w:sz w:val="24"/>
          <w:szCs w:val="24"/>
        </w:rPr>
      </w:pPr>
      <w:r>
        <w:rPr>
          <w:sz w:val="24"/>
          <w:szCs w:val="24"/>
        </w:rPr>
        <w:t>Нормы тепловых потерь через изоляцию трубопроводов рассчитываются в ГИС Zulu Thermo 2021 на основании приказа Минэнерго от 30.12.2008 № 325.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65FD68A7">
      <w:pPr>
        <w:spacing w:after="0" w:line="240" w:lineRule="auto"/>
        <w:contextualSpacing/>
        <w:jc w:val="both"/>
        <w:rPr>
          <w:sz w:val="24"/>
          <w:szCs w:val="24"/>
        </w:rPr>
      </w:pPr>
    </w:p>
    <w:p w14:paraId="310742D2">
      <w:pPr>
        <w:pStyle w:val="3"/>
        <w:keepNext/>
        <w:spacing w:before="0" w:line="240" w:lineRule="auto"/>
        <w:ind w:left="0" w:firstLine="709"/>
        <w:contextualSpacing/>
        <w:rPr>
          <w:rFonts w:cs="Times New Roman"/>
          <w:b w:val="0"/>
          <w:sz w:val="24"/>
          <w:szCs w:val="24"/>
        </w:rPr>
      </w:pPr>
      <w:bookmarkStart w:id="420" w:name="_Toc466045904"/>
      <w:bookmarkStart w:id="421" w:name="_Toc182813978"/>
      <w:bookmarkStart w:id="422" w:name="_Toc527000691"/>
      <w:bookmarkStart w:id="423" w:name="_Toc488914466"/>
      <w:r>
        <w:rPr>
          <w:rFonts w:cs="Times New Roman"/>
          <w:b w:val="0"/>
          <w:sz w:val="24"/>
          <w:szCs w:val="24"/>
        </w:rPr>
        <w:t>Расчет показателей надежности теплоснабжения</w:t>
      </w:r>
      <w:bookmarkEnd w:id="420"/>
      <w:bookmarkEnd w:id="421"/>
      <w:bookmarkEnd w:id="422"/>
      <w:bookmarkEnd w:id="423"/>
    </w:p>
    <w:p w14:paraId="5FFF1F02">
      <w:pPr>
        <w:spacing w:after="0" w:line="240" w:lineRule="auto"/>
        <w:contextualSpacing/>
        <w:jc w:val="both"/>
        <w:rPr>
          <w:sz w:val="24"/>
          <w:szCs w:val="24"/>
        </w:rPr>
      </w:pPr>
      <w:r>
        <w:rPr>
          <w:sz w:val="24"/>
          <w:szCs w:val="24"/>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64A3C408">
      <w:pPr>
        <w:spacing w:after="0" w:line="240" w:lineRule="auto"/>
        <w:contextualSpacing/>
        <w:jc w:val="both"/>
        <w:rPr>
          <w:sz w:val="24"/>
          <w:szCs w:val="24"/>
        </w:rPr>
      </w:pPr>
      <w:r>
        <w:rPr>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5C82767A">
      <w:pPr>
        <w:spacing w:after="0" w:line="240" w:lineRule="auto"/>
        <w:contextualSpacing/>
        <w:jc w:val="both"/>
        <w:rPr>
          <w:sz w:val="24"/>
          <w:szCs w:val="24"/>
        </w:rPr>
      </w:pPr>
      <w:r>
        <w:rPr>
          <w:sz w:val="24"/>
          <w:szCs w:val="24"/>
        </w:rPr>
        <w:t>•</w:t>
      </w:r>
      <w:r>
        <w:rPr>
          <w:sz w:val="24"/>
          <w:szCs w:val="24"/>
        </w:rPr>
        <w:tab/>
      </w:r>
      <w:r>
        <w:rPr>
          <w:sz w:val="24"/>
          <w:szCs w:val="24"/>
        </w:rPr>
        <w:t>Рассчитывать надежность и готовность системы теплоснабжения к отопительному сезону.</w:t>
      </w:r>
    </w:p>
    <w:p w14:paraId="238EA8C5">
      <w:pPr>
        <w:spacing w:after="0" w:line="240" w:lineRule="auto"/>
        <w:contextualSpacing/>
        <w:jc w:val="both"/>
        <w:rPr>
          <w:sz w:val="24"/>
          <w:szCs w:val="24"/>
        </w:rPr>
      </w:pPr>
      <w:r>
        <w:rPr>
          <w:sz w:val="24"/>
          <w:szCs w:val="24"/>
        </w:rPr>
        <w:t>•</w:t>
      </w:r>
      <w:r>
        <w:rPr>
          <w:sz w:val="24"/>
          <w:szCs w:val="24"/>
        </w:rPr>
        <w:tab/>
      </w:r>
      <w:r>
        <w:rPr>
          <w:sz w:val="24"/>
          <w:szCs w:val="24"/>
        </w:rPr>
        <w:t>Разрабатывать мероприятия, повышающие надежность работы системы теплоснабжения.</w:t>
      </w:r>
    </w:p>
    <w:p w14:paraId="5ED7853A">
      <w:pPr>
        <w:spacing w:after="0" w:line="240" w:lineRule="auto"/>
        <w:ind w:firstLine="0"/>
        <w:contextualSpacing/>
        <w:jc w:val="both"/>
        <w:rPr>
          <w:sz w:val="24"/>
          <w:szCs w:val="24"/>
        </w:rPr>
      </w:pPr>
    </w:p>
    <w:p w14:paraId="27F89195">
      <w:pPr>
        <w:pStyle w:val="3"/>
        <w:spacing w:before="0" w:line="240" w:lineRule="auto"/>
        <w:ind w:left="0" w:firstLine="709"/>
        <w:contextualSpacing/>
        <w:rPr>
          <w:rFonts w:cs="Times New Roman"/>
          <w:b w:val="0"/>
          <w:sz w:val="24"/>
          <w:szCs w:val="24"/>
        </w:rPr>
      </w:pPr>
      <w:bookmarkStart w:id="424" w:name="_Toc527000692"/>
      <w:bookmarkStart w:id="425" w:name="_Toc466045905"/>
      <w:bookmarkStart w:id="426" w:name="_Toc182813979"/>
      <w:bookmarkStart w:id="427" w:name="_Toc488914467"/>
      <w:r>
        <w:rPr>
          <w:rFonts w:cs="Times New Roman"/>
          <w:b w:val="0"/>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24"/>
      <w:bookmarkEnd w:id="425"/>
      <w:bookmarkEnd w:id="426"/>
      <w:bookmarkEnd w:id="427"/>
    </w:p>
    <w:p w14:paraId="7ABF3851">
      <w:pPr>
        <w:spacing w:after="0" w:line="240" w:lineRule="auto"/>
        <w:contextualSpacing/>
        <w:jc w:val="both"/>
        <w:rPr>
          <w:sz w:val="24"/>
          <w:szCs w:val="24"/>
        </w:rPr>
      </w:pPr>
      <w:r>
        <w:rPr>
          <w:sz w:val="24"/>
          <w:szCs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54FECFCA">
      <w:pPr>
        <w:spacing w:after="0" w:line="240" w:lineRule="auto"/>
        <w:contextualSpacing/>
        <w:jc w:val="both"/>
        <w:rPr>
          <w:sz w:val="24"/>
          <w:szCs w:val="24"/>
        </w:rPr>
      </w:pPr>
    </w:p>
    <w:p w14:paraId="7FD65F2D">
      <w:pPr>
        <w:pStyle w:val="3"/>
        <w:spacing w:before="0" w:line="240" w:lineRule="auto"/>
        <w:ind w:left="0" w:firstLine="709"/>
        <w:contextualSpacing/>
        <w:rPr>
          <w:rFonts w:cs="Times New Roman"/>
          <w:b w:val="0"/>
          <w:sz w:val="24"/>
          <w:szCs w:val="24"/>
        </w:rPr>
      </w:pPr>
      <w:bookmarkStart w:id="428" w:name="_Toc466045906"/>
      <w:bookmarkStart w:id="429" w:name="_Toc488914468"/>
      <w:bookmarkStart w:id="430" w:name="_Toc182813980"/>
      <w:bookmarkStart w:id="431" w:name="_Toc527000693"/>
      <w:r>
        <w:rPr>
          <w:rFonts w:cs="Times New Roman"/>
          <w:b w:val="0"/>
          <w:sz w:val="24"/>
          <w:szCs w:val="24"/>
        </w:rPr>
        <w:t>Сравнительные пьезометрические графики для разработки и анализа сценариев перспективного развития тепловых сетей</w:t>
      </w:r>
      <w:bookmarkEnd w:id="428"/>
      <w:bookmarkEnd w:id="429"/>
      <w:bookmarkEnd w:id="430"/>
      <w:bookmarkEnd w:id="431"/>
    </w:p>
    <w:p w14:paraId="3F120213">
      <w:pPr>
        <w:spacing w:after="0" w:line="240" w:lineRule="auto"/>
        <w:contextualSpacing/>
        <w:jc w:val="both"/>
        <w:rPr>
          <w:sz w:val="24"/>
          <w:szCs w:val="24"/>
        </w:rPr>
      </w:pPr>
      <w:r>
        <w:rPr>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16D8C64A">
      <w:pPr>
        <w:spacing w:after="0" w:line="240" w:lineRule="auto"/>
        <w:contextualSpacing/>
        <w:jc w:val="both"/>
        <w:rPr>
          <w:sz w:val="24"/>
          <w:szCs w:val="24"/>
        </w:rPr>
      </w:pPr>
    </w:p>
    <w:p w14:paraId="44F4E1C6">
      <w:pPr>
        <w:pStyle w:val="3"/>
        <w:spacing w:before="0" w:line="240" w:lineRule="auto"/>
        <w:ind w:left="0" w:firstLine="709"/>
        <w:contextualSpacing/>
        <w:rPr>
          <w:rFonts w:cs="Times New Roman"/>
          <w:b w:val="0"/>
          <w:sz w:val="24"/>
          <w:szCs w:val="24"/>
        </w:rPr>
      </w:pPr>
      <w:bookmarkStart w:id="432" w:name="_Toc182813981"/>
      <w:bookmarkStart w:id="433" w:name="_Hlk43280203"/>
      <w:r>
        <w:rPr>
          <w:rFonts w:cs="Times New Roman"/>
          <w:b w:val="0"/>
          <w:sz w:val="24"/>
          <w:szCs w:val="24"/>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разработке систем теплоснабжения</w:t>
      </w:r>
      <w:bookmarkEnd w:id="432"/>
    </w:p>
    <w:bookmarkEnd w:id="433"/>
    <w:p w14:paraId="650EBD30">
      <w:pPr>
        <w:spacing w:after="0" w:line="240" w:lineRule="auto"/>
        <w:contextualSpacing/>
        <w:jc w:val="both"/>
        <w:rPr>
          <w:sz w:val="24"/>
          <w:szCs w:val="24"/>
        </w:rPr>
      </w:pPr>
      <w:r>
        <w:rPr>
          <w:sz w:val="24"/>
          <w:szCs w:val="24"/>
        </w:rPr>
        <w:t>Изменений гидравлических режимов не зафиксировано.</w:t>
      </w:r>
    </w:p>
    <w:p w14:paraId="2CFC9720">
      <w:pPr>
        <w:spacing w:after="0" w:line="240" w:lineRule="auto"/>
        <w:contextualSpacing/>
        <w:jc w:val="both"/>
        <w:rPr>
          <w:sz w:val="24"/>
          <w:szCs w:val="24"/>
        </w:rPr>
      </w:pPr>
    </w:p>
    <w:p w14:paraId="46E05DB3">
      <w:pPr>
        <w:pStyle w:val="2"/>
        <w:keepNext/>
        <w:spacing w:before="0" w:line="240" w:lineRule="auto"/>
        <w:ind w:left="0" w:firstLine="709"/>
        <w:contextualSpacing/>
        <w:rPr>
          <w:rFonts w:cs="Times New Roman"/>
          <w:b w:val="0"/>
          <w:sz w:val="24"/>
          <w:szCs w:val="24"/>
        </w:rPr>
      </w:pPr>
      <w:bookmarkStart w:id="434" w:name="_Toc182813982"/>
      <w:r>
        <w:rPr>
          <w:rFonts w:cs="Times New Roman"/>
          <w:b w:val="0"/>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390"/>
      <w:bookmarkEnd w:id="391"/>
      <w:bookmarkEnd w:id="434"/>
    </w:p>
    <w:p w14:paraId="68593F69">
      <w:pPr>
        <w:pStyle w:val="3"/>
        <w:keepNext/>
        <w:spacing w:before="0" w:line="240" w:lineRule="auto"/>
        <w:ind w:left="0" w:firstLine="709"/>
        <w:contextualSpacing/>
        <w:rPr>
          <w:rFonts w:cs="Times New Roman"/>
          <w:b w:val="0"/>
          <w:sz w:val="24"/>
          <w:szCs w:val="24"/>
        </w:rPr>
      </w:pPr>
      <w:bookmarkStart w:id="435" w:name="_Toc524615051"/>
      <w:bookmarkStart w:id="436" w:name="_Toc524614835"/>
      <w:bookmarkStart w:id="437" w:name="_Toc182813983"/>
      <w:bookmarkStart w:id="438" w:name="_Toc15640885"/>
      <w:bookmarkStart w:id="439" w:name="_Hlk15651438"/>
      <w:bookmarkStart w:id="440" w:name="_Hlk10418577"/>
      <w:r>
        <w:rPr>
          <w:rFonts w:cs="Times New Roman"/>
          <w:b w:val="0"/>
          <w:sz w:val="24"/>
          <w:szCs w:val="24"/>
        </w:rPr>
        <w:t xml:space="preserve">Балансы существующей </w:t>
      </w:r>
      <w:bookmarkEnd w:id="435"/>
      <w:bookmarkEnd w:id="436"/>
      <w:r>
        <w:rPr>
          <w:rFonts w:cs="Times New Roman"/>
          <w:b w:val="0"/>
          <w:sz w:val="24"/>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37"/>
      <w:bookmarkEnd w:id="438"/>
    </w:p>
    <w:bookmarkEnd w:id="439"/>
    <w:p w14:paraId="4E25EFFE">
      <w:pPr>
        <w:spacing w:after="0" w:line="240" w:lineRule="auto"/>
        <w:contextualSpacing/>
        <w:jc w:val="both"/>
        <w:rPr>
          <w:color w:val="000000"/>
          <w:sz w:val="24"/>
          <w:szCs w:val="24"/>
        </w:rPr>
      </w:pPr>
      <w:bookmarkStart w:id="441" w:name="_Hlk28339095"/>
      <w:r>
        <w:rPr>
          <w:color w:val="000000"/>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с.п. Верхнеказымский. Анализ результатов балансов показывает, что на перспективу развития все источники, расположенные на территории </w:t>
      </w:r>
      <w:bookmarkStart w:id="442" w:name="_Hlk182295551"/>
      <w:r>
        <w:rPr>
          <w:color w:val="000000"/>
          <w:sz w:val="24"/>
          <w:szCs w:val="24"/>
        </w:rPr>
        <w:t>с.п. Верхнеказымский</w:t>
      </w:r>
      <w:bookmarkEnd w:id="442"/>
      <w:r>
        <w:rPr>
          <w:color w:val="000000"/>
          <w:sz w:val="24"/>
          <w:szCs w:val="24"/>
        </w:rPr>
        <w:t>, будут обладать достаточным запасом резерва для перспективного подключения потребителей.</w:t>
      </w:r>
    </w:p>
    <w:p w14:paraId="48D03948">
      <w:pPr>
        <w:spacing w:after="0" w:line="240" w:lineRule="auto"/>
        <w:contextualSpacing/>
        <w:jc w:val="both"/>
        <w:rPr>
          <w:color w:val="000000"/>
          <w:sz w:val="24"/>
          <w:szCs w:val="24"/>
        </w:rPr>
      </w:pPr>
      <w:r>
        <w:rPr>
          <w:color w:val="000000"/>
          <w:sz w:val="24"/>
          <w:szCs w:val="24"/>
        </w:rPr>
        <w:t>Перспективные балансы тепловой мощности и тепловой нагрузки на расчетный срок приведены в таблице 54.</w:t>
      </w:r>
    </w:p>
    <w:p w14:paraId="557E5804">
      <w:pPr>
        <w:spacing w:after="0" w:line="240" w:lineRule="auto"/>
        <w:contextualSpacing/>
        <w:jc w:val="both"/>
        <w:rPr>
          <w:color w:val="000000"/>
          <w:sz w:val="24"/>
          <w:szCs w:val="24"/>
        </w:rPr>
      </w:pPr>
    </w:p>
    <w:p w14:paraId="3083F58A">
      <w:pPr>
        <w:spacing w:after="0" w:line="240" w:lineRule="auto"/>
        <w:contextualSpacing/>
        <w:jc w:val="both"/>
        <w:rPr>
          <w:color w:val="000000"/>
          <w:sz w:val="24"/>
          <w:szCs w:val="24"/>
        </w:rPr>
      </w:pPr>
    </w:p>
    <w:p w14:paraId="0B5C34E5">
      <w:pPr>
        <w:spacing w:after="0" w:line="240" w:lineRule="auto"/>
        <w:contextualSpacing/>
        <w:jc w:val="both"/>
        <w:rPr>
          <w:color w:val="000000"/>
          <w:sz w:val="24"/>
          <w:szCs w:val="24"/>
        </w:rPr>
      </w:pPr>
    </w:p>
    <w:bookmarkEnd w:id="440"/>
    <w:bookmarkEnd w:id="441"/>
    <w:p w14:paraId="1406AFAC">
      <w:pPr>
        <w:pStyle w:val="43"/>
        <w:keepNext/>
        <w:spacing w:before="0" w:after="0" w:line="240" w:lineRule="auto"/>
        <w:contextualSpacing/>
        <w:rPr>
          <w:rFonts w:cs="Times New Roman"/>
          <w:b w:val="0"/>
          <w:sz w:val="24"/>
          <w:szCs w:val="24"/>
        </w:rPr>
        <w:sectPr>
          <w:pgSz w:w="11906" w:h="16838"/>
          <w:pgMar w:top="1134" w:right="567" w:bottom="1134" w:left="1701" w:header="709" w:footer="709" w:gutter="0"/>
          <w:cols w:space="708" w:num="1"/>
          <w:docGrid w:linePitch="360" w:charSpace="0"/>
        </w:sectPr>
      </w:pPr>
    </w:p>
    <w:p w14:paraId="63DB2B62">
      <w:pPr>
        <w:spacing w:after="0" w:line="240" w:lineRule="auto"/>
        <w:ind w:firstLine="0"/>
        <w:contextualSpacing/>
        <w:jc w:val="both"/>
        <w:rPr>
          <w:sz w:val="24"/>
          <w:szCs w:val="24"/>
        </w:rPr>
      </w:pPr>
      <w:bookmarkStart w:id="443" w:name="_Toc77864701"/>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54</w:t>
      </w:r>
      <w:r>
        <w:rPr>
          <w:sz w:val="24"/>
          <w:szCs w:val="24"/>
        </w:rPr>
        <w:fldChar w:fldCharType="end"/>
      </w:r>
      <w:r>
        <w:rPr>
          <w:sz w:val="24"/>
          <w:szCs w:val="24"/>
        </w:rPr>
        <w:t xml:space="preserve"> – Фактический и перспективный баланс тепловой мощности котельных и нагрузок в с.п. Верхеказымский</w:t>
      </w:r>
    </w:p>
    <w:tbl>
      <w:tblPr>
        <w:tblStyle w:val="12"/>
        <w:tblW w:w="49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2"/>
        <w:gridCol w:w="1073"/>
        <w:gridCol w:w="1177"/>
        <w:gridCol w:w="1138"/>
        <w:gridCol w:w="1135"/>
        <w:gridCol w:w="1135"/>
        <w:gridCol w:w="1276"/>
        <w:gridCol w:w="1276"/>
        <w:gridCol w:w="1136"/>
      </w:tblGrid>
      <w:tr w14:paraId="197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863" w:type="pct"/>
            <w:shd w:val="clear" w:color="auto" w:fill="auto"/>
            <w:tcMar>
              <w:left w:w="28" w:type="dxa"/>
              <w:right w:w="28" w:type="dxa"/>
            </w:tcMar>
            <w:vAlign w:val="center"/>
          </w:tcPr>
          <w:p w14:paraId="5A953583">
            <w:pPr>
              <w:spacing w:after="0" w:line="240" w:lineRule="auto"/>
              <w:ind w:firstLine="0"/>
              <w:jc w:val="center"/>
              <w:rPr>
                <w:color w:val="000000"/>
                <w:sz w:val="20"/>
                <w:szCs w:val="20"/>
              </w:rPr>
            </w:pPr>
            <w:r>
              <w:rPr>
                <w:color w:val="000000"/>
                <w:sz w:val="20"/>
                <w:szCs w:val="20"/>
              </w:rPr>
              <w:t>Наименование источника</w:t>
            </w:r>
          </w:p>
        </w:tc>
        <w:tc>
          <w:tcPr>
            <w:tcW w:w="360" w:type="pct"/>
            <w:shd w:val="clear" w:color="auto" w:fill="auto"/>
            <w:tcMar>
              <w:left w:w="28" w:type="dxa"/>
              <w:right w:w="28" w:type="dxa"/>
            </w:tcMar>
            <w:vAlign w:val="center"/>
          </w:tcPr>
          <w:p w14:paraId="41F1EFB3">
            <w:pPr>
              <w:spacing w:after="0" w:line="240" w:lineRule="auto"/>
              <w:ind w:firstLine="0"/>
              <w:jc w:val="center"/>
              <w:rPr>
                <w:color w:val="000000"/>
                <w:sz w:val="20"/>
                <w:szCs w:val="20"/>
              </w:rPr>
            </w:pPr>
            <w:r>
              <w:rPr>
                <w:color w:val="000000"/>
                <w:sz w:val="20"/>
                <w:szCs w:val="20"/>
              </w:rPr>
              <w:t>Ед. изм.</w:t>
            </w:r>
          </w:p>
        </w:tc>
        <w:tc>
          <w:tcPr>
            <w:tcW w:w="395" w:type="pct"/>
            <w:shd w:val="clear" w:color="auto" w:fill="auto"/>
            <w:tcMar>
              <w:left w:w="28" w:type="dxa"/>
              <w:right w:w="28" w:type="dxa"/>
            </w:tcMar>
            <w:vAlign w:val="center"/>
          </w:tcPr>
          <w:p w14:paraId="1C71CDAE">
            <w:pPr>
              <w:spacing w:after="0" w:line="240" w:lineRule="auto"/>
              <w:ind w:firstLine="0"/>
              <w:jc w:val="center"/>
              <w:rPr>
                <w:color w:val="000000"/>
                <w:sz w:val="20"/>
                <w:szCs w:val="20"/>
              </w:rPr>
            </w:pPr>
            <w:r>
              <w:rPr>
                <w:color w:val="000000"/>
                <w:sz w:val="20"/>
                <w:szCs w:val="20"/>
              </w:rPr>
              <w:t>2023</w:t>
            </w:r>
          </w:p>
        </w:tc>
        <w:tc>
          <w:tcPr>
            <w:tcW w:w="382" w:type="pct"/>
            <w:shd w:val="clear" w:color="auto" w:fill="auto"/>
            <w:tcMar>
              <w:left w:w="28" w:type="dxa"/>
              <w:right w:w="28" w:type="dxa"/>
            </w:tcMar>
            <w:vAlign w:val="center"/>
          </w:tcPr>
          <w:p w14:paraId="10469567">
            <w:pPr>
              <w:spacing w:after="0" w:line="240" w:lineRule="auto"/>
              <w:ind w:firstLine="0"/>
              <w:jc w:val="center"/>
              <w:rPr>
                <w:color w:val="000000"/>
                <w:sz w:val="20"/>
                <w:szCs w:val="20"/>
              </w:rPr>
            </w:pPr>
            <w:r>
              <w:rPr>
                <w:color w:val="000000"/>
                <w:sz w:val="20"/>
                <w:szCs w:val="20"/>
              </w:rPr>
              <w:t>2024</w:t>
            </w:r>
          </w:p>
        </w:tc>
        <w:tc>
          <w:tcPr>
            <w:tcW w:w="381" w:type="pct"/>
            <w:shd w:val="clear" w:color="auto" w:fill="auto"/>
            <w:tcMar>
              <w:left w:w="28" w:type="dxa"/>
              <w:right w:w="28" w:type="dxa"/>
            </w:tcMar>
            <w:vAlign w:val="center"/>
          </w:tcPr>
          <w:p w14:paraId="2C0461AA">
            <w:pPr>
              <w:spacing w:after="0" w:line="240" w:lineRule="auto"/>
              <w:ind w:firstLine="0"/>
              <w:jc w:val="center"/>
              <w:rPr>
                <w:color w:val="000000"/>
                <w:sz w:val="20"/>
                <w:szCs w:val="20"/>
              </w:rPr>
            </w:pPr>
            <w:r>
              <w:rPr>
                <w:color w:val="000000"/>
                <w:sz w:val="20"/>
                <w:szCs w:val="20"/>
              </w:rPr>
              <w:t>2025</w:t>
            </w:r>
          </w:p>
        </w:tc>
        <w:tc>
          <w:tcPr>
            <w:tcW w:w="381" w:type="pct"/>
            <w:shd w:val="clear" w:color="auto" w:fill="auto"/>
            <w:tcMar>
              <w:left w:w="28" w:type="dxa"/>
              <w:right w:w="28" w:type="dxa"/>
            </w:tcMar>
            <w:vAlign w:val="center"/>
          </w:tcPr>
          <w:p w14:paraId="1FA43D28">
            <w:pPr>
              <w:spacing w:after="0" w:line="240" w:lineRule="auto"/>
              <w:ind w:firstLine="0"/>
              <w:jc w:val="center"/>
              <w:rPr>
                <w:color w:val="000000"/>
                <w:sz w:val="20"/>
                <w:szCs w:val="20"/>
              </w:rPr>
            </w:pPr>
            <w:r>
              <w:rPr>
                <w:color w:val="000000"/>
                <w:sz w:val="20"/>
                <w:szCs w:val="20"/>
              </w:rPr>
              <w:t>2026</w:t>
            </w:r>
          </w:p>
        </w:tc>
        <w:tc>
          <w:tcPr>
            <w:tcW w:w="428" w:type="pct"/>
            <w:shd w:val="clear" w:color="auto" w:fill="auto"/>
            <w:tcMar>
              <w:left w:w="28" w:type="dxa"/>
              <w:right w:w="28" w:type="dxa"/>
            </w:tcMar>
            <w:vAlign w:val="center"/>
          </w:tcPr>
          <w:p w14:paraId="35BCC918">
            <w:pPr>
              <w:spacing w:after="0" w:line="240" w:lineRule="auto"/>
              <w:ind w:firstLine="0"/>
              <w:jc w:val="center"/>
              <w:rPr>
                <w:color w:val="000000"/>
                <w:sz w:val="20"/>
                <w:szCs w:val="20"/>
              </w:rPr>
            </w:pPr>
            <w:r>
              <w:rPr>
                <w:color w:val="000000"/>
                <w:sz w:val="20"/>
                <w:szCs w:val="20"/>
              </w:rPr>
              <w:t>2027</w:t>
            </w:r>
          </w:p>
        </w:tc>
        <w:tc>
          <w:tcPr>
            <w:tcW w:w="428" w:type="pct"/>
            <w:shd w:val="clear" w:color="auto" w:fill="auto"/>
            <w:tcMar>
              <w:left w:w="28" w:type="dxa"/>
              <w:right w:w="28" w:type="dxa"/>
            </w:tcMar>
            <w:vAlign w:val="center"/>
          </w:tcPr>
          <w:p w14:paraId="49982BBD">
            <w:pPr>
              <w:spacing w:after="0" w:line="240" w:lineRule="auto"/>
              <w:ind w:firstLine="0"/>
              <w:jc w:val="center"/>
              <w:rPr>
                <w:color w:val="000000"/>
                <w:sz w:val="20"/>
                <w:szCs w:val="20"/>
              </w:rPr>
            </w:pPr>
            <w:r>
              <w:rPr>
                <w:color w:val="000000"/>
                <w:sz w:val="20"/>
                <w:szCs w:val="20"/>
              </w:rPr>
              <w:t>2028</w:t>
            </w:r>
          </w:p>
        </w:tc>
        <w:tc>
          <w:tcPr>
            <w:tcW w:w="381" w:type="pct"/>
            <w:shd w:val="clear" w:color="auto" w:fill="auto"/>
            <w:tcMar>
              <w:left w:w="28" w:type="dxa"/>
              <w:right w:w="28" w:type="dxa"/>
            </w:tcMar>
            <w:vAlign w:val="center"/>
          </w:tcPr>
          <w:p w14:paraId="7ABB41A5">
            <w:pPr>
              <w:spacing w:after="0" w:line="240" w:lineRule="auto"/>
              <w:ind w:firstLine="0"/>
              <w:jc w:val="center"/>
              <w:rPr>
                <w:color w:val="000000"/>
                <w:sz w:val="20"/>
                <w:szCs w:val="20"/>
              </w:rPr>
            </w:pPr>
            <w:r>
              <w:rPr>
                <w:color w:val="000000"/>
                <w:sz w:val="20"/>
                <w:szCs w:val="20"/>
              </w:rPr>
              <w:t>2029</w:t>
            </w:r>
          </w:p>
        </w:tc>
      </w:tr>
      <w:tr w14:paraId="2E48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170BCE70">
            <w:pPr>
              <w:spacing w:after="0" w:line="240" w:lineRule="auto"/>
              <w:ind w:firstLine="0"/>
              <w:jc w:val="center"/>
              <w:rPr>
                <w:color w:val="000000"/>
                <w:sz w:val="20"/>
                <w:szCs w:val="20"/>
              </w:rPr>
            </w:pPr>
            <w:r>
              <w:rPr>
                <w:color w:val="000000"/>
                <w:sz w:val="20"/>
                <w:szCs w:val="20"/>
              </w:rPr>
              <w:t>Котельная №2 МУП «БКС»</w:t>
            </w:r>
          </w:p>
        </w:tc>
        <w:tc>
          <w:tcPr>
            <w:tcW w:w="360" w:type="pct"/>
            <w:shd w:val="clear" w:color="auto" w:fill="auto"/>
            <w:tcMar>
              <w:left w:w="28" w:type="dxa"/>
              <w:right w:w="28" w:type="dxa"/>
            </w:tcMar>
            <w:vAlign w:val="center"/>
          </w:tcPr>
          <w:p w14:paraId="0CF7F366">
            <w:pPr>
              <w:spacing w:after="0" w:line="240" w:lineRule="auto"/>
              <w:ind w:firstLine="0"/>
              <w:jc w:val="center"/>
              <w:rPr>
                <w:color w:val="000000"/>
                <w:sz w:val="20"/>
                <w:szCs w:val="20"/>
              </w:rPr>
            </w:pPr>
            <w:r>
              <w:rPr>
                <w:color w:val="000000"/>
                <w:sz w:val="20"/>
                <w:szCs w:val="20"/>
              </w:rPr>
              <w:t> </w:t>
            </w:r>
          </w:p>
        </w:tc>
        <w:tc>
          <w:tcPr>
            <w:tcW w:w="395" w:type="pct"/>
            <w:shd w:val="clear" w:color="auto" w:fill="auto"/>
            <w:noWrap/>
            <w:tcMar>
              <w:left w:w="28" w:type="dxa"/>
              <w:right w:w="28" w:type="dxa"/>
            </w:tcMar>
            <w:vAlign w:val="center"/>
          </w:tcPr>
          <w:p w14:paraId="320283BD">
            <w:pPr>
              <w:spacing w:after="0" w:line="240" w:lineRule="auto"/>
              <w:ind w:firstLine="0"/>
              <w:rPr>
                <w:color w:val="000000"/>
                <w:sz w:val="20"/>
                <w:szCs w:val="20"/>
              </w:rPr>
            </w:pPr>
            <w:r>
              <w:rPr>
                <w:color w:val="000000"/>
                <w:sz w:val="20"/>
                <w:szCs w:val="20"/>
              </w:rPr>
              <w:t> </w:t>
            </w:r>
          </w:p>
        </w:tc>
        <w:tc>
          <w:tcPr>
            <w:tcW w:w="382" w:type="pct"/>
            <w:shd w:val="clear" w:color="auto" w:fill="auto"/>
            <w:noWrap/>
            <w:tcMar>
              <w:left w:w="28" w:type="dxa"/>
              <w:right w:w="28" w:type="dxa"/>
            </w:tcMar>
            <w:vAlign w:val="center"/>
          </w:tcPr>
          <w:p w14:paraId="0E438E76">
            <w:pPr>
              <w:spacing w:after="0" w:line="240" w:lineRule="auto"/>
              <w:ind w:firstLine="0"/>
              <w:rPr>
                <w:color w:val="000000"/>
                <w:sz w:val="20"/>
                <w:szCs w:val="20"/>
              </w:rPr>
            </w:pPr>
            <w:r>
              <w:rPr>
                <w:color w:val="000000"/>
                <w:sz w:val="20"/>
                <w:szCs w:val="20"/>
              </w:rPr>
              <w:t> </w:t>
            </w:r>
          </w:p>
        </w:tc>
        <w:tc>
          <w:tcPr>
            <w:tcW w:w="381" w:type="pct"/>
            <w:shd w:val="clear" w:color="auto" w:fill="auto"/>
            <w:noWrap/>
            <w:tcMar>
              <w:left w:w="28" w:type="dxa"/>
              <w:right w:w="28" w:type="dxa"/>
            </w:tcMar>
            <w:vAlign w:val="center"/>
          </w:tcPr>
          <w:p w14:paraId="4F2D8F67">
            <w:pPr>
              <w:spacing w:after="0" w:line="240" w:lineRule="auto"/>
              <w:ind w:firstLine="0"/>
              <w:rPr>
                <w:color w:val="000000"/>
                <w:sz w:val="20"/>
                <w:szCs w:val="20"/>
              </w:rPr>
            </w:pPr>
            <w:r>
              <w:rPr>
                <w:color w:val="000000"/>
                <w:sz w:val="20"/>
                <w:szCs w:val="20"/>
              </w:rPr>
              <w:t> </w:t>
            </w:r>
          </w:p>
        </w:tc>
        <w:tc>
          <w:tcPr>
            <w:tcW w:w="381" w:type="pct"/>
            <w:shd w:val="clear" w:color="auto" w:fill="auto"/>
            <w:noWrap/>
            <w:tcMar>
              <w:left w:w="28" w:type="dxa"/>
              <w:right w:w="28" w:type="dxa"/>
            </w:tcMar>
            <w:vAlign w:val="center"/>
          </w:tcPr>
          <w:p w14:paraId="22C54BE7">
            <w:pPr>
              <w:spacing w:after="0" w:line="240" w:lineRule="auto"/>
              <w:ind w:firstLine="0"/>
              <w:rPr>
                <w:color w:val="000000"/>
                <w:sz w:val="20"/>
                <w:szCs w:val="20"/>
              </w:rPr>
            </w:pPr>
            <w:r>
              <w:rPr>
                <w:color w:val="000000"/>
                <w:sz w:val="20"/>
                <w:szCs w:val="20"/>
              </w:rPr>
              <w:t> </w:t>
            </w:r>
          </w:p>
        </w:tc>
        <w:tc>
          <w:tcPr>
            <w:tcW w:w="428" w:type="pct"/>
            <w:shd w:val="clear" w:color="auto" w:fill="auto"/>
            <w:noWrap/>
            <w:tcMar>
              <w:left w:w="28" w:type="dxa"/>
              <w:right w:w="28" w:type="dxa"/>
            </w:tcMar>
            <w:vAlign w:val="center"/>
          </w:tcPr>
          <w:p w14:paraId="4564F2F2">
            <w:pPr>
              <w:spacing w:after="0" w:line="240" w:lineRule="auto"/>
              <w:ind w:firstLine="0"/>
              <w:rPr>
                <w:color w:val="000000"/>
                <w:sz w:val="20"/>
                <w:szCs w:val="20"/>
              </w:rPr>
            </w:pPr>
            <w:r>
              <w:rPr>
                <w:color w:val="000000"/>
                <w:sz w:val="20"/>
                <w:szCs w:val="20"/>
              </w:rPr>
              <w:t> </w:t>
            </w:r>
          </w:p>
        </w:tc>
        <w:tc>
          <w:tcPr>
            <w:tcW w:w="428" w:type="pct"/>
            <w:shd w:val="clear" w:color="auto" w:fill="auto"/>
            <w:noWrap/>
            <w:tcMar>
              <w:left w:w="28" w:type="dxa"/>
              <w:right w:w="28" w:type="dxa"/>
            </w:tcMar>
            <w:vAlign w:val="center"/>
          </w:tcPr>
          <w:p w14:paraId="32C084EF">
            <w:pPr>
              <w:spacing w:after="0" w:line="240" w:lineRule="auto"/>
              <w:ind w:firstLine="0"/>
              <w:rPr>
                <w:color w:val="000000"/>
                <w:sz w:val="20"/>
                <w:szCs w:val="20"/>
              </w:rPr>
            </w:pPr>
            <w:r>
              <w:rPr>
                <w:color w:val="000000"/>
                <w:sz w:val="20"/>
                <w:szCs w:val="20"/>
              </w:rPr>
              <w:t> </w:t>
            </w:r>
          </w:p>
        </w:tc>
        <w:tc>
          <w:tcPr>
            <w:tcW w:w="381" w:type="pct"/>
            <w:shd w:val="clear" w:color="auto" w:fill="auto"/>
            <w:noWrap/>
            <w:tcMar>
              <w:left w:w="28" w:type="dxa"/>
              <w:right w:w="28" w:type="dxa"/>
            </w:tcMar>
            <w:vAlign w:val="center"/>
          </w:tcPr>
          <w:p w14:paraId="3B188AF4">
            <w:pPr>
              <w:spacing w:after="0" w:line="240" w:lineRule="auto"/>
              <w:ind w:firstLine="0"/>
              <w:rPr>
                <w:color w:val="000000"/>
                <w:sz w:val="20"/>
                <w:szCs w:val="20"/>
              </w:rPr>
            </w:pPr>
            <w:r>
              <w:rPr>
                <w:color w:val="000000"/>
                <w:sz w:val="20"/>
                <w:szCs w:val="20"/>
              </w:rPr>
              <w:t> </w:t>
            </w:r>
          </w:p>
        </w:tc>
      </w:tr>
      <w:tr w14:paraId="24D0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1A45EE68">
            <w:pPr>
              <w:spacing w:after="0" w:line="240" w:lineRule="auto"/>
              <w:ind w:firstLine="0"/>
              <w:rPr>
                <w:color w:val="000000"/>
                <w:sz w:val="20"/>
                <w:szCs w:val="20"/>
              </w:rPr>
            </w:pPr>
            <w:r>
              <w:rPr>
                <w:color w:val="000000"/>
                <w:sz w:val="20"/>
                <w:szCs w:val="20"/>
              </w:rPr>
              <w:t>Установленная тепловая мощность</w:t>
            </w:r>
          </w:p>
        </w:tc>
        <w:tc>
          <w:tcPr>
            <w:tcW w:w="360" w:type="pct"/>
            <w:shd w:val="clear" w:color="auto" w:fill="auto"/>
            <w:tcMar>
              <w:left w:w="28" w:type="dxa"/>
              <w:right w:w="28" w:type="dxa"/>
            </w:tcMar>
            <w:vAlign w:val="center"/>
          </w:tcPr>
          <w:p w14:paraId="746925E3">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3557FBA2">
            <w:pPr>
              <w:spacing w:after="0" w:line="240" w:lineRule="auto"/>
              <w:ind w:firstLine="0"/>
              <w:jc w:val="right"/>
              <w:rPr>
                <w:color w:val="000000"/>
                <w:sz w:val="20"/>
                <w:szCs w:val="20"/>
              </w:rPr>
            </w:pPr>
            <w:r>
              <w:rPr>
                <w:color w:val="000000"/>
                <w:sz w:val="20"/>
                <w:szCs w:val="20"/>
              </w:rPr>
              <w:t>6,02</w:t>
            </w:r>
          </w:p>
        </w:tc>
        <w:tc>
          <w:tcPr>
            <w:tcW w:w="382" w:type="pct"/>
            <w:shd w:val="clear" w:color="auto" w:fill="auto"/>
            <w:noWrap/>
            <w:tcMar>
              <w:left w:w="28" w:type="dxa"/>
              <w:right w:w="28" w:type="dxa"/>
            </w:tcMar>
            <w:vAlign w:val="center"/>
          </w:tcPr>
          <w:p w14:paraId="4F8AE392">
            <w:pPr>
              <w:spacing w:after="0" w:line="240" w:lineRule="auto"/>
              <w:ind w:firstLine="0"/>
              <w:jc w:val="right"/>
              <w:rPr>
                <w:color w:val="000000"/>
                <w:sz w:val="20"/>
                <w:szCs w:val="20"/>
              </w:rPr>
            </w:pPr>
            <w:r>
              <w:rPr>
                <w:color w:val="000000"/>
                <w:sz w:val="20"/>
                <w:szCs w:val="20"/>
              </w:rPr>
              <w:t>6,02</w:t>
            </w:r>
          </w:p>
        </w:tc>
        <w:tc>
          <w:tcPr>
            <w:tcW w:w="381" w:type="pct"/>
            <w:shd w:val="clear" w:color="auto" w:fill="auto"/>
            <w:noWrap/>
            <w:tcMar>
              <w:left w:w="28" w:type="dxa"/>
              <w:right w:w="28" w:type="dxa"/>
            </w:tcMar>
            <w:vAlign w:val="center"/>
          </w:tcPr>
          <w:p w14:paraId="6FD462F9">
            <w:pPr>
              <w:spacing w:after="0" w:line="240" w:lineRule="auto"/>
              <w:ind w:firstLine="0"/>
              <w:jc w:val="right"/>
              <w:rPr>
                <w:color w:val="000000"/>
                <w:sz w:val="20"/>
                <w:szCs w:val="20"/>
              </w:rPr>
            </w:pPr>
            <w:r>
              <w:rPr>
                <w:color w:val="000000"/>
                <w:sz w:val="20"/>
                <w:szCs w:val="20"/>
              </w:rPr>
              <w:t>6,02</w:t>
            </w:r>
          </w:p>
        </w:tc>
        <w:tc>
          <w:tcPr>
            <w:tcW w:w="381" w:type="pct"/>
            <w:shd w:val="clear" w:color="auto" w:fill="auto"/>
            <w:noWrap/>
            <w:tcMar>
              <w:left w:w="28" w:type="dxa"/>
              <w:right w:w="28" w:type="dxa"/>
            </w:tcMar>
            <w:vAlign w:val="center"/>
          </w:tcPr>
          <w:p w14:paraId="19DB42D6">
            <w:pPr>
              <w:spacing w:after="0" w:line="240" w:lineRule="auto"/>
              <w:ind w:firstLine="0"/>
              <w:jc w:val="right"/>
              <w:rPr>
                <w:color w:val="000000"/>
                <w:sz w:val="20"/>
                <w:szCs w:val="20"/>
              </w:rPr>
            </w:pPr>
            <w:r>
              <w:rPr>
                <w:color w:val="000000"/>
                <w:sz w:val="20"/>
                <w:szCs w:val="20"/>
              </w:rPr>
              <w:t>6,02</w:t>
            </w:r>
          </w:p>
        </w:tc>
        <w:tc>
          <w:tcPr>
            <w:tcW w:w="428" w:type="pct"/>
            <w:shd w:val="clear" w:color="auto" w:fill="auto"/>
            <w:noWrap/>
            <w:tcMar>
              <w:left w:w="28" w:type="dxa"/>
              <w:right w:w="28" w:type="dxa"/>
            </w:tcMar>
            <w:vAlign w:val="center"/>
          </w:tcPr>
          <w:p w14:paraId="2E89EC07">
            <w:pPr>
              <w:spacing w:after="0" w:line="240" w:lineRule="auto"/>
              <w:ind w:firstLine="0"/>
              <w:jc w:val="right"/>
              <w:rPr>
                <w:color w:val="000000"/>
                <w:sz w:val="20"/>
                <w:szCs w:val="20"/>
              </w:rPr>
            </w:pPr>
            <w:r>
              <w:rPr>
                <w:color w:val="000000"/>
                <w:sz w:val="20"/>
                <w:szCs w:val="20"/>
              </w:rPr>
              <w:t>6,02</w:t>
            </w:r>
          </w:p>
        </w:tc>
        <w:tc>
          <w:tcPr>
            <w:tcW w:w="428" w:type="pct"/>
            <w:shd w:val="clear" w:color="auto" w:fill="auto"/>
            <w:noWrap/>
            <w:tcMar>
              <w:left w:w="28" w:type="dxa"/>
              <w:right w:w="28" w:type="dxa"/>
            </w:tcMar>
            <w:vAlign w:val="center"/>
          </w:tcPr>
          <w:p w14:paraId="33C2B935">
            <w:pPr>
              <w:spacing w:after="0" w:line="240" w:lineRule="auto"/>
              <w:ind w:firstLine="0"/>
              <w:jc w:val="right"/>
              <w:rPr>
                <w:color w:val="000000"/>
                <w:sz w:val="20"/>
                <w:szCs w:val="20"/>
              </w:rPr>
            </w:pPr>
            <w:r>
              <w:rPr>
                <w:color w:val="000000"/>
                <w:sz w:val="20"/>
                <w:szCs w:val="20"/>
              </w:rPr>
              <w:t>6,02</w:t>
            </w:r>
          </w:p>
        </w:tc>
        <w:tc>
          <w:tcPr>
            <w:tcW w:w="381" w:type="pct"/>
            <w:shd w:val="clear" w:color="auto" w:fill="auto"/>
            <w:noWrap/>
            <w:tcMar>
              <w:left w:w="28" w:type="dxa"/>
              <w:right w:w="28" w:type="dxa"/>
            </w:tcMar>
            <w:vAlign w:val="center"/>
          </w:tcPr>
          <w:p w14:paraId="7E7DE503">
            <w:pPr>
              <w:spacing w:after="0" w:line="240" w:lineRule="auto"/>
              <w:ind w:firstLine="0"/>
              <w:jc w:val="right"/>
              <w:rPr>
                <w:color w:val="000000"/>
                <w:sz w:val="20"/>
                <w:szCs w:val="20"/>
              </w:rPr>
            </w:pPr>
            <w:r>
              <w:rPr>
                <w:color w:val="000000"/>
                <w:sz w:val="20"/>
                <w:szCs w:val="20"/>
              </w:rPr>
              <w:t>6,02</w:t>
            </w:r>
          </w:p>
        </w:tc>
      </w:tr>
      <w:tr w14:paraId="5481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5699E192">
            <w:pPr>
              <w:spacing w:after="0" w:line="240" w:lineRule="auto"/>
              <w:ind w:firstLine="0"/>
              <w:rPr>
                <w:color w:val="000000"/>
                <w:sz w:val="20"/>
                <w:szCs w:val="20"/>
              </w:rPr>
            </w:pPr>
            <w:r>
              <w:rPr>
                <w:color w:val="000000"/>
                <w:sz w:val="20"/>
                <w:szCs w:val="20"/>
              </w:rPr>
              <w:t>Располагаемая тепловая мощность</w:t>
            </w:r>
          </w:p>
        </w:tc>
        <w:tc>
          <w:tcPr>
            <w:tcW w:w="360" w:type="pct"/>
            <w:shd w:val="clear" w:color="auto" w:fill="auto"/>
            <w:tcMar>
              <w:left w:w="28" w:type="dxa"/>
              <w:right w:w="28" w:type="dxa"/>
            </w:tcMar>
            <w:vAlign w:val="center"/>
          </w:tcPr>
          <w:p w14:paraId="66995E44">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52A0E214">
            <w:pPr>
              <w:spacing w:after="0" w:line="240" w:lineRule="auto"/>
              <w:ind w:firstLine="0"/>
              <w:jc w:val="right"/>
              <w:rPr>
                <w:color w:val="000000"/>
                <w:sz w:val="20"/>
                <w:szCs w:val="20"/>
              </w:rPr>
            </w:pPr>
            <w:r>
              <w:rPr>
                <w:color w:val="000000"/>
                <w:sz w:val="20"/>
                <w:szCs w:val="20"/>
              </w:rPr>
              <w:t>5,94</w:t>
            </w:r>
          </w:p>
        </w:tc>
        <w:tc>
          <w:tcPr>
            <w:tcW w:w="382" w:type="pct"/>
            <w:shd w:val="clear" w:color="auto" w:fill="auto"/>
            <w:noWrap/>
            <w:tcMar>
              <w:left w:w="28" w:type="dxa"/>
              <w:right w:w="28" w:type="dxa"/>
            </w:tcMar>
            <w:vAlign w:val="center"/>
          </w:tcPr>
          <w:p w14:paraId="1EF86D46">
            <w:pPr>
              <w:spacing w:after="0" w:line="240" w:lineRule="auto"/>
              <w:ind w:firstLine="0"/>
              <w:jc w:val="right"/>
              <w:rPr>
                <w:color w:val="000000"/>
                <w:sz w:val="20"/>
                <w:szCs w:val="20"/>
              </w:rPr>
            </w:pPr>
            <w:r>
              <w:rPr>
                <w:color w:val="000000"/>
                <w:sz w:val="20"/>
                <w:szCs w:val="20"/>
              </w:rPr>
              <w:t>5,94</w:t>
            </w:r>
          </w:p>
        </w:tc>
        <w:tc>
          <w:tcPr>
            <w:tcW w:w="381" w:type="pct"/>
            <w:shd w:val="clear" w:color="auto" w:fill="auto"/>
            <w:noWrap/>
            <w:tcMar>
              <w:left w:w="28" w:type="dxa"/>
              <w:right w:w="28" w:type="dxa"/>
            </w:tcMar>
            <w:vAlign w:val="center"/>
          </w:tcPr>
          <w:p w14:paraId="0224323A">
            <w:pPr>
              <w:spacing w:after="0" w:line="240" w:lineRule="auto"/>
              <w:ind w:firstLine="0"/>
              <w:jc w:val="right"/>
              <w:rPr>
                <w:color w:val="000000"/>
                <w:sz w:val="20"/>
                <w:szCs w:val="20"/>
              </w:rPr>
            </w:pPr>
            <w:r>
              <w:rPr>
                <w:color w:val="000000"/>
                <w:sz w:val="20"/>
                <w:szCs w:val="20"/>
              </w:rPr>
              <w:t>5,94</w:t>
            </w:r>
          </w:p>
        </w:tc>
        <w:tc>
          <w:tcPr>
            <w:tcW w:w="381" w:type="pct"/>
            <w:shd w:val="clear" w:color="auto" w:fill="auto"/>
            <w:noWrap/>
            <w:tcMar>
              <w:left w:w="28" w:type="dxa"/>
              <w:right w:w="28" w:type="dxa"/>
            </w:tcMar>
            <w:vAlign w:val="center"/>
          </w:tcPr>
          <w:p w14:paraId="041685FE">
            <w:pPr>
              <w:spacing w:after="0" w:line="240" w:lineRule="auto"/>
              <w:ind w:firstLine="0"/>
              <w:jc w:val="right"/>
              <w:rPr>
                <w:color w:val="000000"/>
                <w:sz w:val="20"/>
                <w:szCs w:val="20"/>
              </w:rPr>
            </w:pPr>
            <w:r>
              <w:rPr>
                <w:color w:val="000000"/>
                <w:sz w:val="20"/>
                <w:szCs w:val="20"/>
              </w:rPr>
              <w:t>5,94</w:t>
            </w:r>
          </w:p>
        </w:tc>
        <w:tc>
          <w:tcPr>
            <w:tcW w:w="428" w:type="pct"/>
            <w:shd w:val="clear" w:color="auto" w:fill="auto"/>
            <w:noWrap/>
            <w:tcMar>
              <w:left w:w="28" w:type="dxa"/>
              <w:right w:w="28" w:type="dxa"/>
            </w:tcMar>
            <w:vAlign w:val="center"/>
          </w:tcPr>
          <w:p w14:paraId="22C1E08A">
            <w:pPr>
              <w:spacing w:after="0" w:line="240" w:lineRule="auto"/>
              <w:ind w:firstLine="0"/>
              <w:jc w:val="right"/>
              <w:rPr>
                <w:color w:val="000000"/>
                <w:sz w:val="20"/>
                <w:szCs w:val="20"/>
              </w:rPr>
            </w:pPr>
            <w:r>
              <w:rPr>
                <w:color w:val="000000"/>
                <w:sz w:val="20"/>
                <w:szCs w:val="20"/>
              </w:rPr>
              <w:t>5,94</w:t>
            </w:r>
          </w:p>
        </w:tc>
        <w:tc>
          <w:tcPr>
            <w:tcW w:w="428" w:type="pct"/>
            <w:shd w:val="clear" w:color="auto" w:fill="auto"/>
            <w:noWrap/>
            <w:tcMar>
              <w:left w:w="28" w:type="dxa"/>
              <w:right w:w="28" w:type="dxa"/>
            </w:tcMar>
            <w:vAlign w:val="center"/>
          </w:tcPr>
          <w:p w14:paraId="4F5FD1D2">
            <w:pPr>
              <w:spacing w:after="0" w:line="240" w:lineRule="auto"/>
              <w:ind w:firstLine="0"/>
              <w:jc w:val="right"/>
              <w:rPr>
                <w:color w:val="000000"/>
                <w:sz w:val="20"/>
                <w:szCs w:val="20"/>
              </w:rPr>
            </w:pPr>
            <w:r>
              <w:rPr>
                <w:color w:val="000000"/>
                <w:sz w:val="20"/>
                <w:szCs w:val="20"/>
              </w:rPr>
              <w:t>5,94</w:t>
            </w:r>
          </w:p>
        </w:tc>
        <w:tc>
          <w:tcPr>
            <w:tcW w:w="381" w:type="pct"/>
            <w:shd w:val="clear" w:color="auto" w:fill="auto"/>
            <w:noWrap/>
            <w:tcMar>
              <w:left w:w="28" w:type="dxa"/>
              <w:right w:w="28" w:type="dxa"/>
            </w:tcMar>
            <w:vAlign w:val="center"/>
          </w:tcPr>
          <w:p w14:paraId="0AE35EE7">
            <w:pPr>
              <w:spacing w:after="0" w:line="240" w:lineRule="auto"/>
              <w:ind w:firstLine="0"/>
              <w:jc w:val="right"/>
              <w:rPr>
                <w:color w:val="000000"/>
                <w:sz w:val="20"/>
                <w:szCs w:val="20"/>
              </w:rPr>
            </w:pPr>
            <w:r>
              <w:rPr>
                <w:color w:val="000000"/>
                <w:sz w:val="20"/>
                <w:szCs w:val="20"/>
              </w:rPr>
              <w:t>5,94</w:t>
            </w:r>
          </w:p>
        </w:tc>
      </w:tr>
      <w:tr w14:paraId="15D3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240E4778">
            <w:pPr>
              <w:spacing w:after="0" w:line="240" w:lineRule="auto"/>
              <w:ind w:firstLine="0"/>
              <w:rPr>
                <w:color w:val="000000"/>
                <w:sz w:val="20"/>
                <w:szCs w:val="20"/>
              </w:rPr>
            </w:pPr>
            <w:r>
              <w:rPr>
                <w:color w:val="000000"/>
                <w:sz w:val="20"/>
                <w:szCs w:val="20"/>
              </w:rPr>
              <w:t>Ограничение тепловой мощности</w:t>
            </w:r>
          </w:p>
        </w:tc>
        <w:tc>
          <w:tcPr>
            <w:tcW w:w="360" w:type="pct"/>
            <w:shd w:val="clear" w:color="auto" w:fill="auto"/>
            <w:tcMar>
              <w:left w:w="28" w:type="dxa"/>
              <w:right w:w="28" w:type="dxa"/>
            </w:tcMar>
            <w:vAlign w:val="center"/>
          </w:tcPr>
          <w:p w14:paraId="32491339">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3B2C6DEE">
            <w:pPr>
              <w:spacing w:after="0" w:line="240" w:lineRule="auto"/>
              <w:ind w:firstLine="0"/>
              <w:jc w:val="right"/>
              <w:rPr>
                <w:color w:val="000000"/>
                <w:sz w:val="20"/>
                <w:szCs w:val="20"/>
              </w:rPr>
            </w:pPr>
            <w:r>
              <w:rPr>
                <w:color w:val="000000"/>
                <w:sz w:val="20"/>
                <w:szCs w:val="20"/>
              </w:rPr>
              <w:t>0,08</w:t>
            </w:r>
          </w:p>
        </w:tc>
        <w:tc>
          <w:tcPr>
            <w:tcW w:w="382" w:type="pct"/>
            <w:shd w:val="clear" w:color="auto" w:fill="auto"/>
            <w:noWrap/>
            <w:tcMar>
              <w:left w:w="28" w:type="dxa"/>
              <w:right w:w="28" w:type="dxa"/>
            </w:tcMar>
            <w:vAlign w:val="center"/>
          </w:tcPr>
          <w:p w14:paraId="08F2C77D">
            <w:pPr>
              <w:spacing w:after="0" w:line="240" w:lineRule="auto"/>
              <w:ind w:firstLine="0"/>
              <w:jc w:val="right"/>
              <w:rPr>
                <w:color w:val="000000"/>
                <w:sz w:val="20"/>
                <w:szCs w:val="20"/>
              </w:rPr>
            </w:pPr>
            <w:r>
              <w:rPr>
                <w:color w:val="000000"/>
                <w:sz w:val="20"/>
                <w:szCs w:val="20"/>
              </w:rPr>
              <w:t>0,08</w:t>
            </w:r>
          </w:p>
        </w:tc>
        <w:tc>
          <w:tcPr>
            <w:tcW w:w="381" w:type="pct"/>
            <w:shd w:val="clear" w:color="auto" w:fill="auto"/>
            <w:noWrap/>
            <w:tcMar>
              <w:left w:w="28" w:type="dxa"/>
              <w:right w:w="28" w:type="dxa"/>
            </w:tcMar>
            <w:vAlign w:val="center"/>
          </w:tcPr>
          <w:p w14:paraId="51B4E864">
            <w:pPr>
              <w:spacing w:after="0" w:line="240" w:lineRule="auto"/>
              <w:ind w:firstLine="0"/>
              <w:jc w:val="right"/>
              <w:rPr>
                <w:color w:val="000000"/>
                <w:sz w:val="20"/>
                <w:szCs w:val="20"/>
              </w:rPr>
            </w:pPr>
            <w:r>
              <w:rPr>
                <w:color w:val="000000"/>
                <w:sz w:val="20"/>
                <w:szCs w:val="20"/>
              </w:rPr>
              <w:t>0,08</w:t>
            </w:r>
          </w:p>
        </w:tc>
        <w:tc>
          <w:tcPr>
            <w:tcW w:w="381" w:type="pct"/>
            <w:shd w:val="clear" w:color="auto" w:fill="auto"/>
            <w:noWrap/>
            <w:tcMar>
              <w:left w:w="28" w:type="dxa"/>
              <w:right w:w="28" w:type="dxa"/>
            </w:tcMar>
            <w:vAlign w:val="center"/>
          </w:tcPr>
          <w:p w14:paraId="0726B44E">
            <w:pPr>
              <w:spacing w:after="0" w:line="240" w:lineRule="auto"/>
              <w:ind w:firstLine="0"/>
              <w:jc w:val="right"/>
              <w:rPr>
                <w:color w:val="000000"/>
                <w:sz w:val="20"/>
                <w:szCs w:val="20"/>
              </w:rPr>
            </w:pPr>
            <w:r>
              <w:rPr>
                <w:color w:val="000000"/>
                <w:sz w:val="20"/>
                <w:szCs w:val="20"/>
              </w:rPr>
              <w:t>0,08</w:t>
            </w:r>
          </w:p>
        </w:tc>
        <w:tc>
          <w:tcPr>
            <w:tcW w:w="428" w:type="pct"/>
            <w:shd w:val="clear" w:color="auto" w:fill="auto"/>
            <w:noWrap/>
            <w:tcMar>
              <w:left w:w="28" w:type="dxa"/>
              <w:right w:w="28" w:type="dxa"/>
            </w:tcMar>
            <w:vAlign w:val="center"/>
          </w:tcPr>
          <w:p w14:paraId="4ED28180">
            <w:pPr>
              <w:spacing w:after="0" w:line="240" w:lineRule="auto"/>
              <w:ind w:firstLine="0"/>
              <w:jc w:val="right"/>
              <w:rPr>
                <w:color w:val="000000"/>
                <w:sz w:val="20"/>
                <w:szCs w:val="20"/>
              </w:rPr>
            </w:pPr>
            <w:r>
              <w:rPr>
                <w:color w:val="000000"/>
                <w:sz w:val="20"/>
                <w:szCs w:val="20"/>
              </w:rPr>
              <w:t>0,08</w:t>
            </w:r>
          </w:p>
        </w:tc>
        <w:tc>
          <w:tcPr>
            <w:tcW w:w="428" w:type="pct"/>
            <w:shd w:val="clear" w:color="auto" w:fill="auto"/>
            <w:noWrap/>
            <w:tcMar>
              <w:left w:w="28" w:type="dxa"/>
              <w:right w:w="28" w:type="dxa"/>
            </w:tcMar>
            <w:vAlign w:val="center"/>
          </w:tcPr>
          <w:p w14:paraId="09540DAB">
            <w:pPr>
              <w:spacing w:after="0" w:line="240" w:lineRule="auto"/>
              <w:ind w:firstLine="0"/>
              <w:jc w:val="right"/>
              <w:rPr>
                <w:color w:val="000000"/>
                <w:sz w:val="20"/>
                <w:szCs w:val="20"/>
              </w:rPr>
            </w:pPr>
            <w:r>
              <w:rPr>
                <w:color w:val="000000"/>
                <w:sz w:val="20"/>
                <w:szCs w:val="20"/>
              </w:rPr>
              <w:t>0,08</w:t>
            </w:r>
          </w:p>
        </w:tc>
        <w:tc>
          <w:tcPr>
            <w:tcW w:w="381" w:type="pct"/>
            <w:shd w:val="clear" w:color="auto" w:fill="auto"/>
            <w:noWrap/>
            <w:tcMar>
              <w:left w:w="28" w:type="dxa"/>
              <w:right w:w="28" w:type="dxa"/>
            </w:tcMar>
            <w:vAlign w:val="center"/>
          </w:tcPr>
          <w:p w14:paraId="71BF36BF">
            <w:pPr>
              <w:spacing w:after="0" w:line="240" w:lineRule="auto"/>
              <w:ind w:firstLine="0"/>
              <w:jc w:val="right"/>
              <w:rPr>
                <w:color w:val="000000"/>
                <w:sz w:val="20"/>
                <w:szCs w:val="20"/>
              </w:rPr>
            </w:pPr>
            <w:r>
              <w:rPr>
                <w:color w:val="000000"/>
                <w:sz w:val="20"/>
                <w:szCs w:val="20"/>
              </w:rPr>
              <w:t>0,08</w:t>
            </w:r>
          </w:p>
        </w:tc>
      </w:tr>
      <w:tr w14:paraId="314D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36139D0D">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1120891E">
            <w:pPr>
              <w:spacing w:after="0" w:line="240" w:lineRule="auto"/>
              <w:ind w:firstLine="0"/>
              <w:jc w:val="center"/>
              <w:rPr>
                <w:color w:val="000000"/>
                <w:sz w:val="20"/>
                <w:szCs w:val="20"/>
              </w:rPr>
            </w:pPr>
            <w:r>
              <w:rPr>
                <w:color w:val="000000"/>
                <w:sz w:val="20"/>
                <w:szCs w:val="20"/>
              </w:rPr>
              <w:t>%</w:t>
            </w:r>
          </w:p>
        </w:tc>
        <w:tc>
          <w:tcPr>
            <w:tcW w:w="395" w:type="pct"/>
            <w:shd w:val="clear" w:color="auto" w:fill="auto"/>
            <w:noWrap/>
            <w:tcMar>
              <w:left w:w="28" w:type="dxa"/>
              <w:right w:w="28" w:type="dxa"/>
            </w:tcMar>
            <w:vAlign w:val="center"/>
          </w:tcPr>
          <w:p w14:paraId="6EB066D5">
            <w:pPr>
              <w:spacing w:after="0" w:line="240" w:lineRule="auto"/>
              <w:ind w:firstLine="0"/>
              <w:jc w:val="right"/>
              <w:rPr>
                <w:color w:val="000000"/>
                <w:sz w:val="20"/>
                <w:szCs w:val="20"/>
              </w:rPr>
            </w:pPr>
            <w:r>
              <w:rPr>
                <w:color w:val="000000"/>
                <w:sz w:val="20"/>
                <w:szCs w:val="20"/>
              </w:rPr>
              <w:t>1,33</w:t>
            </w:r>
          </w:p>
        </w:tc>
        <w:tc>
          <w:tcPr>
            <w:tcW w:w="382" w:type="pct"/>
            <w:shd w:val="clear" w:color="auto" w:fill="auto"/>
            <w:noWrap/>
            <w:tcMar>
              <w:left w:w="28" w:type="dxa"/>
              <w:right w:w="28" w:type="dxa"/>
            </w:tcMar>
            <w:vAlign w:val="center"/>
          </w:tcPr>
          <w:p w14:paraId="48CC2EEC">
            <w:pPr>
              <w:spacing w:after="0" w:line="240" w:lineRule="auto"/>
              <w:ind w:firstLine="0"/>
              <w:jc w:val="right"/>
              <w:rPr>
                <w:color w:val="000000"/>
                <w:sz w:val="20"/>
                <w:szCs w:val="20"/>
              </w:rPr>
            </w:pPr>
            <w:r>
              <w:rPr>
                <w:color w:val="000000"/>
                <w:sz w:val="20"/>
                <w:szCs w:val="20"/>
              </w:rPr>
              <w:t>1,33</w:t>
            </w:r>
          </w:p>
        </w:tc>
        <w:tc>
          <w:tcPr>
            <w:tcW w:w="381" w:type="pct"/>
            <w:shd w:val="clear" w:color="auto" w:fill="auto"/>
            <w:noWrap/>
            <w:tcMar>
              <w:left w:w="28" w:type="dxa"/>
              <w:right w:w="28" w:type="dxa"/>
            </w:tcMar>
            <w:vAlign w:val="center"/>
          </w:tcPr>
          <w:p w14:paraId="475D1535">
            <w:pPr>
              <w:spacing w:after="0" w:line="240" w:lineRule="auto"/>
              <w:ind w:firstLine="0"/>
              <w:jc w:val="right"/>
              <w:rPr>
                <w:color w:val="000000"/>
                <w:sz w:val="20"/>
                <w:szCs w:val="20"/>
              </w:rPr>
            </w:pPr>
            <w:r>
              <w:rPr>
                <w:color w:val="000000"/>
                <w:sz w:val="20"/>
                <w:szCs w:val="20"/>
              </w:rPr>
              <w:t>1,33</w:t>
            </w:r>
          </w:p>
        </w:tc>
        <w:tc>
          <w:tcPr>
            <w:tcW w:w="381" w:type="pct"/>
            <w:shd w:val="clear" w:color="auto" w:fill="auto"/>
            <w:noWrap/>
            <w:tcMar>
              <w:left w:w="28" w:type="dxa"/>
              <w:right w:w="28" w:type="dxa"/>
            </w:tcMar>
            <w:vAlign w:val="center"/>
          </w:tcPr>
          <w:p w14:paraId="43BB582E">
            <w:pPr>
              <w:spacing w:after="0" w:line="240" w:lineRule="auto"/>
              <w:ind w:firstLine="0"/>
              <w:jc w:val="right"/>
              <w:rPr>
                <w:color w:val="000000"/>
                <w:sz w:val="20"/>
                <w:szCs w:val="20"/>
              </w:rPr>
            </w:pPr>
            <w:r>
              <w:rPr>
                <w:color w:val="000000"/>
                <w:sz w:val="20"/>
                <w:szCs w:val="20"/>
              </w:rPr>
              <w:t>1,33</w:t>
            </w:r>
          </w:p>
        </w:tc>
        <w:tc>
          <w:tcPr>
            <w:tcW w:w="428" w:type="pct"/>
            <w:shd w:val="clear" w:color="auto" w:fill="auto"/>
            <w:noWrap/>
            <w:tcMar>
              <w:left w:w="28" w:type="dxa"/>
              <w:right w:w="28" w:type="dxa"/>
            </w:tcMar>
            <w:vAlign w:val="center"/>
          </w:tcPr>
          <w:p w14:paraId="5E746835">
            <w:pPr>
              <w:spacing w:after="0" w:line="240" w:lineRule="auto"/>
              <w:ind w:firstLine="0"/>
              <w:jc w:val="right"/>
              <w:rPr>
                <w:color w:val="000000"/>
                <w:sz w:val="20"/>
                <w:szCs w:val="20"/>
              </w:rPr>
            </w:pPr>
            <w:r>
              <w:rPr>
                <w:color w:val="000000"/>
                <w:sz w:val="20"/>
                <w:szCs w:val="20"/>
              </w:rPr>
              <w:t>1,33</w:t>
            </w:r>
          </w:p>
        </w:tc>
        <w:tc>
          <w:tcPr>
            <w:tcW w:w="428" w:type="pct"/>
            <w:shd w:val="clear" w:color="auto" w:fill="auto"/>
            <w:noWrap/>
            <w:tcMar>
              <w:left w:w="28" w:type="dxa"/>
              <w:right w:w="28" w:type="dxa"/>
            </w:tcMar>
            <w:vAlign w:val="center"/>
          </w:tcPr>
          <w:p w14:paraId="382DF37D">
            <w:pPr>
              <w:spacing w:after="0" w:line="240" w:lineRule="auto"/>
              <w:ind w:firstLine="0"/>
              <w:jc w:val="right"/>
              <w:rPr>
                <w:color w:val="000000"/>
                <w:sz w:val="20"/>
                <w:szCs w:val="20"/>
              </w:rPr>
            </w:pPr>
            <w:r>
              <w:rPr>
                <w:color w:val="000000"/>
                <w:sz w:val="20"/>
                <w:szCs w:val="20"/>
              </w:rPr>
              <w:t>1,33</w:t>
            </w:r>
          </w:p>
        </w:tc>
        <w:tc>
          <w:tcPr>
            <w:tcW w:w="381" w:type="pct"/>
            <w:shd w:val="clear" w:color="auto" w:fill="auto"/>
            <w:noWrap/>
            <w:tcMar>
              <w:left w:w="28" w:type="dxa"/>
              <w:right w:w="28" w:type="dxa"/>
            </w:tcMar>
            <w:vAlign w:val="center"/>
          </w:tcPr>
          <w:p w14:paraId="53A337FB">
            <w:pPr>
              <w:spacing w:after="0" w:line="240" w:lineRule="auto"/>
              <w:ind w:firstLine="0"/>
              <w:jc w:val="right"/>
              <w:rPr>
                <w:color w:val="000000"/>
                <w:sz w:val="20"/>
                <w:szCs w:val="20"/>
              </w:rPr>
            </w:pPr>
            <w:r>
              <w:rPr>
                <w:color w:val="000000"/>
                <w:sz w:val="20"/>
                <w:szCs w:val="20"/>
              </w:rPr>
              <w:t>1,33</w:t>
            </w:r>
          </w:p>
        </w:tc>
      </w:tr>
      <w:tr w14:paraId="7904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7F99117F">
            <w:pPr>
              <w:spacing w:after="0" w:line="240" w:lineRule="auto"/>
              <w:ind w:firstLine="0"/>
              <w:rPr>
                <w:color w:val="000000"/>
                <w:sz w:val="20"/>
                <w:szCs w:val="20"/>
              </w:rPr>
            </w:pPr>
            <w:r>
              <w:rPr>
                <w:color w:val="000000"/>
                <w:sz w:val="20"/>
                <w:szCs w:val="20"/>
              </w:rPr>
              <w:t>Собственные и хозяйственные нужды</w:t>
            </w:r>
          </w:p>
        </w:tc>
        <w:tc>
          <w:tcPr>
            <w:tcW w:w="360" w:type="pct"/>
            <w:shd w:val="clear" w:color="auto" w:fill="auto"/>
            <w:tcMar>
              <w:left w:w="28" w:type="dxa"/>
              <w:right w:w="28" w:type="dxa"/>
            </w:tcMar>
            <w:vAlign w:val="center"/>
          </w:tcPr>
          <w:p w14:paraId="6ECC7154">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59FDCCAE">
            <w:pPr>
              <w:spacing w:after="0" w:line="240" w:lineRule="auto"/>
              <w:ind w:firstLine="0"/>
              <w:jc w:val="right"/>
              <w:rPr>
                <w:color w:val="000000"/>
                <w:sz w:val="20"/>
                <w:szCs w:val="20"/>
              </w:rPr>
            </w:pPr>
            <w:r>
              <w:rPr>
                <w:color w:val="000000"/>
                <w:sz w:val="20"/>
                <w:szCs w:val="20"/>
              </w:rPr>
              <w:t>0,04</w:t>
            </w:r>
          </w:p>
        </w:tc>
        <w:tc>
          <w:tcPr>
            <w:tcW w:w="382" w:type="pct"/>
            <w:shd w:val="clear" w:color="auto" w:fill="auto"/>
            <w:noWrap/>
            <w:tcMar>
              <w:left w:w="28" w:type="dxa"/>
              <w:right w:w="28" w:type="dxa"/>
            </w:tcMar>
            <w:vAlign w:val="center"/>
          </w:tcPr>
          <w:p w14:paraId="7088007D">
            <w:pPr>
              <w:spacing w:after="0" w:line="240" w:lineRule="auto"/>
              <w:ind w:firstLine="0"/>
              <w:jc w:val="right"/>
              <w:rPr>
                <w:color w:val="000000"/>
                <w:sz w:val="20"/>
                <w:szCs w:val="20"/>
              </w:rPr>
            </w:pPr>
            <w:r>
              <w:rPr>
                <w:color w:val="000000"/>
                <w:sz w:val="20"/>
                <w:szCs w:val="20"/>
              </w:rPr>
              <w:t>0,04</w:t>
            </w:r>
          </w:p>
        </w:tc>
        <w:tc>
          <w:tcPr>
            <w:tcW w:w="381" w:type="pct"/>
            <w:shd w:val="clear" w:color="auto" w:fill="auto"/>
            <w:noWrap/>
            <w:tcMar>
              <w:left w:w="28" w:type="dxa"/>
              <w:right w:w="28" w:type="dxa"/>
            </w:tcMar>
            <w:vAlign w:val="center"/>
          </w:tcPr>
          <w:p w14:paraId="31B84EC1">
            <w:pPr>
              <w:spacing w:after="0" w:line="240" w:lineRule="auto"/>
              <w:ind w:firstLine="0"/>
              <w:jc w:val="right"/>
              <w:rPr>
                <w:color w:val="000000"/>
                <w:sz w:val="20"/>
                <w:szCs w:val="20"/>
              </w:rPr>
            </w:pPr>
            <w:r>
              <w:rPr>
                <w:color w:val="000000"/>
                <w:sz w:val="20"/>
                <w:szCs w:val="20"/>
              </w:rPr>
              <w:t>0,04</w:t>
            </w:r>
          </w:p>
        </w:tc>
        <w:tc>
          <w:tcPr>
            <w:tcW w:w="381" w:type="pct"/>
            <w:shd w:val="clear" w:color="auto" w:fill="auto"/>
            <w:noWrap/>
            <w:tcMar>
              <w:left w:w="28" w:type="dxa"/>
              <w:right w:w="28" w:type="dxa"/>
            </w:tcMar>
            <w:vAlign w:val="center"/>
          </w:tcPr>
          <w:p w14:paraId="1C3DE79E">
            <w:pPr>
              <w:spacing w:after="0" w:line="240" w:lineRule="auto"/>
              <w:ind w:firstLine="0"/>
              <w:jc w:val="right"/>
              <w:rPr>
                <w:color w:val="000000"/>
                <w:sz w:val="20"/>
                <w:szCs w:val="20"/>
              </w:rPr>
            </w:pPr>
            <w:r>
              <w:rPr>
                <w:color w:val="000000"/>
                <w:sz w:val="20"/>
                <w:szCs w:val="20"/>
              </w:rPr>
              <w:t>0,04</w:t>
            </w:r>
          </w:p>
        </w:tc>
        <w:tc>
          <w:tcPr>
            <w:tcW w:w="428" w:type="pct"/>
            <w:shd w:val="clear" w:color="auto" w:fill="auto"/>
            <w:noWrap/>
            <w:tcMar>
              <w:left w:w="28" w:type="dxa"/>
              <w:right w:w="28" w:type="dxa"/>
            </w:tcMar>
            <w:vAlign w:val="center"/>
          </w:tcPr>
          <w:p w14:paraId="32EF66B5">
            <w:pPr>
              <w:spacing w:after="0" w:line="240" w:lineRule="auto"/>
              <w:ind w:firstLine="0"/>
              <w:jc w:val="right"/>
              <w:rPr>
                <w:color w:val="000000"/>
                <w:sz w:val="20"/>
                <w:szCs w:val="20"/>
              </w:rPr>
            </w:pPr>
            <w:r>
              <w:rPr>
                <w:color w:val="000000"/>
                <w:sz w:val="20"/>
                <w:szCs w:val="20"/>
              </w:rPr>
              <w:t>0,04</w:t>
            </w:r>
          </w:p>
        </w:tc>
        <w:tc>
          <w:tcPr>
            <w:tcW w:w="428" w:type="pct"/>
            <w:shd w:val="clear" w:color="auto" w:fill="auto"/>
            <w:noWrap/>
            <w:tcMar>
              <w:left w:w="28" w:type="dxa"/>
              <w:right w:w="28" w:type="dxa"/>
            </w:tcMar>
            <w:vAlign w:val="center"/>
          </w:tcPr>
          <w:p w14:paraId="5B8A7EAF">
            <w:pPr>
              <w:spacing w:after="0" w:line="240" w:lineRule="auto"/>
              <w:ind w:firstLine="0"/>
              <w:jc w:val="right"/>
              <w:rPr>
                <w:color w:val="000000"/>
                <w:sz w:val="20"/>
                <w:szCs w:val="20"/>
              </w:rPr>
            </w:pPr>
            <w:r>
              <w:rPr>
                <w:color w:val="000000"/>
                <w:sz w:val="20"/>
                <w:szCs w:val="20"/>
              </w:rPr>
              <w:t>0,04</w:t>
            </w:r>
          </w:p>
        </w:tc>
        <w:tc>
          <w:tcPr>
            <w:tcW w:w="381" w:type="pct"/>
            <w:shd w:val="clear" w:color="auto" w:fill="auto"/>
            <w:noWrap/>
            <w:tcMar>
              <w:left w:w="28" w:type="dxa"/>
              <w:right w:w="28" w:type="dxa"/>
            </w:tcMar>
            <w:vAlign w:val="center"/>
          </w:tcPr>
          <w:p w14:paraId="21238770">
            <w:pPr>
              <w:spacing w:after="0" w:line="240" w:lineRule="auto"/>
              <w:ind w:firstLine="0"/>
              <w:jc w:val="right"/>
              <w:rPr>
                <w:color w:val="000000"/>
                <w:sz w:val="20"/>
                <w:szCs w:val="20"/>
              </w:rPr>
            </w:pPr>
            <w:r>
              <w:rPr>
                <w:color w:val="000000"/>
                <w:sz w:val="20"/>
                <w:szCs w:val="20"/>
              </w:rPr>
              <w:t>0,04</w:t>
            </w:r>
          </w:p>
        </w:tc>
      </w:tr>
      <w:tr w14:paraId="0B68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057BC3B2">
            <w:pPr>
              <w:spacing w:after="0" w:line="240" w:lineRule="auto"/>
              <w:ind w:firstLine="0"/>
              <w:rPr>
                <w:color w:val="000000"/>
                <w:sz w:val="20"/>
                <w:szCs w:val="20"/>
              </w:rPr>
            </w:pPr>
            <w:r>
              <w:rPr>
                <w:color w:val="000000"/>
                <w:sz w:val="20"/>
                <w:szCs w:val="20"/>
              </w:rPr>
              <w:t>Тепловая мощность нетто</w:t>
            </w:r>
          </w:p>
        </w:tc>
        <w:tc>
          <w:tcPr>
            <w:tcW w:w="360" w:type="pct"/>
            <w:shd w:val="clear" w:color="auto" w:fill="auto"/>
            <w:tcMar>
              <w:left w:w="28" w:type="dxa"/>
              <w:right w:w="28" w:type="dxa"/>
            </w:tcMar>
            <w:vAlign w:val="center"/>
          </w:tcPr>
          <w:p w14:paraId="3D4CAE4D">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675B8771">
            <w:pPr>
              <w:spacing w:after="0" w:line="240" w:lineRule="auto"/>
              <w:ind w:firstLine="0"/>
              <w:jc w:val="right"/>
              <w:rPr>
                <w:color w:val="000000"/>
                <w:sz w:val="20"/>
                <w:szCs w:val="20"/>
              </w:rPr>
            </w:pPr>
            <w:r>
              <w:rPr>
                <w:color w:val="000000"/>
                <w:sz w:val="20"/>
                <w:szCs w:val="20"/>
              </w:rPr>
              <w:t>5,90</w:t>
            </w:r>
          </w:p>
        </w:tc>
        <w:tc>
          <w:tcPr>
            <w:tcW w:w="382" w:type="pct"/>
            <w:shd w:val="clear" w:color="auto" w:fill="auto"/>
            <w:noWrap/>
            <w:tcMar>
              <w:left w:w="28" w:type="dxa"/>
              <w:right w:w="28" w:type="dxa"/>
            </w:tcMar>
            <w:vAlign w:val="center"/>
          </w:tcPr>
          <w:p w14:paraId="526DEF00">
            <w:pPr>
              <w:spacing w:after="0" w:line="240" w:lineRule="auto"/>
              <w:ind w:firstLine="0"/>
              <w:jc w:val="right"/>
              <w:rPr>
                <w:color w:val="000000"/>
                <w:sz w:val="20"/>
                <w:szCs w:val="20"/>
              </w:rPr>
            </w:pPr>
            <w:r>
              <w:rPr>
                <w:color w:val="000000"/>
                <w:sz w:val="20"/>
                <w:szCs w:val="20"/>
              </w:rPr>
              <w:t>5,90</w:t>
            </w:r>
          </w:p>
        </w:tc>
        <w:tc>
          <w:tcPr>
            <w:tcW w:w="381" w:type="pct"/>
            <w:shd w:val="clear" w:color="auto" w:fill="auto"/>
            <w:noWrap/>
            <w:tcMar>
              <w:left w:w="28" w:type="dxa"/>
              <w:right w:w="28" w:type="dxa"/>
            </w:tcMar>
            <w:vAlign w:val="center"/>
          </w:tcPr>
          <w:p w14:paraId="35DCBF30">
            <w:pPr>
              <w:spacing w:after="0" w:line="240" w:lineRule="auto"/>
              <w:ind w:firstLine="0"/>
              <w:jc w:val="right"/>
              <w:rPr>
                <w:color w:val="000000"/>
                <w:sz w:val="20"/>
                <w:szCs w:val="20"/>
              </w:rPr>
            </w:pPr>
            <w:r>
              <w:rPr>
                <w:color w:val="000000"/>
                <w:sz w:val="20"/>
                <w:szCs w:val="20"/>
              </w:rPr>
              <w:t>5,90</w:t>
            </w:r>
          </w:p>
        </w:tc>
        <w:tc>
          <w:tcPr>
            <w:tcW w:w="381" w:type="pct"/>
            <w:shd w:val="clear" w:color="auto" w:fill="auto"/>
            <w:noWrap/>
            <w:tcMar>
              <w:left w:w="28" w:type="dxa"/>
              <w:right w:w="28" w:type="dxa"/>
            </w:tcMar>
            <w:vAlign w:val="center"/>
          </w:tcPr>
          <w:p w14:paraId="397382EA">
            <w:pPr>
              <w:spacing w:after="0" w:line="240" w:lineRule="auto"/>
              <w:ind w:firstLine="0"/>
              <w:jc w:val="right"/>
              <w:rPr>
                <w:color w:val="000000"/>
                <w:sz w:val="20"/>
                <w:szCs w:val="20"/>
              </w:rPr>
            </w:pPr>
            <w:r>
              <w:rPr>
                <w:color w:val="000000"/>
                <w:sz w:val="20"/>
                <w:szCs w:val="20"/>
              </w:rPr>
              <w:t>5,90</w:t>
            </w:r>
          </w:p>
        </w:tc>
        <w:tc>
          <w:tcPr>
            <w:tcW w:w="428" w:type="pct"/>
            <w:shd w:val="clear" w:color="auto" w:fill="auto"/>
            <w:noWrap/>
            <w:tcMar>
              <w:left w:w="28" w:type="dxa"/>
              <w:right w:w="28" w:type="dxa"/>
            </w:tcMar>
            <w:vAlign w:val="center"/>
          </w:tcPr>
          <w:p w14:paraId="1A19A982">
            <w:pPr>
              <w:spacing w:after="0" w:line="240" w:lineRule="auto"/>
              <w:ind w:firstLine="0"/>
              <w:jc w:val="right"/>
              <w:rPr>
                <w:color w:val="000000"/>
                <w:sz w:val="20"/>
                <w:szCs w:val="20"/>
              </w:rPr>
            </w:pPr>
            <w:r>
              <w:rPr>
                <w:color w:val="000000"/>
                <w:sz w:val="20"/>
                <w:szCs w:val="20"/>
              </w:rPr>
              <w:t>5,90</w:t>
            </w:r>
          </w:p>
        </w:tc>
        <w:tc>
          <w:tcPr>
            <w:tcW w:w="428" w:type="pct"/>
            <w:shd w:val="clear" w:color="auto" w:fill="auto"/>
            <w:noWrap/>
            <w:tcMar>
              <w:left w:w="28" w:type="dxa"/>
              <w:right w:w="28" w:type="dxa"/>
            </w:tcMar>
            <w:vAlign w:val="center"/>
          </w:tcPr>
          <w:p w14:paraId="25A140CC">
            <w:pPr>
              <w:spacing w:after="0" w:line="240" w:lineRule="auto"/>
              <w:ind w:firstLine="0"/>
              <w:jc w:val="right"/>
              <w:rPr>
                <w:color w:val="000000"/>
                <w:sz w:val="20"/>
                <w:szCs w:val="20"/>
              </w:rPr>
            </w:pPr>
            <w:r>
              <w:rPr>
                <w:color w:val="000000"/>
                <w:sz w:val="20"/>
                <w:szCs w:val="20"/>
              </w:rPr>
              <w:t>5,90</w:t>
            </w:r>
          </w:p>
        </w:tc>
        <w:tc>
          <w:tcPr>
            <w:tcW w:w="381" w:type="pct"/>
            <w:shd w:val="clear" w:color="auto" w:fill="auto"/>
            <w:noWrap/>
            <w:tcMar>
              <w:left w:w="28" w:type="dxa"/>
              <w:right w:w="28" w:type="dxa"/>
            </w:tcMar>
            <w:vAlign w:val="center"/>
          </w:tcPr>
          <w:p w14:paraId="66B9DFA7">
            <w:pPr>
              <w:spacing w:after="0" w:line="240" w:lineRule="auto"/>
              <w:ind w:firstLine="0"/>
              <w:jc w:val="right"/>
              <w:rPr>
                <w:color w:val="000000"/>
                <w:sz w:val="20"/>
                <w:szCs w:val="20"/>
              </w:rPr>
            </w:pPr>
            <w:r>
              <w:rPr>
                <w:color w:val="000000"/>
                <w:sz w:val="20"/>
                <w:szCs w:val="20"/>
              </w:rPr>
              <w:t>5,90</w:t>
            </w:r>
          </w:p>
        </w:tc>
      </w:tr>
      <w:tr w14:paraId="1A1B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39DE25FE">
            <w:pPr>
              <w:spacing w:after="0" w:line="240" w:lineRule="auto"/>
              <w:ind w:firstLine="0"/>
              <w:rPr>
                <w:color w:val="000000"/>
                <w:sz w:val="20"/>
                <w:szCs w:val="20"/>
              </w:rPr>
            </w:pPr>
            <w:r>
              <w:rPr>
                <w:color w:val="000000"/>
                <w:sz w:val="20"/>
                <w:szCs w:val="20"/>
              </w:rPr>
              <w:t>Нагрузка на коллекторах</w:t>
            </w:r>
          </w:p>
        </w:tc>
        <w:tc>
          <w:tcPr>
            <w:tcW w:w="360" w:type="pct"/>
            <w:shd w:val="clear" w:color="auto" w:fill="auto"/>
            <w:tcMar>
              <w:left w:w="28" w:type="dxa"/>
              <w:right w:w="28" w:type="dxa"/>
            </w:tcMar>
            <w:vAlign w:val="center"/>
          </w:tcPr>
          <w:p w14:paraId="0CDD7F02">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1A13DE81">
            <w:pPr>
              <w:spacing w:after="0" w:line="240" w:lineRule="auto"/>
              <w:ind w:firstLine="0"/>
              <w:jc w:val="right"/>
              <w:rPr>
                <w:color w:val="000000"/>
                <w:sz w:val="20"/>
                <w:szCs w:val="20"/>
              </w:rPr>
            </w:pPr>
            <w:r>
              <w:rPr>
                <w:color w:val="000000"/>
                <w:sz w:val="20"/>
                <w:szCs w:val="20"/>
              </w:rPr>
              <w:t>1,90</w:t>
            </w:r>
          </w:p>
        </w:tc>
        <w:tc>
          <w:tcPr>
            <w:tcW w:w="382" w:type="pct"/>
            <w:shd w:val="clear" w:color="auto" w:fill="auto"/>
            <w:noWrap/>
            <w:tcMar>
              <w:left w:w="28" w:type="dxa"/>
              <w:right w:w="28" w:type="dxa"/>
            </w:tcMar>
            <w:vAlign w:val="center"/>
          </w:tcPr>
          <w:p w14:paraId="5E604FC5">
            <w:pPr>
              <w:spacing w:after="0" w:line="240" w:lineRule="auto"/>
              <w:ind w:firstLine="0"/>
              <w:jc w:val="right"/>
              <w:rPr>
                <w:color w:val="000000"/>
                <w:sz w:val="20"/>
                <w:szCs w:val="20"/>
              </w:rPr>
            </w:pPr>
            <w:r>
              <w:rPr>
                <w:color w:val="000000"/>
                <w:sz w:val="20"/>
                <w:szCs w:val="20"/>
              </w:rPr>
              <w:t>2,22</w:t>
            </w:r>
          </w:p>
        </w:tc>
        <w:tc>
          <w:tcPr>
            <w:tcW w:w="381" w:type="pct"/>
            <w:shd w:val="clear" w:color="auto" w:fill="auto"/>
            <w:noWrap/>
            <w:tcMar>
              <w:left w:w="28" w:type="dxa"/>
              <w:right w:w="28" w:type="dxa"/>
            </w:tcMar>
            <w:vAlign w:val="center"/>
          </w:tcPr>
          <w:p w14:paraId="5BF9BAA7">
            <w:pPr>
              <w:spacing w:after="0" w:line="240" w:lineRule="auto"/>
              <w:ind w:firstLine="0"/>
              <w:jc w:val="right"/>
              <w:rPr>
                <w:color w:val="000000"/>
                <w:sz w:val="20"/>
                <w:szCs w:val="20"/>
              </w:rPr>
            </w:pPr>
            <w:r>
              <w:rPr>
                <w:color w:val="000000"/>
                <w:sz w:val="20"/>
                <w:szCs w:val="20"/>
              </w:rPr>
              <w:t>2,22</w:t>
            </w:r>
          </w:p>
        </w:tc>
        <w:tc>
          <w:tcPr>
            <w:tcW w:w="381" w:type="pct"/>
            <w:shd w:val="clear" w:color="auto" w:fill="auto"/>
            <w:noWrap/>
            <w:tcMar>
              <w:left w:w="28" w:type="dxa"/>
              <w:right w:w="28" w:type="dxa"/>
            </w:tcMar>
            <w:vAlign w:val="center"/>
          </w:tcPr>
          <w:p w14:paraId="4A7BED91">
            <w:pPr>
              <w:spacing w:after="0" w:line="240" w:lineRule="auto"/>
              <w:ind w:firstLine="0"/>
              <w:jc w:val="right"/>
              <w:rPr>
                <w:color w:val="000000"/>
                <w:sz w:val="20"/>
                <w:szCs w:val="20"/>
              </w:rPr>
            </w:pPr>
            <w:r>
              <w:rPr>
                <w:color w:val="000000"/>
                <w:sz w:val="20"/>
                <w:szCs w:val="20"/>
              </w:rPr>
              <w:t>2,22</w:t>
            </w:r>
          </w:p>
        </w:tc>
        <w:tc>
          <w:tcPr>
            <w:tcW w:w="428" w:type="pct"/>
            <w:shd w:val="clear" w:color="auto" w:fill="auto"/>
            <w:noWrap/>
            <w:tcMar>
              <w:left w:w="28" w:type="dxa"/>
              <w:right w:w="28" w:type="dxa"/>
            </w:tcMar>
            <w:vAlign w:val="center"/>
          </w:tcPr>
          <w:p w14:paraId="68C410F4">
            <w:pPr>
              <w:spacing w:after="0" w:line="240" w:lineRule="auto"/>
              <w:ind w:firstLine="0"/>
              <w:jc w:val="right"/>
              <w:rPr>
                <w:color w:val="000000"/>
                <w:sz w:val="20"/>
                <w:szCs w:val="20"/>
              </w:rPr>
            </w:pPr>
            <w:r>
              <w:rPr>
                <w:color w:val="000000"/>
                <w:sz w:val="20"/>
                <w:szCs w:val="20"/>
              </w:rPr>
              <w:t>2,22</w:t>
            </w:r>
          </w:p>
        </w:tc>
        <w:tc>
          <w:tcPr>
            <w:tcW w:w="428" w:type="pct"/>
            <w:shd w:val="clear" w:color="auto" w:fill="auto"/>
            <w:noWrap/>
            <w:tcMar>
              <w:left w:w="28" w:type="dxa"/>
              <w:right w:w="28" w:type="dxa"/>
            </w:tcMar>
            <w:vAlign w:val="center"/>
          </w:tcPr>
          <w:p w14:paraId="57FED5E0">
            <w:pPr>
              <w:spacing w:after="0" w:line="240" w:lineRule="auto"/>
              <w:ind w:firstLine="0"/>
              <w:jc w:val="right"/>
              <w:rPr>
                <w:color w:val="000000"/>
                <w:sz w:val="20"/>
                <w:szCs w:val="20"/>
              </w:rPr>
            </w:pPr>
            <w:r>
              <w:rPr>
                <w:color w:val="000000"/>
                <w:sz w:val="20"/>
                <w:szCs w:val="20"/>
              </w:rPr>
              <w:t>2,22</w:t>
            </w:r>
          </w:p>
        </w:tc>
        <w:tc>
          <w:tcPr>
            <w:tcW w:w="381" w:type="pct"/>
            <w:shd w:val="clear" w:color="auto" w:fill="auto"/>
            <w:noWrap/>
            <w:tcMar>
              <w:left w:w="28" w:type="dxa"/>
              <w:right w:w="28" w:type="dxa"/>
            </w:tcMar>
            <w:vAlign w:val="center"/>
          </w:tcPr>
          <w:p w14:paraId="247A9826">
            <w:pPr>
              <w:spacing w:after="0" w:line="240" w:lineRule="auto"/>
              <w:ind w:firstLine="0"/>
              <w:jc w:val="right"/>
              <w:rPr>
                <w:color w:val="000000"/>
                <w:sz w:val="20"/>
                <w:szCs w:val="20"/>
              </w:rPr>
            </w:pPr>
            <w:r>
              <w:rPr>
                <w:color w:val="000000"/>
                <w:sz w:val="20"/>
                <w:szCs w:val="20"/>
              </w:rPr>
              <w:t>2,22</w:t>
            </w:r>
          </w:p>
        </w:tc>
      </w:tr>
      <w:tr w14:paraId="218B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1FBB605B">
            <w:pPr>
              <w:spacing w:after="0" w:line="240" w:lineRule="auto"/>
              <w:ind w:firstLine="0"/>
              <w:rPr>
                <w:color w:val="000000"/>
                <w:sz w:val="20"/>
                <w:szCs w:val="20"/>
              </w:rPr>
            </w:pPr>
            <w:r>
              <w:rPr>
                <w:color w:val="000000"/>
                <w:sz w:val="20"/>
                <w:szCs w:val="20"/>
              </w:rPr>
              <w:t>Потери в сетях</w:t>
            </w:r>
          </w:p>
        </w:tc>
        <w:tc>
          <w:tcPr>
            <w:tcW w:w="360" w:type="pct"/>
            <w:shd w:val="clear" w:color="auto" w:fill="auto"/>
            <w:tcMar>
              <w:left w:w="28" w:type="dxa"/>
              <w:right w:w="28" w:type="dxa"/>
            </w:tcMar>
            <w:vAlign w:val="center"/>
          </w:tcPr>
          <w:p w14:paraId="0862F995">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63659874">
            <w:pPr>
              <w:spacing w:after="0" w:line="240" w:lineRule="auto"/>
              <w:ind w:firstLine="0"/>
              <w:jc w:val="right"/>
              <w:rPr>
                <w:color w:val="000000"/>
                <w:sz w:val="20"/>
                <w:szCs w:val="20"/>
              </w:rPr>
            </w:pPr>
            <w:r>
              <w:rPr>
                <w:color w:val="000000"/>
                <w:sz w:val="20"/>
                <w:szCs w:val="20"/>
              </w:rPr>
              <w:t>0,18</w:t>
            </w:r>
          </w:p>
        </w:tc>
        <w:tc>
          <w:tcPr>
            <w:tcW w:w="382" w:type="pct"/>
            <w:shd w:val="clear" w:color="auto" w:fill="auto"/>
            <w:noWrap/>
            <w:tcMar>
              <w:left w:w="28" w:type="dxa"/>
              <w:right w:w="28" w:type="dxa"/>
            </w:tcMar>
            <w:vAlign w:val="center"/>
          </w:tcPr>
          <w:p w14:paraId="55976748">
            <w:pPr>
              <w:spacing w:after="0" w:line="240" w:lineRule="auto"/>
              <w:ind w:firstLine="0"/>
              <w:jc w:val="right"/>
              <w:rPr>
                <w:color w:val="000000"/>
                <w:sz w:val="20"/>
                <w:szCs w:val="20"/>
              </w:rPr>
            </w:pPr>
            <w:r>
              <w:rPr>
                <w:color w:val="000000"/>
                <w:sz w:val="20"/>
                <w:szCs w:val="20"/>
              </w:rPr>
              <w:t>0,18</w:t>
            </w:r>
          </w:p>
        </w:tc>
        <w:tc>
          <w:tcPr>
            <w:tcW w:w="381" w:type="pct"/>
            <w:shd w:val="clear" w:color="auto" w:fill="auto"/>
            <w:noWrap/>
            <w:tcMar>
              <w:left w:w="28" w:type="dxa"/>
              <w:right w:w="28" w:type="dxa"/>
            </w:tcMar>
            <w:vAlign w:val="center"/>
          </w:tcPr>
          <w:p w14:paraId="4FE442E5">
            <w:pPr>
              <w:spacing w:after="0" w:line="240" w:lineRule="auto"/>
              <w:ind w:firstLine="0"/>
              <w:jc w:val="right"/>
              <w:rPr>
                <w:color w:val="000000"/>
                <w:sz w:val="20"/>
                <w:szCs w:val="20"/>
              </w:rPr>
            </w:pPr>
            <w:r>
              <w:rPr>
                <w:color w:val="000000"/>
                <w:sz w:val="20"/>
                <w:szCs w:val="20"/>
              </w:rPr>
              <w:t>0,18</w:t>
            </w:r>
          </w:p>
        </w:tc>
        <w:tc>
          <w:tcPr>
            <w:tcW w:w="381" w:type="pct"/>
            <w:shd w:val="clear" w:color="auto" w:fill="auto"/>
            <w:noWrap/>
            <w:tcMar>
              <w:left w:w="28" w:type="dxa"/>
              <w:right w:w="28" w:type="dxa"/>
            </w:tcMar>
            <w:vAlign w:val="center"/>
          </w:tcPr>
          <w:p w14:paraId="32E2BE4F">
            <w:pPr>
              <w:spacing w:after="0" w:line="240" w:lineRule="auto"/>
              <w:ind w:firstLine="0"/>
              <w:jc w:val="right"/>
              <w:rPr>
                <w:color w:val="000000"/>
                <w:sz w:val="20"/>
                <w:szCs w:val="20"/>
              </w:rPr>
            </w:pPr>
            <w:r>
              <w:rPr>
                <w:color w:val="000000"/>
                <w:sz w:val="20"/>
                <w:szCs w:val="20"/>
              </w:rPr>
              <w:t>0,18</w:t>
            </w:r>
          </w:p>
        </w:tc>
        <w:tc>
          <w:tcPr>
            <w:tcW w:w="428" w:type="pct"/>
            <w:shd w:val="clear" w:color="auto" w:fill="auto"/>
            <w:noWrap/>
            <w:tcMar>
              <w:left w:w="28" w:type="dxa"/>
              <w:right w:w="28" w:type="dxa"/>
            </w:tcMar>
            <w:vAlign w:val="center"/>
          </w:tcPr>
          <w:p w14:paraId="738357E7">
            <w:pPr>
              <w:spacing w:after="0" w:line="240" w:lineRule="auto"/>
              <w:ind w:firstLine="0"/>
              <w:jc w:val="right"/>
              <w:rPr>
                <w:color w:val="000000"/>
                <w:sz w:val="20"/>
                <w:szCs w:val="20"/>
              </w:rPr>
            </w:pPr>
            <w:r>
              <w:rPr>
                <w:color w:val="000000"/>
                <w:sz w:val="20"/>
                <w:szCs w:val="20"/>
              </w:rPr>
              <w:t>0,18</w:t>
            </w:r>
          </w:p>
        </w:tc>
        <w:tc>
          <w:tcPr>
            <w:tcW w:w="428" w:type="pct"/>
            <w:shd w:val="clear" w:color="auto" w:fill="auto"/>
            <w:noWrap/>
            <w:tcMar>
              <w:left w:w="28" w:type="dxa"/>
              <w:right w:w="28" w:type="dxa"/>
            </w:tcMar>
            <w:vAlign w:val="center"/>
          </w:tcPr>
          <w:p w14:paraId="4C4D4C1A">
            <w:pPr>
              <w:spacing w:after="0" w:line="240" w:lineRule="auto"/>
              <w:ind w:firstLine="0"/>
              <w:jc w:val="right"/>
              <w:rPr>
                <w:color w:val="000000"/>
                <w:sz w:val="20"/>
                <w:szCs w:val="20"/>
              </w:rPr>
            </w:pPr>
            <w:r>
              <w:rPr>
                <w:color w:val="000000"/>
                <w:sz w:val="20"/>
                <w:szCs w:val="20"/>
              </w:rPr>
              <w:t>0,18</w:t>
            </w:r>
          </w:p>
        </w:tc>
        <w:tc>
          <w:tcPr>
            <w:tcW w:w="381" w:type="pct"/>
            <w:shd w:val="clear" w:color="auto" w:fill="auto"/>
            <w:noWrap/>
            <w:tcMar>
              <w:left w:w="28" w:type="dxa"/>
              <w:right w:w="28" w:type="dxa"/>
            </w:tcMar>
            <w:vAlign w:val="center"/>
          </w:tcPr>
          <w:p w14:paraId="427C6543">
            <w:pPr>
              <w:spacing w:after="0" w:line="240" w:lineRule="auto"/>
              <w:ind w:firstLine="0"/>
              <w:jc w:val="right"/>
              <w:rPr>
                <w:color w:val="000000"/>
                <w:sz w:val="20"/>
                <w:szCs w:val="20"/>
              </w:rPr>
            </w:pPr>
            <w:r>
              <w:rPr>
                <w:color w:val="000000"/>
                <w:sz w:val="20"/>
                <w:szCs w:val="20"/>
              </w:rPr>
              <w:t>0,18</w:t>
            </w:r>
          </w:p>
        </w:tc>
      </w:tr>
      <w:tr w14:paraId="412B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7C3DAB05">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545C87DA">
            <w:pPr>
              <w:spacing w:after="0" w:line="240" w:lineRule="auto"/>
              <w:ind w:firstLine="0"/>
              <w:jc w:val="center"/>
              <w:rPr>
                <w:color w:val="000000"/>
                <w:sz w:val="20"/>
                <w:szCs w:val="20"/>
              </w:rPr>
            </w:pPr>
            <w:r>
              <w:rPr>
                <w:color w:val="000000"/>
                <w:sz w:val="20"/>
                <w:szCs w:val="20"/>
              </w:rPr>
              <w:t>%</w:t>
            </w:r>
          </w:p>
        </w:tc>
        <w:tc>
          <w:tcPr>
            <w:tcW w:w="395" w:type="pct"/>
            <w:shd w:val="clear" w:color="auto" w:fill="auto"/>
            <w:noWrap/>
            <w:tcMar>
              <w:left w:w="28" w:type="dxa"/>
              <w:right w:w="28" w:type="dxa"/>
            </w:tcMar>
            <w:vAlign w:val="center"/>
          </w:tcPr>
          <w:p w14:paraId="3DBBB3C3">
            <w:pPr>
              <w:spacing w:after="0" w:line="240" w:lineRule="auto"/>
              <w:ind w:firstLine="0"/>
              <w:jc w:val="right"/>
              <w:rPr>
                <w:color w:val="000000"/>
                <w:sz w:val="20"/>
                <w:szCs w:val="20"/>
              </w:rPr>
            </w:pPr>
            <w:r>
              <w:rPr>
                <w:color w:val="000000"/>
                <w:sz w:val="20"/>
                <w:szCs w:val="20"/>
              </w:rPr>
              <w:t>9,47</w:t>
            </w:r>
          </w:p>
        </w:tc>
        <w:tc>
          <w:tcPr>
            <w:tcW w:w="382" w:type="pct"/>
            <w:shd w:val="clear" w:color="auto" w:fill="auto"/>
            <w:noWrap/>
            <w:tcMar>
              <w:left w:w="28" w:type="dxa"/>
              <w:right w:w="28" w:type="dxa"/>
            </w:tcMar>
            <w:vAlign w:val="center"/>
          </w:tcPr>
          <w:p w14:paraId="3223723E">
            <w:pPr>
              <w:spacing w:after="0" w:line="240" w:lineRule="auto"/>
              <w:ind w:firstLine="0"/>
              <w:jc w:val="right"/>
              <w:rPr>
                <w:color w:val="000000"/>
                <w:sz w:val="20"/>
                <w:szCs w:val="20"/>
              </w:rPr>
            </w:pPr>
            <w:r>
              <w:rPr>
                <w:color w:val="000000"/>
                <w:sz w:val="20"/>
                <w:szCs w:val="20"/>
              </w:rPr>
              <w:t>8,11</w:t>
            </w:r>
          </w:p>
        </w:tc>
        <w:tc>
          <w:tcPr>
            <w:tcW w:w="381" w:type="pct"/>
            <w:shd w:val="clear" w:color="auto" w:fill="auto"/>
            <w:noWrap/>
            <w:tcMar>
              <w:left w:w="28" w:type="dxa"/>
              <w:right w:w="28" w:type="dxa"/>
            </w:tcMar>
            <w:vAlign w:val="center"/>
          </w:tcPr>
          <w:p w14:paraId="3608C113">
            <w:pPr>
              <w:spacing w:after="0" w:line="240" w:lineRule="auto"/>
              <w:ind w:firstLine="0"/>
              <w:jc w:val="right"/>
              <w:rPr>
                <w:color w:val="000000"/>
                <w:sz w:val="20"/>
                <w:szCs w:val="20"/>
              </w:rPr>
            </w:pPr>
            <w:r>
              <w:rPr>
                <w:color w:val="000000"/>
                <w:sz w:val="20"/>
                <w:szCs w:val="20"/>
              </w:rPr>
              <w:t>8,11</w:t>
            </w:r>
          </w:p>
        </w:tc>
        <w:tc>
          <w:tcPr>
            <w:tcW w:w="381" w:type="pct"/>
            <w:shd w:val="clear" w:color="auto" w:fill="auto"/>
            <w:noWrap/>
            <w:tcMar>
              <w:left w:w="28" w:type="dxa"/>
              <w:right w:w="28" w:type="dxa"/>
            </w:tcMar>
            <w:vAlign w:val="center"/>
          </w:tcPr>
          <w:p w14:paraId="160CB4B1">
            <w:pPr>
              <w:spacing w:after="0" w:line="240" w:lineRule="auto"/>
              <w:ind w:firstLine="0"/>
              <w:jc w:val="right"/>
              <w:rPr>
                <w:color w:val="000000"/>
                <w:sz w:val="20"/>
                <w:szCs w:val="20"/>
              </w:rPr>
            </w:pPr>
            <w:r>
              <w:rPr>
                <w:color w:val="000000"/>
                <w:sz w:val="20"/>
                <w:szCs w:val="20"/>
              </w:rPr>
              <w:t>8,11</w:t>
            </w:r>
          </w:p>
        </w:tc>
        <w:tc>
          <w:tcPr>
            <w:tcW w:w="428" w:type="pct"/>
            <w:shd w:val="clear" w:color="auto" w:fill="auto"/>
            <w:noWrap/>
            <w:tcMar>
              <w:left w:w="28" w:type="dxa"/>
              <w:right w:w="28" w:type="dxa"/>
            </w:tcMar>
            <w:vAlign w:val="center"/>
          </w:tcPr>
          <w:p w14:paraId="38F42243">
            <w:pPr>
              <w:spacing w:after="0" w:line="240" w:lineRule="auto"/>
              <w:ind w:firstLine="0"/>
              <w:jc w:val="right"/>
              <w:rPr>
                <w:color w:val="000000"/>
                <w:sz w:val="20"/>
                <w:szCs w:val="20"/>
              </w:rPr>
            </w:pPr>
            <w:r>
              <w:rPr>
                <w:color w:val="000000"/>
                <w:sz w:val="20"/>
                <w:szCs w:val="20"/>
              </w:rPr>
              <w:t>8,11</w:t>
            </w:r>
          </w:p>
        </w:tc>
        <w:tc>
          <w:tcPr>
            <w:tcW w:w="428" w:type="pct"/>
            <w:shd w:val="clear" w:color="auto" w:fill="auto"/>
            <w:noWrap/>
            <w:tcMar>
              <w:left w:w="28" w:type="dxa"/>
              <w:right w:w="28" w:type="dxa"/>
            </w:tcMar>
            <w:vAlign w:val="center"/>
          </w:tcPr>
          <w:p w14:paraId="712F1C98">
            <w:pPr>
              <w:spacing w:after="0" w:line="240" w:lineRule="auto"/>
              <w:ind w:firstLine="0"/>
              <w:jc w:val="right"/>
              <w:rPr>
                <w:color w:val="000000"/>
                <w:sz w:val="20"/>
                <w:szCs w:val="20"/>
              </w:rPr>
            </w:pPr>
            <w:r>
              <w:rPr>
                <w:color w:val="000000"/>
                <w:sz w:val="20"/>
                <w:szCs w:val="20"/>
              </w:rPr>
              <w:t>8,11</w:t>
            </w:r>
          </w:p>
        </w:tc>
        <w:tc>
          <w:tcPr>
            <w:tcW w:w="381" w:type="pct"/>
            <w:shd w:val="clear" w:color="auto" w:fill="auto"/>
            <w:noWrap/>
            <w:tcMar>
              <w:left w:w="28" w:type="dxa"/>
              <w:right w:w="28" w:type="dxa"/>
            </w:tcMar>
            <w:vAlign w:val="center"/>
          </w:tcPr>
          <w:p w14:paraId="76A3E6EE">
            <w:pPr>
              <w:spacing w:after="0" w:line="240" w:lineRule="auto"/>
              <w:ind w:firstLine="0"/>
              <w:jc w:val="right"/>
              <w:rPr>
                <w:color w:val="000000"/>
                <w:sz w:val="20"/>
                <w:szCs w:val="20"/>
              </w:rPr>
            </w:pPr>
            <w:r>
              <w:rPr>
                <w:color w:val="000000"/>
                <w:sz w:val="20"/>
                <w:szCs w:val="20"/>
              </w:rPr>
              <w:t>8,11</w:t>
            </w:r>
          </w:p>
        </w:tc>
      </w:tr>
      <w:tr w14:paraId="3C67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21189575">
            <w:pPr>
              <w:spacing w:after="0" w:line="240" w:lineRule="auto"/>
              <w:ind w:firstLine="0"/>
              <w:rPr>
                <w:color w:val="000000"/>
                <w:sz w:val="20"/>
                <w:szCs w:val="20"/>
              </w:rPr>
            </w:pPr>
            <w:r>
              <w:rPr>
                <w:color w:val="000000"/>
                <w:sz w:val="20"/>
                <w:szCs w:val="20"/>
              </w:rPr>
              <w:t>Подключенная тепловая нагрузка</w:t>
            </w:r>
          </w:p>
        </w:tc>
        <w:tc>
          <w:tcPr>
            <w:tcW w:w="360" w:type="pct"/>
            <w:shd w:val="clear" w:color="auto" w:fill="auto"/>
            <w:tcMar>
              <w:left w:w="28" w:type="dxa"/>
              <w:right w:w="28" w:type="dxa"/>
            </w:tcMar>
            <w:vAlign w:val="center"/>
          </w:tcPr>
          <w:p w14:paraId="41A0211E">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04BD5EB8">
            <w:pPr>
              <w:spacing w:after="0" w:line="240" w:lineRule="auto"/>
              <w:ind w:firstLine="0"/>
              <w:jc w:val="right"/>
              <w:rPr>
                <w:color w:val="000000"/>
                <w:sz w:val="20"/>
                <w:szCs w:val="20"/>
              </w:rPr>
            </w:pPr>
            <w:r>
              <w:rPr>
                <w:color w:val="000000"/>
                <w:sz w:val="20"/>
                <w:szCs w:val="20"/>
              </w:rPr>
              <w:t>1,72</w:t>
            </w:r>
          </w:p>
        </w:tc>
        <w:tc>
          <w:tcPr>
            <w:tcW w:w="382" w:type="pct"/>
            <w:shd w:val="clear" w:color="auto" w:fill="auto"/>
            <w:noWrap/>
            <w:tcMar>
              <w:left w:w="28" w:type="dxa"/>
              <w:right w:w="28" w:type="dxa"/>
            </w:tcMar>
            <w:vAlign w:val="center"/>
          </w:tcPr>
          <w:p w14:paraId="6C9DF2BB">
            <w:pPr>
              <w:spacing w:after="0" w:line="240" w:lineRule="auto"/>
              <w:ind w:firstLine="0"/>
              <w:jc w:val="right"/>
              <w:rPr>
                <w:color w:val="000000"/>
                <w:sz w:val="20"/>
                <w:szCs w:val="20"/>
              </w:rPr>
            </w:pPr>
            <w:r>
              <w:rPr>
                <w:color w:val="000000"/>
                <w:sz w:val="20"/>
                <w:szCs w:val="20"/>
              </w:rPr>
              <w:t>2,04</w:t>
            </w:r>
          </w:p>
        </w:tc>
        <w:tc>
          <w:tcPr>
            <w:tcW w:w="381" w:type="pct"/>
            <w:shd w:val="clear" w:color="auto" w:fill="auto"/>
            <w:noWrap/>
            <w:tcMar>
              <w:left w:w="28" w:type="dxa"/>
              <w:right w:w="28" w:type="dxa"/>
            </w:tcMar>
            <w:vAlign w:val="center"/>
          </w:tcPr>
          <w:p w14:paraId="6D67A1B4">
            <w:pPr>
              <w:spacing w:after="0" w:line="240" w:lineRule="auto"/>
              <w:ind w:firstLine="0"/>
              <w:jc w:val="right"/>
              <w:rPr>
                <w:color w:val="000000"/>
                <w:sz w:val="20"/>
                <w:szCs w:val="20"/>
              </w:rPr>
            </w:pPr>
            <w:r>
              <w:rPr>
                <w:color w:val="000000"/>
                <w:sz w:val="20"/>
                <w:szCs w:val="20"/>
              </w:rPr>
              <w:t>2,04</w:t>
            </w:r>
          </w:p>
        </w:tc>
        <w:tc>
          <w:tcPr>
            <w:tcW w:w="381" w:type="pct"/>
            <w:shd w:val="clear" w:color="auto" w:fill="auto"/>
            <w:noWrap/>
            <w:tcMar>
              <w:left w:w="28" w:type="dxa"/>
              <w:right w:w="28" w:type="dxa"/>
            </w:tcMar>
            <w:vAlign w:val="center"/>
          </w:tcPr>
          <w:p w14:paraId="323454C6">
            <w:pPr>
              <w:spacing w:after="0" w:line="240" w:lineRule="auto"/>
              <w:ind w:firstLine="0"/>
              <w:jc w:val="right"/>
              <w:rPr>
                <w:color w:val="000000"/>
                <w:sz w:val="20"/>
                <w:szCs w:val="20"/>
              </w:rPr>
            </w:pPr>
            <w:r>
              <w:rPr>
                <w:color w:val="000000"/>
                <w:sz w:val="20"/>
                <w:szCs w:val="20"/>
              </w:rPr>
              <w:t>2,04</w:t>
            </w:r>
          </w:p>
        </w:tc>
        <w:tc>
          <w:tcPr>
            <w:tcW w:w="428" w:type="pct"/>
            <w:shd w:val="clear" w:color="auto" w:fill="auto"/>
            <w:noWrap/>
            <w:tcMar>
              <w:left w:w="28" w:type="dxa"/>
              <w:right w:w="28" w:type="dxa"/>
            </w:tcMar>
            <w:vAlign w:val="center"/>
          </w:tcPr>
          <w:p w14:paraId="6134222F">
            <w:pPr>
              <w:spacing w:after="0" w:line="240" w:lineRule="auto"/>
              <w:ind w:firstLine="0"/>
              <w:jc w:val="right"/>
              <w:rPr>
                <w:color w:val="000000"/>
                <w:sz w:val="20"/>
                <w:szCs w:val="20"/>
              </w:rPr>
            </w:pPr>
            <w:r>
              <w:rPr>
                <w:color w:val="000000"/>
                <w:sz w:val="20"/>
                <w:szCs w:val="20"/>
              </w:rPr>
              <w:t>2,04</w:t>
            </w:r>
          </w:p>
        </w:tc>
        <w:tc>
          <w:tcPr>
            <w:tcW w:w="428" w:type="pct"/>
            <w:shd w:val="clear" w:color="auto" w:fill="auto"/>
            <w:noWrap/>
            <w:tcMar>
              <w:left w:w="28" w:type="dxa"/>
              <w:right w:w="28" w:type="dxa"/>
            </w:tcMar>
            <w:vAlign w:val="center"/>
          </w:tcPr>
          <w:p w14:paraId="28F3BDB8">
            <w:pPr>
              <w:spacing w:after="0" w:line="240" w:lineRule="auto"/>
              <w:ind w:firstLine="0"/>
              <w:jc w:val="right"/>
              <w:rPr>
                <w:color w:val="000000"/>
                <w:sz w:val="20"/>
                <w:szCs w:val="20"/>
              </w:rPr>
            </w:pPr>
            <w:r>
              <w:rPr>
                <w:color w:val="000000"/>
                <w:sz w:val="20"/>
                <w:szCs w:val="20"/>
              </w:rPr>
              <w:t>2,04</w:t>
            </w:r>
          </w:p>
        </w:tc>
        <w:tc>
          <w:tcPr>
            <w:tcW w:w="381" w:type="pct"/>
            <w:shd w:val="clear" w:color="auto" w:fill="auto"/>
            <w:noWrap/>
            <w:tcMar>
              <w:left w:w="28" w:type="dxa"/>
              <w:right w:w="28" w:type="dxa"/>
            </w:tcMar>
            <w:vAlign w:val="center"/>
          </w:tcPr>
          <w:p w14:paraId="0252DC71">
            <w:pPr>
              <w:spacing w:after="0" w:line="240" w:lineRule="auto"/>
              <w:ind w:firstLine="0"/>
              <w:jc w:val="right"/>
              <w:rPr>
                <w:color w:val="000000"/>
                <w:sz w:val="20"/>
                <w:szCs w:val="20"/>
              </w:rPr>
            </w:pPr>
            <w:r>
              <w:rPr>
                <w:color w:val="000000"/>
                <w:sz w:val="20"/>
                <w:szCs w:val="20"/>
              </w:rPr>
              <w:t>2,04</w:t>
            </w:r>
          </w:p>
        </w:tc>
      </w:tr>
      <w:tr w14:paraId="6D5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34ED652E">
            <w:pPr>
              <w:spacing w:after="0" w:line="240" w:lineRule="auto"/>
              <w:ind w:firstLine="0"/>
              <w:rPr>
                <w:color w:val="000000"/>
                <w:sz w:val="20"/>
                <w:szCs w:val="20"/>
              </w:rPr>
            </w:pPr>
            <w:r>
              <w:rPr>
                <w:color w:val="000000"/>
                <w:sz w:val="20"/>
                <w:szCs w:val="20"/>
              </w:rPr>
              <w:t>Резерв (+)/ Дефицит (-) мощности</w:t>
            </w:r>
          </w:p>
        </w:tc>
        <w:tc>
          <w:tcPr>
            <w:tcW w:w="360" w:type="pct"/>
            <w:shd w:val="clear" w:color="auto" w:fill="auto"/>
            <w:tcMar>
              <w:left w:w="28" w:type="dxa"/>
              <w:right w:w="28" w:type="dxa"/>
            </w:tcMar>
            <w:vAlign w:val="center"/>
          </w:tcPr>
          <w:p w14:paraId="0C43FA3E">
            <w:pPr>
              <w:spacing w:after="0" w:line="240" w:lineRule="auto"/>
              <w:ind w:firstLine="0"/>
              <w:jc w:val="center"/>
              <w:rPr>
                <w:color w:val="000000"/>
                <w:sz w:val="20"/>
                <w:szCs w:val="20"/>
              </w:rPr>
            </w:pPr>
            <w:r>
              <w:rPr>
                <w:color w:val="000000"/>
                <w:sz w:val="20"/>
                <w:szCs w:val="20"/>
              </w:rPr>
              <w:t>Гкал/ч</w:t>
            </w:r>
          </w:p>
        </w:tc>
        <w:tc>
          <w:tcPr>
            <w:tcW w:w="395" w:type="pct"/>
            <w:shd w:val="clear" w:color="auto" w:fill="auto"/>
            <w:noWrap/>
            <w:tcMar>
              <w:left w:w="28" w:type="dxa"/>
              <w:right w:w="28" w:type="dxa"/>
            </w:tcMar>
            <w:vAlign w:val="center"/>
          </w:tcPr>
          <w:p w14:paraId="37FD5235">
            <w:pPr>
              <w:spacing w:after="0" w:line="240" w:lineRule="auto"/>
              <w:ind w:firstLine="0"/>
              <w:jc w:val="right"/>
              <w:rPr>
                <w:color w:val="000000"/>
                <w:sz w:val="20"/>
                <w:szCs w:val="20"/>
              </w:rPr>
            </w:pPr>
            <w:r>
              <w:rPr>
                <w:color w:val="000000"/>
                <w:sz w:val="20"/>
                <w:szCs w:val="20"/>
              </w:rPr>
              <w:t>4,00</w:t>
            </w:r>
          </w:p>
        </w:tc>
        <w:tc>
          <w:tcPr>
            <w:tcW w:w="382" w:type="pct"/>
            <w:shd w:val="clear" w:color="auto" w:fill="auto"/>
            <w:noWrap/>
            <w:tcMar>
              <w:left w:w="28" w:type="dxa"/>
              <w:right w:w="28" w:type="dxa"/>
            </w:tcMar>
            <w:vAlign w:val="center"/>
          </w:tcPr>
          <w:p w14:paraId="793E1ACD">
            <w:pPr>
              <w:spacing w:after="0" w:line="240" w:lineRule="auto"/>
              <w:ind w:firstLine="0"/>
              <w:jc w:val="right"/>
              <w:rPr>
                <w:color w:val="000000"/>
                <w:sz w:val="20"/>
                <w:szCs w:val="20"/>
              </w:rPr>
            </w:pPr>
            <w:r>
              <w:rPr>
                <w:color w:val="000000"/>
                <w:sz w:val="20"/>
                <w:szCs w:val="20"/>
              </w:rPr>
              <w:t>3,68</w:t>
            </w:r>
          </w:p>
        </w:tc>
        <w:tc>
          <w:tcPr>
            <w:tcW w:w="381" w:type="pct"/>
            <w:shd w:val="clear" w:color="auto" w:fill="auto"/>
            <w:noWrap/>
            <w:tcMar>
              <w:left w:w="28" w:type="dxa"/>
              <w:right w:w="28" w:type="dxa"/>
            </w:tcMar>
            <w:vAlign w:val="center"/>
          </w:tcPr>
          <w:p w14:paraId="1DEBF0F0">
            <w:pPr>
              <w:spacing w:after="0" w:line="240" w:lineRule="auto"/>
              <w:ind w:firstLine="0"/>
              <w:jc w:val="right"/>
              <w:rPr>
                <w:color w:val="000000"/>
                <w:sz w:val="20"/>
                <w:szCs w:val="20"/>
              </w:rPr>
            </w:pPr>
            <w:r>
              <w:rPr>
                <w:color w:val="000000"/>
                <w:sz w:val="20"/>
                <w:szCs w:val="20"/>
              </w:rPr>
              <w:t>3,68</w:t>
            </w:r>
          </w:p>
        </w:tc>
        <w:tc>
          <w:tcPr>
            <w:tcW w:w="381" w:type="pct"/>
            <w:shd w:val="clear" w:color="auto" w:fill="auto"/>
            <w:noWrap/>
            <w:tcMar>
              <w:left w:w="28" w:type="dxa"/>
              <w:right w:w="28" w:type="dxa"/>
            </w:tcMar>
            <w:vAlign w:val="center"/>
          </w:tcPr>
          <w:p w14:paraId="37DC22E0">
            <w:pPr>
              <w:spacing w:after="0" w:line="240" w:lineRule="auto"/>
              <w:ind w:firstLine="0"/>
              <w:jc w:val="right"/>
              <w:rPr>
                <w:color w:val="000000"/>
                <w:sz w:val="20"/>
                <w:szCs w:val="20"/>
              </w:rPr>
            </w:pPr>
            <w:r>
              <w:rPr>
                <w:color w:val="000000"/>
                <w:sz w:val="20"/>
                <w:szCs w:val="20"/>
              </w:rPr>
              <w:t>3,68</w:t>
            </w:r>
          </w:p>
        </w:tc>
        <w:tc>
          <w:tcPr>
            <w:tcW w:w="428" w:type="pct"/>
            <w:shd w:val="clear" w:color="auto" w:fill="auto"/>
            <w:noWrap/>
            <w:tcMar>
              <w:left w:w="28" w:type="dxa"/>
              <w:right w:w="28" w:type="dxa"/>
            </w:tcMar>
            <w:vAlign w:val="center"/>
          </w:tcPr>
          <w:p w14:paraId="39974804">
            <w:pPr>
              <w:spacing w:after="0" w:line="240" w:lineRule="auto"/>
              <w:ind w:firstLine="0"/>
              <w:jc w:val="right"/>
              <w:rPr>
                <w:color w:val="000000"/>
                <w:sz w:val="20"/>
                <w:szCs w:val="20"/>
              </w:rPr>
            </w:pPr>
            <w:r>
              <w:rPr>
                <w:color w:val="000000"/>
                <w:sz w:val="20"/>
                <w:szCs w:val="20"/>
              </w:rPr>
              <w:t>3,68</w:t>
            </w:r>
          </w:p>
        </w:tc>
        <w:tc>
          <w:tcPr>
            <w:tcW w:w="428" w:type="pct"/>
            <w:shd w:val="clear" w:color="auto" w:fill="auto"/>
            <w:noWrap/>
            <w:tcMar>
              <w:left w:w="28" w:type="dxa"/>
              <w:right w:w="28" w:type="dxa"/>
            </w:tcMar>
            <w:vAlign w:val="center"/>
          </w:tcPr>
          <w:p w14:paraId="1B94ABC5">
            <w:pPr>
              <w:spacing w:after="0" w:line="240" w:lineRule="auto"/>
              <w:ind w:firstLine="0"/>
              <w:jc w:val="right"/>
              <w:rPr>
                <w:color w:val="000000"/>
                <w:sz w:val="20"/>
                <w:szCs w:val="20"/>
              </w:rPr>
            </w:pPr>
            <w:r>
              <w:rPr>
                <w:color w:val="000000"/>
                <w:sz w:val="20"/>
                <w:szCs w:val="20"/>
              </w:rPr>
              <w:t>3,68</w:t>
            </w:r>
          </w:p>
        </w:tc>
        <w:tc>
          <w:tcPr>
            <w:tcW w:w="381" w:type="pct"/>
            <w:shd w:val="clear" w:color="auto" w:fill="auto"/>
            <w:noWrap/>
            <w:tcMar>
              <w:left w:w="28" w:type="dxa"/>
              <w:right w:w="28" w:type="dxa"/>
            </w:tcMar>
            <w:vAlign w:val="center"/>
          </w:tcPr>
          <w:p w14:paraId="71279C4B">
            <w:pPr>
              <w:spacing w:after="0" w:line="240" w:lineRule="auto"/>
              <w:ind w:firstLine="0"/>
              <w:jc w:val="right"/>
              <w:rPr>
                <w:color w:val="000000"/>
                <w:sz w:val="20"/>
                <w:szCs w:val="20"/>
              </w:rPr>
            </w:pPr>
            <w:r>
              <w:rPr>
                <w:color w:val="000000"/>
                <w:sz w:val="20"/>
                <w:szCs w:val="20"/>
              </w:rPr>
              <w:t>3,68</w:t>
            </w:r>
          </w:p>
        </w:tc>
      </w:tr>
      <w:tr w14:paraId="1BBB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7D7B7355">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43D5E163">
            <w:pPr>
              <w:spacing w:after="0" w:line="240" w:lineRule="auto"/>
              <w:ind w:firstLine="0"/>
              <w:jc w:val="center"/>
              <w:rPr>
                <w:color w:val="000000"/>
                <w:sz w:val="20"/>
                <w:szCs w:val="20"/>
              </w:rPr>
            </w:pPr>
            <w:r>
              <w:rPr>
                <w:color w:val="000000"/>
                <w:sz w:val="20"/>
                <w:szCs w:val="20"/>
              </w:rPr>
              <w:t>%</w:t>
            </w:r>
          </w:p>
        </w:tc>
        <w:tc>
          <w:tcPr>
            <w:tcW w:w="395" w:type="pct"/>
            <w:shd w:val="clear" w:color="auto" w:fill="auto"/>
            <w:noWrap/>
            <w:tcMar>
              <w:left w:w="28" w:type="dxa"/>
              <w:right w:w="28" w:type="dxa"/>
            </w:tcMar>
            <w:vAlign w:val="center"/>
          </w:tcPr>
          <w:p w14:paraId="2B700703">
            <w:pPr>
              <w:spacing w:after="0" w:line="240" w:lineRule="auto"/>
              <w:ind w:firstLine="0"/>
              <w:jc w:val="right"/>
              <w:rPr>
                <w:color w:val="000000"/>
                <w:sz w:val="20"/>
                <w:szCs w:val="20"/>
              </w:rPr>
            </w:pPr>
            <w:r>
              <w:rPr>
                <w:color w:val="000000"/>
                <w:sz w:val="20"/>
                <w:szCs w:val="20"/>
              </w:rPr>
              <w:t>67,80</w:t>
            </w:r>
          </w:p>
        </w:tc>
        <w:tc>
          <w:tcPr>
            <w:tcW w:w="382" w:type="pct"/>
            <w:shd w:val="clear" w:color="auto" w:fill="auto"/>
            <w:noWrap/>
            <w:tcMar>
              <w:left w:w="28" w:type="dxa"/>
              <w:right w:w="28" w:type="dxa"/>
            </w:tcMar>
            <w:vAlign w:val="center"/>
          </w:tcPr>
          <w:p w14:paraId="0F64D245">
            <w:pPr>
              <w:spacing w:after="0" w:line="240" w:lineRule="auto"/>
              <w:ind w:firstLine="0"/>
              <w:jc w:val="right"/>
              <w:rPr>
                <w:color w:val="000000"/>
                <w:sz w:val="20"/>
                <w:szCs w:val="20"/>
              </w:rPr>
            </w:pPr>
            <w:r>
              <w:rPr>
                <w:color w:val="000000"/>
                <w:sz w:val="20"/>
                <w:szCs w:val="20"/>
              </w:rPr>
              <w:t>62,38</w:t>
            </w:r>
          </w:p>
        </w:tc>
        <w:tc>
          <w:tcPr>
            <w:tcW w:w="381" w:type="pct"/>
            <w:shd w:val="clear" w:color="auto" w:fill="auto"/>
            <w:noWrap/>
            <w:tcMar>
              <w:left w:w="28" w:type="dxa"/>
              <w:right w:w="28" w:type="dxa"/>
            </w:tcMar>
            <w:vAlign w:val="center"/>
          </w:tcPr>
          <w:p w14:paraId="66733F4B">
            <w:pPr>
              <w:spacing w:after="0" w:line="240" w:lineRule="auto"/>
              <w:ind w:firstLine="0"/>
              <w:jc w:val="right"/>
              <w:rPr>
                <w:color w:val="000000"/>
                <w:sz w:val="20"/>
                <w:szCs w:val="20"/>
              </w:rPr>
            </w:pPr>
            <w:r>
              <w:rPr>
                <w:color w:val="000000"/>
                <w:sz w:val="20"/>
                <w:szCs w:val="20"/>
              </w:rPr>
              <w:t>62,38</w:t>
            </w:r>
          </w:p>
        </w:tc>
        <w:tc>
          <w:tcPr>
            <w:tcW w:w="381" w:type="pct"/>
            <w:shd w:val="clear" w:color="auto" w:fill="auto"/>
            <w:noWrap/>
            <w:tcMar>
              <w:left w:w="28" w:type="dxa"/>
              <w:right w:w="28" w:type="dxa"/>
            </w:tcMar>
            <w:vAlign w:val="center"/>
          </w:tcPr>
          <w:p w14:paraId="68381872">
            <w:pPr>
              <w:spacing w:after="0" w:line="240" w:lineRule="auto"/>
              <w:ind w:firstLine="0"/>
              <w:jc w:val="right"/>
              <w:rPr>
                <w:color w:val="000000"/>
                <w:sz w:val="20"/>
                <w:szCs w:val="20"/>
              </w:rPr>
            </w:pPr>
            <w:r>
              <w:rPr>
                <w:color w:val="000000"/>
                <w:sz w:val="20"/>
                <w:szCs w:val="20"/>
              </w:rPr>
              <w:t>62,38</w:t>
            </w:r>
          </w:p>
        </w:tc>
        <w:tc>
          <w:tcPr>
            <w:tcW w:w="428" w:type="pct"/>
            <w:shd w:val="clear" w:color="auto" w:fill="auto"/>
            <w:noWrap/>
            <w:tcMar>
              <w:left w:w="28" w:type="dxa"/>
              <w:right w:w="28" w:type="dxa"/>
            </w:tcMar>
            <w:vAlign w:val="center"/>
          </w:tcPr>
          <w:p w14:paraId="0F60D707">
            <w:pPr>
              <w:spacing w:after="0" w:line="240" w:lineRule="auto"/>
              <w:ind w:firstLine="0"/>
              <w:jc w:val="right"/>
              <w:rPr>
                <w:color w:val="000000"/>
                <w:sz w:val="20"/>
                <w:szCs w:val="20"/>
              </w:rPr>
            </w:pPr>
            <w:r>
              <w:rPr>
                <w:color w:val="000000"/>
                <w:sz w:val="20"/>
                <w:szCs w:val="20"/>
              </w:rPr>
              <w:t>62,38</w:t>
            </w:r>
          </w:p>
        </w:tc>
        <w:tc>
          <w:tcPr>
            <w:tcW w:w="428" w:type="pct"/>
            <w:shd w:val="clear" w:color="auto" w:fill="auto"/>
            <w:noWrap/>
            <w:tcMar>
              <w:left w:w="28" w:type="dxa"/>
              <w:right w:w="28" w:type="dxa"/>
            </w:tcMar>
            <w:vAlign w:val="center"/>
          </w:tcPr>
          <w:p w14:paraId="31903E90">
            <w:pPr>
              <w:spacing w:after="0" w:line="240" w:lineRule="auto"/>
              <w:ind w:firstLine="0"/>
              <w:jc w:val="right"/>
              <w:rPr>
                <w:color w:val="000000"/>
                <w:sz w:val="20"/>
                <w:szCs w:val="20"/>
              </w:rPr>
            </w:pPr>
            <w:r>
              <w:rPr>
                <w:color w:val="000000"/>
                <w:sz w:val="20"/>
                <w:szCs w:val="20"/>
              </w:rPr>
              <w:t>62,38</w:t>
            </w:r>
          </w:p>
        </w:tc>
        <w:tc>
          <w:tcPr>
            <w:tcW w:w="381" w:type="pct"/>
            <w:shd w:val="clear" w:color="auto" w:fill="auto"/>
            <w:noWrap/>
            <w:tcMar>
              <w:left w:w="28" w:type="dxa"/>
              <w:right w:w="28" w:type="dxa"/>
            </w:tcMar>
            <w:vAlign w:val="center"/>
          </w:tcPr>
          <w:p w14:paraId="5353D4DC">
            <w:pPr>
              <w:spacing w:after="0" w:line="240" w:lineRule="auto"/>
              <w:ind w:firstLine="0"/>
              <w:jc w:val="right"/>
              <w:rPr>
                <w:color w:val="000000"/>
                <w:sz w:val="20"/>
                <w:szCs w:val="20"/>
              </w:rPr>
            </w:pPr>
            <w:r>
              <w:rPr>
                <w:color w:val="000000"/>
                <w:sz w:val="20"/>
                <w:szCs w:val="20"/>
              </w:rPr>
              <w:t>62,38</w:t>
            </w:r>
          </w:p>
        </w:tc>
      </w:tr>
      <w:tr w14:paraId="745F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7B7394E6">
            <w:pPr>
              <w:spacing w:after="0" w:line="240" w:lineRule="auto"/>
              <w:ind w:firstLine="0"/>
              <w:jc w:val="center"/>
              <w:rPr>
                <w:color w:val="000000"/>
                <w:sz w:val="20"/>
                <w:szCs w:val="20"/>
              </w:rPr>
            </w:pPr>
            <w:r>
              <w:rPr>
                <w:color w:val="000000"/>
                <w:sz w:val="20"/>
                <w:szCs w:val="20"/>
              </w:rPr>
              <w:t>КС «Верхнеказымская», котельные «Вирбекс», «2БВК»</w:t>
            </w:r>
          </w:p>
        </w:tc>
        <w:tc>
          <w:tcPr>
            <w:tcW w:w="360" w:type="pct"/>
            <w:shd w:val="clear" w:color="auto" w:fill="auto"/>
            <w:noWrap/>
            <w:tcMar>
              <w:left w:w="28" w:type="dxa"/>
              <w:right w:w="28" w:type="dxa"/>
            </w:tcMar>
            <w:vAlign w:val="center"/>
          </w:tcPr>
          <w:p w14:paraId="52D8000C">
            <w:pPr>
              <w:spacing w:after="0" w:line="240" w:lineRule="auto"/>
              <w:ind w:firstLine="0"/>
              <w:rPr>
                <w:color w:val="000000"/>
                <w:sz w:val="20"/>
                <w:szCs w:val="20"/>
              </w:rPr>
            </w:pPr>
            <w:r>
              <w:rPr>
                <w:color w:val="000000"/>
                <w:sz w:val="20"/>
                <w:szCs w:val="20"/>
              </w:rPr>
              <w:t> </w:t>
            </w:r>
          </w:p>
        </w:tc>
        <w:tc>
          <w:tcPr>
            <w:tcW w:w="395" w:type="pct"/>
            <w:shd w:val="clear" w:color="auto" w:fill="auto"/>
            <w:noWrap/>
            <w:tcMar>
              <w:left w:w="28" w:type="dxa"/>
              <w:right w:w="28" w:type="dxa"/>
            </w:tcMar>
            <w:vAlign w:val="center"/>
          </w:tcPr>
          <w:p w14:paraId="03A8A269">
            <w:pPr>
              <w:spacing w:after="0" w:line="240" w:lineRule="auto"/>
              <w:ind w:firstLine="0"/>
              <w:rPr>
                <w:color w:val="000000"/>
                <w:sz w:val="20"/>
                <w:szCs w:val="20"/>
              </w:rPr>
            </w:pPr>
            <w:r>
              <w:rPr>
                <w:color w:val="000000"/>
                <w:sz w:val="20"/>
                <w:szCs w:val="20"/>
              </w:rPr>
              <w:t> </w:t>
            </w:r>
          </w:p>
        </w:tc>
        <w:tc>
          <w:tcPr>
            <w:tcW w:w="382" w:type="pct"/>
            <w:shd w:val="clear" w:color="auto" w:fill="auto"/>
            <w:noWrap/>
            <w:tcMar>
              <w:left w:w="28" w:type="dxa"/>
              <w:right w:w="28" w:type="dxa"/>
            </w:tcMar>
            <w:vAlign w:val="center"/>
          </w:tcPr>
          <w:p w14:paraId="061807D3">
            <w:pPr>
              <w:spacing w:after="0" w:line="240" w:lineRule="auto"/>
              <w:ind w:firstLine="0"/>
              <w:rPr>
                <w:color w:val="000000"/>
                <w:sz w:val="20"/>
                <w:szCs w:val="20"/>
              </w:rPr>
            </w:pPr>
            <w:r>
              <w:rPr>
                <w:color w:val="000000"/>
                <w:sz w:val="20"/>
                <w:szCs w:val="20"/>
              </w:rPr>
              <w:t> </w:t>
            </w:r>
          </w:p>
        </w:tc>
        <w:tc>
          <w:tcPr>
            <w:tcW w:w="381" w:type="pct"/>
            <w:shd w:val="clear" w:color="auto" w:fill="auto"/>
            <w:noWrap/>
            <w:tcMar>
              <w:left w:w="28" w:type="dxa"/>
              <w:right w:w="28" w:type="dxa"/>
            </w:tcMar>
            <w:vAlign w:val="center"/>
          </w:tcPr>
          <w:p w14:paraId="604B2889">
            <w:pPr>
              <w:spacing w:after="0" w:line="240" w:lineRule="auto"/>
              <w:ind w:firstLine="0"/>
              <w:rPr>
                <w:color w:val="000000"/>
                <w:sz w:val="20"/>
                <w:szCs w:val="20"/>
              </w:rPr>
            </w:pPr>
            <w:r>
              <w:rPr>
                <w:color w:val="000000"/>
                <w:sz w:val="20"/>
                <w:szCs w:val="20"/>
              </w:rPr>
              <w:t> </w:t>
            </w:r>
          </w:p>
        </w:tc>
        <w:tc>
          <w:tcPr>
            <w:tcW w:w="381" w:type="pct"/>
            <w:shd w:val="clear" w:color="auto" w:fill="auto"/>
            <w:noWrap/>
            <w:tcMar>
              <w:left w:w="28" w:type="dxa"/>
              <w:right w:w="28" w:type="dxa"/>
            </w:tcMar>
            <w:vAlign w:val="center"/>
          </w:tcPr>
          <w:p w14:paraId="7C713B59">
            <w:pPr>
              <w:spacing w:after="0" w:line="240" w:lineRule="auto"/>
              <w:ind w:firstLine="0"/>
              <w:rPr>
                <w:color w:val="000000"/>
                <w:sz w:val="20"/>
                <w:szCs w:val="20"/>
              </w:rPr>
            </w:pPr>
            <w:r>
              <w:rPr>
                <w:color w:val="000000"/>
                <w:sz w:val="20"/>
                <w:szCs w:val="20"/>
              </w:rPr>
              <w:t> </w:t>
            </w:r>
          </w:p>
        </w:tc>
        <w:tc>
          <w:tcPr>
            <w:tcW w:w="428" w:type="pct"/>
            <w:shd w:val="clear" w:color="auto" w:fill="auto"/>
            <w:noWrap/>
            <w:tcMar>
              <w:left w:w="28" w:type="dxa"/>
              <w:right w:w="28" w:type="dxa"/>
            </w:tcMar>
            <w:vAlign w:val="center"/>
          </w:tcPr>
          <w:p w14:paraId="704F8501">
            <w:pPr>
              <w:spacing w:after="0" w:line="240" w:lineRule="auto"/>
              <w:ind w:firstLine="0"/>
              <w:rPr>
                <w:color w:val="000000"/>
                <w:sz w:val="20"/>
                <w:szCs w:val="20"/>
              </w:rPr>
            </w:pPr>
            <w:r>
              <w:rPr>
                <w:color w:val="000000"/>
                <w:sz w:val="20"/>
                <w:szCs w:val="20"/>
              </w:rPr>
              <w:t> </w:t>
            </w:r>
          </w:p>
        </w:tc>
        <w:tc>
          <w:tcPr>
            <w:tcW w:w="428" w:type="pct"/>
            <w:shd w:val="clear" w:color="auto" w:fill="auto"/>
            <w:noWrap/>
            <w:tcMar>
              <w:left w:w="28" w:type="dxa"/>
              <w:right w:w="28" w:type="dxa"/>
            </w:tcMar>
            <w:vAlign w:val="center"/>
          </w:tcPr>
          <w:p w14:paraId="3AAC0E3C">
            <w:pPr>
              <w:spacing w:after="0" w:line="240" w:lineRule="auto"/>
              <w:ind w:firstLine="0"/>
              <w:rPr>
                <w:color w:val="000000"/>
                <w:sz w:val="20"/>
                <w:szCs w:val="20"/>
              </w:rPr>
            </w:pPr>
            <w:r>
              <w:rPr>
                <w:color w:val="000000"/>
                <w:sz w:val="20"/>
                <w:szCs w:val="20"/>
              </w:rPr>
              <w:t> </w:t>
            </w:r>
          </w:p>
        </w:tc>
        <w:tc>
          <w:tcPr>
            <w:tcW w:w="381" w:type="pct"/>
            <w:shd w:val="clear" w:color="auto" w:fill="auto"/>
            <w:noWrap/>
            <w:tcMar>
              <w:left w:w="28" w:type="dxa"/>
              <w:right w:w="28" w:type="dxa"/>
            </w:tcMar>
            <w:vAlign w:val="center"/>
          </w:tcPr>
          <w:p w14:paraId="2DEC55D6">
            <w:pPr>
              <w:spacing w:after="0" w:line="240" w:lineRule="auto"/>
              <w:ind w:firstLine="0"/>
              <w:rPr>
                <w:color w:val="000000"/>
                <w:sz w:val="20"/>
                <w:szCs w:val="20"/>
              </w:rPr>
            </w:pPr>
            <w:r>
              <w:rPr>
                <w:color w:val="000000"/>
                <w:sz w:val="20"/>
                <w:szCs w:val="20"/>
              </w:rPr>
              <w:t> </w:t>
            </w:r>
          </w:p>
        </w:tc>
      </w:tr>
      <w:tr w14:paraId="453A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169E70D8">
            <w:pPr>
              <w:spacing w:after="0" w:line="240" w:lineRule="auto"/>
              <w:ind w:firstLine="0"/>
              <w:rPr>
                <w:color w:val="000000"/>
                <w:sz w:val="20"/>
                <w:szCs w:val="20"/>
              </w:rPr>
            </w:pPr>
            <w:r>
              <w:rPr>
                <w:color w:val="000000"/>
                <w:sz w:val="20"/>
                <w:szCs w:val="20"/>
              </w:rPr>
              <w:t>Установленная тепловая мощность</w:t>
            </w:r>
          </w:p>
        </w:tc>
        <w:tc>
          <w:tcPr>
            <w:tcW w:w="360" w:type="pct"/>
            <w:shd w:val="clear" w:color="auto" w:fill="auto"/>
            <w:tcMar>
              <w:left w:w="28" w:type="dxa"/>
              <w:right w:w="28" w:type="dxa"/>
            </w:tcMar>
            <w:vAlign w:val="center"/>
          </w:tcPr>
          <w:p w14:paraId="406CAEF5">
            <w:pPr>
              <w:spacing w:after="0" w:line="240" w:lineRule="auto"/>
              <w:ind w:firstLine="0"/>
              <w:jc w:val="center"/>
              <w:rPr>
                <w:color w:val="000000"/>
                <w:sz w:val="20"/>
                <w:szCs w:val="20"/>
              </w:rPr>
            </w:pPr>
            <w:r>
              <w:rPr>
                <w:color w:val="000000"/>
                <w:sz w:val="20"/>
                <w:szCs w:val="20"/>
              </w:rPr>
              <w:t>Гкал/ч</w:t>
            </w:r>
          </w:p>
        </w:tc>
        <w:tc>
          <w:tcPr>
            <w:tcW w:w="395" w:type="pct"/>
            <w:tcBorders>
              <w:top w:val="single" w:color="auto" w:sz="4" w:space="0"/>
              <w:left w:val="single" w:color="auto" w:sz="4" w:space="0"/>
              <w:bottom w:val="single" w:color="auto" w:sz="4" w:space="0"/>
              <w:right w:val="single" w:color="auto" w:sz="4" w:space="0"/>
            </w:tcBorders>
            <w:shd w:val="clear" w:color="auto" w:fill="auto"/>
            <w:noWrap/>
            <w:tcMar>
              <w:left w:w="28" w:type="dxa"/>
              <w:right w:w="28" w:type="dxa"/>
            </w:tcMar>
            <w:vAlign w:val="center"/>
          </w:tcPr>
          <w:p w14:paraId="25A8A1C3">
            <w:pPr>
              <w:spacing w:after="0" w:line="240" w:lineRule="auto"/>
              <w:ind w:firstLine="0"/>
              <w:jc w:val="right"/>
              <w:rPr>
                <w:color w:val="000000"/>
                <w:sz w:val="20"/>
                <w:szCs w:val="20"/>
              </w:rPr>
            </w:pPr>
            <w:r>
              <w:rPr>
                <w:color w:val="000000"/>
                <w:sz w:val="20"/>
                <w:szCs w:val="20"/>
              </w:rPr>
              <w:t>47,72</w:t>
            </w:r>
          </w:p>
        </w:tc>
        <w:tc>
          <w:tcPr>
            <w:tcW w:w="382"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6DDEE546">
            <w:pPr>
              <w:spacing w:after="0" w:line="240" w:lineRule="auto"/>
              <w:ind w:firstLine="0"/>
              <w:jc w:val="right"/>
              <w:rPr>
                <w:color w:val="000000"/>
                <w:sz w:val="20"/>
                <w:szCs w:val="20"/>
              </w:rPr>
            </w:pPr>
            <w:r>
              <w:rPr>
                <w:color w:val="000000"/>
                <w:sz w:val="20"/>
                <w:szCs w:val="20"/>
              </w:rPr>
              <w:t>47,72</w:t>
            </w:r>
          </w:p>
        </w:tc>
        <w:tc>
          <w:tcPr>
            <w:tcW w:w="381"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04CEF367">
            <w:pPr>
              <w:spacing w:after="0" w:line="240" w:lineRule="auto"/>
              <w:ind w:firstLine="0"/>
              <w:jc w:val="right"/>
              <w:rPr>
                <w:color w:val="000000"/>
                <w:sz w:val="20"/>
                <w:szCs w:val="20"/>
              </w:rPr>
            </w:pPr>
            <w:r>
              <w:rPr>
                <w:color w:val="000000"/>
                <w:sz w:val="20"/>
                <w:szCs w:val="20"/>
              </w:rPr>
              <w:t>47,72</w:t>
            </w:r>
          </w:p>
        </w:tc>
        <w:tc>
          <w:tcPr>
            <w:tcW w:w="381"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319F7694">
            <w:pPr>
              <w:spacing w:after="0" w:line="240" w:lineRule="auto"/>
              <w:ind w:firstLine="0"/>
              <w:jc w:val="right"/>
              <w:rPr>
                <w:color w:val="000000"/>
                <w:sz w:val="20"/>
                <w:szCs w:val="20"/>
              </w:rPr>
            </w:pPr>
            <w:r>
              <w:rPr>
                <w:color w:val="000000"/>
                <w:sz w:val="20"/>
                <w:szCs w:val="20"/>
              </w:rPr>
              <w:t>47,72</w:t>
            </w:r>
          </w:p>
        </w:tc>
        <w:tc>
          <w:tcPr>
            <w:tcW w:w="428"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20F64A4A">
            <w:pPr>
              <w:spacing w:after="0" w:line="240" w:lineRule="auto"/>
              <w:ind w:firstLine="0"/>
              <w:jc w:val="right"/>
              <w:rPr>
                <w:color w:val="000000"/>
                <w:sz w:val="20"/>
                <w:szCs w:val="20"/>
              </w:rPr>
            </w:pPr>
            <w:r>
              <w:rPr>
                <w:color w:val="000000"/>
                <w:sz w:val="20"/>
                <w:szCs w:val="20"/>
              </w:rPr>
              <w:t>47,72</w:t>
            </w:r>
          </w:p>
        </w:tc>
        <w:tc>
          <w:tcPr>
            <w:tcW w:w="428"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790F24AD">
            <w:pPr>
              <w:spacing w:after="0" w:line="240" w:lineRule="auto"/>
              <w:ind w:firstLine="0"/>
              <w:jc w:val="right"/>
              <w:rPr>
                <w:color w:val="000000"/>
                <w:sz w:val="20"/>
                <w:szCs w:val="20"/>
              </w:rPr>
            </w:pPr>
            <w:r>
              <w:rPr>
                <w:color w:val="000000"/>
                <w:sz w:val="20"/>
                <w:szCs w:val="20"/>
              </w:rPr>
              <w:t>47,72</w:t>
            </w:r>
          </w:p>
        </w:tc>
        <w:tc>
          <w:tcPr>
            <w:tcW w:w="381"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66864407">
            <w:pPr>
              <w:spacing w:after="0" w:line="240" w:lineRule="auto"/>
              <w:ind w:firstLine="0"/>
              <w:jc w:val="right"/>
              <w:rPr>
                <w:color w:val="000000"/>
                <w:sz w:val="20"/>
                <w:szCs w:val="20"/>
              </w:rPr>
            </w:pPr>
            <w:r>
              <w:rPr>
                <w:color w:val="000000"/>
                <w:sz w:val="20"/>
                <w:szCs w:val="20"/>
              </w:rPr>
              <w:t>47,72</w:t>
            </w:r>
          </w:p>
        </w:tc>
      </w:tr>
      <w:tr w14:paraId="541C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1DA1EE10">
            <w:pPr>
              <w:spacing w:after="0" w:line="240" w:lineRule="auto"/>
              <w:ind w:firstLine="0"/>
              <w:rPr>
                <w:color w:val="000000"/>
                <w:sz w:val="20"/>
                <w:szCs w:val="20"/>
              </w:rPr>
            </w:pPr>
            <w:r>
              <w:rPr>
                <w:color w:val="000000"/>
                <w:sz w:val="20"/>
                <w:szCs w:val="20"/>
              </w:rPr>
              <w:t>Располагаемая тепловая мощность</w:t>
            </w:r>
          </w:p>
        </w:tc>
        <w:tc>
          <w:tcPr>
            <w:tcW w:w="360" w:type="pct"/>
            <w:shd w:val="clear" w:color="auto" w:fill="auto"/>
            <w:tcMar>
              <w:left w:w="28" w:type="dxa"/>
              <w:right w:w="28" w:type="dxa"/>
            </w:tcMar>
            <w:vAlign w:val="center"/>
          </w:tcPr>
          <w:p w14:paraId="726416BC">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83E1A62">
            <w:pPr>
              <w:spacing w:after="0" w:line="240" w:lineRule="auto"/>
              <w:ind w:firstLine="0"/>
              <w:jc w:val="right"/>
              <w:rPr>
                <w:color w:val="000000"/>
                <w:sz w:val="20"/>
                <w:szCs w:val="20"/>
              </w:rPr>
            </w:pPr>
            <w:r>
              <w:rPr>
                <w:color w:val="000000"/>
                <w:sz w:val="20"/>
                <w:szCs w:val="20"/>
              </w:rPr>
              <w:t>35,32</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4D76B5C">
            <w:pPr>
              <w:spacing w:after="0" w:line="240" w:lineRule="auto"/>
              <w:ind w:firstLine="0"/>
              <w:jc w:val="right"/>
              <w:rPr>
                <w:color w:val="000000"/>
                <w:sz w:val="20"/>
                <w:szCs w:val="20"/>
              </w:rPr>
            </w:pPr>
            <w:r>
              <w:rPr>
                <w:color w:val="000000"/>
                <w:sz w:val="20"/>
                <w:szCs w:val="20"/>
              </w:rPr>
              <w:t>35,32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6A4698C">
            <w:pPr>
              <w:spacing w:after="0" w:line="240" w:lineRule="auto"/>
              <w:ind w:firstLine="0"/>
              <w:jc w:val="right"/>
              <w:rPr>
                <w:color w:val="000000"/>
                <w:sz w:val="20"/>
                <w:szCs w:val="20"/>
              </w:rPr>
            </w:pPr>
            <w:r>
              <w:rPr>
                <w:color w:val="000000"/>
                <w:sz w:val="20"/>
                <w:szCs w:val="20"/>
              </w:rPr>
              <w:t>35,32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FF8467D">
            <w:pPr>
              <w:spacing w:after="0" w:line="240" w:lineRule="auto"/>
              <w:ind w:firstLine="0"/>
              <w:jc w:val="right"/>
              <w:rPr>
                <w:color w:val="000000"/>
                <w:sz w:val="20"/>
                <w:szCs w:val="20"/>
              </w:rPr>
            </w:pPr>
            <w:r>
              <w:rPr>
                <w:color w:val="000000"/>
                <w:sz w:val="20"/>
                <w:szCs w:val="20"/>
              </w:rPr>
              <w:t>35,32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2CDC2BF">
            <w:pPr>
              <w:spacing w:after="0" w:line="240" w:lineRule="auto"/>
              <w:ind w:firstLine="0"/>
              <w:jc w:val="right"/>
              <w:rPr>
                <w:color w:val="000000"/>
                <w:sz w:val="20"/>
                <w:szCs w:val="20"/>
              </w:rPr>
            </w:pPr>
            <w:r>
              <w:rPr>
                <w:color w:val="000000"/>
                <w:sz w:val="20"/>
                <w:szCs w:val="20"/>
              </w:rPr>
              <w:t>35,32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BF3A28A">
            <w:pPr>
              <w:spacing w:after="0" w:line="240" w:lineRule="auto"/>
              <w:ind w:firstLine="0"/>
              <w:jc w:val="right"/>
              <w:rPr>
                <w:color w:val="000000"/>
                <w:sz w:val="20"/>
                <w:szCs w:val="20"/>
              </w:rPr>
            </w:pPr>
            <w:r>
              <w:rPr>
                <w:color w:val="000000"/>
                <w:sz w:val="20"/>
                <w:szCs w:val="20"/>
              </w:rPr>
              <w:t>35,32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2D1555E">
            <w:pPr>
              <w:spacing w:after="0" w:line="240" w:lineRule="auto"/>
              <w:ind w:firstLine="0"/>
              <w:jc w:val="right"/>
              <w:rPr>
                <w:color w:val="000000"/>
                <w:sz w:val="20"/>
                <w:szCs w:val="20"/>
              </w:rPr>
            </w:pPr>
            <w:r>
              <w:rPr>
                <w:color w:val="000000"/>
                <w:sz w:val="20"/>
                <w:szCs w:val="20"/>
              </w:rPr>
              <w:t>35,32</w:t>
            </w:r>
          </w:p>
        </w:tc>
      </w:tr>
      <w:tr w14:paraId="24B1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41EDF8A5">
            <w:pPr>
              <w:spacing w:after="0" w:line="240" w:lineRule="auto"/>
              <w:ind w:firstLine="0"/>
              <w:rPr>
                <w:color w:val="000000"/>
                <w:sz w:val="20"/>
                <w:szCs w:val="20"/>
              </w:rPr>
            </w:pPr>
            <w:r>
              <w:rPr>
                <w:color w:val="000000"/>
                <w:sz w:val="20"/>
                <w:szCs w:val="20"/>
              </w:rPr>
              <w:t>Ограничение тепловой мощности</w:t>
            </w:r>
          </w:p>
        </w:tc>
        <w:tc>
          <w:tcPr>
            <w:tcW w:w="360" w:type="pct"/>
            <w:shd w:val="clear" w:color="auto" w:fill="auto"/>
            <w:tcMar>
              <w:left w:w="28" w:type="dxa"/>
              <w:right w:w="28" w:type="dxa"/>
            </w:tcMar>
            <w:vAlign w:val="center"/>
          </w:tcPr>
          <w:p w14:paraId="1A1E1718">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4A8CDB78">
            <w:pPr>
              <w:spacing w:after="0" w:line="240" w:lineRule="auto"/>
              <w:ind w:firstLine="0"/>
              <w:jc w:val="right"/>
              <w:rPr>
                <w:color w:val="000000"/>
                <w:sz w:val="20"/>
                <w:szCs w:val="20"/>
              </w:rPr>
            </w:pPr>
            <w:r>
              <w:rPr>
                <w:color w:val="000000"/>
                <w:sz w:val="20"/>
                <w:szCs w:val="20"/>
              </w:rPr>
              <w:t>74,02</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186F47A">
            <w:pPr>
              <w:spacing w:after="0" w:line="240" w:lineRule="auto"/>
              <w:ind w:firstLine="0"/>
              <w:jc w:val="right"/>
              <w:rPr>
                <w:color w:val="000000"/>
                <w:sz w:val="20"/>
                <w:szCs w:val="20"/>
              </w:rPr>
            </w:pPr>
            <w:r>
              <w:rPr>
                <w:color w:val="000000"/>
                <w:sz w:val="20"/>
                <w:szCs w:val="20"/>
              </w:rPr>
              <w:t>74,02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C78426E">
            <w:pPr>
              <w:spacing w:after="0" w:line="240" w:lineRule="auto"/>
              <w:ind w:firstLine="0"/>
              <w:jc w:val="right"/>
              <w:rPr>
                <w:color w:val="000000"/>
                <w:sz w:val="20"/>
                <w:szCs w:val="20"/>
              </w:rPr>
            </w:pPr>
            <w:r>
              <w:rPr>
                <w:color w:val="000000"/>
                <w:sz w:val="20"/>
                <w:szCs w:val="20"/>
              </w:rPr>
              <w:t>74,02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1474BF2">
            <w:pPr>
              <w:spacing w:after="0" w:line="240" w:lineRule="auto"/>
              <w:ind w:firstLine="0"/>
              <w:jc w:val="right"/>
              <w:rPr>
                <w:color w:val="000000"/>
                <w:sz w:val="20"/>
                <w:szCs w:val="20"/>
              </w:rPr>
            </w:pPr>
            <w:r>
              <w:rPr>
                <w:color w:val="000000"/>
                <w:sz w:val="20"/>
                <w:szCs w:val="20"/>
              </w:rPr>
              <w:t>74,02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B613C14">
            <w:pPr>
              <w:spacing w:after="0" w:line="240" w:lineRule="auto"/>
              <w:ind w:firstLine="0"/>
              <w:jc w:val="right"/>
              <w:rPr>
                <w:color w:val="000000"/>
                <w:sz w:val="20"/>
                <w:szCs w:val="20"/>
              </w:rPr>
            </w:pPr>
            <w:r>
              <w:rPr>
                <w:color w:val="000000"/>
                <w:sz w:val="20"/>
                <w:szCs w:val="20"/>
              </w:rPr>
              <w:t>74,02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8A4EAA6">
            <w:pPr>
              <w:spacing w:after="0" w:line="240" w:lineRule="auto"/>
              <w:ind w:firstLine="0"/>
              <w:jc w:val="right"/>
              <w:rPr>
                <w:color w:val="000000"/>
                <w:sz w:val="20"/>
                <w:szCs w:val="20"/>
              </w:rPr>
            </w:pPr>
            <w:r>
              <w:rPr>
                <w:color w:val="000000"/>
                <w:sz w:val="20"/>
                <w:szCs w:val="20"/>
              </w:rPr>
              <w:t>74,02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9E5B405">
            <w:pPr>
              <w:spacing w:after="0" w:line="240" w:lineRule="auto"/>
              <w:ind w:firstLine="0"/>
              <w:jc w:val="right"/>
              <w:rPr>
                <w:color w:val="000000"/>
                <w:sz w:val="20"/>
                <w:szCs w:val="20"/>
              </w:rPr>
            </w:pPr>
            <w:r>
              <w:rPr>
                <w:color w:val="000000"/>
                <w:sz w:val="20"/>
                <w:szCs w:val="20"/>
              </w:rPr>
              <w:t>74,02</w:t>
            </w:r>
          </w:p>
        </w:tc>
      </w:tr>
      <w:tr w14:paraId="44C0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4DEB8C69">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6A69FCF8">
            <w:pPr>
              <w:spacing w:after="0" w:line="240" w:lineRule="auto"/>
              <w:ind w:firstLine="0"/>
              <w:jc w:val="center"/>
              <w:rPr>
                <w:color w:val="000000"/>
                <w:sz w:val="20"/>
                <w:szCs w:val="20"/>
              </w:rPr>
            </w:pPr>
            <w:r>
              <w:rPr>
                <w:color w:val="000000"/>
                <w:sz w:val="20"/>
                <w:szCs w:val="20"/>
              </w:rPr>
              <w:t>%</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5083420">
            <w:pPr>
              <w:spacing w:after="0" w:line="240" w:lineRule="auto"/>
              <w:ind w:firstLine="0"/>
              <w:jc w:val="right"/>
              <w:rPr>
                <w:color w:val="000000"/>
                <w:sz w:val="20"/>
                <w:szCs w:val="20"/>
              </w:rPr>
            </w:pPr>
            <w:r>
              <w:rPr>
                <w:color w:val="000000"/>
                <w:sz w:val="20"/>
                <w:szCs w:val="20"/>
              </w:rPr>
              <w:t>12,40</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5C9D180">
            <w:pPr>
              <w:spacing w:after="0" w:line="240" w:lineRule="auto"/>
              <w:ind w:firstLine="0"/>
              <w:jc w:val="right"/>
              <w:rPr>
                <w:color w:val="000000"/>
                <w:sz w:val="20"/>
                <w:szCs w:val="20"/>
              </w:rPr>
            </w:pPr>
            <w:r>
              <w:rPr>
                <w:color w:val="000000"/>
                <w:sz w:val="20"/>
                <w:szCs w:val="20"/>
              </w:rPr>
              <w:t>12,40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7754002">
            <w:pPr>
              <w:spacing w:after="0" w:line="240" w:lineRule="auto"/>
              <w:ind w:firstLine="0"/>
              <w:jc w:val="right"/>
              <w:rPr>
                <w:color w:val="000000"/>
                <w:sz w:val="20"/>
                <w:szCs w:val="20"/>
              </w:rPr>
            </w:pPr>
            <w:r>
              <w:rPr>
                <w:color w:val="000000"/>
                <w:sz w:val="20"/>
                <w:szCs w:val="20"/>
              </w:rPr>
              <w:t>12,40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445EC58">
            <w:pPr>
              <w:spacing w:after="0" w:line="240" w:lineRule="auto"/>
              <w:ind w:firstLine="0"/>
              <w:jc w:val="right"/>
              <w:rPr>
                <w:color w:val="000000"/>
                <w:sz w:val="20"/>
                <w:szCs w:val="20"/>
              </w:rPr>
            </w:pPr>
            <w:r>
              <w:rPr>
                <w:color w:val="000000"/>
                <w:sz w:val="20"/>
                <w:szCs w:val="20"/>
              </w:rPr>
              <w:t>12,40</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4B66095">
            <w:pPr>
              <w:spacing w:after="0" w:line="240" w:lineRule="auto"/>
              <w:ind w:firstLine="0"/>
              <w:jc w:val="right"/>
              <w:rPr>
                <w:color w:val="000000"/>
                <w:sz w:val="20"/>
                <w:szCs w:val="20"/>
              </w:rPr>
            </w:pPr>
            <w:r>
              <w:rPr>
                <w:color w:val="000000"/>
                <w:sz w:val="20"/>
                <w:szCs w:val="20"/>
              </w:rPr>
              <w:t>12,40</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4CBD747">
            <w:pPr>
              <w:spacing w:after="0" w:line="240" w:lineRule="auto"/>
              <w:ind w:firstLine="0"/>
              <w:jc w:val="right"/>
              <w:rPr>
                <w:color w:val="000000"/>
                <w:sz w:val="20"/>
                <w:szCs w:val="20"/>
              </w:rPr>
            </w:pPr>
            <w:r>
              <w:rPr>
                <w:color w:val="000000"/>
                <w:sz w:val="20"/>
                <w:szCs w:val="20"/>
              </w:rPr>
              <w:t>12,40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8D6CEA9">
            <w:pPr>
              <w:spacing w:after="0" w:line="240" w:lineRule="auto"/>
              <w:ind w:firstLine="0"/>
              <w:jc w:val="right"/>
              <w:rPr>
                <w:color w:val="000000"/>
                <w:sz w:val="20"/>
                <w:szCs w:val="20"/>
              </w:rPr>
            </w:pPr>
            <w:r>
              <w:rPr>
                <w:color w:val="000000"/>
                <w:sz w:val="20"/>
                <w:szCs w:val="20"/>
              </w:rPr>
              <w:t>12,40</w:t>
            </w:r>
          </w:p>
        </w:tc>
      </w:tr>
      <w:tr w14:paraId="7354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53BCD435">
            <w:pPr>
              <w:spacing w:after="0" w:line="240" w:lineRule="auto"/>
              <w:ind w:firstLine="0"/>
              <w:rPr>
                <w:color w:val="000000"/>
                <w:sz w:val="20"/>
                <w:szCs w:val="20"/>
              </w:rPr>
            </w:pPr>
            <w:r>
              <w:rPr>
                <w:color w:val="000000"/>
                <w:sz w:val="20"/>
                <w:szCs w:val="20"/>
              </w:rPr>
              <w:t>Собственные и хозяйственные нужды</w:t>
            </w:r>
          </w:p>
        </w:tc>
        <w:tc>
          <w:tcPr>
            <w:tcW w:w="360" w:type="pct"/>
            <w:shd w:val="clear" w:color="auto" w:fill="auto"/>
            <w:tcMar>
              <w:left w:w="28" w:type="dxa"/>
              <w:right w:w="28" w:type="dxa"/>
            </w:tcMar>
            <w:vAlign w:val="center"/>
          </w:tcPr>
          <w:p w14:paraId="4B5787E9">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0A78279C">
            <w:pPr>
              <w:spacing w:after="0" w:line="240" w:lineRule="auto"/>
              <w:ind w:firstLine="0"/>
              <w:jc w:val="right"/>
              <w:rPr>
                <w:color w:val="000000"/>
                <w:sz w:val="20"/>
                <w:szCs w:val="20"/>
              </w:rPr>
            </w:pPr>
            <w:r>
              <w:rPr>
                <w:color w:val="000000"/>
                <w:sz w:val="20"/>
                <w:szCs w:val="20"/>
              </w:rPr>
              <w:t>0,23</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244B64D">
            <w:pPr>
              <w:spacing w:after="0" w:line="240" w:lineRule="auto"/>
              <w:ind w:firstLine="0"/>
              <w:jc w:val="right"/>
              <w:rPr>
                <w:color w:val="000000"/>
                <w:sz w:val="20"/>
                <w:szCs w:val="20"/>
              </w:rPr>
            </w:pPr>
            <w:r>
              <w:rPr>
                <w:color w:val="000000"/>
                <w:sz w:val="20"/>
                <w:szCs w:val="20"/>
              </w:rPr>
              <w:t>0,23</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5D38E5E">
            <w:pPr>
              <w:spacing w:after="0" w:line="240" w:lineRule="auto"/>
              <w:ind w:firstLine="0"/>
              <w:jc w:val="right"/>
              <w:rPr>
                <w:color w:val="000000"/>
                <w:sz w:val="20"/>
                <w:szCs w:val="20"/>
              </w:rPr>
            </w:pPr>
            <w:r>
              <w:rPr>
                <w:color w:val="000000"/>
                <w:sz w:val="20"/>
                <w:szCs w:val="20"/>
              </w:rPr>
              <w:t>0,23</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AE15E69">
            <w:pPr>
              <w:spacing w:after="0" w:line="240" w:lineRule="auto"/>
              <w:ind w:firstLine="0"/>
              <w:jc w:val="right"/>
              <w:rPr>
                <w:color w:val="000000"/>
                <w:sz w:val="20"/>
                <w:szCs w:val="20"/>
              </w:rPr>
            </w:pPr>
            <w:r>
              <w:rPr>
                <w:color w:val="000000"/>
                <w:sz w:val="20"/>
                <w:szCs w:val="20"/>
              </w:rPr>
              <w:t>0,23</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624225D">
            <w:pPr>
              <w:spacing w:after="0" w:line="240" w:lineRule="auto"/>
              <w:ind w:firstLine="0"/>
              <w:jc w:val="right"/>
              <w:rPr>
                <w:color w:val="000000"/>
                <w:sz w:val="20"/>
                <w:szCs w:val="20"/>
              </w:rPr>
            </w:pPr>
            <w:r>
              <w:rPr>
                <w:color w:val="000000"/>
                <w:sz w:val="20"/>
                <w:szCs w:val="20"/>
              </w:rPr>
              <w:t>0,23</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290670F">
            <w:pPr>
              <w:spacing w:after="0" w:line="240" w:lineRule="auto"/>
              <w:ind w:firstLine="0"/>
              <w:jc w:val="right"/>
              <w:rPr>
                <w:color w:val="000000"/>
                <w:sz w:val="20"/>
                <w:szCs w:val="20"/>
              </w:rPr>
            </w:pPr>
            <w:r>
              <w:rPr>
                <w:color w:val="000000"/>
                <w:sz w:val="20"/>
                <w:szCs w:val="20"/>
              </w:rPr>
              <w:t>0,23</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E9989CD">
            <w:pPr>
              <w:spacing w:after="0" w:line="240" w:lineRule="auto"/>
              <w:ind w:firstLine="0"/>
              <w:jc w:val="right"/>
              <w:rPr>
                <w:color w:val="000000"/>
                <w:sz w:val="20"/>
                <w:szCs w:val="20"/>
              </w:rPr>
            </w:pPr>
            <w:r>
              <w:rPr>
                <w:color w:val="000000"/>
                <w:sz w:val="20"/>
                <w:szCs w:val="20"/>
              </w:rPr>
              <w:t>0,23</w:t>
            </w:r>
          </w:p>
        </w:tc>
      </w:tr>
      <w:tr w14:paraId="5C79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0B134001">
            <w:pPr>
              <w:spacing w:after="0" w:line="240" w:lineRule="auto"/>
              <w:ind w:firstLine="0"/>
              <w:rPr>
                <w:color w:val="000000"/>
                <w:sz w:val="20"/>
                <w:szCs w:val="20"/>
              </w:rPr>
            </w:pPr>
            <w:r>
              <w:rPr>
                <w:color w:val="000000"/>
                <w:sz w:val="20"/>
                <w:szCs w:val="20"/>
              </w:rPr>
              <w:t>Тепловая мощность нетто</w:t>
            </w:r>
          </w:p>
        </w:tc>
        <w:tc>
          <w:tcPr>
            <w:tcW w:w="360" w:type="pct"/>
            <w:shd w:val="clear" w:color="auto" w:fill="auto"/>
            <w:tcMar>
              <w:left w:w="28" w:type="dxa"/>
              <w:right w:w="28" w:type="dxa"/>
            </w:tcMar>
            <w:vAlign w:val="center"/>
          </w:tcPr>
          <w:p w14:paraId="6A19B40B">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FC37CDD">
            <w:pPr>
              <w:spacing w:after="0" w:line="240" w:lineRule="auto"/>
              <w:ind w:firstLine="0"/>
              <w:jc w:val="right"/>
              <w:rPr>
                <w:color w:val="000000"/>
                <w:sz w:val="20"/>
                <w:szCs w:val="20"/>
              </w:rPr>
            </w:pPr>
            <w:r>
              <w:rPr>
                <w:color w:val="000000"/>
                <w:sz w:val="20"/>
                <w:szCs w:val="20"/>
              </w:rPr>
              <w:t>12,17</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B4335EA">
            <w:pPr>
              <w:spacing w:after="0" w:line="240" w:lineRule="auto"/>
              <w:ind w:firstLine="0"/>
              <w:jc w:val="right"/>
              <w:rPr>
                <w:color w:val="000000"/>
                <w:sz w:val="20"/>
                <w:szCs w:val="20"/>
              </w:rPr>
            </w:pPr>
            <w:r>
              <w:rPr>
                <w:color w:val="000000"/>
                <w:sz w:val="20"/>
                <w:szCs w:val="20"/>
              </w:rPr>
              <w:t>12,17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E924D4C">
            <w:pPr>
              <w:spacing w:after="0" w:line="240" w:lineRule="auto"/>
              <w:ind w:firstLine="0"/>
              <w:jc w:val="right"/>
              <w:rPr>
                <w:color w:val="000000"/>
                <w:sz w:val="20"/>
                <w:szCs w:val="20"/>
              </w:rPr>
            </w:pPr>
            <w:r>
              <w:rPr>
                <w:color w:val="000000"/>
                <w:sz w:val="20"/>
                <w:szCs w:val="20"/>
              </w:rPr>
              <w:t>12,17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8296643">
            <w:pPr>
              <w:spacing w:after="0" w:line="240" w:lineRule="auto"/>
              <w:ind w:firstLine="0"/>
              <w:jc w:val="right"/>
              <w:rPr>
                <w:color w:val="000000"/>
                <w:sz w:val="20"/>
                <w:szCs w:val="20"/>
              </w:rPr>
            </w:pPr>
            <w:r>
              <w:rPr>
                <w:color w:val="000000"/>
                <w:sz w:val="20"/>
                <w:szCs w:val="20"/>
              </w:rPr>
              <w:t>12,17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9D806B1">
            <w:pPr>
              <w:spacing w:after="0" w:line="240" w:lineRule="auto"/>
              <w:ind w:firstLine="0"/>
              <w:jc w:val="right"/>
              <w:rPr>
                <w:color w:val="000000"/>
                <w:sz w:val="20"/>
                <w:szCs w:val="20"/>
              </w:rPr>
            </w:pPr>
            <w:r>
              <w:rPr>
                <w:color w:val="000000"/>
                <w:sz w:val="20"/>
                <w:szCs w:val="20"/>
              </w:rPr>
              <w:t>12,17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09B516C">
            <w:pPr>
              <w:spacing w:after="0" w:line="240" w:lineRule="auto"/>
              <w:ind w:firstLine="0"/>
              <w:jc w:val="right"/>
              <w:rPr>
                <w:color w:val="000000"/>
                <w:sz w:val="20"/>
                <w:szCs w:val="20"/>
              </w:rPr>
            </w:pPr>
            <w:r>
              <w:rPr>
                <w:color w:val="000000"/>
                <w:sz w:val="20"/>
                <w:szCs w:val="20"/>
              </w:rPr>
              <w:t>12,17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2D7AF20">
            <w:pPr>
              <w:spacing w:after="0" w:line="240" w:lineRule="auto"/>
              <w:ind w:firstLine="0"/>
              <w:jc w:val="right"/>
              <w:rPr>
                <w:color w:val="000000"/>
                <w:sz w:val="20"/>
                <w:szCs w:val="20"/>
              </w:rPr>
            </w:pPr>
            <w:r>
              <w:rPr>
                <w:color w:val="000000"/>
                <w:sz w:val="20"/>
                <w:szCs w:val="20"/>
              </w:rPr>
              <w:t>12,17</w:t>
            </w:r>
          </w:p>
        </w:tc>
      </w:tr>
      <w:tr w14:paraId="56C3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6B58072A">
            <w:pPr>
              <w:spacing w:after="0" w:line="240" w:lineRule="auto"/>
              <w:ind w:firstLine="0"/>
              <w:rPr>
                <w:color w:val="000000"/>
                <w:sz w:val="20"/>
                <w:szCs w:val="20"/>
              </w:rPr>
            </w:pPr>
            <w:r>
              <w:rPr>
                <w:color w:val="000000"/>
                <w:sz w:val="20"/>
                <w:szCs w:val="20"/>
              </w:rPr>
              <w:t>Нагрузка на коллекторах</w:t>
            </w:r>
          </w:p>
        </w:tc>
        <w:tc>
          <w:tcPr>
            <w:tcW w:w="360" w:type="pct"/>
            <w:shd w:val="clear" w:color="auto" w:fill="auto"/>
            <w:tcMar>
              <w:left w:w="28" w:type="dxa"/>
              <w:right w:w="28" w:type="dxa"/>
            </w:tcMar>
            <w:vAlign w:val="center"/>
          </w:tcPr>
          <w:p w14:paraId="5C1C2D88">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3F77C76">
            <w:pPr>
              <w:spacing w:after="0" w:line="240" w:lineRule="auto"/>
              <w:ind w:firstLine="0"/>
              <w:jc w:val="right"/>
              <w:rPr>
                <w:color w:val="000000"/>
                <w:sz w:val="20"/>
                <w:szCs w:val="20"/>
              </w:rPr>
            </w:pPr>
            <w:r>
              <w:rPr>
                <w:color w:val="000000"/>
                <w:sz w:val="20"/>
                <w:szCs w:val="20"/>
              </w:rPr>
              <w:t>2,30</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4A30CEC">
            <w:pPr>
              <w:spacing w:after="0" w:line="240" w:lineRule="auto"/>
              <w:ind w:firstLine="0"/>
              <w:jc w:val="right"/>
              <w:rPr>
                <w:color w:val="000000"/>
                <w:sz w:val="20"/>
                <w:szCs w:val="20"/>
              </w:rPr>
            </w:pPr>
            <w:r>
              <w:rPr>
                <w:color w:val="000000"/>
                <w:sz w:val="20"/>
                <w:szCs w:val="20"/>
              </w:rPr>
              <w:t>2,43</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9DF4272">
            <w:pPr>
              <w:spacing w:after="0" w:line="240" w:lineRule="auto"/>
              <w:ind w:firstLine="0"/>
              <w:jc w:val="right"/>
              <w:rPr>
                <w:color w:val="000000"/>
                <w:sz w:val="20"/>
                <w:szCs w:val="20"/>
              </w:rPr>
            </w:pPr>
            <w:r>
              <w:rPr>
                <w:color w:val="000000"/>
                <w:sz w:val="20"/>
                <w:szCs w:val="20"/>
              </w:rPr>
              <w:t>2,57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9345454">
            <w:pPr>
              <w:spacing w:after="0" w:line="240" w:lineRule="auto"/>
              <w:ind w:firstLine="0"/>
              <w:jc w:val="right"/>
              <w:rPr>
                <w:color w:val="000000"/>
                <w:sz w:val="20"/>
                <w:szCs w:val="20"/>
              </w:rPr>
            </w:pPr>
            <w:r>
              <w:rPr>
                <w:color w:val="000000"/>
                <w:sz w:val="20"/>
                <w:szCs w:val="20"/>
              </w:rPr>
              <w:t>2,73</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00195A3">
            <w:pPr>
              <w:spacing w:after="0" w:line="240" w:lineRule="auto"/>
              <w:ind w:firstLine="0"/>
              <w:jc w:val="right"/>
              <w:rPr>
                <w:color w:val="000000"/>
                <w:sz w:val="20"/>
                <w:szCs w:val="20"/>
              </w:rPr>
            </w:pPr>
            <w:r>
              <w:rPr>
                <w:color w:val="000000"/>
                <w:sz w:val="20"/>
                <w:szCs w:val="20"/>
              </w:rPr>
              <w:t>2,89</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978A09A">
            <w:pPr>
              <w:spacing w:after="0" w:line="240" w:lineRule="auto"/>
              <w:ind w:firstLine="0"/>
              <w:jc w:val="right"/>
              <w:rPr>
                <w:color w:val="000000"/>
                <w:sz w:val="20"/>
                <w:szCs w:val="20"/>
              </w:rPr>
            </w:pPr>
            <w:r>
              <w:rPr>
                <w:color w:val="000000"/>
                <w:sz w:val="20"/>
                <w:szCs w:val="20"/>
              </w:rPr>
              <w:t>3,07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CFC3577">
            <w:pPr>
              <w:spacing w:after="0" w:line="240" w:lineRule="auto"/>
              <w:ind w:firstLine="0"/>
              <w:jc w:val="right"/>
              <w:rPr>
                <w:color w:val="000000"/>
                <w:sz w:val="20"/>
                <w:szCs w:val="20"/>
              </w:rPr>
            </w:pPr>
            <w:r>
              <w:rPr>
                <w:color w:val="000000"/>
                <w:sz w:val="20"/>
                <w:szCs w:val="20"/>
              </w:rPr>
              <w:t>3,26</w:t>
            </w:r>
          </w:p>
        </w:tc>
      </w:tr>
      <w:tr w14:paraId="04D7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0DCD6AFC">
            <w:pPr>
              <w:spacing w:after="0" w:line="240" w:lineRule="auto"/>
              <w:ind w:firstLine="0"/>
              <w:rPr>
                <w:color w:val="000000"/>
                <w:sz w:val="20"/>
                <w:szCs w:val="20"/>
              </w:rPr>
            </w:pPr>
            <w:r>
              <w:rPr>
                <w:color w:val="000000"/>
                <w:sz w:val="20"/>
                <w:szCs w:val="20"/>
              </w:rPr>
              <w:t>Потери в сетях</w:t>
            </w:r>
          </w:p>
        </w:tc>
        <w:tc>
          <w:tcPr>
            <w:tcW w:w="360" w:type="pct"/>
            <w:shd w:val="clear" w:color="auto" w:fill="auto"/>
            <w:tcMar>
              <w:left w:w="28" w:type="dxa"/>
              <w:right w:w="28" w:type="dxa"/>
            </w:tcMar>
            <w:vAlign w:val="center"/>
          </w:tcPr>
          <w:p w14:paraId="4B75D30A">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D9549D3">
            <w:pPr>
              <w:spacing w:after="0" w:line="240" w:lineRule="auto"/>
              <w:ind w:firstLine="0"/>
              <w:jc w:val="right"/>
              <w:rPr>
                <w:color w:val="000000"/>
                <w:sz w:val="20"/>
                <w:szCs w:val="20"/>
              </w:rPr>
            </w:pPr>
            <w:r>
              <w:rPr>
                <w:color w:val="000000"/>
                <w:sz w:val="20"/>
                <w:szCs w:val="20"/>
              </w:rPr>
              <w:t>0,62</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48A8A41">
            <w:pPr>
              <w:spacing w:after="0" w:line="240" w:lineRule="auto"/>
              <w:ind w:firstLine="0"/>
              <w:jc w:val="right"/>
              <w:rPr>
                <w:color w:val="000000"/>
                <w:sz w:val="20"/>
                <w:szCs w:val="20"/>
              </w:rPr>
            </w:pPr>
            <w:r>
              <w:rPr>
                <w:color w:val="000000"/>
                <w:sz w:val="20"/>
                <w:szCs w:val="20"/>
              </w:rPr>
              <w:t>0,62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A3ADDE3">
            <w:pPr>
              <w:spacing w:after="0" w:line="240" w:lineRule="auto"/>
              <w:ind w:firstLine="0"/>
              <w:jc w:val="right"/>
              <w:rPr>
                <w:color w:val="000000"/>
                <w:sz w:val="20"/>
                <w:szCs w:val="20"/>
              </w:rPr>
            </w:pPr>
            <w:r>
              <w:rPr>
                <w:color w:val="000000"/>
                <w:sz w:val="20"/>
                <w:szCs w:val="20"/>
              </w:rPr>
              <w:t>0,62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C147897">
            <w:pPr>
              <w:spacing w:after="0" w:line="240" w:lineRule="auto"/>
              <w:ind w:firstLine="0"/>
              <w:jc w:val="right"/>
              <w:rPr>
                <w:color w:val="000000"/>
                <w:sz w:val="20"/>
                <w:szCs w:val="20"/>
              </w:rPr>
            </w:pPr>
            <w:r>
              <w:rPr>
                <w:color w:val="000000"/>
                <w:sz w:val="20"/>
                <w:szCs w:val="20"/>
              </w:rPr>
              <w:t>0,62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7E65E48">
            <w:pPr>
              <w:spacing w:after="0" w:line="240" w:lineRule="auto"/>
              <w:ind w:firstLine="0"/>
              <w:jc w:val="right"/>
              <w:rPr>
                <w:color w:val="000000"/>
                <w:sz w:val="20"/>
                <w:szCs w:val="20"/>
              </w:rPr>
            </w:pPr>
            <w:r>
              <w:rPr>
                <w:color w:val="000000"/>
                <w:sz w:val="20"/>
                <w:szCs w:val="20"/>
              </w:rPr>
              <w:t>0,62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10C0202">
            <w:pPr>
              <w:spacing w:after="0" w:line="240" w:lineRule="auto"/>
              <w:ind w:firstLine="0"/>
              <w:jc w:val="right"/>
              <w:rPr>
                <w:color w:val="000000"/>
                <w:sz w:val="20"/>
                <w:szCs w:val="20"/>
              </w:rPr>
            </w:pPr>
            <w:r>
              <w:rPr>
                <w:color w:val="000000"/>
                <w:sz w:val="20"/>
                <w:szCs w:val="20"/>
              </w:rPr>
              <w:t>0,62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BE2E4C2">
            <w:pPr>
              <w:spacing w:after="0" w:line="240" w:lineRule="auto"/>
              <w:ind w:firstLine="0"/>
              <w:jc w:val="right"/>
              <w:rPr>
                <w:color w:val="000000"/>
                <w:sz w:val="20"/>
                <w:szCs w:val="20"/>
              </w:rPr>
            </w:pPr>
            <w:r>
              <w:rPr>
                <w:color w:val="000000"/>
                <w:sz w:val="20"/>
                <w:szCs w:val="20"/>
              </w:rPr>
              <w:t>0,62</w:t>
            </w:r>
          </w:p>
        </w:tc>
      </w:tr>
      <w:tr w14:paraId="2020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6CF689FE">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5197DB98">
            <w:pPr>
              <w:spacing w:after="0" w:line="240" w:lineRule="auto"/>
              <w:ind w:firstLine="0"/>
              <w:jc w:val="center"/>
              <w:rPr>
                <w:color w:val="000000"/>
                <w:sz w:val="20"/>
                <w:szCs w:val="20"/>
              </w:rPr>
            </w:pPr>
            <w:r>
              <w:rPr>
                <w:color w:val="000000"/>
                <w:sz w:val="20"/>
                <w:szCs w:val="20"/>
              </w:rPr>
              <w:t>%</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A09F626">
            <w:pPr>
              <w:spacing w:after="0" w:line="240" w:lineRule="auto"/>
              <w:ind w:firstLine="0"/>
              <w:jc w:val="right"/>
              <w:rPr>
                <w:color w:val="000000"/>
                <w:sz w:val="20"/>
                <w:szCs w:val="20"/>
              </w:rPr>
            </w:pPr>
            <w:r>
              <w:rPr>
                <w:color w:val="000000"/>
                <w:sz w:val="20"/>
                <w:szCs w:val="20"/>
              </w:rPr>
              <w:t>26,96</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16FA80E">
            <w:pPr>
              <w:spacing w:after="0" w:line="240" w:lineRule="auto"/>
              <w:ind w:firstLine="0"/>
              <w:jc w:val="right"/>
              <w:rPr>
                <w:color w:val="000000"/>
                <w:sz w:val="20"/>
                <w:szCs w:val="20"/>
              </w:rPr>
            </w:pPr>
            <w:r>
              <w:rPr>
                <w:color w:val="000000"/>
                <w:sz w:val="20"/>
                <w:szCs w:val="20"/>
              </w:rPr>
              <w:t>25,50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F32406C">
            <w:pPr>
              <w:spacing w:after="0" w:line="240" w:lineRule="auto"/>
              <w:ind w:firstLine="0"/>
              <w:jc w:val="right"/>
              <w:rPr>
                <w:color w:val="000000"/>
                <w:sz w:val="20"/>
                <w:szCs w:val="20"/>
              </w:rPr>
            </w:pPr>
            <w:r>
              <w:rPr>
                <w:color w:val="000000"/>
                <w:sz w:val="20"/>
                <w:szCs w:val="20"/>
              </w:rPr>
              <w:t>24,10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8BEAE33">
            <w:pPr>
              <w:spacing w:after="0" w:line="240" w:lineRule="auto"/>
              <w:ind w:firstLine="0"/>
              <w:jc w:val="right"/>
              <w:rPr>
                <w:color w:val="000000"/>
                <w:sz w:val="20"/>
                <w:szCs w:val="20"/>
              </w:rPr>
            </w:pPr>
            <w:r>
              <w:rPr>
                <w:color w:val="000000"/>
                <w:sz w:val="20"/>
                <w:szCs w:val="20"/>
              </w:rPr>
              <w:t>22,75</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19F9B6C">
            <w:pPr>
              <w:spacing w:after="0" w:line="240" w:lineRule="auto"/>
              <w:ind w:firstLine="0"/>
              <w:jc w:val="right"/>
              <w:rPr>
                <w:color w:val="000000"/>
                <w:sz w:val="20"/>
                <w:szCs w:val="20"/>
              </w:rPr>
            </w:pPr>
            <w:r>
              <w:rPr>
                <w:color w:val="000000"/>
                <w:sz w:val="20"/>
                <w:szCs w:val="20"/>
              </w:rPr>
              <w:t>21,45</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CACAF86">
            <w:pPr>
              <w:spacing w:after="0" w:line="240" w:lineRule="auto"/>
              <w:ind w:firstLine="0"/>
              <w:jc w:val="right"/>
              <w:rPr>
                <w:color w:val="000000"/>
                <w:sz w:val="20"/>
                <w:szCs w:val="20"/>
              </w:rPr>
            </w:pPr>
            <w:r>
              <w:rPr>
                <w:color w:val="000000"/>
                <w:sz w:val="20"/>
                <w:szCs w:val="20"/>
              </w:rPr>
              <w:t>20,21</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AC80F16">
            <w:pPr>
              <w:spacing w:after="0" w:line="240" w:lineRule="auto"/>
              <w:ind w:firstLine="0"/>
              <w:jc w:val="right"/>
              <w:rPr>
                <w:color w:val="000000"/>
                <w:sz w:val="20"/>
                <w:szCs w:val="20"/>
              </w:rPr>
            </w:pPr>
            <w:r>
              <w:rPr>
                <w:color w:val="000000"/>
                <w:sz w:val="20"/>
                <w:szCs w:val="20"/>
              </w:rPr>
              <w:t>19,02</w:t>
            </w:r>
          </w:p>
        </w:tc>
      </w:tr>
      <w:tr w14:paraId="191D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53D3056D">
            <w:pPr>
              <w:spacing w:after="0" w:line="240" w:lineRule="auto"/>
              <w:ind w:firstLine="0"/>
              <w:rPr>
                <w:color w:val="000000"/>
                <w:sz w:val="20"/>
                <w:szCs w:val="20"/>
              </w:rPr>
            </w:pPr>
            <w:r>
              <w:rPr>
                <w:color w:val="000000"/>
                <w:sz w:val="20"/>
                <w:szCs w:val="20"/>
              </w:rPr>
              <w:t>Подключенная тепловая нагрузка</w:t>
            </w:r>
          </w:p>
        </w:tc>
        <w:tc>
          <w:tcPr>
            <w:tcW w:w="360" w:type="pct"/>
            <w:shd w:val="clear" w:color="auto" w:fill="auto"/>
            <w:tcMar>
              <w:left w:w="28" w:type="dxa"/>
              <w:right w:w="28" w:type="dxa"/>
            </w:tcMar>
            <w:vAlign w:val="center"/>
          </w:tcPr>
          <w:p w14:paraId="49EE98E2">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7FD002C">
            <w:pPr>
              <w:spacing w:after="0" w:line="240" w:lineRule="auto"/>
              <w:ind w:firstLine="0"/>
              <w:jc w:val="right"/>
              <w:rPr>
                <w:color w:val="000000"/>
                <w:sz w:val="20"/>
                <w:szCs w:val="20"/>
              </w:rPr>
            </w:pPr>
            <w:r>
              <w:rPr>
                <w:color w:val="000000"/>
                <w:sz w:val="20"/>
                <w:szCs w:val="20"/>
              </w:rPr>
              <w:t>1,68</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D9A1188">
            <w:pPr>
              <w:spacing w:after="0" w:line="240" w:lineRule="auto"/>
              <w:ind w:firstLine="0"/>
              <w:jc w:val="right"/>
              <w:rPr>
                <w:color w:val="000000"/>
                <w:sz w:val="20"/>
                <w:szCs w:val="20"/>
              </w:rPr>
            </w:pPr>
            <w:r>
              <w:rPr>
                <w:color w:val="000000"/>
                <w:sz w:val="20"/>
                <w:szCs w:val="20"/>
              </w:rPr>
              <w:t>1,81</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2D8BDF8">
            <w:pPr>
              <w:spacing w:after="0" w:line="240" w:lineRule="auto"/>
              <w:ind w:firstLine="0"/>
              <w:jc w:val="right"/>
              <w:rPr>
                <w:color w:val="000000"/>
                <w:sz w:val="20"/>
                <w:szCs w:val="20"/>
              </w:rPr>
            </w:pPr>
            <w:r>
              <w:rPr>
                <w:color w:val="000000"/>
                <w:sz w:val="20"/>
                <w:szCs w:val="20"/>
              </w:rPr>
              <w:t>1,95</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3C912F2">
            <w:pPr>
              <w:spacing w:after="0" w:line="240" w:lineRule="auto"/>
              <w:ind w:firstLine="0"/>
              <w:jc w:val="right"/>
              <w:rPr>
                <w:color w:val="000000"/>
                <w:sz w:val="20"/>
                <w:szCs w:val="20"/>
              </w:rPr>
            </w:pPr>
            <w:r>
              <w:rPr>
                <w:color w:val="000000"/>
                <w:sz w:val="20"/>
                <w:szCs w:val="20"/>
              </w:rPr>
              <w:t>2,11</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AAE8EF0">
            <w:pPr>
              <w:spacing w:after="0" w:line="240" w:lineRule="auto"/>
              <w:ind w:firstLine="0"/>
              <w:jc w:val="right"/>
              <w:rPr>
                <w:color w:val="000000"/>
                <w:sz w:val="20"/>
                <w:szCs w:val="20"/>
              </w:rPr>
            </w:pPr>
            <w:r>
              <w:rPr>
                <w:color w:val="000000"/>
                <w:sz w:val="20"/>
                <w:szCs w:val="20"/>
              </w:rPr>
              <w:t>2,27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AADDB0F">
            <w:pPr>
              <w:spacing w:after="0" w:line="240" w:lineRule="auto"/>
              <w:ind w:firstLine="0"/>
              <w:jc w:val="right"/>
              <w:rPr>
                <w:color w:val="000000"/>
                <w:sz w:val="20"/>
                <w:szCs w:val="20"/>
              </w:rPr>
            </w:pPr>
            <w:r>
              <w:rPr>
                <w:color w:val="000000"/>
                <w:sz w:val="20"/>
                <w:szCs w:val="20"/>
              </w:rPr>
              <w:t>2,45</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EBCF761">
            <w:pPr>
              <w:spacing w:after="0" w:line="240" w:lineRule="auto"/>
              <w:ind w:firstLine="0"/>
              <w:jc w:val="right"/>
              <w:rPr>
                <w:color w:val="000000"/>
                <w:sz w:val="20"/>
                <w:szCs w:val="20"/>
              </w:rPr>
            </w:pPr>
            <w:r>
              <w:rPr>
                <w:color w:val="000000"/>
                <w:sz w:val="20"/>
                <w:szCs w:val="20"/>
              </w:rPr>
              <w:t>2,64</w:t>
            </w:r>
          </w:p>
        </w:tc>
      </w:tr>
      <w:tr w14:paraId="1FE0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21F083EB">
            <w:pPr>
              <w:spacing w:after="0" w:line="240" w:lineRule="auto"/>
              <w:ind w:firstLine="0"/>
              <w:rPr>
                <w:color w:val="000000"/>
                <w:sz w:val="20"/>
                <w:szCs w:val="20"/>
              </w:rPr>
            </w:pPr>
            <w:r>
              <w:rPr>
                <w:color w:val="000000"/>
                <w:sz w:val="20"/>
                <w:szCs w:val="20"/>
              </w:rPr>
              <w:t>Резерв (+)/ Дефицит (-) мощности</w:t>
            </w:r>
          </w:p>
        </w:tc>
        <w:tc>
          <w:tcPr>
            <w:tcW w:w="360" w:type="pct"/>
            <w:shd w:val="clear" w:color="auto" w:fill="auto"/>
            <w:tcMar>
              <w:left w:w="28" w:type="dxa"/>
              <w:right w:w="28" w:type="dxa"/>
            </w:tcMar>
            <w:vAlign w:val="center"/>
          </w:tcPr>
          <w:p w14:paraId="0C50211F">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1DBD37A">
            <w:pPr>
              <w:spacing w:after="0" w:line="240" w:lineRule="auto"/>
              <w:ind w:firstLine="0"/>
              <w:jc w:val="right"/>
              <w:rPr>
                <w:color w:val="000000"/>
                <w:sz w:val="20"/>
                <w:szCs w:val="20"/>
              </w:rPr>
            </w:pPr>
            <w:r>
              <w:rPr>
                <w:color w:val="000000"/>
                <w:sz w:val="20"/>
                <w:szCs w:val="20"/>
              </w:rPr>
              <w:t>9,87</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66F112F">
            <w:pPr>
              <w:spacing w:after="0" w:line="240" w:lineRule="auto"/>
              <w:ind w:firstLine="0"/>
              <w:jc w:val="right"/>
              <w:rPr>
                <w:color w:val="000000"/>
                <w:sz w:val="20"/>
                <w:szCs w:val="20"/>
              </w:rPr>
            </w:pPr>
            <w:r>
              <w:rPr>
                <w:color w:val="000000"/>
                <w:sz w:val="20"/>
                <w:szCs w:val="20"/>
              </w:rPr>
              <w:t>9,74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EC4D7BE">
            <w:pPr>
              <w:spacing w:after="0" w:line="240" w:lineRule="auto"/>
              <w:ind w:firstLine="0"/>
              <w:jc w:val="right"/>
              <w:rPr>
                <w:color w:val="000000"/>
                <w:sz w:val="20"/>
                <w:szCs w:val="20"/>
              </w:rPr>
            </w:pPr>
            <w:r>
              <w:rPr>
                <w:color w:val="000000"/>
                <w:sz w:val="20"/>
                <w:szCs w:val="20"/>
              </w:rPr>
              <w:t>9,60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D29D554">
            <w:pPr>
              <w:spacing w:after="0" w:line="240" w:lineRule="auto"/>
              <w:ind w:firstLine="0"/>
              <w:jc w:val="right"/>
              <w:rPr>
                <w:color w:val="000000"/>
                <w:sz w:val="20"/>
                <w:szCs w:val="20"/>
              </w:rPr>
            </w:pPr>
            <w:r>
              <w:rPr>
                <w:color w:val="000000"/>
                <w:sz w:val="20"/>
                <w:szCs w:val="20"/>
              </w:rPr>
              <w:t>9,44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121E6B3">
            <w:pPr>
              <w:spacing w:after="0" w:line="240" w:lineRule="auto"/>
              <w:ind w:firstLine="0"/>
              <w:jc w:val="right"/>
              <w:rPr>
                <w:color w:val="000000"/>
                <w:sz w:val="20"/>
                <w:szCs w:val="20"/>
              </w:rPr>
            </w:pPr>
            <w:r>
              <w:rPr>
                <w:color w:val="000000"/>
                <w:sz w:val="20"/>
                <w:szCs w:val="20"/>
              </w:rPr>
              <w:t>9,28</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6C55327">
            <w:pPr>
              <w:spacing w:after="0" w:line="240" w:lineRule="auto"/>
              <w:ind w:firstLine="0"/>
              <w:jc w:val="right"/>
              <w:rPr>
                <w:color w:val="000000"/>
                <w:sz w:val="20"/>
                <w:szCs w:val="20"/>
              </w:rPr>
            </w:pPr>
            <w:r>
              <w:rPr>
                <w:color w:val="000000"/>
                <w:sz w:val="20"/>
                <w:szCs w:val="20"/>
              </w:rPr>
              <w:t>9,10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463A6F9">
            <w:pPr>
              <w:spacing w:after="0" w:line="240" w:lineRule="auto"/>
              <w:ind w:firstLine="0"/>
              <w:jc w:val="right"/>
              <w:rPr>
                <w:color w:val="000000"/>
                <w:sz w:val="20"/>
                <w:szCs w:val="20"/>
              </w:rPr>
            </w:pPr>
            <w:r>
              <w:rPr>
                <w:color w:val="000000"/>
                <w:sz w:val="20"/>
                <w:szCs w:val="20"/>
              </w:rPr>
              <w:t>8,91</w:t>
            </w:r>
          </w:p>
        </w:tc>
      </w:tr>
      <w:tr w14:paraId="3CAC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2D6B6285">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5FED5D3A">
            <w:pPr>
              <w:spacing w:after="0" w:line="240" w:lineRule="auto"/>
              <w:ind w:firstLine="0"/>
              <w:jc w:val="center"/>
              <w:rPr>
                <w:color w:val="000000"/>
                <w:sz w:val="20"/>
                <w:szCs w:val="20"/>
              </w:rPr>
            </w:pPr>
            <w:r>
              <w:rPr>
                <w:color w:val="000000"/>
                <w:sz w:val="20"/>
                <w:szCs w:val="20"/>
              </w:rPr>
              <w:t>%</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248EA19">
            <w:pPr>
              <w:spacing w:after="0" w:line="240" w:lineRule="auto"/>
              <w:ind w:firstLine="0"/>
              <w:jc w:val="right"/>
              <w:rPr>
                <w:color w:val="000000"/>
                <w:sz w:val="20"/>
                <w:szCs w:val="20"/>
              </w:rPr>
            </w:pPr>
            <w:r>
              <w:rPr>
                <w:color w:val="000000"/>
                <w:sz w:val="20"/>
                <w:szCs w:val="20"/>
              </w:rPr>
              <w:t>81,10</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8940536">
            <w:pPr>
              <w:spacing w:after="0" w:line="240" w:lineRule="auto"/>
              <w:ind w:firstLine="0"/>
              <w:jc w:val="right"/>
              <w:rPr>
                <w:color w:val="000000"/>
                <w:sz w:val="20"/>
                <w:szCs w:val="20"/>
              </w:rPr>
            </w:pPr>
            <w:r>
              <w:rPr>
                <w:color w:val="000000"/>
                <w:sz w:val="20"/>
                <w:szCs w:val="20"/>
              </w:rPr>
              <w:t>80,02</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163045A">
            <w:pPr>
              <w:spacing w:after="0" w:line="240" w:lineRule="auto"/>
              <w:ind w:firstLine="0"/>
              <w:jc w:val="right"/>
              <w:rPr>
                <w:color w:val="000000"/>
                <w:sz w:val="20"/>
                <w:szCs w:val="20"/>
              </w:rPr>
            </w:pPr>
            <w:r>
              <w:rPr>
                <w:color w:val="000000"/>
                <w:sz w:val="20"/>
                <w:szCs w:val="20"/>
              </w:rPr>
              <w:t>78,86</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20EE522">
            <w:pPr>
              <w:spacing w:after="0" w:line="240" w:lineRule="auto"/>
              <w:ind w:firstLine="0"/>
              <w:jc w:val="right"/>
              <w:rPr>
                <w:color w:val="000000"/>
                <w:sz w:val="20"/>
                <w:szCs w:val="20"/>
              </w:rPr>
            </w:pPr>
            <w:r>
              <w:rPr>
                <w:color w:val="000000"/>
                <w:sz w:val="20"/>
                <w:szCs w:val="20"/>
              </w:rPr>
              <w:t>77,60</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4347651">
            <w:pPr>
              <w:spacing w:after="0" w:line="240" w:lineRule="auto"/>
              <w:ind w:firstLine="0"/>
              <w:jc w:val="right"/>
              <w:rPr>
                <w:color w:val="000000"/>
                <w:sz w:val="20"/>
                <w:szCs w:val="20"/>
              </w:rPr>
            </w:pPr>
            <w:r>
              <w:rPr>
                <w:color w:val="000000"/>
                <w:sz w:val="20"/>
                <w:szCs w:val="20"/>
              </w:rPr>
              <w:t>76,25</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0633777">
            <w:pPr>
              <w:spacing w:after="0" w:line="240" w:lineRule="auto"/>
              <w:ind w:firstLine="0"/>
              <w:jc w:val="right"/>
              <w:rPr>
                <w:color w:val="000000"/>
                <w:sz w:val="20"/>
                <w:szCs w:val="20"/>
              </w:rPr>
            </w:pPr>
            <w:r>
              <w:rPr>
                <w:color w:val="000000"/>
                <w:sz w:val="20"/>
                <w:szCs w:val="20"/>
              </w:rPr>
              <w:t>74,79</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46BC5F0">
            <w:pPr>
              <w:spacing w:after="0" w:line="240" w:lineRule="auto"/>
              <w:ind w:firstLine="0"/>
              <w:jc w:val="right"/>
              <w:rPr>
                <w:color w:val="000000"/>
                <w:sz w:val="20"/>
                <w:szCs w:val="20"/>
              </w:rPr>
            </w:pPr>
            <w:r>
              <w:rPr>
                <w:color w:val="000000"/>
                <w:sz w:val="20"/>
                <w:szCs w:val="20"/>
              </w:rPr>
              <w:t>73,22</w:t>
            </w:r>
          </w:p>
        </w:tc>
      </w:tr>
      <w:tr w14:paraId="53D3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noWrap/>
            <w:tcMar>
              <w:left w:w="28" w:type="dxa"/>
              <w:right w:w="28" w:type="dxa"/>
            </w:tcMar>
            <w:vAlign w:val="center"/>
          </w:tcPr>
          <w:p w14:paraId="08939C93">
            <w:pPr>
              <w:spacing w:after="0" w:line="240" w:lineRule="auto"/>
              <w:ind w:firstLine="0"/>
              <w:jc w:val="center"/>
              <w:rPr>
                <w:color w:val="000000"/>
                <w:sz w:val="20"/>
                <w:szCs w:val="20"/>
              </w:rPr>
            </w:pPr>
            <w:r>
              <w:rPr>
                <w:color w:val="000000"/>
                <w:sz w:val="20"/>
                <w:szCs w:val="20"/>
              </w:rPr>
              <w:t>Итого по с.п. Верхнеказымский</w:t>
            </w:r>
          </w:p>
        </w:tc>
        <w:tc>
          <w:tcPr>
            <w:tcW w:w="360" w:type="pct"/>
            <w:shd w:val="clear" w:color="auto" w:fill="auto"/>
            <w:noWrap/>
            <w:tcMar>
              <w:left w:w="28" w:type="dxa"/>
              <w:right w:w="28" w:type="dxa"/>
            </w:tcMar>
            <w:vAlign w:val="center"/>
          </w:tcPr>
          <w:p w14:paraId="1356F623">
            <w:pPr>
              <w:spacing w:after="0" w:line="240" w:lineRule="auto"/>
              <w:ind w:firstLine="0"/>
              <w:rPr>
                <w:color w:val="000000"/>
                <w:sz w:val="20"/>
                <w:szCs w:val="20"/>
              </w:rPr>
            </w:pPr>
            <w:r>
              <w:rPr>
                <w:color w:val="000000"/>
                <w:sz w:val="20"/>
                <w:szCs w:val="20"/>
              </w:rPr>
              <w:t> </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64CEF31">
            <w:pPr>
              <w:spacing w:after="0" w:line="240" w:lineRule="auto"/>
              <w:ind w:firstLine="0"/>
              <w:rPr>
                <w:color w:val="000000"/>
                <w:sz w:val="20"/>
                <w:szCs w:val="20"/>
              </w:rPr>
            </w:pPr>
            <w:r>
              <w:rPr>
                <w:color w:val="000000"/>
                <w:sz w:val="20"/>
                <w:szCs w:val="20"/>
              </w:rPr>
              <w:t> </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79A21EC">
            <w:pPr>
              <w:spacing w:after="0" w:line="240" w:lineRule="auto"/>
              <w:ind w:firstLine="0"/>
              <w:rPr>
                <w:color w:val="000000"/>
                <w:sz w:val="20"/>
                <w:szCs w:val="20"/>
              </w:rPr>
            </w:pPr>
            <w:r>
              <w:rPr>
                <w:color w:val="000000"/>
                <w:sz w:val="20"/>
                <w:szCs w:val="20"/>
              </w:rPr>
              <w:t> </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CF02EA8">
            <w:pPr>
              <w:spacing w:after="0" w:line="240" w:lineRule="auto"/>
              <w:ind w:firstLine="0"/>
              <w:rPr>
                <w:color w:val="000000"/>
                <w:sz w:val="20"/>
                <w:szCs w:val="20"/>
              </w:rPr>
            </w:pPr>
            <w:r>
              <w:rPr>
                <w:color w:val="000000"/>
                <w:sz w:val="20"/>
                <w:szCs w:val="20"/>
              </w:rPr>
              <w:t> </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EEECB8D">
            <w:pPr>
              <w:spacing w:after="0" w:line="240" w:lineRule="auto"/>
              <w:ind w:firstLine="0"/>
              <w:rPr>
                <w:color w:val="000000"/>
                <w:sz w:val="20"/>
                <w:szCs w:val="20"/>
              </w:rPr>
            </w:pPr>
            <w:r>
              <w:rPr>
                <w:color w:val="000000"/>
                <w:sz w:val="20"/>
                <w:szCs w:val="20"/>
              </w:rPr>
              <w:t> </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B957387">
            <w:pPr>
              <w:spacing w:after="0" w:line="240" w:lineRule="auto"/>
              <w:ind w:firstLine="0"/>
              <w:rPr>
                <w:color w:val="000000"/>
                <w:sz w:val="20"/>
                <w:szCs w:val="20"/>
              </w:rPr>
            </w:pPr>
            <w:r>
              <w:rPr>
                <w:color w:val="000000"/>
                <w:sz w:val="20"/>
                <w:szCs w:val="20"/>
              </w:rPr>
              <w:t> </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5050FDA">
            <w:pPr>
              <w:spacing w:after="0" w:line="240" w:lineRule="auto"/>
              <w:ind w:firstLine="0"/>
              <w:rPr>
                <w:color w:val="000000"/>
                <w:sz w:val="20"/>
                <w:szCs w:val="20"/>
              </w:rPr>
            </w:pPr>
            <w:r>
              <w:rPr>
                <w:color w:val="000000"/>
                <w:sz w:val="20"/>
                <w:szCs w:val="20"/>
              </w:rPr>
              <w:t> </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63585E0">
            <w:pPr>
              <w:spacing w:after="0" w:line="240" w:lineRule="auto"/>
              <w:ind w:firstLine="0"/>
              <w:rPr>
                <w:color w:val="000000"/>
                <w:sz w:val="20"/>
                <w:szCs w:val="20"/>
              </w:rPr>
            </w:pPr>
            <w:r>
              <w:rPr>
                <w:color w:val="000000"/>
                <w:sz w:val="20"/>
                <w:szCs w:val="20"/>
              </w:rPr>
              <w:t> </w:t>
            </w:r>
          </w:p>
        </w:tc>
      </w:tr>
      <w:tr w14:paraId="53BE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0139AD3F">
            <w:pPr>
              <w:spacing w:after="0" w:line="240" w:lineRule="auto"/>
              <w:ind w:firstLine="0"/>
              <w:rPr>
                <w:color w:val="000000"/>
                <w:sz w:val="20"/>
                <w:szCs w:val="20"/>
              </w:rPr>
            </w:pPr>
            <w:r>
              <w:rPr>
                <w:color w:val="000000"/>
                <w:sz w:val="20"/>
                <w:szCs w:val="20"/>
              </w:rPr>
              <w:t>Установленная тепловая мощность</w:t>
            </w:r>
          </w:p>
        </w:tc>
        <w:tc>
          <w:tcPr>
            <w:tcW w:w="360" w:type="pct"/>
            <w:shd w:val="clear" w:color="auto" w:fill="auto"/>
            <w:tcMar>
              <w:left w:w="28" w:type="dxa"/>
              <w:right w:w="28" w:type="dxa"/>
            </w:tcMar>
            <w:vAlign w:val="center"/>
          </w:tcPr>
          <w:p w14:paraId="0FF23443">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424B969">
            <w:pPr>
              <w:spacing w:after="0" w:line="240" w:lineRule="auto"/>
              <w:ind w:firstLine="0"/>
              <w:jc w:val="right"/>
              <w:rPr>
                <w:color w:val="000000"/>
                <w:sz w:val="20"/>
                <w:szCs w:val="20"/>
              </w:rPr>
            </w:pPr>
            <w:r>
              <w:rPr>
                <w:color w:val="000000"/>
                <w:sz w:val="20"/>
                <w:szCs w:val="20"/>
              </w:rPr>
              <w:t>53,74</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8BEAFE2">
            <w:pPr>
              <w:spacing w:after="0" w:line="240" w:lineRule="auto"/>
              <w:ind w:firstLine="0"/>
              <w:jc w:val="right"/>
              <w:rPr>
                <w:color w:val="000000"/>
                <w:sz w:val="20"/>
                <w:szCs w:val="20"/>
              </w:rPr>
            </w:pPr>
            <w:r>
              <w:rPr>
                <w:color w:val="000000"/>
                <w:sz w:val="20"/>
                <w:szCs w:val="20"/>
              </w:rPr>
              <w:t>53,74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E939AED">
            <w:pPr>
              <w:spacing w:after="0" w:line="240" w:lineRule="auto"/>
              <w:ind w:firstLine="0"/>
              <w:jc w:val="right"/>
              <w:rPr>
                <w:color w:val="000000"/>
                <w:sz w:val="20"/>
                <w:szCs w:val="20"/>
              </w:rPr>
            </w:pPr>
            <w:r>
              <w:rPr>
                <w:color w:val="000000"/>
                <w:sz w:val="20"/>
                <w:szCs w:val="20"/>
              </w:rPr>
              <w:t>53,74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EC50CF4">
            <w:pPr>
              <w:spacing w:after="0" w:line="240" w:lineRule="auto"/>
              <w:ind w:firstLine="0"/>
              <w:jc w:val="right"/>
              <w:rPr>
                <w:color w:val="000000"/>
                <w:sz w:val="20"/>
                <w:szCs w:val="20"/>
              </w:rPr>
            </w:pPr>
            <w:r>
              <w:rPr>
                <w:color w:val="000000"/>
                <w:sz w:val="20"/>
                <w:szCs w:val="20"/>
              </w:rPr>
              <w:t>53,74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805B05E">
            <w:pPr>
              <w:spacing w:after="0" w:line="240" w:lineRule="auto"/>
              <w:ind w:firstLine="0"/>
              <w:jc w:val="right"/>
              <w:rPr>
                <w:color w:val="000000"/>
                <w:sz w:val="20"/>
                <w:szCs w:val="20"/>
              </w:rPr>
            </w:pPr>
            <w:r>
              <w:rPr>
                <w:color w:val="000000"/>
                <w:sz w:val="20"/>
                <w:szCs w:val="20"/>
              </w:rPr>
              <w:t>53,74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92BA704">
            <w:pPr>
              <w:spacing w:after="0" w:line="240" w:lineRule="auto"/>
              <w:ind w:firstLine="0"/>
              <w:jc w:val="right"/>
              <w:rPr>
                <w:color w:val="000000"/>
                <w:sz w:val="20"/>
                <w:szCs w:val="20"/>
              </w:rPr>
            </w:pPr>
            <w:r>
              <w:rPr>
                <w:color w:val="000000"/>
                <w:sz w:val="20"/>
                <w:szCs w:val="20"/>
              </w:rPr>
              <w:t>53,74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3B45375">
            <w:pPr>
              <w:spacing w:after="0" w:line="240" w:lineRule="auto"/>
              <w:ind w:firstLine="0"/>
              <w:jc w:val="right"/>
              <w:rPr>
                <w:color w:val="000000"/>
                <w:sz w:val="20"/>
                <w:szCs w:val="20"/>
              </w:rPr>
            </w:pPr>
            <w:r>
              <w:rPr>
                <w:color w:val="000000"/>
                <w:sz w:val="20"/>
                <w:szCs w:val="20"/>
              </w:rPr>
              <w:t>53,74</w:t>
            </w:r>
          </w:p>
        </w:tc>
      </w:tr>
      <w:tr w14:paraId="1981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0D511BFD">
            <w:pPr>
              <w:spacing w:after="0" w:line="240" w:lineRule="auto"/>
              <w:ind w:firstLine="0"/>
              <w:rPr>
                <w:color w:val="000000"/>
                <w:sz w:val="20"/>
                <w:szCs w:val="20"/>
              </w:rPr>
            </w:pPr>
            <w:r>
              <w:rPr>
                <w:color w:val="000000"/>
                <w:sz w:val="20"/>
                <w:szCs w:val="20"/>
              </w:rPr>
              <w:t>Располагаемая тепловая мощность</w:t>
            </w:r>
          </w:p>
        </w:tc>
        <w:tc>
          <w:tcPr>
            <w:tcW w:w="360" w:type="pct"/>
            <w:shd w:val="clear" w:color="auto" w:fill="auto"/>
            <w:tcMar>
              <w:left w:w="28" w:type="dxa"/>
              <w:right w:w="28" w:type="dxa"/>
            </w:tcMar>
            <w:vAlign w:val="center"/>
          </w:tcPr>
          <w:p w14:paraId="1B49CD83">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A8BFF23">
            <w:pPr>
              <w:spacing w:after="0" w:line="240" w:lineRule="auto"/>
              <w:ind w:firstLine="0"/>
              <w:jc w:val="right"/>
              <w:rPr>
                <w:color w:val="000000"/>
                <w:sz w:val="20"/>
                <w:szCs w:val="20"/>
              </w:rPr>
            </w:pPr>
            <w:r>
              <w:rPr>
                <w:color w:val="000000"/>
                <w:sz w:val="20"/>
                <w:szCs w:val="20"/>
              </w:rPr>
              <w:t>35,40</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515B99A">
            <w:pPr>
              <w:spacing w:after="0" w:line="240" w:lineRule="auto"/>
              <w:ind w:firstLine="0"/>
              <w:jc w:val="right"/>
              <w:rPr>
                <w:color w:val="000000"/>
                <w:sz w:val="20"/>
                <w:szCs w:val="20"/>
              </w:rPr>
            </w:pPr>
            <w:r>
              <w:rPr>
                <w:color w:val="000000"/>
                <w:sz w:val="20"/>
                <w:szCs w:val="20"/>
              </w:rPr>
              <w:t>35,40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DE86B52">
            <w:pPr>
              <w:spacing w:after="0" w:line="240" w:lineRule="auto"/>
              <w:ind w:firstLine="0"/>
              <w:jc w:val="right"/>
              <w:rPr>
                <w:color w:val="000000"/>
                <w:sz w:val="20"/>
                <w:szCs w:val="20"/>
              </w:rPr>
            </w:pPr>
            <w:r>
              <w:rPr>
                <w:color w:val="000000"/>
                <w:sz w:val="20"/>
                <w:szCs w:val="20"/>
              </w:rPr>
              <w:t>35,40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DBFD64C">
            <w:pPr>
              <w:spacing w:after="0" w:line="240" w:lineRule="auto"/>
              <w:ind w:firstLine="0"/>
              <w:jc w:val="right"/>
              <w:rPr>
                <w:color w:val="000000"/>
                <w:sz w:val="20"/>
                <w:szCs w:val="20"/>
              </w:rPr>
            </w:pPr>
            <w:r>
              <w:rPr>
                <w:color w:val="000000"/>
                <w:sz w:val="20"/>
                <w:szCs w:val="20"/>
              </w:rPr>
              <w:t>35,40</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0142F99">
            <w:pPr>
              <w:spacing w:after="0" w:line="240" w:lineRule="auto"/>
              <w:ind w:firstLine="0"/>
              <w:jc w:val="right"/>
              <w:rPr>
                <w:color w:val="000000"/>
                <w:sz w:val="20"/>
                <w:szCs w:val="20"/>
              </w:rPr>
            </w:pPr>
            <w:r>
              <w:rPr>
                <w:color w:val="000000"/>
                <w:sz w:val="20"/>
                <w:szCs w:val="20"/>
              </w:rPr>
              <w:t>35,40</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A9DD574">
            <w:pPr>
              <w:spacing w:after="0" w:line="240" w:lineRule="auto"/>
              <w:ind w:firstLine="0"/>
              <w:jc w:val="right"/>
              <w:rPr>
                <w:color w:val="000000"/>
                <w:sz w:val="20"/>
                <w:szCs w:val="20"/>
              </w:rPr>
            </w:pPr>
            <w:r>
              <w:rPr>
                <w:color w:val="000000"/>
                <w:sz w:val="20"/>
                <w:szCs w:val="20"/>
              </w:rPr>
              <w:t>35,40</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1716575">
            <w:pPr>
              <w:spacing w:after="0" w:line="240" w:lineRule="auto"/>
              <w:ind w:firstLine="0"/>
              <w:jc w:val="right"/>
              <w:rPr>
                <w:color w:val="000000"/>
                <w:sz w:val="20"/>
                <w:szCs w:val="20"/>
              </w:rPr>
            </w:pPr>
            <w:r>
              <w:rPr>
                <w:color w:val="000000"/>
                <w:sz w:val="20"/>
                <w:szCs w:val="20"/>
              </w:rPr>
              <w:t>35,40</w:t>
            </w:r>
          </w:p>
        </w:tc>
      </w:tr>
      <w:tr w14:paraId="7135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7A9CDDC4">
            <w:pPr>
              <w:spacing w:after="0" w:line="240" w:lineRule="auto"/>
              <w:ind w:firstLine="0"/>
              <w:rPr>
                <w:color w:val="000000"/>
                <w:sz w:val="20"/>
                <w:szCs w:val="20"/>
              </w:rPr>
            </w:pPr>
            <w:r>
              <w:rPr>
                <w:color w:val="000000"/>
                <w:sz w:val="20"/>
                <w:szCs w:val="20"/>
              </w:rPr>
              <w:t>Ограничение тепловой мощности</w:t>
            </w:r>
          </w:p>
        </w:tc>
        <w:tc>
          <w:tcPr>
            <w:tcW w:w="360" w:type="pct"/>
            <w:shd w:val="clear" w:color="auto" w:fill="auto"/>
            <w:tcMar>
              <w:left w:w="28" w:type="dxa"/>
              <w:right w:w="28" w:type="dxa"/>
            </w:tcMar>
            <w:vAlign w:val="center"/>
          </w:tcPr>
          <w:p w14:paraId="29DBE899">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23552B2">
            <w:pPr>
              <w:spacing w:after="0" w:line="240" w:lineRule="auto"/>
              <w:ind w:firstLine="0"/>
              <w:jc w:val="right"/>
              <w:rPr>
                <w:color w:val="000000"/>
                <w:sz w:val="20"/>
                <w:szCs w:val="20"/>
              </w:rPr>
            </w:pPr>
            <w:r>
              <w:rPr>
                <w:color w:val="000000"/>
                <w:sz w:val="20"/>
                <w:szCs w:val="20"/>
              </w:rPr>
              <w:t>65,87</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806E80E">
            <w:pPr>
              <w:spacing w:after="0" w:line="240" w:lineRule="auto"/>
              <w:ind w:firstLine="0"/>
              <w:jc w:val="right"/>
              <w:rPr>
                <w:color w:val="000000"/>
                <w:sz w:val="20"/>
                <w:szCs w:val="20"/>
              </w:rPr>
            </w:pPr>
            <w:r>
              <w:rPr>
                <w:color w:val="000000"/>
                <w:sz w:val="20"/>
                <w:szCs w:val="20"/>
              </w:rPr>
              <w:t>65,87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EB1E9A2">
            <w:pPr>
              <w:spacing w:after="0" w:line="240" w:lineRule="auto"/>
              <w:ind w:firstLine="0"/>
              <w:jc w:val="right"/>
              <w:rPr>
                <w:color w:val="000000"/>
                <w:sz w:val="20"/>
                <w:szCs w:val="20"/>
              </w:rPr>
            </w:pPr>
            <w:r>
              <w:rPr>
                <w:color w:val="000000"/>
                <w:sz w:val="20"/>
                <w:szCs w:val="20"/>
              </w:rPr>
              <w:t>65,87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1AFEB8A">
            <w:pPr>
              <w:spacing w:after="0" w:line="240" w:lineRule="auto"/>
              <w:ind w:firstLine="0"/>
              <w:jc w:val="right"/>
              <w:rPr>
                <w:color w:val="000000"/>
                <w:sz w:val="20"/>
                <w:szCs w:val="20"/>
              </w:rPr>
            </w:pPr>
            <w:r>
              <w:rPr>
                <w:color w:val="000000"/>
                <w:sz w:val="20"/>
                <w:szCs w:val="20"/>
              </w:rPr>
              <w:t>65,87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E5AB71E">
            <w:pPr>
              <w:spacing w:after="0" w:line="240" w:lineRule="auto"/>
              <w:ind w:firstLine="0"/>
              <w:jc w:val="right"/>
              <w:rPr>
                <w:color w:val="000000"/>
                <w:sz w:val="20"/>
                <w:szCs w:val="20"/>
              </w:rPr>
            </w:pPr>
            <w:r>
              <w:rPr>
                <w:color w:val="000000"/>
                <w:sz w:val="20"/>
                <w:szCs w:val="20"/>
              </w:rPr>
              <w:t>65,87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628E655">
            <w:pPr>
              <w:spacing w:after="0" w:line="240" w:lineRule="auto"/>
              <w:ind w:firstLine="0"/>
              <w:jc w:val="right"/>
              <w:rPr>
                <w:color w:val="000000"/>
                <w:sz w:val="20"/>
                <w:szCs w:val="20"/>
              </w:rPr>
            </w:pPr>
            <w:r>
              <w:rPr>
                <w:color w:val="000000"/>
                <w:sz w:val="20"/>
                <w:szCs w:val="20"/>
              </w:rPr>
              <w:t>65,87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1169A38">
            <w:pPr>
              <w:spacing w:after="0" w:line="240" w:lineRule="auto"/>
              <w:ind w:firstLine="0"/>
              <w:jc w:val="right"/>
              <w:rPr>
                <w:color w:val="000000"/>
                <w:sz w:val="20"/>
                <w:szCs w:val="20"/>
              </w:rPr>
            </w:pPr>
            <w:r>
              <w:rPr>
                <w:color w:val="000000"/>
                <w:sz w:val="20"/>
                <w:szCs w:val="20"/>
              </w:rPr>
              <w:t>65,87</w:t>
            </w:r>
          </w:p>
        </w:tc>
      </w:tr>
      <w:tr w14:paraId="301C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6EE846DE">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43E837ED">
            <w:pPr>
              <w:spacing w:after="0" w:line="240" w:lineRule="auto"/>
              <w:ind w:firstLine="0"/>
              <w:jc w:val="center"/>
              <w:rPr>
                <w:color w:val="000000"/>
                <w:sz w:val="20"/>
                <w:szCs w:val="20"/>
              </w:rPr>
            </w:pPr>
            <w:r>
              <w:rPr>
                <w:color w:val="000000"/>
                <w:sz w:val="20"/>
                <w:szCs w:val="20"/>
              </w:rPr>
              <w:t>%</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E465835">
            <w:pPr>
              <w:spacing w:after="0" w:line="240" w:lineRule="auto"/>
              <w:ind w:firstLine="0"/>
              <w:jc w:val="right"/>
              <w:rPr>
                <w:color w:val="000000"/>
                <w:sz w:val="20"/>
                <w:szCs w:val="20"/>
              </w:rPr>
            </w:pPr>
            <w:r>
              <w:rPr>
                <w:color w:val="000000"/>
                <w:sz w:val="20"/>
                <w:szCs w:val="20"/>
              </w:rPr>
              <w:t>18,34</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5DC56CF">
            <w:pPr>
              <w:spacing w:after="0" w:line="240" w:lineRule="auto"/>
              <w:ind w:firstLine="0"/>
              <w:jc w:val="right"/>
              <w:rPr>
                <w:color w:val="000000"/>
                <w:sz w:val="20"/>
                <w:szCs w:val="20"/>
              </w:rPr>
            </w:pPr>
            <w:r>
              <w:rPr>
                <w:color w:val="000000"/>
                <w:sz w:val="20"/>
                <w:szCs w:val="20"/>
              </w:rPr>
              <w:t>18,34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A5D83E4">
            <w:pPr>
              <w:spacing w:after="0" w:line="240" w:lineRule="auto"/>
              <w:ind w:firstLine="0"/>
              <w:jc w:val="right"/>
              <w:rPr>
                <w:color w:val="000000"/>
                <w:sz w:val="20"/>
                <w:szCs w:val="20"/>
              </w:rPr>
            </w:pPr>
            <w:r>
              <w:rPr>
                <w:color w:val="000000"/>
                <w:sz w:val="20"/>
                <w:szCs w:val="20"/>
              </w:rPr>
              <w:t>18,34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3E1AB22">
            <w:pPr>
              <w:spacing w:after="0" w:line="240" w:lineRule="auto"/>
              <w:ind w:firstLine="0"/>
              <w:jc w:val="right"/>
              <w:rPr>
                <w:color w:val="000000"/>
                <w:sz w:val="20"/>
                <w:szCs w:val="20"/>
              </w:rPr>
            </w:pPr>
            <w:r>
              <w:rPr>
                <w:color w:val="000000"/>
                <w:sz w:val="20"/>
                <w:szCs w:val="20"/>
              </w:rPr>
              <w:t>18,34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533A28B">
            <w:pPr>
              <w:spacing w:after="0" w:line="240" w:lineRule="auto"/>
              <w:ind w:firstLine="0"/>
              <w:jc w:val="right"/>
              <w:rPr>
                <w:color w:val="000000"/>
                <w:sz w:val="20"/>
                <w:szCs w:val="20"/>
              </w:rPr>
            </w:pPr>
            <w:r>
              <w:rPr>
                <w:color w:val="000000"/>
                <w:sz w:val="20"/>
                <w:szCs w:val="20"/>
              </w:rPr>
              <w:t>18,34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0C1777F">
            <w:pPr>
              <w:spacing w:after="0" w:line="240" w:lineRule="auto"/>
              <w:ind w:firstLine="0"/>
              <w:jc w:val="right"/>
              <w:rPr>
                <w:color w:val="000000"/>
                <w:sz w:val="20"/>
                <w:szCs w:val="20"/>
              </w:rPr>
            </w:pPr>
            <w:r>
              <w:rPr>
                <w:color w:val="000000"/>
                <w:sz w:val="20"/>
                <w:szCs w:val="20"/>
              </w:rPr>
              <w:t>18,34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2BAEF83">
            <w:pPr>
              <w:spacing w:after="0" w:line="240" w:lineRule="auto"/>
              <w:ind w:firstLine="0"/>
              <w:jc w:val="right"/>
              <w:rPr>
                <w:color w:val="000000"/>
                <w:sz w:val="20"/>
                <w:szCs w:val="20"/>
              </w:rPr>
            </w:pPr>
            <w:r>
              <w:rPr>
                <w:color w:val="000000"/>
                <w:sz w:val="20"/>
                <w:szCs w:val="20"/>
              </w:rPr>
              <w:t>18,34</w:t>
            </w:r>
          </w:p>
        </w:tc>
      </w:tr>
      <w:tr w14:paraId="2872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584F0326">
            <w:pPr>
              <w:spacing w:after="0" w:line="240" w:lineRule="auto"/>
              <w:ind w:firstLine="0"/>
              <w:rPr>
                <w:color w:val="000000"/>
                <w:sz w:val="20"/>
                <w:szCs w:val="20"/>
              </w:rPr>
            </w:pPr>
            <w:r>
              <w:rPr>
                <w:color w:val="000000"/>
                <w:sz w:val="20"/>
                <w:szCs w:val="20"/>
              </w:rPr>
              <w:t>Собственные и хозяйственные нужды</w:t>
            </w:r>
          </w:p>
        </w:tc>
        <w:tc>
          <w:tcPr>
            <w:tcW w:w="360" w:type="pct"/>
            <w:shd w:val="clear" w:color="auto" w:fill="auto"/>
            <w:tcMar>
              <w:left w:w="28" w:type="dxa"/>
              <w:right w:w="28" w:type="dxa"/>
            </w:tcMar>
            <w:vAlign w:val="center"/>
          </w:tcPr>
          <w:p w14:paraId="17F46070">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432F2FB7">
            <w:pPr>
              <w:spacing w:after="0" w:line="240" w:lineRule="auto"/>
              <w:ind w:firstLine="0"/>
              <w:jc w:val="right"/>
              <w:rPr>
                <w:color w:val="000000"/>
                <w:sz w:val="20"/>
                <w:szCs w:val="20"/>
              </w:rPr>
            </w:pPr>
            <w:r>
              <w:rPr>
                <w:color w:val="000000"/>
                <w:sz w:val="20"/>
                <w:szCs w:val="20"/>
              </w:rPr>
              <w:t>0,36</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E9821B7">
            <w:pPr>
              <w:spacing w:after="0" w:line="240" w:lineRule="auto"/>
              <w:ind w:firstLine="0"/>
              <w:jc w:val="right"/>
              <w:rPr>
                <w:color w:val="000000"/>
                <w:sz w:val="20"/>
                <w:szCs w:val="20"/>
              </w:rPr>
            </w:pPr>
            <w:r>
              <w:rPr>
                <w:color w:val="000000"/>
                <w:sz w:val="20"/>
                <w:szCs w:val="20"/>
              </w:rPr>
              <w:t>0,36</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67DBB42">
            <w:pPr>
              <w:spacing w:after="0" w:line="240" w:lineRule="auto"/>
              <w:ind w:firstLine="0"/>
              <w:jc w:val="right"/>
              <w:rPr>
                <w:color w:val="000000"/>
                <w:sz w:val="20"/>
                <w:szCs w:val="20"/>
              </w:rPr>
            </w:pPr>
            <w:r>
              <w:rPr>
                <w:color w:val="000000"/>
                <w:sz w:val="20"/>
                <w:szCs w:val="20"/>
              </w:rPr>
              <w:t>0,36</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E096BA9">
            <w:pPr>
              <w:spacing w:after="0" w:line="240" w:lineRule="auto"/>
              <w:ind w:firstLine="0"/>
              <w:jc w:val="right"/>
              <w:rPr>
                <w:color w:val="000000"/>
                <w:sz w:val="20"/>
                <w:szCs w:val="20"/>
              </w:rPr>
            </w:pPr>
            <w:r>
              <w:rPr>
                <w:color w:val="000000"/>
                <w:sz w:val="20"/>
                <w:szCs w:val="20"/>
              </w:rPr>
              <w:t>0,36</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E4251F2">
            <w:pPr>
              <w:spacing w:after="0" w:line="240" w:lineRule="auto"/>
              <w:ind w:firstLine="0"/>
              <w:jc w:val="right"/>
              <w:rPr>
                <w:color w:val="000000"/>
                <w:sz w:val="20"/>
                <w:szCs w:val="20"/>
              </w:rPr>
            </w:pPr>
            <w:r>
              <w:rPr>
                <w:color w:val="000000"/>
                <w:sz w:val="20"/>
                <w:szCs w:val="20"/>
              </w:rPr>
              <w:t>0,36</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C126C2F">
            <w:pPr>
              <w:spacing w:after="0" w:line="240" w:lineRule="auto"/>
              <w:ind w:firstLine="0"/>
              <w:jc w:val="right"/>
              <w:rPr>
                <w:color w:val="000000"/>
                <w:sz w:val="20"/>
                <w:szCs w:val="20"/>
              </w:rPr>
            </w:pPr>
            <w:r>
              <w:rPr>
                <w:color w:val="000000"/>
                <w:sz w:val="20"/>
                <w:szCs w:val="20"/>
              </w:rPr>
              <w:t>0,36</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C9BDF10">
            <w:pPr>
              <w:spacing w:after="0" w:line="240" w:lineRule="auto"/>
              <w:ind w:firstLine="0"/>
              <w:jc w:val="right"/>
              <w:rPr>
                <w:color w:val="000000"/>
                <w:sz w:val="20"/>
                <w:szCs w:val="20"/>
              </w:rPr>
            </w:pPr>
            <w:r>
              <w:rPr>
                <w:color w:val="000000"/>
                <w:sz w:val="20"/>
                <w:szCs w:val="20"/>
              </w:rPr>
              <w:t>0,36</w:t>
            </w:r>
          </w:p>
        </w:tc>
      </w:tr>
      <w:tr w14:paraId="043B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1DEC4698">
            <w:pPr>
              <w:spacing w:after="0" w:line="240" w:lineRule="auto"/>
              <w:ind w:firstLine="0"/>
              <w:rPr>
                <w:color w:val="000000"/>
                <w:sz w:val="20"/>
                <w:szCs w:val="20"/>
              </w:rPr>
            </w:pPr>
            <w:r>
              <w:rPr>
                <w:color w:val="000000"/>
                <w:sz w:val="20"/>
                <w:szCs w:val="20"/>
              </w:rPr>
              <w:t>Тепловая мощность нетто</w:t>
            </w:r>
          </w:p>
        </w:tc>
        <w:tc>
          <w:tcPr>
            <w:tcW w:w="360" w:type="pct"/>
            <w:shd w:val="clear" w:color="auto" w:fill="auto"/>
            <w:tcMar>
              <w:left w:w="28" w:type="dxa"/>
              <w:right w:w="28" w:type="dxa"/>
            </w:tcMar>
            <w:vAlign w:val="center"/>
          </w:tcPr>
          <w:p w14:paraId="5A53E578">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151B31C7">
            <w:pPr>
              <w:spacing w:after="0" w:line="240" w:lineRule="auto"/>
              <w:ind w:firstLine="0"/>
              <w:jc w:val="right"/>
              <w:rPr>
                <w:color w:val="000000"/>
                <w:sz w:val="20"/>
                <w:szCs w:val="20"/>
              </w:rPr>
            </w:pPr>
            <w:r>
              <w:rPr>
                <w:color w:val="000000"/>
                <w:sz w:val="20"/>
                <w:szCs w:val="20"/>
              </w:rPr>
              <w:t>17,98</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10D04DD">
            <w:pPr>
              <w:spacing w:after="0" w:line="240" w:lineRule="auto"/>
              <w:ind w:firstLine="0"/>
              <w:jc w:val="right"/>
              <w:rPr>
                <w:color w:val="000000"/>
                <w:sz w:val="20"/>
                <w:szCs w:val="20"/>
              </w:rPr>
            </w:pPr>
            <w:r>
              <w:rPr>
                <w:color w:val="000000"/>
                <w:sz w:val="20"/>
                <w:szCs w:val="20"/>
              </w:rPr>
              <w:t>17,98</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AAE544F">
            <w:pPr>
              <w:spacing w:after="0" w:line="240" w:lineRule="auto"/>
              <w:ind w:firstLine="0"/>
              <w:jc w:val="right"/>
              <w:rPr>
                <w:color w:val="000000"/>
                <w:sz w:val="20"/>
                <w:szCs w:val="20"/>
              </w:rPr>
            </w:pPr>
            <w:r>
              <w:rPr>
                <w:color w:val="000000"/>
                <w:sz w:val="20"/>
                <w:szCs w:val="20"/>
              </w:rPr>
              <w:t>17,98</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70D0149">
            <w:pPr>
              <w:spacing w:after="0" w:line="240" w:lineRule="auto"/>
              <w:ind w:firstLine="0"/>
              <w:jc w:val="right"/>
              <w:rPr>
                <w:color w:val="000000"/>
                <w:sz w:val="20"/>
                <w:szCs w:val="20"/>
              </w:rPr>
            </w:pPr>
            <w:r>
              <w:rPr>
                <w:color w:val="000000"/>
                <w:sz w:val="20"/>
                <w:szCs w:val="20"/>
              </w:rPr>
              <w:t>17,98</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59F88A7">
            <w:pPr>
              <w:spacing w:after="0" w:line="240" w:lineRule="auto"/>
              <w:ind w:firstLine="0"/>
              <w:jc w:val="right"/>
              <w:rPr>
                <w:color w:val="000000"/>
                <w:sz w:val="20"/>
                <w:szCs w:val="20"/>
              </w:rPr>
            </w:pPr>
            <w:r>
              <w:rPr>
                <w:color w:val="000000"/>
                <w:sz w:val="20"/>
                <w:szCs w:val="20"/>
              </w:rPr>
              <w:t>17,98</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B0ACDB8">
            <w:pPr>
              <w:spacing w:after="0" w:line="240" w:lineRule="auto"/>
              <w:ind w:firstLine="0"/>
              <w:jc w:val="right"/>
              <w:rPr>
                <w:color w:val="000000"/>
                <w:sz w:val="20"/>
                <w:szCs w:val="20"/>
              </w:rPr>
            </w:pPr>
            <w:r>
              <w:rPr>
                <w:color w:val="000000"/>
                <w:sz w:val="20"/>
                <w:szCs w:val="20"/>
              </w:rPr>
              <w:t>17,98</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C995A73">
            <w:pPr>
              <w:spacing w:after="0" w:line="240" w:lineRule="auto"/>
              <w:ind w:firstLine="0"/>
              <w:jc w:val="right"/>
              <w:rPr>
                <w:color w:val="000000"/>
                <w:sz w:val="20"/>
                <w:szCs w:val="20"/>
              </w:rPr>
            </w:pPr>
            <w:r>
              <w:rPr>
                <w:color w:val="000000"/>
                <w:sz w:val="20"/>
                <w:szCs w:val="20"/>
              </w:rPr>
              <w:t>17,98</w:t>
            </w:r>
          </w:p>
        </w:tc>
      </w:tr>
      <w:tr w14:paraId="50ED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1003C709">
            <w:pPr>
              <w:spacing w:after="0" w:line="240" w:lineRule="auto"/>
              <w:ind w:firstLine="0"/>
              <w:rPr>
                <w:color w:val="000000"/>
                <w:sz w:val="20"/>
                <w:szCs w:val="20"/>
              </w:rPr>
            </w:pPr>
            <w:r>
              <w:rPr>
                <w:color w:val="000000"/>
                <w:sz w:val="20"/>
                <w:szCs w:val="20"/>
              </w:rPr>
              <w:t>Нагрузка на коллекторах</w:t>
            </w:r>
          </w:p>
        </w:tc>
        <w:tc>
          <w:tcPr>
            <w:tcW w:w="360" w:type="pct"/>
            <w:shd w:val="clear" w:color="auto" w:fill="auto"/>
            <w:tcMar>
              <w:left w:w="28" w:type="dxa"/>
              <w:right w:w="28" w:type="dxa"/>
            </w:tcMar>
            <w:vAlign w:val="center"/>
          </w:tcPr>
          <w:p w14:paraId="181AAED0">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E0053B0">
            <w:pPr>
              <w:spacing w:after="0" w:line="240" w:lineRule="auto"/>
              <w:ind w:firstLine="0"/>
              <w:jc w:val="right"/>
              <w:rPr>
                <w:color w:val="000000"/>
                <w:sz w:val="20"/>
                <w:szCs w:val="20"/>
              </w:rPr>
            </w:pPr>
            <w:r>
              <w:rPr>
                <w:color w:val="000000"/>
                <w:sz w:val="20"/>
                <w:szCs w:val="20"/>
              </w:rPr>
              <w:t>3,02</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29FAF11">
            <w:pPr>
              <w:spacing w:after="0" w:line="240" w:lineRule="auto"/>
              <w:ind w:firstLine="0"/>
              <w:jc w:val="right"/>
              <w:rPr>
                <w:color w:val="000000"/>
                <w:sz w:val="20"/>
                <w:szCs w:val="20"/>
              </w:rPr>
            </w:pPr>
            <w:r>
              <w:rPr>
                <w:color w:val="000000"/>
                <w:sz w:val="20"/>
                <w:szCs w:val="20"/>
              </w:rPr>
              <w:t>3,15</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4BEF54F">
            <w:pPr>
              <w:spacing w:after="0" w:line="240" w:lineRule="auto"/>
              <w:ind w:firstLine="0"/>
              <w:jc w:val="right"/>
              <w:rPr>
                <w:color w:val="000000"/>
                <w:sz w:val="20"/>
                <w:szCs w:val="20"/>
              </w:rPr>
            </w:pPr>
            <w:r>
              <w:rPr>
                <w:color w:val="000000"/>
                <w:sz w:val="20"/>
                <w:szCs w:val="20"/>
              </w:rPr>
              <w:t>3,29</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3C32A5F">
            <w:pPr>
              <w:spacing w:after="0" w:line="240" w:lineRule="auto"/>
              <w:ind w:firstLine="0"/>
              <w:jc w:val="right"/>
              <w:rPr>
                <w:color w:val="000000"/>
                <w:sz w:val="20"/>
                <w:szCs w:val="20"/>
              </w:rPr>
            </w:pPr>
            <w:r>
              <w:rPr>
                <w:color w:val="000000"/>
                <w:sz w:val="20"/>
                <w:szCs w:val="20"/>
              </w:rPr>
              <w:t>3,45</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20775B6">
            <w:pPr>
              <w:spacing w:after="0" w:line="240" w:lineRule="auto"/>
              <w:ind w:firstLine="0"/>
              <w:jc w:val="right"/>
              <w:rPr>
                <w:color w:val="000000"/>
                <w:sz w:val="20"/>
                <w:szCs w:val="20"/>
              </w:rPr>
            </w:pPr>
            <w:r>
              <w:rPr>
                <w:color w:val="000000"/>
                <w:sz w:val="20"/>
                <w:szCs w:val="20"/>
              </w:rPr>
              <w:t>3,61</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9E1D7DA">
            <w:pPr>
              <w:spacing w:after="0" w:line="240" w:lineRule="auto"/>
              <w:ind w:firstLine="0"/>
              <w:jc w:val="right"/>
              <w:rPr>
                <w:color w:val="000000"/>
                <w:sz w:val="20"/>
                <w:szCs w:val="20"/>
              </w:rPr>
            </w:pPr>
            <w:r>
              <w:rPr>
                <w:color w:val="000000"/>
                <w:sz w:val="20"/>
                <w:szCs w:val="20"/>
              </w:rPr>
              <w:t>3,79</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A35E6F1">
            <w:pPr>
              <w:spacing w:after="0" w:line="240" w:lineRule="auto"/>
              <w:ind w:firstLine="0"/>
              <w:jc w:val="right"/>
              <w:rPr>
                <w:color w:val="000000"/>
                <w:sz w:val="20"/>
                <w:szCs w:val="20"/>
              </w:rPr>
            </w:pPr>
            <w:r>
              <w:rPr>
                <w:color w:val="000000"/>
                <w:sz w:val="20"/>
                <w:szCs w:val="20"/>
              </w:rPr>
              <w:t>3,98</w:t>
            </w:r>
          </w:p>
        </w:tc>
      </w:tr>
      <w:tr w14:paraId="33F7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4FC04A59">
            <w:pPr>
              <w:spacing w:after="0" w:line="240" w:lineRule="auto"/>
              <w:ind w:firstLine="0"/>
              <w:rPr>
                <w:color w:val="000000"/>
                <w:sz w:val="20"/>
                <w:szCs w:val="20"/>
              </w:rPr>
            </w:pPr>
            <w:r>
              <w:rPr>
                <w:color w:val="000000"/>
                <w:sz w:val="20"/>
                <w:szCs w:val="20"/>
              </w:rPr>
              <w:t>Потери в сетях</w:t>
            </w:r>
          </w:p>
        </w:tc>
        <w:tc>
          <w:tcPr>
            <w:tcW w:w="360" w:type="pct"/>
            <w:shd w:val="clear" w:color="auto" w:fill="auto"/>
            <w:tcMar>
              <w:left w:w="28" w:type="dxa"/>
              <w:right w:w="28" w:type="dxa"/>
            </w:tcMar>
            <w:vAlign w:val="center"/>
          </w:tcPr>
          <w:p w14:paraId="40BB6467">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4DD960E6">
            <w:pPr>
              <w:spacing w:after="0" w:line="240" w:lineRule="auto"/>
              <w:ind w:firstLine="0"/>
              <w:jc w:val="right"/>
              <w:rPr>
                <w:color w:val="000000"/>
                <w:sz w:val="20"/>
                <w:szCs w:val="20"/>
              </w:rPr>
            </w:pPr>
            <w:r>
              <w:rPr>
                <w:color w:val="000000"/>
                <w:sz w:val="20"/>
                <w:szCs w:val="20"/>
              </w:rPr>
              <w:t>0,84</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9302B17">
            <w:pPr>
              <w:spacing w:after="0" w:line="240" w:lineRule="auto"/>
              <w:ind w:firstLine="0"/>
              <w:jc w:val="right"/>
              <w:rPr>
                <w:color w:val="000000"/>
                <w:sz w:val="20"/>
                <w:szCs w:val="20"/>
              </w:rPr>
            </w:pPr>
            <w:r>
              <w:rPr>
                <w:color w:val="000000"/>
                <w:sz w:val="20"/>
                <w:szCs w:val="20"/>
              </w:rPr>
              <w:t>0,84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D1AF325">
            <w:pPr>
              <w:spacing w:after="0" w:line="240" w:lineRule="auto"/>
              <w:ind w:firstLine="0"/>
              <w:jc w:val="right"/>
              <w:rPr>
                <w:color w:val="000000"/>
                <w:sz w:val="20"/>
                <w:szCs w:val="20"/>
              </w:rPr>
            </w:pPr>
            <w:r>
              <w:rPr>
                <w:color w:val="000000"/>
                <w:sz w:val="20"/>
                <w:szCs w:val="20"/>
              </w:rPr>
              <w:t>0,84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1139814">
            <w:pPr>
              <w:spacing w:after="0" w:line="240" w:lineRule="auto"/>
              <w:ind w:firstLine="0"/>
              <w:jc w:val="right"/>
              <w:rPr>
                <w:color w:val="000000"/>
                <w:sz w:val="20"/>
                <w:szCs w:val="20"/>
              </w:rPr>
            </w:pPr>
            <w:r>
              <w:rPr>
                <w:color w:val="000000"/>
                <w:sz w:val="20"/>
                <w:szCs w:val="20"/>
              </w:rPr>
              <w:t>0,84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DA35DF9">
            <w:pPr>
              <w:spacing w:after="0" w:line="240" w:lineRule="auto"/>
              <w:ind w:firstLine="0"/>
              <w:jc w:val="right"/>
              <w:rPr>
                <w:color w:val="000000"/>
                <w:sz w:val="20"/>
                <w:szCs w:val="20"/>
              </w:rPr>
            </w:pPr>
            <w:r>
              <w:rPr>
                <w:color w:val="000000"/>
                <w:sz w:val="20"/>
                <w:szCs w:val="20"/>
              </w:rPr>
              <w:t>0,84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4A94B4F">
            <w:pPr>
              <w:spacing w:after="0" w:line="240" w:lineRule="auto"/>
              <w:ind w:firstLine="0"/>
              <w:jc w:val="right"/>
              <w:rPr>
                <w:color w:val="000000"/>
                <w:sz w:val="20"/>
                <w:szCs w:val="20"/>
              </w:rPr>
            </w:pPr>
            <w:r>
              <w:rPr>
                <w:color w:val="000000"/>
                <w:sz w:val="20"/>
                <w:szCs w:val="20"/>
              </w:rPr>
              <w:t>0,84</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BC26F13">
            <w:pPr>
              <w:spacing w:after="0" w:line="240" w:lineRule="auto"/>
              <w:ind w:firstLine="0"/>
              <w:jc w:val="right"/>
              <w:rPr>
                <w:color w:val="000000"/>
                <w:sz w:val="20"/>
                <w:szCs w:val="20"/>
              </w:rPr>
            </w:pPr>
            <w:r>
              <w:rPr>
                <w:color w:val="000000"/>
                <w:sz w:val="20"/>
                <w:szCs w:val="20"/>
              </w:rPr>
              <w:t>0,84</w:t>
            </w:r>
          </w:p>
        </w:tc>
      </w:tr>
      <w:tr w14:paraId="5A8C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1EF4EE8B">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79133B8A">
            <w:pPr>
              <w:spacing w:after="0" w:line="240" w:lineRule="auto"/>
              <w:ind w:firstLine="0"/>
              <w:jc w:val="center"/>
              <w:rPr>
                <w:color w:val="000000"/>
                <w:sz w:val="20"/>
                <w:szCs w:val="20"/>
              </w:rPr>
            </w:pPr>
            <w:r>
              <w:rPr>
                <w:color w:val="000000"/>
                <w:sz w:val="20"/>
                <w:szCs w:val="20"/>
              </w:rPr>
              <w:t>%</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5BE08923">
            <w:pPr>
              <w:spacing w:after="0" w:line="240" w:lineRule="auto"/>
              <w:ind w:firstLine="0"/>
              <w:jc w:val="right"/>
              <w:rPr>
                <w:color w:val="000000"/>
                <w:sz w:val="20"/>
                <w:szCs w:val="20"/>
              </w:rPr>
            </w:pPr>
            <w:r>
              <w:rPr>
                <w:color w:val="000000"/>
                <w:sz w:val="20"/>
                <w:szCs w:val="20"/>
              </w:rPr>
              <w:t>27,81</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293565E">
            <w:pPr>
              <w:spacing w:after="0" w:line="240" w:lineRule="auto"/>
              <w:ind w:firstLine="0"/>
              <w:jc w:val="right"/>
              <w:rPr>
                <w:color w:val="000000"/>
                <w:sz w:val="20"/>
                <w:szCs w:val="20"/>
              </w:rPr>
            </w:pPr>
            <w:r>
              <w:rPr>
                <w:color w:val="000000"/>
                <w:sz w:val="20"/>
                <w:szCs w:val="20"/>
              </w:rPr>
              <w:t>26,66</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4F0C7AD">
            <w:pPr>
              <w:spacing w:after="0" w:line="240" w:lineRule="auto"/>
              <w:ind w:firstLine="0"/>
              <w:jc w:val="right"/>
              <w:rPr>
                <w:color w:val="000000"/>
                <w:sz w:val="20"/>
                <w:szCs w:val="20"/>
              </w:rPr>
            </w:pPr>
            <w:r>
              <w:rPr>
                <w:color w:val="000000"/>
                <w:sz w:val="20"/>
                <w:szCs w:val="20"/>
              </w:rPr>
              <w:t>25,51</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DBED92D">
            <w:pPr>
              <w:spacing w:after="0" w:line="240" w:lineRule="auto"/>
              <w:ind w:firstLine="0"/>
              <w:jc w:val="right"/>
              <w:rPr>
                <w:color w:val="000000"/>
                <w:sz w:val="20"/>
                <w:szCs w:val="20"/>
              </w:rPr>
            </w:pPr>
            <w:r>
              <w:rPr>
                <w:color w:val="000000"/>
                <w:sz w:val="20"/>
                <w:szCs w:val="20"/>
              </w:rPr>
              <w:t>24,38</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F307CBD">
            <w:pPr>
              <w:spacing w:after="0" w:line="240" w:lineRule="auto"/>
              <w:ind w:firstLine="0"/>
              <w:jc w:val="right"/>
              <w:rPr>
                <w:color w:val="000000"/>
                <w:sz w:val="20"/>
                <w:szCs w:val="20"/>
              </w:rPr>
            </w:pPr>
            <w:r>
              <w:rPr>
                <w:color w:val="000000"/>
                <w:sz w:val="20"/>
                <w:szCs w:val="20"/>
              </w:rPr>
              <w:t>23,27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ACA9B30">
            <w:pPr>
              <w:spacing w:after="0" w:line="240" w:lineRule="auto"/>
              <w:ind w:firstLine="0"/>
              <w:jc w:val="right"/>
              <w:rPr>
                <w:color w:val="000000"/>
                <w:sz w:val="20"/>
                <w:szCs w:val="20"/>
              </w:rPr>
            </w:pPr>
            <w:r>
              <w:rPr>
                <w:color w:val="000000"/>
                <w:sz w:val="20"/>
                <w:szCs w:val="20"/>
              </w:rPr>
              <w:t>22,18</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2D8A079">
            <w:pPr>
              <w:spacing w:after="0" w:line="240" w:lineRule="auto"/>
              <w:ind w:firstLine="0"/>
              <w:jc w:val="right"/>
              <w:rPr>
                <w:color w:val="000000"/>
                <w:sz w:val="20"/>
                <w:szCs w:val="20"/>
              </w:rPr>
            </w:pPr>
            <w:r>
              <w:rPr>
                <w:color w:val="000000"/>
                <w:sz w:val="20"/>
                <w:szCs w:val="20"/>
              </w:rPr>
              <w:t>21,11</w:t>
            </w:r>
          </w:p>
        </w:tc>
      </w:tr>
      <w:tr w14:paraId="0DBB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shd w:val="clear" w:color="auto" w:fill="auto"/>
            <w:tcMar>
              <w:left w:w="28" w:type="dxa"/>
              <w:right w:w="28" w:type="dxa"/>
            </w:tcMar>
            <w:vAlign w:val="center"/>
          </w:tcPr>
          <w:p w14:paraId="6CE24FF3">
            <w:pPr>
              <w:spacing w:after="0" w:line="240" w:lineRule="auto"/>
              <w:ind w:firstLine="0"/>
              <w:rPr>
                <w:color w:val="000000"/>
                <w:sz w:val="20"/>
                <w:szCs w:val="20"/>
              </w:rPr>
            </w:pPr>
            <w:r>
              <w:rPr>
                <w:color w:val="000000"/>
                <w:sz w:val="20"/>
                <w:szCs w:val="20"/>
              </w:rPr>
              <w:t>Подключенная тепловая нагрузка</w:t>
            </w:r>
          </w:p>
        </w:tc>
        <w:tc>
          <w:tcPr>
            <w:tcW w:w="360" w:type="pct"/>
            <w:shd w:val="clear" w:color="auto" w:fill="auto"/>
            <w:tcMar>
              <w:left w:w="28" w:type="dxa"/>
              <w:right w:w="28" w:type="dxa"/>
            </w:tcMar>
            <w:vAlign w:val="center"/>
          </w:tcPr>
          <w:p w14:paraId="5141D919">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73FF9808">
            <w:pPr>
              <w:spacing w:after="0" w:line="240" w:lineRule="auto"/>
              <w:ind w:firstLine="0"/>
              <w:jc w:val="right"/>
              <w:rPr>
                <w:color w:val="000000"/>
                <w:sz w:val="20"/>
                <w:szCs w:val="20"/>
              </w:rPr>
            </w:pPr>
            <w:r>
              <w:rPr>
                <w:color w:val="000000"/>
                <w:sz w:val="20"/>
                <w:szCs w:val="20"/>
              </w:rPr>
              <w:t>2,18</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C7CEF15">
            <w:pPr>
              <w:spacing w:after="0" w:line="240" w:lineRule="auto"/>
              <w:ind w:firstLine="0"/>
              <w:jc w:val="right"/>
              <w:rPr>
                <w:color w:val="000000"/>
                <w:sz w:val="20"/>
                <w:szCs w:val="20"/>
              </w:rPr>
            </w:pPr>
            <w:r>
              <w:rPr>
                <w:color w:val="000000"/>
                <w:sz w:val="20"/>
                <w:szCs w:val="20"/>
              </w:rPr>
              <w:t>2,31</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FAE7469">
            <w:pPr>
              <w:spacing w:after="0" w:line="240" w:lineRule="auto"/>
              <w:ind w:firstLine="0"/>
              <w:jc w:val="right"/>
              <w:rPr>
                <w:color w:val="000000"/>
                <w:sz w:val="20"/>
                <w:szCs w:val="20"/>
              </w:rPr>
            </w:pPr>
            <w:r>
              <w:rPr>
                <w:color w:val="000000"/>
                <w:sz w:val="20"/>
                <w:szCs w:val="20"/>
              </w:rPr>
              <w:t>2,45</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135D80A">
            <w:pPr>
              <w:spacing w:after="0" w:line="240" w:lineRule="auto"/>
              <w:ind w:firstLine="0"/>
              <w:jc w:val="right"/>
              <w:rPr>
                <w:color w:val="000000"/>
                <w:sz w:val="20"/>
                <w:szCs w:val="20"/>
              </w:rPr>
            </w:pPr>
            <w:r>
              <w:rPr>
                <w:color w:val="000000"/>
                <w:sz w:val="20"/>
                <w:szCs w:val="20"/>
              </w:rPr>
              <w:t>2,61</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B8E390D">
            <w:pPr>
              <w:spacing w:after="0" w:line="240" w:lineRule="auto"/>
              <w:ind w:firstLine="0"/>
              <w:jc w:val="right"/>
              <w:rPr>
                <w:color w:val="000000"/>
                <w:sz w:val="20"/>
                <w:szCs w:val="20"/>
              </w:rPr>
            </w:pPr>
            <w:r>
              <w:rPr>
                <w:color w:val="000000"/>
                <w:sz w:val="20"/>
                <w:szCs w:val="20"/>
              </w:rPr>
              <w:t>2,77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3A4711F">
            <w:pPr>
              <w:spacing w:after="0" w:line="240" w:lineRule="auto"/>
              <w:ind w:firstLine="0"/>
              <w:jc w:val="right"/>
              <w:rPr>
                <w:color w:val="000000"/>
                <w:sz w:val="20"/>
                <w:szCs w:val="20"/>
              </w:rPr>
            </w:pPr>
            <w:r>
              <w:rPr>
                <w:color w:val="000000"/>
                <w:sz w:val="20"/>
                <w:szCs w:val="20"/>
              </w:rPr>
              <w:t>2,95</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CA31963">
            <w:pPr>
              <w:spacing w:after="0" w:line="240" w:lineRule="auto"/>
              <w:ind w:firstLine="0"/>
              <w:jc w:val="right"/>
              <w:rPr>
                <w:color w:val="000000"/>
                <w:sz w:val="20"/>
                <w:szCs w:val="20"/>
              </w:rPr>
            </w:pPr>
            <w:r>
              <w:rPr>
                <w:color w:val="000000"/>
                <w:sz w:val="20"/>
                <w:szCs w:val="20"/>
              </w:rPr>
              <w:t>3,14</w:t>
            </w:r>
          </w:p>
        </w:tc>
      </w:tr>
      <w:tr w14:paraId="1E4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restart"/>
            <w:shd w:val="clear" w:color="auto" w:fill="auto"/>
            <w:tcMar>
              <w:left w:w="28" w:type="dxa"/>
              <w:right w:w="28" w:type="dxa"/>
            </w:tcMar>
            <w:vAlign w:val="center"/>
          </w:tcPr>
          <w:p w14:paraId="4E616E3F">
            <w:pPr>
              <w:spacing w:after="0" w:line="240" w:lineRule="auto"/>
              <w:ind w:firstLine="0"/>
              <w:rPr>
                <w:color w:val="000000"/>
                <w:sz w:val="20"/>
                <w:szCs w:val="20"/>
              </w:rPr>
            </w:pPr>
            <w:r>
              <w:rPr>
                <w:color w:val="000000"/>
                <w:sz w:val="20"/>
                <w:szCs w:val="20"/>
              </w:rPr>
              <w:t>Резерв (+)/ Дефицит (-) мощности</w:t>
            </w:r>
          </w:p>
        </w:tc>
        <w:tc>
          <w:tcPr>
            <w:tcW w:w="360" w:type="pct"/>
            <w:shd w:val="clear" w:color="auto" w:fill="auto"/>
            <w:tcMar>
              <w:left w:w="28" w:type="dxa"/>
              <w:right w:w="28" w:type="dxa"/>
            </w:tcMar>
            <w:vAlign w:val="center"/>
          </w:tcPr>
          <w:p w14:paraId="0B168D47">
            <w:pPr>
              <w:spacing w:after="0" w:line="240" w:lineRule="auto"/>
              <w:ind w:firstLine="0"/>
              <w:jc w:val="center"/>
              <w:rPr>
                <w:color w:val="000000"/>
                <w:sz w:val="20"/>
                <w:szCs w:val="20"/>
              </w:rPr>
            </w:pPr>
            <w:r>
              <w:rPr>
                <w:color w:val="000000"/>
                <w:sz w:val="20"/>
                <w:szCs w:val="20"/>
              </w:rPr>
              <w:t>Гкал/ч</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EB4D57E">
            <w:pPr>
              <w:spacing w:after="0" w:line="240" w:lineRule="auto"/>
              <w:ind w:firstLine="0"/>
              <w:jc w:val="right"/>
              <w:rPr>
                <w:color w:val="000000"/>
                <w:sz w:val="20"/>
                <w:szCs w:val="20"/>
              </w:rPr>
            </w:pPr>
            <w:r>
              <w:rPr>
                <w:color w:val="000000"/>
                <w:sz w:val="20"/>
                <w:szCs w:val="20"/>
              </w:rPr>
              <w:t>14,96</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CC3D8E6">
            <w:pPr>
              <w:spacing w:after="0" w:line="240" w:lineRule="auto"/>
              <w:ind w:firstLine="0"/>
              <w:jc w:val="right"/>
              <w:rPr>
                <w:color w:val="000000"/>
                <w:sz w:val="20"/>
                <w:szCs w:val="20"/>
              </w:rPr>
            </w:pPr>
            <w:r>
              <w:rPr>
                <w:color w:val="000000"/>
                <w:sz w:val="20"/>
                <w:szCs w:val="20"/>
              </w:rPr>
              <w:t>14,83</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AFCF2CE">
            <w:pPr>
              <w:spacing w:after="0" w:line="240" w:lineRule="auto"/>
              <w:ind w:firstLine="0"/>
              <w:jc w:val="right"/>
              <w:rPr>
                <w:color w:val="000000"/>
                <w:sz w:val="20"/>
                <w:szCs w:val="20"/>
              </w:rPr>
            </w:pPr>
            <w:r>
              <w:rPr>
                <w:color w:val="000000"/>
                <w:sz w:val="20"/>
                <w:szCs w:val="20"/>
              </w:rPr>
              <w:t>14,69</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CF9D77C">
            <w:pPr>
              <w:spacing w:after="0" w:line="240" w:lineRule="auto"/>
              <w:ind w:firstLine="0"/>
              <w:jc w:val="right"/>
              <w:rPr>
                <w:color w:val="000000"/>
                <w:sz w:val="20"/>
                <w:szCs w:val="20"/>
              </w:rPr>
            </w:pPr>
            <w:r>
              <w:rPr>
                <w:color w:val="000000"/>
                <w:sz w:val="20"/>
                <w:szCs w:val="20"/>
              </w:rPr>
              <w:t>14,53</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2D458B5">
            <w:pPr>
              <w:spacing w:after="0" w:line="240" w:lineRule="auto"/>
              <w:ind w:firstLine="0"/>
              <w:jc w:val="right"/>
              <w:rPr>
                <w:color w:val="000000"/>
                <w:sz w:val="20"/>
                <w:szCs w:val="20"/>
              </w:rPr>
            </w:pPr>
            <w:r>
              <w:rPr>
                <w:color w:val="000000"/>
                <w:sz w:val="20"/>
                <w:szCs w:val="20"/>
              </w:rPr>
              <w:t>14,37</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A02DAB4">
            <w:pPr>
              <w:spacing w:after="0" w:line="240" w:lineRule="auto"/>
              <w:ind w:firstLine="0"/>
              <w:jc w:val="right"/>
              <w:rPr>
                <w:color w:val="000000"/>
                <w:sz w:val="20"/>
                <w:szCs w:val="20"/>
              </w:rPr>
            </w:pPr>
            <w:r>
              <w:rPr>
                <w:color w:val="000000"/>
                <w:sz w:val="20"/>
                <w:szCs w:val="20"/>
              </w:rPr>
              <w:t>14,19</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FEAE798">
            <w:pPr>
              <w:spacing w:after="0" w:line="240" w:lineRule="auto"/>
              <w:ind w:firstLine="0"/>
              <w:jc w:val="right"/>
              <w:rPr>
                <w:color w:val="000000"/>
                <w:sz w:val="20"/>
                <w:szCs w:val="20"/>
              </w:rPr>
            </w:pPr>
            <w:r>
              <w:rPr>
                <w:color w:val="000000"/>
                <w:sz w:val="20"/>
                <w:szCs w:val="20"/>
              </w:rPr>
              <w:t>14,00</w:t>
            </w:r>
          </w:p>
        </w:tc>
      </w:tr>
      <w:tr w14:paraId="5CA6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pct"/>
            <w:vMerge w:val="continue"/>
            <w:tcMar>
              <w:left w:w="28" w:type="dxa"/>
              <w:right w:w="28" w:type="dxa"/>
            </w:tcMar>
            <w:vAlign w:val="center"/>
          </w:tcPr>
          <w:p w14:paraId="6B5A3443">
            <w:pPr>
              <w:spacing w:after="0" w:line="240" w:lineRule="auto"/>
              <w:ind w:firstLine="0"/>
              <w:rPr>
                <w:color w:val="000000"/>
                <w:sz w:val="20"/>
                <w:szCs w:val="20"/>
              </w:rPr>
            </w:pPr>
          </w:p>
        </w:tc>
        <w:tc>
          <w:tcPr>
            <w:tcW w:w="360" w:type="pct"/>
            <w:shd w:val="clear" w:color="auto" w:fill="auto"/>
            <w:tcMar>
              <w:left w:w="28" w:type="dxa"/>
              <w:right w:w="28" w:type="dxa"/>
            </w:tcMar>
            <w:vAlign w:val="center"/>
          </w:tcPr>
          <w:p w14:paraId="3D89DF68">
            <w:pPr>
              <w:spacing w:after="0" w:line="240" w:lineRule="auto"/>
              <w:ind w:firstLine="0"/>
              <w:jc w:val="center"/>
              <w:rPr>
                <w:color w:val="000000"/>
                <w:sz w:val="20"/>
                <w:szCs w:val="20"/>
              </w:rPr>
            </w:pPr>
            <w:r>
              <w:rPr>
                <w:color w:val="000000"/>
                <w:sz w:val="20"/>
                <w:szCs w:val="20"/>
              </w:rPr>
              <w:t>%</w:t>
            </w:r>
          </w:p>
        </w:tc>
        <w:tc>
          <w:tcPr>
            <w:tcW w:w="39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1CCB4C71">
            <w:pPr>
              <w:spacing w:after="0" w:line="240" w:lineRule="auto"/>
              <w:ind w:firstLine="0"/>
              <w:jc w:val="right"/>
              <w:rPr>
                <w:color w:val="000000"/>
                <w:sz w:val="20"/>
                <w:szCs w:val="20"/>
              </w:rPr>
            </w:pPr>
            <w:r>
              <w:rPr>
                <w:color w:val="000000"/>
                <w:sz w:val="20"/>
                <w:szCs w:val="20"/>
              </w:rPr>
              <w:t>83,20</w:t>
            </w:r>
          </w:p>
        </w:tc>
        <w:tc>
          <w:tcPr>
            <w:tcW w:w="382"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3FD38A7">
            <w:pPr>
              <w:spacing w:after="0" w:line="240" w:lineRule="auto"/>
              <w:ind w:firstLine="0"/>
              <w:jc w:val="right"/>
              <w:rPr>
                <w:color w:val="000000"/>
                <w:sz w:val="20"/>
                <w:szCs w:val="20"/>
              </w:rPr>
            </w:pPr>
            <w:r>
              <w:rPr>
                <w:color w:val="000000"/>
                <w:sz w:val="20"/>
                <w:szCs w:val="20"/>
              </w:rPr>
              <w:t>82,47</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052CCE5">
            <w:pPr>
              <w:spacing w:after="0" w:line="240" w:lineRule="auto"/>
              <w:ind w:firstLine="0"/>
              <w:jc w:val="right"/>
              <w:rPr>
                <w:color w:val="000000"/>
                <w:sz w:val="20"/>
                <w:szCs w:val="20"/>
              </w:rPr>
            </w:pPr>
            <w:r>
              <w:rPr>
                <w:color w:val="000000"/>
                <w:sz w:val="20"/>
                <w:szCs w:val="20"/>
              </w:rPr>
              <w:t>81,69</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CE3538F">
            <w:pPr>
              <w:spacing w:after="0" w:line="240" w:lineRule="auto"/>
              <w:ind w:firstLine="0"/>
              <w:jc w:val="right"/>
              <w:rPr>
                <w:color w:val="000000"/>
                <w:sz w:val="20"/>
                <w:szCs w:val="20"/>
              </w:rPr>
            </w:pPr>
            <w:r>
              <w:rPr>
                <w:color w:val="000000"/>
                <w:sz w:val="20"/>
                <w:szCs w:val="20"/>
              </w:rPr>
              <w:t>80,84</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29E3F02">
            <w:pPr>
              <w:spacing w:after="0" w:line="240" w:lineRule="auto"/>
              <w:ind w:firstLine="0"/>
              <w:jc w:val="right"/>
              <w:rPr>
                <w:color w:val="000000"/>
                <w:sz w:val="20"/>
                <w:szCs w:val="20"/>
              </w:rPr>
            </w:pPr>
            <w:r>
              <w:rPr>
                <w:color w:val="000000"/>
                <w:sz w:val="20"/>
                <w:szCs w:val="20"/>
              </w:rPr>
              <w:t>79,92</w:t>
            </w:r>
          </w:p>
        </w:tc>
        <w:tc>
          <w:tcPr>
            <w:tcW w:w="428"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F5929B4">
            <w:pPr>
              <w:spacing w:after="0" w:line="240" w:lineRule="auto"/>
              <w:ind w:firstLine="0"/>
              <w:jc w:val="right"/>
              <w:rPr>
                <w:color w:val="000000"/>
                <w:sz w:val="20"/>
                <w:szCs w:val="20"/>
              </w:rPr>
            </w:pPr>
            <w:r>
              <w:rPr>
                <w:color w:val="000000"/>
                <w:sz w:val="20"/>
                <w:szCs w:val="20"/>
              </w:rPr>
              <w:t>78,93</w:t>
            </w:r>
          </w:p>
        </w:tc>
        <w:tc>
          <w:tcPr>
            <w:tcW w:w="381"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0C2D0B3">
            <w:pPr>
              <w:spacing w:after="0" w:line="240" w:lineRule="auto"/>
              <w:ind w:firstLine="0"/>
              <w:jc w:val="right"/>
              <w:rPr>
                <w:color w:val="000000"/>
                <w:sz w:val="20"/>
                <w:szCs w:val="20"/>
              </w:rPr>
            </w:pPr>
            <w:r>
              <w:rPr>
                <w:color w:val="000000"/>
                <w:sz w:val="20"/>
                <w:szCs w:val="20"/>
              </w:rPr>
              <w:t>77,87</w:t>
            </w:r>
          </w:p>
        </w:tc>
      </w:tr>
    </w:tbl>
    <w:p w14:paraId="31658CE2">
      <w:pPr>
        <w:spacing w:after="0" w:line="240" w:lineRule="auto"/>
        <w:ind w:firstLine="0"/>
        <w:contextualSpacing/>
        <w:jc w:val="both"/>
        <w:rPr>
          <w:sz w:val="24"/>
          <w:szCs w:val="24"/>
        </w:rPr>
      </w:pPr>
    </w:p>
    <w:bookmarkEnd w:id="443"/>
    <w:p w14:paraId="2D0EE5E3">
      <w:pPr>
        <w:spacing w:after="0" w:line="240" w:lineRule="auto"/>
        <w:contextualSpacing/>
        <w:jc w:val="both"/>
        <w:rPr>
          <w:sz w:val="24"/>
          <w:szCs w:val="24"/>
        </w:rPr>
      </w:pPr>
    </w:p>
    <w:p w14:paraId="718FB7FE">
      <w:pPr>
        <w:spacing w:after="0" w:line="240" w:lineRule="auto"/>
        <w:contextualSpacing/>
        <w:jc w:val="both"/>
        <w:rPr>
          <w:sz w:val="24"/>
          <w:szCs w:val="24"/>
        </w:rPr>
        <w:sectPr>
          <w:pgSz w:w="16838" w:h="11906" w:orient="landscape"/>
          <w:pgMar w:top="1418" w:right="567" w:bottom="1134" w:left="1134" w:header="709" w:footer="709" w:gutter="0"/>
          <w:cols w:space="708" w:num="1"/>
          <w:docGrid w:linePitch="360" w:charSpace="0"/>
        </w:sectPr>
      </w:pPr>
    </w:p>
    <w:p w14:paraId="58F3046C">
      <w:pPr>
        <w:pStyle w:val="3"/>
        <w:spacing w:before="0" w:line="240" w:lineRule="auto"/>
        <w:ind w:left="0" w:firstLine="709"/>
        <w:contextualSpacing/>
        <w:rPr>
          <w:rFonts w:cs="Times New Roman"/>
          <w:b w:val="0"/>
          <w:sz w:val="24"/>
          <w:szCs w:val="24"/>
        </w:rPr>
      </w:pPr>
      <w:bookmarkStart w:id="444" w:name="_Toc524615052"/>
      <w:bookmarkStart w:id="445" w:name="_Toc524614836"/>
      <w:bookmarkStart w:id="446" w:name="_Toc182813984"/>
      <w:r>
        <w:rPr>
          <w:rFonts w:cs="Times New Roman"/>
          <w:b w:val="0"/>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44"/>
      <w:bookmarkEnd w:id="445"/>
      <w:bookmarkEnd w:id="446"/>
    </w:p>
    <w:p w14:paraId="71920837">
      <w:pPr>
        <w:spacing w:after="0" w:line="240" w:lineRule="auto"/>
        <w:contextualSpacing/>
        <w:jc w:val="both"/>
        <w:rPr>
          <w:sz w:val="24"/>
          <w:szCs w:val="24"/>
        </w:rPr>
      </w:pPr>
      <w:r>
        <w:rPr>
          <w:sz w:val="24"/>
          <w:szCs w:val="24"/>
        </w:rPr>
        <w:t>На перспективу развития источники теплоснабжения обеспечивают 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 давлений на источниках теплоснабжения между прямой и обратной магистралями, а также значения давлений соизмеримы с фактическими.</w:t>
      </w:r>
    </w:p>
    <w:p w14:paraId="5A0EE461">
      <w:pPr>
        <w:spacing w:after="0" w:line="240" w:lineRule="auto"/>
        <w:contextualSpacing/>
        <w:jc w:val="both"/>
        <w:rPr>
          <w:sz w:val="24"/>
          <w:szCs w:val="24"/>
        </w:rPr>
      </w:pPr>
      <w:r>
        <w:rPr>
          <w:sz w:val="24"/>
          <w:szCs w:val="24"/>
        </w:rPr>
        <w:t>Выборочные фактические пьезометрические графики тепловой сети от источников теплоснабжения до тупиковых самых удаленных потребителей представлены в электронной модели системы теплоснабжения.</w:t>
      </w:r>
    </w:p>
    <w:p w14:paraId="6772EFCF">
      <w:pPr>
        <w:spacing w:after="0" w:line="240" w:lineRule="auto"/>
        <w:contextualSpacing/>
        <w:jc w:val="both"/>
        <w:rPr>
          <w:sz w:val="24"/>
          <w:szCs w:val="24"/>
        </w:rPr>
      </w:pPr>
    </w:p>
    <w:p w14:paraId="52364180">
      <w:pPr>
        <w:pStyle w:val="3"/>
        <w:spacing w:before="0" w:line="240" w:lineRule="auto"/>
        <w:ind w:left="0" w:firstLine="709"/>
        <w:contextualSpacing/>
        <w:rPr>
          <w:rFonts w:cs="Times New Roman"/>
          <w:b w:val="0"/>
          <w:sz w:val="24"/>
          <w:szCs w:val="24"/>
        </w:rPr>
      </w:pPr>
      <w:bookmarkStart w:id="447" w:name="_Toc182813985"/>
      <w:r>
        <w:rPr>
          <w:rFonts w:cs="Times New Roman"/>
          <w:b w:val="0"/>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447"/>
    </w:p>
    <w:p w14:paraId="6EE885FE">
      <w:pPr>
        <w:spacing w:after="0" w:line="240" w:lineRule="auto"/>
        <w:contextualSpacing/>
        <w:jc w:val="both"/>
        <w:rPr>
          <w:sz w:val="24"/>
          <w:szCs w:val="24"/>
        </w:rPr>
      </w:pPr>
      <w:r>
        <w:rPr>
          <w:sz w:val="24"/>
          <w:szCs w:val="24"/>
        </w:rPr>
        <w:t>Значения существующей и перспективной резервной тепловой мощности источников теплоснабжения представлены в таблице 56. Источники теплоснабжения располагает резервами, достаточными для обеспечения существующей и перспективной тепловой нагрузки потребителей.</w:t>
      </w:r>
    </w:p>
    <w:p w14:paraId="61955DE0">
      <w:pPr>
        <w:spacing w:after="0" w:line="240" w:lineRule="auto"/>
        <w:contextualSpacing/>
        <w:jc w:val="both"/>
        <w:rPr>
          <w:sz w:val="24"/>
          <w:szCs w:val="24"/>
        </w:rPr>
      </w:pPr>
    </w:p>
    <w:p w14:paraId="79EDCE9C">
      <w:pPr>
        <w:pStyle w:val="3"/>
        <w:spacing w:before="0" w:line="240" w:lineRule="auto"/>
        <w:ind w:left="0" w:firstLine="709"/>
        <w:contextualSpacing/>
        <w:rPr>
          <w:rFonts w:cs="Times New Roman"/>
          <w:b w:val="0"/>
          <w:sz w:val="24"/>
          <w:szCs w:val="24"/>
        </w:rPr>
      </w:pPr>
      <w:bookmarkStart w:id="448" w:name="_Toc182813986"/>
      <w:bookmarkStart w:id="449" w:name="_Hlk43280236"/>
      <w:r>
        <w:rPr>
          <w:rFonts w:cs="Times New Roman"/>
          <w:b w:val="0"/>
          <w:sz w:val="24"/>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48"/>
    </w:p>
    <w:bookmarkEnd w:id="449"/>
    <w:p w14:paraId="261DB115">
      <w:pPr>
        <w:spacing w:after="0" w:line="240" w:lineRule="auto"/>
        <w:contextualSpacing/>
        <w:jc w:val="both"/>
        <w:rPr>
          <w:sz w:val="24"/>
          <w:szCs w:val="24"/>
        </w:rPr>
      </w:pPr>
      <w:r>
        <w:rPr>
          <w:sz w:val="24"/>
          <w:szCs w:val="24"/>
        </w:rPr>
        <w:t>Все данные по существующим и перспективным балансам тепловой мощности актуализированы.</w:t>
      </w:r>
    </w:p>
    <w:p w14:paraId="25F68904">
      <w:pPr>
        <w:spacing w:after="0" w:line="240" w:lineRule="auto"/>
        <w:contextualSpacing/>
        <w:jc w:val="both"/>
        <w:rPr>
          <w:sz w:val="24"/>
          <w:szCs w:val="24"/>
        </w:rPr>
      </w:pPr>
      <w:r>
        <w:rPr>
          <w:sz w:val="24"/>
          <w:szCs w:val="24"/>
        </w:rPr>
        <w:t>Распределение перспективной присоединённой тепловой нагрузки по котельным до 2029 года по годам представлены в пункте 4.1.</w:t>
      </w:r>
    </w:p>
    <w:p w14:paraId="1BE2255F">
      <w:pPr>
        <w:spacing w:after="0" w:line="240" w:lineRule="auto"/>
        <w:contextualSpacing/>
        <w:jc w:val="both"/>
        <w:rPr>
          <w:sz w:val="24"/>
          <w:szCs w:val="24"/>
        </w:rPr>
      </w:pPr>
    </w:p>
    <w:p w14:paraId="40730260">
      <w:pPr>
        <w:spacing w:after="0" w:line="240" w:lineRule="auto"/>
        <w:contextualSpacing/>
        <w:jc w:val="both"/>
        <w:rPr>
          <w:sz w:val="24"/>
          <w:szCs w:val="24"/>
        </w:rPr>
      </w:pPr>
    </w:p>
    <w:p w14:paraId="1AFB9658">
      <w:pPr>
        <w:spacing w:after="0" w:line="240" w:lineRule="auto"/>
        <w:contextualSpacing/>
        <w:jc w:val="both"/>
        <w:rPr>
          <w:sz w:val="24"/>
          <w:szCs w:val="24"/>
        </w:rPr>
      </w:pPr>
    </w:p>
    <w:p w14:paraId="1FC26965">
      <w:pPr>
        <w:spacing w:after="0" w:line="240" w:lineRule="auto"/>
        <w:contextualSpacing/>
        <w:jc w:val="both"/>
        <w:rPr>
          <w:sz w:val="24"/>
          <w:szCs w:val="24"/>
        </w:rPr>
      </w:pPr>
    </w:p>
    <w:p w14:paraId="2212CF54">
      <w:pPr>
        <w:pStyle w:val="2"/>
        <w:keepLines w:val="0"/>
        <w:pageBreakBefore/>
        <w:widowControl w:val="0"/>
        <w:spacing w:before="0" w:line="240" w:lineRule="auto"/>
        <w:ind w:left="0" w:firstLine="709"/>
        <w:contextualSpacing/>
        <w:rPr>
          <w:rFonts w:cs="Times New Roman"/>
          <w:b w:val="0"/>
          <w:sz w:val="24"/>
          <w:szCs w:val="24"/>
        </w:rPr>
      </w:pPr>
      <w:bookmarkStart w:id="450" w:name="_Toc182813987"/>
      <w:bookmarkStart w:id="451" w:name="_Toc524614839"/>
      <w:bookmarkStart w:id="452" w:name="_Toc524615055"/>
      <w:r>
        <w:rPr>
          <w:rFonts w:cs="Times New Roman"/>
          <w:b w:val="0"/>
          <w:sz w:val="24"/>
          <w:szCs w:val="24"/>
        </w:rPr>
        <w:t>Глава 5. Мастер-план развития системы теплоснабжения</w:t>
      </w:r>
      <w:bookmarkEnd w:id="450"/>
      <w:bookmarkEnd w:id="451"/>
      <w:bookmarkEnd w:id="452"/>
    </w:p>
    <w:p w14:paraId="5E8C9497">
      <w:pPr>
        <w:pStyle w:val="3"/>
        <w:keepLines w:val="0"/>
        <w:spacing w:before="0" w:line="240" w:lineRule="auto"/>
        <w:ind w:left="0" w:firstLine="709"/>
        <w:contextualSpacing/>
        <w:rPr>
          <w:rFonts w:cs="Times New Roman"/>
          <w:b w:val="0"/>
          <w:sz w:val="24"/>
          <w:szCs w:val="24"/>
        </w:rPr>
      </w:pPr>
      <w:bookmarkStart w:id="453" w:name="_Toc524614840"/>
      <w:bookmarkStart w:id="454" w:name="_Toc182813988"/>
      <w:bookmarkStart w:id="455" w:name="_Toc524615056"/>
      <w:r>
        <w:rPr>
          <w:rFonts w:cs="Times New Roman"/>
          <w:b w:val="0"/>
          <w:sz w:val="24"/>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53"/>
      <w:bookmarkEnd w:id="454"/>
      <w:bookmarkEnd w:id="455"/>
    </w:p>
    <w:p w14:paraId="132C8556">
      <w:pPr>
        <w:spacing w:after="0" w:line="240" w:lineRule="auto"/>
        <w:contextualSpacing/>
        <w:jc w:val="both"/>
        <w:rPr>
          <w:sz w:val="24"/>
          <w:szCs w:val="24"/>
        </w:rPr>
      </w:pPr>
      <w:r>
        <w:rPr>
          <w:sz w:val="24"/>
          <w:szCs w:val="24"/>
        </w:rPr>
        <w:t>Мастер-план схемы теплоснабжения выполняется для формирования нескольких вариантов развития систем теплоснабжения с.п. Верхнеказымский, из которых будет выбран рекомендуемый вариант развития систем теплоснабжения.</w:t>
      </w:r>
    </w:p>
    <w:p w14:paraId="448DFB7E">
      <w:pPr>
        <w:spacing w:after="0" w:line="240" w:lineRule="auto"/>
        <w:contextualSpacing/>
        <w:jc w:val="both"/>
        <w:rPr>
          <w:sz w:val="24"/>
          <w:szCs w:val="24"/>
        </w:rPr>
      </w:pPr>
      <w:r>
        <w:rPr>
          <w:sz w:val="24"/>
          <w:szCs w:val="24"/>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393FD874">
      <w:pPr>
        <w:spacing w:after="0" w:line="240" w:lineRule="auto"/>
        <w:contextualSpacing/>
        <w:jc w:val="both"/>
        <w:rPr>
          <w:sz w:val="24"/>
          <w:szCs w:val="24"/>
        </w:rPr>
      </w:pPr>
      <w:r>
        <w:rPr>
          <w:sz w:val="24"/>
          <w:szCs w:val="24"/>
        </w:rPr>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с.п. Верхнеказымский (с учётом его корректировки).</w:t>
      </w:r>
    </w:p>
    <w:p w14:paraId="532A363D">
      <w:pPr>
        <w:spacing w:after="0" w:line="240" w:lineRule="auto"/>
        <w:contextualSpacing/>
        <w:jc w:val="both"/>
        <w:rPr>
          <w:sz w:val="24"/>
          <w:szCs w:val="24"/>
        </w:rPr>
      </w:pPr>
      <w:r>
        <w:rPr>
          <w:sz w:val="24"/>
          <w:szCs w:val="24"/>
        </w:rPr>
        <w:t>В соответствии с Постановлением Правительства РФ от 22.02.2012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местного самоуправления и эксплуатационных организаций.</w:t>
      </w:r>
    </w:p>
    <w:p w14:paraId="78370FD8">
      <w:pPr>
        <w:spacing w:after="0" w:line="240" w:lineRule="auto"/>
        <w:contextualSpacing/>
        <w:jc w:val="both"/>
        <w:rPr>
          <w:sz w:val="24"/>
          <w:szCs w:val="24"/>
        </w:rPr>
      </w:pPr>
      <w:r>
        <w:rPr>
          <w:sz w:val="24"/>
          <w:szCs w:val="24"/>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65F7FBED">
      <w:pPr>
        <w:spacing w:after="0" w:line="240" w:lineRule="auto"/>
        <w:contextualSpacing/>
        <w:jc w:val="both"/>
        <w:rPr>
          <w:sz w:val="24"/>
          <w:szCs w:val="24"/>
        </w:rPr>
      </w:pPr>
      <w:r>
        <w:rPr>
          <w:sz w:val="24"/>
          <w:szCs w:val="24"/>
        </w:rPr>
        <w:t>Для каждого варианта мастер-плана оцениваются достигаемые целевые показатели развития системы теплоснабжения.</w:t>
      </w:r>
    </w:p>
    <w:p w14:paraId="45349FF4">
      <w:pPr>
        <w:spacing w:after="0" w:line="240" w:lineRule="auto"/>
        <w:contextualSpacing/>
        <w:jc w:val="both"/>
        <w:rPr>
          <w:sz w:val="24"/>
          <w:szCs w:val="24"/>
        </w:rPr>
      </w:pPr>
      <w:r>
        <w:rPr>
          <w:sz w:val="24"/>
          <w:szCs w:val="24"/>
        </w:rPr>
        <w:t>Мастер-план формировался по данным Генерального плана с.п. Верхнеказымский.</w:t>
      </w:r>
    </w:p>
    <w:p w14:paraId="3BE6E7BD">
      <w:pPr>
        <w:spacing w:after="0" w:line="240" w:lineRule="auto"/>
        <w:contextualSpacing/>
        <w:jc w:val="both"/>
        <w:rPr>
          <w:sz w:val="24"/>
          <w:szCs w:val="24"/>
        </w:rPr>
      </w:pPr>
      <w:r>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75C74A9F">
      <w:pPr>
        <w:spacing w:after="0" w:line="240" w:lineRule="auto"/>
        <w:contextualSpacing/>
        <w:jc w:val="both"/>
        <w:rPr>
          <w:sz w:val="24"/>
          <w:szCs w:val="24"/>
        </w:rPr>
      </w:pPr>
      <w:r>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7E633A7F">
      <w:pPr>
        <w:spacing w:after="0" w:line="240" w:lineRule="auto"/>
        <w:contextualSpacing/>
        <w:jc w:val="both"/>
        <w:rPr>
          <w:sz w:val="24"/>
          <w:szCs w:val="24"/>
        </w:rPr>
      </w:pPr>
      <w:r>
        <w:rPr>
          <w:sz w:val="24"/>
          <w:szCs w:val="24"/>
        </w:rPr>
        <w:t>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04924439">
      <w:pPr>
        <w:spacing w:after="0" w:line="240" w:lineRule="auto"/>
        <w:contextualSpacing/>
        <w:jc w:val="both"/>
        <w:rPr>
          <w:sz w:val="24"/>
          <w:szCs w:val="24"/>
        </w:rPr>
      </w:pPr>
      <w:r>
        <w:rPr>
          <w:sz w:val="24"/>
          <w:szCs w:val="24"/>
        </w:rPr>
        <w:t>Необходимости развития на территории поселения комбинированного способа производства тепловой энергии является не актуальной, так как на нужды теплоснабжения поселения используется тепловая энергия от теплоутилизационных установок КС «Верхнеказымская».</w:t>
      </w:r>
    </w:p>
    <w:p w14:paraId="5449EE71">
      <w:pPr>
        <w:spacing w:after="0" w:line="240" w:lineRule="auto"/>
        <w:contextualSpacing/>
        <w:jc w:val="both"/>
        <w:rPr>
          <w:sz w:val="24"/>
          <w:szCs w:val="24"/>
        </w:rPr>
      </w:pPr>
      <w:r>
        <w:rPr>
          <w:sz w:val="24"/>
          <w:szCs w:val="24"/>
        </w:rPr>
        <w:t>При этом предлагается использовать:</w:t>
      </w:r>
    </w:p>
    <w:p w14:paraId="7878D4BE">
      <w:pPr>
        <w:spacing w:after="0" w:line="240" w:lineRule="auto"/>
        <w:contextualSpacing/>
        <w:jc w:val="both"/>
        <w:rPr>
          <w:sz w:val="24"/>
          <w:szCs w:val="24"/>
        </w:rPr>
      </w:pPr>
      <w:r>
        <w:rPr>
          <w:sz w:val="24"/>
          <w:szCs w:val="24"/>
        </w:rPr>
        <w:t>1. В качестве основного источника тепловой энергии для тепловой сети отопления жилого посёлка использовать теплоутилизационные установки КС «Верхнеказымская» и котельную №2 МУП «БКС».</w:t>
      </w:r>
    </w:p>
    <w:p w14:paraId="4677E94F">
      <w:pPr>
        <w:spacing w:after="0" w:line="240" w:lineRule="auto"/>
        <w:contextualSpacing/>
        <w:jc w:val="both"/>
        <w:rPr>
          <w:sz w:val="24"/>
          <w:szCs w:val="24"/>
        </w:rPr>
      </w:pPr>
      <w:r>
        <w:rPr>
          <w:sz w:val="24"/>
          <w:szCs w:val="24"/>
        </w:rPr>
        <w:t>2. В качестве резервных источников для тепловой сети отопления жилого посёлка при авариях в системе централизованного теплоснабжения использовать котельные №2 МУП «БКС» и «Вирбекс».</w:t>
      </w:r>
    </w:p>
    <w:p w14:paraId="4B6A4D2C">
      <w:pPr>
        <w:spacing w:after="0" w:line="240" w:lineRule="auto"/>
        <w:contextualSpacing/>
        <w:jc w:val="both"/>
        <w:rPr>
          <w:sz w:val="24"/>
          <w:szCs w:val="24"/>
        </w:rPr>
      </w:pPr>
      <w:r>
        <w:rPr>
          <w:sz w:val="24"/>
          <w:szCs w:val="24"/>
        </w:rPr>
        <w:t>3. В качестве основного источника тепловой энергии для тепловой сети горячего водоснабжения использовать котельные №2 МУП «БКС» и «2БВК».</w:t>
      </w:r>
    </w:p>
    <w:p w14:paraId="30533DAC">
      <w:pPr>
        <w:spacing w:after="0" w:line="240" w:lineRule="auto"/>
        <w:contextualSpacing/>
        <w:jc w:val="both"/>
        <w:rPr>
          <w:sz w:val="24"/>
          <w:szCs w:val="24"/>
        </w:rPr>
      </w:pPr>
    </w:p>
    <w:p w14:paraId="60BECD2C">
      <w:pPr>
        <w:spacing w:after="0" w:line="240" w:lineRule="auto"/>
        <w:contextualSpacing/>
        <w:jc w:val="both"/>
        <w:rPr>
          <w:sz w:val="24"/>
          <w:szCs w:val="24"/>
        </w:rPr>
      </w:pPr>
      <w:r>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31D14132">
      <w:pPr>
        <w:spacing w:after="0" w:line="240" w:lineRule="auto"/>
        <w:contextualSpacing/>
        <w:jc w:val="both"/>
        <w:rPr>
          <w:sz w:val="24"/>
          <w:szCs w:val="24"/>
        </w:rPr>
      </w:pPr>
    </w:p>
    <w:p w14:paraId="69336D09">
      <w:pPr>
        <w:pStyle w:val="3"/>
        <w:spacing w:before="0" w:line="240" w:lineRule="auto"/>
        <w:ind w:left="0" w:firstLine="709"/>
        <w:contextualSpacing/>
        <w:rPr>
          <w:rFonts w:cs="Times New Roman"/>
          <w:b w:val="0"/>
          <w:sz w:val="24"/>
          <w:szCs w:val="24"/>
        </w:rPr>
      </w:pPr>
      <w:bookmarkStart w:id="456" w:name="_Toc524614841"/>
      <w:bookmarkStart w:id="457" w:name="_Toc182813989"/>
      <w:bookmarkStart w:id="458" w:name="_Toc524615057"/>
      <w:r>
        <w:rPr>
          <w:rFonts w:cs="Times New Roman"/>
          <w:b w:val="0"/>
          <w:sz w:val="24"/>
          <w:szCs w:val="24"/>
        </w:rPr>
        <w:t>Технико-экономическое сравнение вариантов перспективного развития системы теплоснабжения</w:t>
      </w:r>
      <w:bookmarkEnd w:id="456"/>
      <w:bookmarkEnd w:id="457"/>
      <w:bookmarkEnd w:id="458"/>
    </w:p>
    <w:p w14:paraId="6D04FAE3">
      <w:pPr>
        <w:tabs>
          <w:tab w:val="left" w:pos="1134"/>
        </w:tabs>
        <w:spacing w:after="0" w:line="240" w:lineRule="auto"/>
        <w:contextualSpacing/>
        <w:jc w:val="both"/>
        <w:rPr>
          <w:sz w:val="24"/>
          <w:szCs w:val="24"/>
        </w:rPr>
      </w:pPr>
      <w:bookmarkStart w:id="459" w:name="_Hlk181709190"/>
      <w:r>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посёлка будет заключаться в строительстве новых (для подключения перспективных потребителей) и реконструкции существующих тепловых сетей.</w:t>
      </w:r>
    </w:p>
    <w:p w14:paraId="289EAB8B">
      <w:pPr>
        <w:tabs>
          <w:tab w:val="left" w:pos="1134"/>
        </w:tabs>
        <w:spacing w:after="0" w:line="240" w:lineRule="auto"/>
        <w:contextualSpacing/>
        <w:jc w:val="both"/>
        <w:rPr>
          <w:sz w:val="24"/>
          <w:szCs w:val="24"/>
        </w:rPr>
      </w:pPr>
      <w:r>
        <w:rPr>
          <w:sz w:val="24"/>
          <w:szCs w:val="24"/>
        </w:rPr>
        <w:t>Из приведённого выше следует, что принципиально различающихся вариантов перспективного развития системы теплоснабжения поселения на период до 2029 года нет. Поэтому к рассмотрению и дальнейшей проработке предлагается только один вариант, который включает в себя реализацию следующих проектов:</w:t>
      </w:r>
    </w:p>
    <w:p w14:paraId="0558502F">
      <w:pPr>
        <w:tabs>
          <w:tab w:val="left" w:pos="560"/>
        </w:tabs>
        <w:spacing w:after="0" w:line="240" w:lineRule="auto"/>
        <w:contextualSpacing/>
        <w:rPr>
          <w:rFonts w:eastAsia="Arial"/>
          <w:i/>
          <w:sz w:val="24"/>
          <w:szCs w:val="24"/>
        </w:rPr>
      </w:pPr>
      <w:bookmarkStart w:id="460" w:name="_Toc401824203"/>
      <w:bookmarkStart w:id="461" w:name="_Toc467142405"/>
      <w:bookmarkStart w:id="462" w:name="_Toc401822406"/>
      <w:bookmarkStart w:id="463" w:name="_Toc449527822"/>
      <w:r>
        <w:rPr>
          <w:i/>
          <w:sz w:val="24"/>
          <w:szCs w:val="24"/>
        </w:rPr>
        <w:t>По тепловым нагрузкам и их присоединению к действующим тепловым сетям:</w:t>
      </w:r>
    </w:p>
    <w:p w14:paraId="7ADF53D0">
      <w:pPr>
        <w:pStyle w:val="153"/>
        <w:numPr>
          <w:ilvl w:val="0"/>
          <w:numId w:val="42"/>
        </w:numPr>
        <w:tabs>
          <w:tab w:val="left" w:pos="993"/>
        </w:tabs>
        <w:ind w:left="0" w:firstLine="709"/>
        <w:rPr>
          <w:sz w:val="24"/>
          <w:szCs w:val="24"/>
        </w:rPr>
      </w:pPr>
      <w:r>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349325DC">
      <w:pPr>
        <w:pStyle w:val="153"/>
        <w:numPr>
          <w:ilvl w:val="0"/>
          <w:numId w:val="42"/>
        </w:numPr>
        <w:tabs>
          <w:tab w:val="left" w:pos="993"/>
        </w:tabs>
        <w:ind w:left="0" w:firstLine="709"/>
        <w:rPr>
          <w:sz w:val="24"/>
          <w:szCs w:val="24"/>
        </w:rPr>
      </w:pPr>
      <w:r>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78FC9ABC">
      <w:pPr>
        <w:pStyle w:val="153"/>
        <w:numPr>
          <w:ilvl w:val="0"/>
          <w:numId w:val="42"/>
        </w:numPr>
        <w:tabs>
          <w:tab w:val="left" w:pos="993"/>
        </w:tabs>
        <w:ind w:left="0" w:firstLine="709"/>
        <w:rPr>
          <w:sz w:val="24"/>
          <w:szCs w:val="24"/>
        </w:rPr>
      </w:pPr>
      <w:r>
        <w:rPr>
          <w:sz w:val="24"/>
          <w:szCs w:val="24"/>
        </w:rPr>
        <w:t>осуществляется изменение трассировки тепловых сетей с их реконструкцией;</w:t>
      </w:r>
    </w:p>
    <w:p w14:paraId="5A8C6E6A">
      <w:pPr>
        <w:pStyle w:val="153"/>
        <w:numPr>
          <w:ilvl w:val="0"/>
          <w:numId w:val="42"/>
        </w:numPr>
        <w:tabs>
          <w:tab w:val="left" w:pos="993"/>
        </w:tabs>
        <w:ind w:left="0" w:firstLine="709"/>
        <w:rPr>
          <w:sz w:val="24"/>
          <w:szCs w:val="24"/>
        </w:rPr>
      </w:pPr>
      <w:r>
        <w:rPr>
          <w:sz w:val="24"/>
          <w:szCs w:val="24"/>
        </w:rPr>
        <w:t>новая тепловая нагрузка вне зоны действия тепловых сетей покрывается за счет строительства новых блочных котельных.</w:t>
      </w:r>
    </w:p>
    <w:p w14:paraId="389C89E7">
      <w:pPr>
        <w:spacing w:after="0" w:line="240" w:lineRule="auto"/>
        <w:contextualSpacing/>
        <w:rPr>
          <w:rFonts w:eastAsia="Arial"/>
          <w:sz w:val="24"/>
          <w:szCs w:val="24"/>
        </w:rPr>
      </w:pPr>
    </w:p>
    <w:p w14:paraId="7DE29078">
      <w:pPr>
        <w:tabs>
          <w:tab w:val="left" w:pos="560"/>
        </w:tabs>
        <w:spacing w:after="0" w:line="240" w:lineRule="auto"/>
        <w:contextualSpacing/>
        <w:rPr>
          <w:rFonts w:eastAsia="Arial"/>
          <w:i/>
          <w:sz w:val="24"/>
          <w:szCs w:val="24"/>
        </w:rPr>
      </w:pPr>
      <w:r>
        <w:rPr>
          <w:i/>
          <w:sz w:val="24"/>
          <w:szCs w:val="24"/>
        </w:rPr>
        <w:t>По источникам тепловой энергии:</w:t>
      </w:r>
    </w:p>
    <w:p w14:paraId="4AEEFE41">
      <w:pPr>
        <w:pStyle w:val="153"/>
        <w:numPr>
          <w:ilvl w:val="0"/>
          <w:numId w:val="43"/>
        </w:numPr>
        <w:tabs>
          <w:tab w:val="left" w:pos="993"/>
        </w:tabs>
        <w:ind w:left="0" w:firstLine="709"/>
        <w:rPr>
          <w:sz w:val="24"/>
          <w:szCs w:val="24"/>
        </w:rPr>
      </w:pPr>
      <w:r>
        <w:rPr>
          <w:sz w:val="24"/>
          <w:szCs w:val="24"/>
        </w:rPr>
        <w:t>сохранение существующих источников тепловой энергии;</w:t>
      </w:r>
    </w:p>
    <w:p w14:paraId="7A0C6A14">
      <w:pPr>
        <w:pStyle w:val="153"/>
        <w:numPr>
          <w:ilvl w:val="0"/>
          <w:numId w:val="43"/>
        </w:numPr>
        <w:tabs>
          <w:tab w:val="left" w:pos="993"/>
        </w:tabs>
        <w:ind w:left="0" w:firstLine="709"/>
        <w:rPr>
          <w:sz w:val="24"/>
          <w:szCs w:val="24"/>
        </w:rPr>
      </w:pPr>
      <w:r>
        <w:rPr>
          <w:sz w:val="24"/>
          <w:szCs w:val="24"/>
        </w:rPr>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№2 МУП «БКС»;</w:t>
      </w:r>
    </w:p>
    <w:p w14:paraId="6112875D">
      <w:pPr>
        <w:pStyle w:val="153"/>
        <w:numPr>
          <w:ilvl w:val="0"/>
          <w:numId w:val="43"/>
        </w:numPr>
        <w:tabs>
          <w:tab w:val="left" w:pos="993"/>
        </w:tabs>
        <w:ind w:left="0" w:firstLine="709"/>
        <w:rPr>
          <w:sz w:val="24"/>
          <w:szCs w:val="24"/>
        </w:rPr>
      </w:pPr>
      <w:r>
        <w:rPr>
          <w:sz w:val="24"/>
          <w:szCs w:val="24"/>
        </w:rPr>
        <w:t>в качестве резервных источников для тепловой сети отопления жилого посёлка при авариях в системе централизованного теплоснабжения использовать котельные №2 МУП «БКС» и «Вирбекс»;</w:t>
      </w:r>
    </w:p>
    <w:p w14:paraId="040EFF32">
      <w:pPr>
        <w:pStyle w:val="153"/>
        <w:numPr>
          <w:ilvl w:val="0"/>
          <w:numId w:val="43"/>
        </w:numPr>
        <w:tabs>
          <w:tab w:val="left" w:pos="993"/>
        </w:tabs>
        <w:ind w:left="0" w:firstLine="709"/>
        <w:rPr>
          <w:sz w:val="24"/>
          <w:szCs w:val="24"/>
        </w:rPr>
      </w:pPr>
      <w:r>
        <w:rPr>
          <w:sz w:val="24"/>
          <w:szCs w:val="24"/>
        </w:rPr>
        <w:t>в качестве основного источника тепловой энергии для тепловой сети горячего водоснабжения использовать котельные №2 МУП «БКС» и «2БВК».</w:t>
      </w:r>
    </w:p>
    <w:p w14:paraId="2785CF9F">
      <w:pPr>
        <w:pStyle w:val="153"/>
        <w:tabs>
          <w:tab w:val="left" w:pos="993"/>
        </w:tabs>
        <w:ind w:left="709"/>
        <w:rPr>
          <w:sz w:val="24"/>
          <w:szCs w:val="24"/>
        </w:rPr>
      </w:pPr>
    </w:p>
    <w:bookmarkEnd w:id="459"/>
    <w:p w14:paraId="41718DD0">
      <w:pPr>
        <w:tabs>
          <w:tab w:val="left" w:pos="709"/>
        </w:tabs>
        <w:spacing w:after="0" w:line="240" w:lineRule="auto"/>
        <w:jc w:val="both"/>
        <w:rPr>
          <w:sz w:val="24"/>
          <w:szCs w:val="24"/>
        </w:rPr>
      </w:pPr>
      <w:r>
        <w:rPr>
          <w:sz w:val="24"/>
          <w:szCs w:val="24"/>
        </w:rPr>
        <w:t xml:space="preserve">Технико-экономическое сравнение вариантов выполнено в Главе 12 Обосновывающих материалов </w:t>
      </w:r>
      <w:r>
        <w:rPr>
          <w:bCs/>
          <w:sz w:val="24"/>
          <w:szCs w:val="24"/>
        </w:rPr>
        <w:t>«Обоснование инвестиций в строительство, реконструкцию и техническое перевооружение».</w:t>
      </w:r>
    </w:p>
    <w:bookmarkEnd w:id="460"/>
    <w:bookmarkEnd w:id="461"/>
    <w:bookmarkEnd w:id="462"/>
    <w:bookmarkEnd w:id="463"/>
    <w:p w14:paraId="0B7A3CAE">
      <w:pPr>
        <w:spacing w:after="0" w:line="240" w:lineRule="auto"/>
        <w:ind w:right="2"/>
        <w:jc w:val="both"/>
        <w:rPr>
          <w:sz w:val="24"/>
          <w:szCs w:val="24"/>
        </w:rPr>
      </w:pPr>
      <w:r>
        <w:rPr>
          <w:sz w:val="24"/>
          <w:szCs w:val="24"/>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259DC521">
      <w:pPr>
        <w:spacing w:after="0" w:line="240" w:lineRule="auto"/>
        <w:contextualSpacing/>
        <w:jc w:val="both"/>
        <w:rPr>
          <w:sz w:val="24"/>
          <w:szCs w:val="24"/>
        </w:rPr>
      </w:pPr>
    </w:p>
    <w:p w14:paraId="5E75E136">
      <w:pPr>
        <w:pStyle w:val="3"/>
        <w:spacing w:before="0" w:line="240" w:lineRule="auto"/>
        <w:ind w:left="0" w:firstLine="709"/>
        <w:contextualSpacing/>
        <w:rPr>
          <w:rFonts w:cs="Times New Roman"/>
          <w:b w:val="0"/>
          <w:sz w:val="24"/>
          <w:szCs w:val="24"/>
        </w:rPr>
      </w:pPr>
      <w:bookmarkStart w:id="464" w:name="_Toc524615058"/>
      <w:bookmarkStart w:id="465" w:name="_Toc524614842"/>
      <w:bookmarkStart w:id="466" w:name="_Toc15640892"/>
      <w:bookmarkStart w:id="467" w:name="_Toc182813990"/>
      <w:bookmarkStart w:id="468" w:name="_Hlk15651456"/>
      <w:r>
        <w:rPr>
          <w:rFonts w:cs="Times New Roman"/>
          <w:b w:val="0"/>
          <w:sz w:val="24"/>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464"/>
      <w:bookmarkEnd w:id="465"/>
      <w:r>
        <w:rPr>
          <w:rFonts w:cs="Times New Roman"/>
          <w:b w:val="0"/>
          <w:sz w:val="24"/>
          <w:szCs w:val="24"/>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66"/>
      <w:bookmarkEnd w:id="467"/>
    </w:p>
    <w:bookmarkEnd w:id="468"/>
    <w:p w14:paraId="43219A8B">
      <w:pPr>
        <w:tabs>
          <w:tab w:val="left" w:pos="1134"/>
        </w:tabs>
        <w:spacing w:after="0" w:line="240" w:lineRule="auto"/>
        <w:contextualSpacing/>
        <w:jc w:val="both"/>
        <w:rPr>
          <w:sz w:val="24"/>
          <w:szCs w:val="24"/>
        </w:rPr>
      </w:pPr>
      <w:r>
        <w:rPr>
          <w:sz w:val="24"/>
          <w:szCs w:val="24"/>
        </w:rPr>
        <w:t>Из приведённого выше следует, что для развития системы теплоснабжения поселения на период до 2029 года предлагается только один вариант развития, который приведен в п.5.2.</w:t>
      </w:r>
    </w:p>
    <w:p w14:paraId="4FF83936">
      <w:pPr>
        <w:spacing w:after="0" w:line="240" w:lineRule="auto"/>
        <w:contextualSpacing/>
        <w:jc w:val="both"/>
        <w:rPr>
          <w:sz w:val="24"/>
          <w:szCs w:val="24"/>
        </w:rPr>
      </w:pPr>
    </w:p>
    <w:p w14:paraId="32F76B03">
      <w:pPr>
        <w:pStyle w:val="3"/>
        <w:spacing w:before="0" w:line="240" w:lineRule="auto"/>
        <w:ind w:left="0" w:firstLine="709"/>
        <w:contextualSpacing/>
        <w:rPr>
          <w:rFonts w:cs="Times New Roman"/>
          <w:b w:val="0"/>
          <w:sz w:val="24"/>
          <w:szCs w:val="24"/>
        </w:rPr>
      </w:pPr>
      <w:bookmarkStart w:id="469" w:name="_Toc524614843"/>
      <w:bookmarkStart w:id="470" w:name="_Toc524615059"/>
      <w:bookmarkStart w:id="471" w:name="_Toc182813991"/>
      <w:bookmarkStart w:id="472" w:name="_Hlk43280250"/>
      <w:r>
        <w:rPr>
          <w:rFonts w:cs="Times New Roman"/>
          <w:b w:val="0"/>
          <w:sz w:val="24"/>
          <w:szCs w:val="24"/>
        </w:rPr>
        <w:t>Описание изменений в мастер-плане развития системы теплоснабжения за период, предшествующий актуализации схемы теплоснабжения</w:t>
      </w:r>
      <w:bookmarkEnd w:id="469"/>
      <w:bookmarkEnd w:id="470"/>
      <w:bookmarkEnd w:id="471"/>
    </w:p>
    <w:bookmarkEnd w:id="472"/>
    <w:p w14:paraId="069AF86E">
      <w:pPr>
        <w:spacing w:after="0" w:line="240" w:lineRule="auto"/>
        <w:contextualSpacing/>
        <w:jc w:val="both"/>
        <w:rPr>
          <w:sz w:val="24"/>
          <w:szCs w:val="24"/>
        </w:rPr>
      </w:pPr>
      <w:r>
        <w:rPr>
          <w:sz w:val="24"/>
          <w:szCs w:val="24"/>
        </w:rPr>
        <w:t>Актуальный план развития системы теплоснабжения не поменялся.</w:t>
      </w:r>
    </w:p>
    <w:p w14:paraId="63F6A203">
      <w:pPr>
        <w:spacing w:after="0" w:line="240" w:lineRule="auto"/>
        <w:contextualSpacing/>
        <w:jc w:val="both"/>
        <w:rPr>
          <w:sz w:val="24"/>
          <w:szCs w:val="24"/>
        </w:rPr>
      </w:pPr>
    </w:p>
    <w:p w14:paraId="7D17E821">
      <w:pPr>
        <w:spacing w:after="0" w:line="240" w:lineRule="auto"/>
        <w:contextualSpacing/>
        <w:jc w:val="both"/>
        <w:rPr>
          <w:bCs/>
          <w:color w:val="000000"/>
          <w:sz w:val="24"/>
          <w:szCs w:val="24"/>
          <w:shd w:val="clear" w:color="auto" w:fill="FFFFFF"/>
          <w:lang w:eastAsia="en-US"/>
        </w:rPr>
      </w:pPr>
    </w:p>
    <w:p w14:paraId="455E8387">
      <w:pPr>
        <w:spacing w:after="0" w:line="240" w:lineRule="auto"/>
        <w:contextualSpacing/>
        <w:jc w:val="both"/>
        <w:rPr>
          <w:bCs/>
          <w:color w:val="000000"/>
          <w:sz w:val="24"/>
          <w:szCs w:val="24"/>
          <w:shd w:val="clear" w:color="auto" w:fill="FFFFFF"/>
          <w:lang w:eastAsia="en-US"/>
        </w:rPr>
      </w:pPr>
    </w:p>
    <w:p w14:paraId="208A7DA6">
      <w:pPr>
        <w:spacing w:after="0" w:line="240" w:lineRule="auto"/>
        <w:contextualSpacing/>
        <w:jc w:val="both"/>
        <w:rPr>
          <w:bCs/>
          <w:color w:val="000000"/>
          <w:sz w:val="24"/>
          <w:szCs w:val="24"/>
          <w:shd w:val="clear" w:color="auto" w:fill="FFFFFF"/>
          <w:lang w:eastAsia="en-US"/>
        </w:rPr>
      </w:pPr>
    </w:p>
    <w:p w14:paraId="7297C80A">
      <w:pPr>
        <w:pStyle w:val="2"/>
        <w:keepLines w:val="0"/>
        <w:pageBreakBefore/>
        <w:widowControl w:val="0"/>
        <w:spacing w:before="0" w:line="240" w:lineRule="auto"/>
        <w:ind w:left="0" w:firstLine="709"/>
        <w:contextualSpacing/>
        <w:rPr>
          <w:rFonts w:cs="Times New Roman"/>
          <w:b w:val="0"/>
          <w:sz w:val="24"/>
          <w:szCs w:val="24"/>
        </w:rPr>
      </w:pPr>
      <w:bookmarkStart w:id="473" w:name="_Toc524615060"/>
      <w:bookmarkStart w:id="474" w:name="_Toc182813992"/>
      <w:bookmarkStart w:id="475" w:name="_Toc524614844"/>
      <w:r>
        <w:rPr>
          <w:rFonts w:cs="Times New Roman"/>
          <w:b w:val="0"/>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73"/>
      <w:bookmarkEnd w:id="474"/>
      <w:bookmarkEnd w:id="475"/>
    </w:p>
    <w:p w14:paraId="1EB1C8A4">
      <w:pPr>
        <w:pStyle w:val="3"/>
        <w:spacing w:before="0" w:line="240" w:lineRule="auto"/>
        <w:ind w:left="0" w:firstLine="709"/>
        <w:contextualSpacing/>
        <w:rPr>
          <w:rFonts w:cs="Times New Roman"/>
          <w:b w:val="0"/>
          <w:sz w:val="24"/>
          <w:szCs w:val="24"/>
        </w:rPr>
      </w:pPr>
      <w:bookmarkStart w:id="476" w:name="_Hlk36647064"/>
      <w:bookmarkStart w:id="477" w:name="_Toc524614845"/>
      <w:bookmarkStart w:id="478" w:name="_Toc524615061"/>
      <w:bookmarkStart w:id="479" w:name="_Toc182813993"/>
      <w:r>
        <w:rPr>
          <w:rFonts w:cs="Times New Roman"/>
          <w:b w:val="0"/>
          <w:sz w:val="24"/>
          <w:szCs w:val="24"/>
        </w:rPr>
        <w:t xml:space="preserve">Расчетная величина нормативных потерь теплоносителя в тепловых сетях </w:t>
      </w:r>
      <w:bookmarkEnd w:id="476"/>
      <w:r>
        <w:rPr>
          <w:rFonts w:cs="Times New Roman"/>
          <w:b w:val="0"/>
          <w:sz w:val="24"/>
          <w:szCs w:val="24"/>
        </w:rPr>
        <w:t>в зонах действия источников тепловой энергии</w:t>
      </w:r>
      <w:bookmarkEnd w:id="477"/>
      <w:bookmarkEnd w:id="478"/>
      <w:bookmarkEnd w:id="479"/>
    </w:p>
    <w:p w14:paraId="0308A146">
      <w:pPr>
        <w:spacing w:after="0" w:line="240" w:lineRule="auto"/>
        <w:contextualSpacing/>
        <w:jc w:val="both"/>
        <w:rPr>
          <w:sz w:val="24"/>
          <w:szCs w:val="24"/>
        </w:rPr>
      </w:pPr>
      <w:r>
        <w:rPr>
          <w:sz w:val="24"/>
          <w:szCs w:val="24"/>
        </w:rPr>
        <w:t>К нормируемым технологическим затратам теплоносителя (теплоноситель – вода) относятся:</w:t>
      </w:r>
    </w:p>
    <w:p w14:paraId="5B920769">
      <w:pPr>
        <w:spacing w:after="0" w:line="240" w:lineRule="auto"/>
        <w:contextualSpacing/>
        <w:jc w:val="both"/>
        <w:rPr>
          <w:sz w:val="24"/>
          <w:szCs w:val="24"/>
        </w:rPr>
      </w:pPr>
      <w:r>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1A438DD9">
      <w:pPr>
        <w:spacing w:after="0" w:line="240" w:lineRule="auto"/>
        <w:contextualSpacing/>
        <w:jc w:val="both"/>
        <w:rPr>
          <w:sz w:val="24"/>
          <w:szCs w:val="24"/>
        </w:rPr>
      </w:pPr>
      <w:r>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7942D802">
      <w:pPr>
        <w:spacing w:after="0" w:line="240" w:lineRule="auto"/>
        <w:contextualSpacing/>
        <w:jc w:val="both"/>
        <w:rPr>
          <w:sz w:val="24"/>
          <w:szCs w:val="24"/>
        </w:rPr>
      </w:pPr>
      <w:r>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334A1887">
      <w:pPr>
        <w:spacing w:after="0" w:line="240" w:lineRule="auto"/>
        <w:contextualSpacing/>
        <w:jc w:val="both"/>
        <w:rPr>
          <w:sz w:val="24"/>
          <w:szCs w:val="24"/>
        </w:rPr>
      </w:pPr>
      <w:r>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225009FC">
      <w:pPr>
        <w:spacing w:after="0" w:line="240" w:lineRule="auto"/>
        <w:contextualSpacing/>
        <w:jc w:val="both"/>
        <w:rPr>
          <w:sz w:val="24"/>
          <w:szCs w:val="24"/>
        </w:rPr>
      </w:pPr>
      <w:r>
        <w:rPr>
          <w:sz w:val="24"/>
          <w:szCs w:val="24"/>
        </w:rPr>
        <w:t>Нормативные значения потерь теплоносителя за год с его нормируемой утечкой, м</w:t>
      </w:r>
      <w:r>
        <w:rPr>
          <w:sz w:val="24"/>
          <w:szCs w:val="24"/>
          <w:vertAlign w:val="superscript"/>
        </w:rPr>
        <w:t>3</w:t>
      </w:r>
      <w:r>
        <w:rPr>
          <w:sz w:val="24"/>
          <w:szCs w:val="24"/>
        </w:rPr>
        <w:t>, определялись по формуле:</w:t>
      </w:r>
    </w:p>
    <w:p w14:paraId="5582EC5D">
      <w:pPr>
        <w:spacing w:after="0" w:line="240" w:lineRule="auto"/>
        <w:contextualSpacing/>
        <w:jc w:val="center"/>
        <w:rPr>
          <w:sz w:val="24"/>
          <w:szCs w:val="24"/>
        </w:rPr>
      </w:pPr>
      <w:r>
        <w:rPr>
          <w:sz w:val="24"/>
          <w:szCs w:val="24"/>
        </w:rPr>
        <w:t>G</w:t>
      </w:r>
      <w:r>
        <w:rPr>
          <w:sz w:val="24"/>
          <w:szCs w:val="24"/>
          <w:vertAlign w:val="subscript"/>
        </w:rPr>
        <w:t>ут.н</w:t>
      </w:r>
      <w:r>
        <w:rPr>
          <w:sz w:val="24"/>
          <w:szCs w:val="24"/>
        </w:rPr>
        <w:t xml:space="preserve"> = аV</w:t>
      </w:r>
      <w:r>
        <w:rPr>
          <w:sz w:val="24"/>
          <w:szCs w:val="24"/>
          <w:vertAlign w:val="subscript"/>
        </w:rPr>
        <w:t>год</w:t>
      </w:r>
      <w:r>
        <w:rPr>
          <w:sz w:val="24"/>
          <w:szCs w:val="24"/>
        </w:rPr>
        <w:t>n</w:t>
      </w:r>
      <w:r>
        <w:rPr>
          <w:sz w:val="24"/>
          <w:szCs w:val="24"/>
          <w:vertAlign w:val="subscript"/>
        </w:rPr>
        <w:t>год</w:t>
      </w:r>
      <w:r>
        <w:rPr>
          <w:sz w:val="24"/>
          <w:szCs w:val="24"/>
        </w:rPr>
        <w:t>10</w:t>
      </w:r>
      <w:r>
        <w:rPr>
          <w:sz w:val="24"/>
          <w:szCs w:val="24"/>
          <w:vertAlign w:val="superscript"/>
        </w:rPr>
        <w:t>–2</w:t>
      </w:r>
      <w:r>
        <w:rPr>
          <w:sz w:val="24"/>
          <w:szCs w:val="24"/>
        </w:rPr>
        <w:t xml:space="preserve"> = m</w:t>
      </w:r>
      <w:r>
        <w:rPr>
          <w:sz w:val="24"/>
          <w:szCs w:val="24"/>
          <w:vertAlign w:val="subscript"/>
        </w:rPr>
        <w:t>ут.год.н</w:t>
      </w:r>
      <w:r>
        <w:rPr>
          <w:sz w:val="24"/>
          <w:szCs w:val="24"/>
        </w:rPr>
        <w:t>n</w:t>
      </w:r>
      <w:r>
        <w:rPr>
          <w:sz w:val="24"/>
          <w:szCs w:val="24"/>
          <w:vertAlign w:val="subscript"/>
        </w:rPr>
        <w:t>год</w:t>
      </w:r>
      <w:r>
        <w:rPr>
          <w:sz w:val="24"/>
          <w:szCs w:val="24"/>
        </w:rPr>
        <w:t>,</w:t>
      </w:r>
    </w:p>
    <w:p w14:paraId="377E8B24">
      <w:pPr>
        <w:spacing w:after="0" w:line="240" w:lineRule="auto"/>
        <w:contextualSpacing/>
        <w:jc w:val="both"/>
        <w:rPr>
          <w:sz w:val="24"/>
          <w:szCs w:val="24"/>
        </w:rPr>
      </w:pPr>
      <w:r>
        <w:rPr>
          <w:sz w:val="24"/>
          <w:szCs w:val="24"/>
        </w:rPr>
        <w:t>где: а – норма среднегодовой утечки теплоносителя, м</w:t>
      </w:r>
      <w:r>
        <w:rPr>
          <w:sz w:val="24"/>
          <w:szCs w:val="24"/>
          <w:vertAlign w:val="superscript"/>
        </w:rPr>
        <w:t>3</w:t>
      </w:r>
      <w:r>
        <w:rPr>
          <w:sz w:val="24"/>
          <w:szCs w:val="24"/>
        </w:rPr>
        <w:t>/чм</w:t>
      </w:r>
      <w:r>
        <w:rPr>
          <w:sz w:val="24"/>
          <w:szCs w:val="24"/>
          <w:vertAlign w:val="superscript"/>
        </w:rPr>
        <w:t>3</w:t>
      </w:r>
      <w:r>
        <w:rPr>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344069C0">
      <w:pPr>
        <w:spacing w:after="0" w:line="240" w:lineRule="auto"/>
        <w:contextualSpacing/>
        <w:jc w:val="both"/>
        <w:rPr>
          <w:sz w:val="24"/>
          <w:szCs w:val="24"/>
        </w:rPr>
      </w:pPr>
      <w:r>
        <w:rPr>
          <w:sz w:val="24"/>
          <w:szCs w:val="24"/>
        </w:rPr>
        <w:t>V</w:t>
      </w:r>
      <w:r>
        <w:rPr>
          <w:sz w:val="24"/>
          <w:szCs w:val="24"/>
          <w:vertAlign w:val="subscript"/>
        </w:rPr>
        <w:t>год</w:t>
      </w:r>
      <w:r>
        <w:rPr>
          <w:sz w:val="24"/>
          <w:szCs w:val="24"/>
        </w:rPr>
        <w:t xml:space="preserve"> – среднегодовая емкость трубопроводов тепловых сетей, эксплуатируемых теплосетевой организацией, м</w:t>
      </w:r>
      <w:r>
        <w:rPr>
          <w:sz w:val="24"/>
          <w:szCs w:val="24"/>
          <w:vertAlign w:val="superscript"/>
        </w:rPr>
        <w:t>3</w:t>
      </w:r>
      <w:r>
        <w:rPr>
          <w:sz w:val="24"/>
          <w:szCs w:val="24"/>
        </w:rPr>
        <w:t>;</w:t>
      </w:r>
    </w:p>
    <w:p w14:paraId="453EC687">
      <w:pPr>
        <w:spacing w:after="0" w:line="240" w:lineRule="auto"/>
        <w:contextualSpacing/>
        <w:jc w:val="both"/>
        <w:rPr>
          <w:sz w:val="24"/>
          <w:szCs w:val="24"/>
        </w:rPr>
      </w:pPr>
      <w:r>
        <w:rPr>
          <w:sz w:val="24"/>
          <w:szCs w:val="24"/>
        </w:rPr>
        <w:t>n</w:t>
      </w:r>
      <w:r>
        <w:rPr>
          <w:sz w:val="24"/>
          <w:szCs w:val="24"/>
          <w:vertAlign w:val="subscript"/>
        </w:rPr>
        <w:t>год</w:t>
      </w:r>
      <w:r>
        <w:rPr>
          <w:sz w:val="24"/>
          <w:szCs w:val="24"/>
        </w:rPr>
        <w:t xml:space="preserve"> – продолжительность функционирования тепловых сетей в году, ч;</w:t>
      </w:r>
    </w:p>
    <w:p w14:paraId="79426C60">
      <w:pPr>
        <w:spacing w:after="0" w:line="240" w:lineRule="auto"/>
        <w:contextualSpacing/>
        <w:jc w:val="both"/>
        <w:rPr>
          <w:sz w:val="24"/>
          <w:szCs w:val="24"/>
        </w:rPr>
      </w:pPr>
      <w:r>
        <w:rPr>
          <w:sz w:val="24"/>
          <w:szCs w:val="24"/>
        </w:rPr>
        <w:t>m</w:t>
      </w:r>
      <w:r>
        <w:rPr>
          <w:sz w:val="24"/>
          <w:szCs w:val="24"/>
          <w:vertAlign w:val="subscript"/>
        </w:rPr>
        <w:t>ут.год.н</w:t>
      </w:r>
      <w:r>
        <w:rPr>
          <w:sz w:val="24"/>
          <w:szCs w:val="24"/>
        </w:rPr>
        <w:t xml:space="preserve"> – среднегодовая норма потерь теплоносителя, обусловленных утечкой, м</w:t>
      </w:r>
      <w:r>
        <w:rPr>
          <w:sz w:val="24"/>
          <w:szCs w:val="24"/>
          <w:vertAlign w:val="superscript"/>
        </w:rPr>
        <w:t>3</w:t>
      </w:r>
      <w:r>
        <w:rPr>
          <w:sz w:val="24"/>
          <w:szCs w:val="24"/>
        </w:rPr>
        <w:t>/ч.</w:t>
      </w:r>
    </w:p>
    <w:p w14:paraId="2C140BDE">
      <w:pPr>
        <w:spacing w:after="0" w:line="240" w:lineRule="auto"/>
        <w:contextualSpacing/>
        <w:jc w:val="both"/>
        <w:rPr>
          <w:sz w:val="24"/>
          <w:szCs w:val="24"/>
        </w:rPr>
      </w:pPr>
    </w:p>
    <w:p w14:paraId="6BEBA35A">
      <w:pPr>
        <w:spacing w:after="0" w:line="240" w:lineRule="auto"/>
        <w:contextualSpacing/>
        <w:jc w:val="both"/>
        <w:rPr>
          <w:sz w:val="24"/>
          <w:szCs w:val="24"/>
        </w:rPr>
      </w:pPr>
      <w:r>
        <w:rPr>
          <w:sz w:val="24"/>
          <w:szCs w:val="24"/>
        </w:rPr>
        <w:t>Значение среднегодовой емкости трубопроводов тепловых сетей, м</w:t>
      </w:r>
      <w:r>
        <w:rPr>
          <w:sz w:val="24"/>
          <w:szCs w:val="24"/>
          <w:vertAlign w:val="superscript"/>
        </w:rPr>
        <w:t>3</w:t>
      </w:r>
      <w:r>
        <w:rPr>
          <w:sz w:val="24"/>
          <w:szCs w:val="24"/>
        </w:rPr>
        <w:t>, определялась из выражения:</w:t>
      </w:r>
    </w:p>
    <w:p w14:paraId="2B3356BF">
      <w:pPr>
        <w:spacing w:after="0" w:line="240" w:lineRule="auto"/>
        <w:ind w:firstLine="0"/>
        <w:contextualSpacing/>
        <w:jc w:val="center"/>
        <w:rPr>
          <w:sz w:val="24"/>
          <w:szCs w:val="24"/>
        </w:rPr>
      </w:pPr>
      <w:r>
        <w:rPr>
          <w:sz w:val="24"/>
          <w:szCs w:val="24"/>
        </w:rPr>
        <w:t>V</w:t>
      </w:r>
      <w:r>
        <w:rPr>
          <w:sz w:val="24"/>
          <w:szCs w:val="24"/>
          <w:vertAlign w:val="subscript"/>
        </w:rPr>
        <w:t>год</w:t>
      </w:r>
      <w:r>
        <w:rPr>
          <w:sz w:val="24"/>
          <w:szCs w:val="24"/>
        </w:rPr>
        <w:t xml:space="preserve"> = (V</w:t>
      </w:r>
      <w:r>
        <w:rPr>
          <w:sz w:val="24"/>
          <w:szCs w:val="24"/>
          <w:vertAlign w:val="subscript"/>
        </w:rPr>
        <w:t>от</w:t>
      </w:r>
      <w:r>
        <w:rPr>
          <w:sz w:val="24"/>
          <w:szCs w:val="24"/>
        </w:rPr>
        <w:t>n</w:t>
      </w:r>
      <w:r>
        <w:rPr>
          <w:sz w:val="24"/>
          <w:szCs w:val="24"/>
          <w:vertAlign w:val="subscript"/>
        </w:rPr>
        <w:t>от</w:t>
      </w:r>
      <w:r>
        <w:rPr>
          <w:sz w:val="24"/>
          <w:szCs w:val="24"/>
        </w:rPr>
        <w:t xml:space="preserve"> + V</w:t>
      </w:r>
      <w:r>
        <w:rPr>
          <w:sz w:val="24"/>
          <w:szCs w:val="24"/>
          <w:vertAlign w:val="subscript"/>
        </w:rPr>
        <w:t>л</w:t>
      </w:r>
      <w:r>
        <w:rPr>
          <w:sz w:val="24"/>
          <w:szCs w:val="24"/>
        </w:rPr>
        <w:t>n</w:t>
      </w:r>
      <w:r>
        <w:rPr>
          <w:sz w:val="24"/>
          <w:szCs w:val="24"/>
          <w:vertAlign w:val="subscript"/>
        </w:rPr>
        <w:t>л</w:t>
      </w:r>
      <w:r>
        <w:rPr>
          <w:sz w:val="24"/>
          <w:szCs w:val="24"/>
        </w:rPr>
        <w:t>) / (n</w:t>
      </w:r>
      <w:r>
        <w:rPr>
          <w:sz w:val="24"/>
          <w:szCs w:val="24"/>
          <w:vertAlign w:val="subscript"/>
        </w:rPr>
        <w:t>от</w:t>
      </w:r>
      <w:r>
        <w:rPr>
          <w:sz w:val="24"/>
          <w:szCs w:val="24"/>
        </w:rPr>
        <w:t xml:space="preserve"> + n</w:t>
      </w:r>
      <w:r>
        <w:rPr>
          <w:sz w:val="24"/>
          <w:szCs w:val="24"/>
          <w:vertAlign w:val="subscript"/>
        </w:rPr>
        <w:t>л</w:t>
      </w:r>
      <w:r>
        <w:rPr>
          <w:sz w:val="24"/>
          <w:szCs w:val="24"/>
        </w:rPr>
        <w:t>) = (V</w:t>
      </w:r>
      <w:r>
        <w:rPr>
          <w:sz w:val="24"/>
          <w:szCs w:val="24"/>
          <w:vertAlign w:val="subscript"/>
        </w:rPr>
        <w:t>от</w:t>
      </w:r>
      <w:r>
        <w:rPr>
          <w:sz w:val="24"/>
          <w:szCs w:val="24"/>
        </w:rPr>
        <w:t>n</w:t>
      </w:r>
      <w:r>
        <w:rPr>
          <w:sz w:val="24"/>
          <w:szCs w:val="24"/>
          <w:vertAlign w:val="subscript"/>
        </w:rPr>
        <w:t>от</w:t>
      </w:r>
      <w:r>
        <w:rPr>
          <w:sz w:val="24"/>
          <w:szCs w:val="24"/>
        </w:rPr>
        <w:t xml:space="preserve"> + V</w:t>
      </w:r>
      <w:r>
        <w:rPr>
          <w:sz w:val="24"/>
          <w:szCs w:val="24"/>
          <w:vertAlign w:val="subscript"/>
        </w:rPr>
        <w:t>л</w:t>
      </w:r>
      <w:r>
        <w:rPr>
          <w:sz w:val="24"/>
          <w:szCs w:val="24"/>
        </w:rPr>
        <w:t>n</w:t>
      </w:r>
      <w:r>
        <w:rPr>
          <w:sz w:val="24"/>
          <w:szCs w:val="24"/>
          <w:vertAlign w:val="subscript"/>
        </w:rPr>
        <w:t>л</w:t>
      </w:r>
      <w:r>
        <w:rPr>
          <w:sz w:val="24"/>
          <w:szCs w:val="24"/>
        </w:rPr>
        <w:t>) / n</w:t>
      </w:r>
      <w:r>
        <w:rPr>
          <w:sz w:val="24"/>
          <w:szCs w:val="24"/>
          <w:vertAlign w:val="subscript"/>
        </w:rPr>
        <w:t>год</w:t>
      </w:r>
      <w:r>
        <w:rPr>
          <w:sz w:val="24"/>
          <w:szCs w:val="24"/>
        </w:rPr>
        <w:t>,</w:t>
      </w:r>
    </w:p>
    <w:p w14:paraId="3746D43B">
      <w:pPr>
        <w:spacing w:after="0" w:line="240" w:lineRule="auto"/>
        <w:contextualSpacing/>
        <w:jc w:val="both"/>
        <w:rPr>
          <w:sz w:val="24"/>
          <w:szCs w:val="24"/>
        </w:rPr>
      </w:pPr>
      <w:r>
        <w:rPr>
          <w:sz w:val="24"/>
          <w:szCs w:val="24"/>
        </w:rPr>
        <w:t>где V</w:t>
      </w:r>
      <w:r>
        <w:rPr>
          <w:sz w:val="24"/>
          <w:szCs w:val="24"/>
          <w:vertAlign w:val="subscript"/>
        </w:rPr>
        <w:t>от</w:t>
      </w:r>
      <w:r>
        <w:rPr>
          <w:sz w:val="24"/>
          <w:szCs w:val="24"/>
        </w:rPr>
        <w:t xml:space="preserve"> и V</w:t>
      </w:r>
      <w:r>
        <w:rPr>
          <w:sz w:val="24"/>
          <w:szCs w:val="24"/>
          <w:vertAlign w:val="subscript"/>
        </w:rPr>
        <w:t>л</w:t>
      </w:r>
      <w:r>
        <w:rPr>
          <w:sz w:val="24"/>
          <w:szCs w:val="24"/>
        </w:rPr>
        <w:t xml:space="preserve"> – емкость трубопроводов тепловых сетей в отопительном и неотопительном периодах, м</w:t>
      </w:r>
      <w:r>
        <w:rPr>
          <w:sz w:val="24"/>
          <w:szCs w:val="24"/>
          <w:vertAlign w:val="superscript"/>
        </w:rPr>
        <w:t>3</w:t>
      </w:r>
      <w:r>
        <w:rPr>
          <w:sz w:val="24"/>
          <w:szCs w:val="24"/>
        </w:rPr>
        <w:t>;</w:t>
      </w:r>
    </w:p>
    <w:p w14:paraId="7233A2C6">
      <w:pPr>
        <w:spacing w:after="0" w:line="240" w:lineRule="auto"/>
        <w:contextualSpacing/>
        <w:jc w:val="both"/>
        <w:rPr>
          <w:sz w:val="24"/>
          <w:szCs w:val="24"/>
        </w:rPr>
      </w:pPr>
      <w:r>
        <w:rPr>
          <w:sz w:val="24"/>
          <w:szCs w:val="24"/>
        </w:rPr>
        <w:t>n</w:t>
      </w:r>
      <w:r>
        <w:rPr>
          <w:sz w:val="24"/>
          <w:szCs w:val="24"/>
          <w:vertAlign w:val="subscript"/>
        </w:rPr>
        <w:t>от</w:t>
      </w:r>
      <w:r>
        <w:rPr>
          <w:sz w:val="24"/>
          <w:szCs w:val="24"/>
        </w:rPr>
        <w:t xml:space="preserve"> и n</w:t>
      </w:r>
      <w:r>
        <w:rPr>
          <w:sz w:val="24"/>
          <w:szCs w:val="24"/>
          <w:vertAlign w:val="subscript"/>
        </w:rPr>
        <w:t>л</w:t>
      </w:r>
      <w:r>
        <w:rPr>
          <w:sz w:val="24"/>
          <w:szCs w:val="24"/>
        </w:rPr>
        <w:t xml:space="preserve"> – продолжительность функционирования тепловых сетей в отопительном и неотопительном периодах, ч.</w:t>
      </w:r>
    </w:p>
    <w:p w14:paraId="493659FC">
      <w:pPr>
        <w:spacing w:after="0" w:line="240" w:lineRule="auto"/>
        <w:contextualSpacing/>
        <w:jc w:val="both"/>
        <w:rPr>
          <w:sz w:val="24"/>
          <w:szCs w:val="24"/>
        </w:rPr>
      </w:pPr>
    </w:p>
    <w:p w14:paraId="7AA0E33C">
      <w:pPr>
        <w:spacing w:after="0" w:line="240" w:lineRule="auto"/>
        <w:contextualSpacing/>
        <w:jc w:val="both"/>
        <w:rPr>
          <w:sz w:val="24"/>
          <w:szCs w:val="24"/>
        </w:rPr>
      </w:pPr>
      <w:r>
        <w:rPr>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3F402061">
      <w:pPr>
        <w:spacing w:after="0" w:line="240" w:lineRule="auto"/>
        <w:contextualSpacing/>
        <w:jc w:val="both"/>
        <w:rPr>
          <w:sz w:val="24"/>
          <w:szCs w:val="24"/>
        </w:rPr>
      </w:pPr>
      <w:r>
        <w:rPr>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Pr>
          <w:sz w:val="24"/>
          <w:szCs w:val="24"/>
          <w:vertAlign w:val="superscript"/>
        </w:rPr>
        <w:t>2</w:t>
      </w:r>
      <w:r>
        <w:rPr>
          <w:sz w:val="24"/>
          <w:szCs w:val="24"/>
        </w:rPr>
        <w:t xml:space="preserve"> в верхних точках трубопроводов.</w:t>
      </w:r>
    </w:p>
    <w:p w14:paraId="2223CBE1">
      <w:pPr>
        <w:spacing w:after="0" w:line="240" w:lineRule="auto"/>
        <w:contextualSpacing/>
        <w:jc w:val="both"/>
        <w:rPr>
          <w:sz w:val="24"/>
          <w:szCs w:val="24"/>
        </w:rPr>
      </w:pPr>
      <w:r>
        <w:rPr>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14:paraId="5BC90A8B">
      <w:pPr>
        <w:spacing w:after="0" w:line="240" w:lineRule="auto"/>
        <w:contextualSpacing/>
        <w:jc w:val="both"/>
        <w:rPr>
          <w:sz w:val="24"/>
          <w:szCs w:val="24"/>
        </w:rPr>
      </w:pPr>
      <w:r>
        <w:rPr>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4B85E0B8">
      <w:pPr>
        <w:spacing w:after="0" w:line="240" w:lineRule="auto"/>
        <w:contextualSpacing/>
        <w:jc w:val="both"/>
        <w:rPr>
          <w:sz w:val="24"/>
          <w:szCs w:val="24"/>
        </w:rPr>
      </w:pPr>
      <w:r>
        <w:rPr>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427A2716">
      <w:pPr>
        <w:spacing w:after="0" w:line="240" w:lineRule="auto"/>
        <w:contextualSpacing/>
        <w:jc w:val="both"/>
        <w:rPr>
          <w:sz w:val="24"/>
          <w:szCs w:val="24"/>
        </w:rPr>
      </w:pPr>
      <w:r>
        <w:rPr>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муниципального образования действующих приборов автоматики или защиты такого типа.</w:t>
      </w:r>
    </w:p>
    <w:p w14:paraId="4CF876AC">
      <w:pPr>
        <w:spacing w:after="0" w:line="240" w:lineRule="auto"/>
        <w:contextualSpacing/>
        <w:jc w:val="both"/>
        <w:rPr>
          <w:sz w:val="24"/>
          <w:szCs w:val="24"/>
        </w:rPr>
      </w:pPr>
      <w:r>
        <w:rPr>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53C623F9">
      <w:pPr>
        <w:spacing w:after="0" w:line="240" w:lineRule="auto"/>
        <w:contextualSpacing/>
        <w:jc w:val="both"/>
        <w:rPr>
          <w:sz w:val="24"/>
          <w:szCs w:val="24"/>
        </w:rPr>
      </w:pPr>
      <w:r>
        <w:rPr>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5AB272BE">
      <w:pPr>
        <w:suppressAutoHyphens/>
        <w:spacing w:after="0" w:line="240" w:lineRule="auto"/>
        <w:contextualSpacing/>
        <w:jc w:val="both"/>
        <w:rPr>
          <w:sz w:val="24"/>
          <w:szCs w:val="24"/>
        </w:rPr>
      </w:pPr>
      <w:r>
        <w:rPr>
          <w:sz w:val="24"/>
          <w:szCs w:val="24"/>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14:paraId="1990DCE6">
      <w:pPr>
        <w:suppressAutoHyphens/>
        <w:spacing w:after="0" w:line="240" w:lineRule="auto"/>
        <w:ind w:firstLine="0"/>
        <w:contextualSpacing/>
        <w:jc w:val="center"/>
        <w:rPr>
          <w:sz w:val="24"/>
          <w:szCs w:val="24"/>
        </w:rPr>
      </w:pPr>
      <w:r>
        <w:rPr>
          <w:rFonts w:eastAsia="MS Mincho"/>
          <w:position w:val="-32"/>
          <w:sz w:val="24"/>
          <w:szCs w:val="24"/>
        </w:rPr>
        <w:object>
          <v:shape id="_x0000_i1026" o:spt="75" type="#_x0000_t75" style="height:50.25pt;width:165.7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14:paraId="0DFB17CC">
      <w:pPr>
        <w:suppressAutoHyphens/>
        <w:spacing w:after="0" w:line="240" w:lineRule="auto"/>
        <w:contextualSpacing/>
        <w:jc w:val="both"/>
        <w:rPr>
          <w:sz w:val="24"/>
          <w:szCs w:val="24"/>
        </w:rPr>
      </w:pPr>
      <w:r>
        <w:rPr>
          <w:sz w:val="24"/>
          <w:szCs w:val="24"/>
        </w:rPr>
        <w:t xml:space="preserve">где: </w:t>
      </w:r>
      <w:r>
        <w:rPr>
          <w:position w:val="-12"/>
          <w:sz w:val="24"/>
          <w:szCs w:val="24"/>
        </w:rPr>
        <w:object>
          <v:shape id="_x0000_i1027" o:spt="75" type="#_x0000_t75" style="height:21.75pt;width:27.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sz w:val="24"/>
          <w:szCs w:val="24"/>
        </w:rPr>
        <w:t xml:space="preserve">–ожидаемые годовые потери сетевой воды на период регулирования, м³; </w:t>
      </w:r>
    </w:p>
    <w:p w14:paraId="31F901FC">
      <w:pPr>
        <w:suppressAutoHyphens/>
        <w:spacing w:after="0" w:line="240" w:lineRule="auto"/>
        <w:contextualSpacing/>
        <w:jc w:val="both"/>
        <w:rPr>
          <w:sz w:val="24"/>
          <w:szCs w:val="24"/>
        </w:rPr>
      </w:pPr>
      <w:r>
        <w:rPr>
          <w:position w:val="-12"/>
          <w:sz w:val="24"/>
          <w:szCs w:val="24"/>
        </w:rPr>
        <w:object>
          <v:shape id="_x0000_i1028" o:spt="75" type="#_x0000_t75" style="height:21.75pt;width:27.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20C382E0">
      <w:pPr>
        <w:suppressAutoHyphens/>
        <w:spacing w:after="0" w:line="240" w:lineRule="auto"/>
        <w:contextualSpacing/>
        <w:jc w:val="both"/>
        <w:rPr>
          <w:sz w:val="24"/>
          <w:szCs w:val="24"/>
        </w:rPr>
      </w:pPr>
      <w:r>
        <w:rPr>
          <w:position w:val="-14"/>
          <w:sz w:val="24"/>
          <w:szCs w:val="24"/>
        </w:rPr>
        <w:object>
          <v:shape id="_x0000_i1029" o:spt="75" type="#_x0000_t75" style="height:21.75pt;width:44.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sz w:val="24"/>
          <w:szCs w:val="24"/>
        </w:rPr>
        <w:t xml:space="preserve">– ожидаемый суммарный среднегодовой объем тепловых сетей, м³; </w:t>
      </w:r>
    </w:p>
    <w:p w14:paraId="50EDF225">
      <w:pPr>
        <w:suppressAutoHyphens/>
        <w:spacing w:after="0" w:line="240" w:lineRule="auto"/>
        <w:contextualSpacing/>
        <w:jc w:val="both"/>
        <w:rPr>
          <w:sz w:val="24"/>
          <w:szCs w:val="24"/>
        </w:rPr>
      </w:pPr>
      <w:r>
        <w:rPr>
          <w:position w:val="-14"/>
          <w:sz w:val="24"/>
          <w:szCs w:val="24"/>
        </w:rPr>
        <w:object>
          <v:shape id="_x0000_i1030" o:spt="75" type="#_x0000_t75" style="height:21.75pt;width:44.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sz w:val="24"/>
          <w:szCs w:val="24"/>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14:paraId="7ED7A5FD">
      <w:pPr>
        <w:pStyle w:val="43"/>
        <w:keepNext/>
        <w:spacing w:before="0" w:after="0" w:line="240" w:lineRule="auto"/>
        <w:ind w:firstLine="709"/>
        <w:contextualSpacing/>
        <w:rPr>
          <w:rFonts w:cs="Times New Roman"/>
          <w:b w:val="0"/>
          <w:sz w:val="24"/>
          <w:szCs w:val="24"/>
        </w:rPr>
      </w:pPr>
    </w:p>
    <w:p w14:paraId="6774170C">
      <w:pPr>
        <w:spacing w:after="0" w:line="240" w:lineRule="auto"/>
        <w:contextualSpacing/>
        <w:jc w:val="both"/>
        <w:rPr>
          <w:sz w:val="24"/>
          <w:szCs w:val="24"/>
        </w:rPr>
      </w:pPr>
      <w:r>
        <w:rPr>
          <w:sz w:val="24"/>
          <w:szCs w:val="24"/>
        </w:rPr>
        <w:t>Фактические технологические потери при передаче тепловой энергии по тепловым сетям представлены в таблице 55.</w:t>
      </w:r>
    </w:p>
    <w:p w14:paraId="66F72ED6">
      <w:pPr>
        <w:spacing w:after="0" w:line="240" w:lineRule="auto"/>
        <w:contextualSpacing/>
        <w:jc w:val="both"/>
        <w:rPr>
          <w:sz w:val="24"/>
          <w:szCs w:val="24"/>
        </w:rPr>
      </w:pPr>
    </w:p>
    <w:p w14:paraId="6A912CCF">
      <w:pPr>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55</w:t>
      </w:r>
      <w:r>
        <w:rPr>
          <w:bCs/>
          <w:sz w:val="24"/>
          <w:szCs w:val="24"/>
        </w:rPr>
        <w:fldChar w:fldCharType="end"/>
      </w:r>
      <w:r>
        <w:rPr>
          <w:bCs/>
          <w:sz w:val="24"/>
          <w:szCs w:val="24"/>
        </w:rPr>
        <w:t xml:space="preserve"> – </w:t>
      </w:r>
      <w:r>
        <w:rPr>
          <w:sz w:val="24"/>
          <w:szCs w:val="24"/>
        </w:rPr>
        <w:t>Фактические технологические потери при передаче тепловой энергии по тепловым сетям за 2023 год</w:t>
      </w:r>
    </w:p>
    <w:tbl>
      <w:tblPr>
        <w:tblStyle w:val="12"/>
        <w:tblW w:w="5000" w:type="pct"/>
        <w:tblInd w:w="0" w:type="dxa"/>
        <w:tblLayout w:type="autofit"/>
        <w:tblCellMar>
          <w:top w:w="0" w:type="dxa"/>
          <w:left w:w="108" w:type="dxa"/>
          <w:bottom w:w="0" w:type="dxa"/>
          <w:right w:w="108" w:type="dxa"/>
        </w:tblCellMar>
      </w:tblPr>
      <w:tblGrid>
        <w:gridCol w:w="936"/>
        <w:gridCol w:w="4152"/>
        <w:gridCol w:w="2450"/>
        <w:gridCol w:w="2316"/>
      </w:tblGrid>
      <w:tr w14:paraId="2BB3CC49">
        <w:tblPrEx>
          <w:tblCellMar>
            <w:top w:w="0" w:type="dxa"/>
            <w:left w:w="108" w:type="dxa"/>
            <w:bottom w:w="0" w:type="dxa"/>
            <w:right w:w="108" w:type="dxa"/>
          </w:tblCellMar>
        </w:tblPrEx>
        <w:trPr>
          <w:cantSplit/>
          <w:trHeight w:val="20" w:hRule="atLeast"/>
        </w:trPr>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49D58352">
            <w:pPr>
              <w:spacing w:after="0" w:line="240" w:lineRule="auto"/>
              <w:ind w:firstLine="0"/>
              <w:jc w:val="center"/>
              <w:rPr>
                <w:color w:val="000000"/>
                <w:sz w:val="20"/>
                <w:szCs w:val="20"/>
              </w:rPr>
            </w:pPr>
            <w:r>
              <w:rPr>
                <w:color w:val="000000"/>
                <w:sz w:val="20"/>
                <w:szCs w:val="20"/>
              </w:rPr>
              <w:t>№ п/п</w:t>
            </w:r>
          </w:p>
        </w:tc>
        <w:tc>
          <w:tcPr>
            <w:tcW w:w="2107" w:type="pct"/>
            <w:tcBorders>
              <w:top w:val="single" w:color="auto" w:sz="4" w:space="0"/>
              <w:left w:val="nil"/>
              <w:bottom w:val="single" w:color="auto" w:sz="4" w:space="0"/>
              <w:right w:val="single" w:color="auto" w:sz="4" w:space="0"/>
            </w:tcBorders>
            <w:shd w:val="clear" w:color="auto" w:fill="auto"/>
            <w:vAlign w:val="center"/>
          </w:tcPr>
          <w:p w14:paraId="7E738546">
            <w:pPr>
              <w:spacing w:after="0" w:line="240" w:lineRule="auto"/>
              <w:ind w:firstLine="0"/>
              <w:jc w:val="center"/>
              <w:rPr>
                <w:color w:val="000000"/>
                <w:sz w:val="20"/>
                <w:szCs w:val="20"/>
              </w:rPr>
            </w:pPr>
            <w:r>
              <w:rPr>
                <w:bCs/>
                <w:color w:val="000000"/>
                <w:sz w:val="20"/>
                <w:szCs w:val="20"/>
              </w:rPr>
              <w:t>Источник тепловой энергии</w:t>
            </w:r>
          </w:p>
        </w:tc>
        <w:tc>
          <w:tcPr>
            <w:tcW w:w="1243" w:type="pct"/>
            <w:tcBorders>
              <w:top w:val="single" w:color="auto" w:sz="4" w:space="0"/>
              <w:left w:val="nil"/>
              <w:bottom w:val="single" w:color="auto" w:sz="4" w:space="0"/>
              <w:right w:val="single" w:color="auto" w:sz="4" w:space="0"/>
            </w:tcBorders>
            <w:shd w:val="clear" w:color="auto" w:fill="auto"/>
            <w:vAlign w:val="center"/>
          </w:tcPr>
          <w:p w14:paraId="7387A9DF">
            <w:pPr>
              <w:spacing w:after="0" w:line="240" w:lineRule="auto"/>
              <w:ind w:firstLine="0"/>
              <w:jc w:val="center"/>
              <w:rPr>
                <w:color w:val="000000"/>
                <w:sz w:val="20"/>
                <w:szCs w:val="20"/>
              </w:rPr>
            </w:pPr>
            <w:r>
              <w:rPr>
                <w:color w:val="000000"/>
                <w:sz w:val="20"/>
                <w:szCs w:val="20"/>
              </w:rPr>
              <w:t>Установленная мощность, Гкал/ч</w:t>
            </w:r>
          </w:p>
        </w:tc>
        <w:tc>
          <w:tcPr>
            <w:tcW w:w="1175" w:type="pct"/>
            <w:tcBorders>
              <w:top w:val="single" w:color="auto" w:sz="4" w:space="0"/>
              <w:left w:val="nil"/>
              <w:bottom w:val="single" w:color="auto" w:sz="4" w:space="0"/>
              <w:right w:val="single" w:color="auto" w:sz="4" w:space="0"/>
            </w:tcBorders>
            <w:shd w:val="clear" w:color="auto" w:fill="auto"/>
            <w:vAlign w:val="center"/>
          </w:tcPr>
          <w:p w14:paraId="03C7BF8A">
            <w:pPr>
              <w:spacing w:after="0" w:line="240" w:lineRule="auto"/>
              <w:ind w:firstLine="0"/>
              <w:jc w:val="center"/>
              <w:rPr>
                <w:color w:val="000000"/>
                <w:sz w:val="20"/>
                <w:szCs w:val="20"/>
              </w:rPr>
            </w:pPr>
            <w:r>
              <w:rPr>
                <w:color w:val="000000"/>
                <w:sz w:val="20"/>
                <w:szCs w:val="20"/>
              </w:rPr>
              <w:t>Общие потери тепловой энергии, Гкал</w:t>
            </w:r>
          </w:p>
        </w:tc>
      </w:tr>
      <w:tr w14:paraId="01A213CF">
        <w:tblPrEx>
          <w:tblCellMar>
            <w:top w:w="0" w:type="dxa"/>
            <w:left w:w="108" w:type="dxa"/>
            <w:bottom w:w="0" w:type="dxa"/>
            <w:right w:w="108" w:type="dxa"/>
          </w:tblCellMar>
        </w:tblPrEx>
        <w:trPr>
          <w:trHeight w:val="20" w:hRule="atLeast"/>
        </w:trPr>
        <w:tc>
          <w:tcPr>
            <w:tcW w:w="475" w:type="pct"/>
            <w:tcBorders>
              <w:top w:val="nil"/>
              <w:left w:val="single" w:color="auto" w:sz="4" w:space="0"/>
              <w:bottom w:val="single" w:color="auto" w:sz="4" w:space="0"/>
              <w:right w:val="single" w:color="auto" w:sz="4" w:space="0"/>
            </w:tcBorders>
            <w:shd w:val="clear" w:color="auto" w:fill="auto"/>
            <w:noWrap/>
            <w:vAlign w:val="center"/>
          </w:tcPr>
          <w:p w14:paraId="7F84B2B9">
            <w:pPr>
              <w:spacing w:after="0" w:line="240" w:lineRule="auto"/>
              <w:ind w:firstLine="0"/>
              <w:jc w:val="center"/>
              <w:rPr>
                <w:color w:val="000000"/>
                <w:sz w:val="20"/>
                <w:szCs w:val="20"/>
              </w:rPr>
            </w:pPr>
            <w:r>
              <w:rPr>
                <w:color w:val="000000"/>
                <w:sz w:val="20"/>
                <w:szCs w:val="20"/>
              </w:rPr>
              <w:t>1</w:t>
            </w:r>
          </w:p>
        </w:tc>
        <w:tc>
          <w:tcPr>
            <w:tcW w:w="2107" w:type="pct"/>
            <w:tcBorders>
              <w:top w:val="nil"/>
              <w:left w:val="nil"/>
              <w:bottom w:val="single" w:color="auto" w:sz="4" w:space="0"/>
              <w:right w:val="single" w:color="auto" w:sz="4" w:space="0"/>
            </w:tcBorders>
            <w:shd w:val="clear" w:color="auto" w:fill="auto"/>
            <w:vAlign w:val="center"/>
          </w:tcPr>
          <w:p w14:paraId="37BC1A05">
            <w:pPr>
              <w:spacing w:after="0" w:line="240" w:lineRule="auto"/>
              <w:ind w:firstLine="0"/>
              <w:jc w:val="center"/>
              <w:rPr>
                <w:color w:val="000000"/>
                <w:sz w:val="20"/>
                <w:szCs w:val="20"/>
              </w:rPr>
            </w:pPr>
            <w:r>
              <w:rPr>
                <w:color w:val="000000"/>
                <w:sz w:val="20"/>
                <w:szCs w:val="20"/>
              </w:rPr>
              <w:t>Котельная №2 МУП «БКС»</w:t>
            </w:r>
          </w:p>
        </w:tc>
        <w:tc>
          <w:tcPr>
            <w:tcW w:w="1243" w:type="pct"/>
            <w:tcBorders>
              <w:top w:val="nil"/>
              <w:left w:val="nil"/>
              <w:bottom w:val="single" w:color="auto" w:sz="4" w:space="0"/>
              <w:right w:val="single" w:color="auto" w:sz="4" w:space="0"/>
            </w:tcBorders>
            <w:shd w:val="clear" w:color="auto" w:fill="auto"/>
            <w:vAlign w:val="center"/>
          </w:tcPr>
          <w:p w14:paraId="0339B2A6">
            <w:pPr>
              <w:spacing w:after="0" w:line="240" w:lineRule="auto"/>
              <w:ind w:firstLine="0"/>
              <w:jc w:val="center"/>
              <w:rPr>
                <w:color w:val="000000"/>
                <w:sz w:val="20"/>
                <w:szCs w:val="20"/>
              </w:rPr>
            </w:pPr>
            <w:r>
              <w:rPr>
                <w:color w:val="000000"/>
                <w:sz w:val="20"/>
                <w:szCs w:val="20"/>
              </w:rPr>
              <w:t>6,02</w:t>
            </w:r>
          </w:p>
        </w:tc>
        <w:tc>
          <w:tcPr>
            <w:tcW w:w="1175" w:type="pct"/>
            <w:tcBorders>
              <w:top w:val="nil"/>
              <w:left w:val="nil"/>
              <w:bottom w:val="single" w:color="auto" w:sz="4" w:space="0"/>
              <w:right w:val="single" w:color="auto" w:sz="4" w:space="0"/>
            </w:tcBorders>
            <w:shd w:val="clear" w:color="auto" w:fill="auto"/>
            <w:vAlign w:val="center"/>
          </w:tcPr>
          <w:p w14:paraId="41FF3B72">
            <w:pPr>
              <w:spacing w:after="0" w:line="240" w:lineRule="auto"/>
              <w:ind w:firstLine="0"/>
              <w:jc w:val="center"/>
              <w:rPr>
                <w:color w:val="000000"/>
                <w:sz w:val="20"/>
                <w:szCs w:val="20"/>
              </w:rPr>
            </w:pPr>
            <w:r>
              <w:rPr>
                <w:color w:val="000000"/>
                <w:sz w:val="20"/>
                <w:szCs w:val="20"/>
              </w:rPr>
              <w:t>708,15</w:t>
            </w:r>
          </w:p>
        </w:tc>
      </w:tr>
      <w:tr w14:paraId="7001ABC2">
        <w:tblPrEx>
          <w:tblCellMar>
            <w:top w:w="0" w:type="dxa"/>
            <w:left w:w="108" w:type="dxa"/>
            <w:bottom w:w="0" w:type="dxa"/>
            <w:right w:w="108" w:type="dxa"/>
          </w:tblCellMar>
        </w:tblPrEx>
        <w:trPr>
          <w:trHeight w:val="20" w:hRule="atLeast"/>
        </w:trPr>
        <w:tc>
          <w:tcPr>
            <w:tcW w:w="475" w:type="pct"/>
            <w:tcBorders>
              <w:top w:val="nil"/>
              <w:left w:val="single" w:color="auto" w:sz="4" w:space="0"/>
              <w:bottom w:val="single" w:color="auto" w:sz="4" w:space="0"/>
              <w:right w:val="single" w:color="auto" w:sz="4" w:space="0"/>
            </w:tcBorders>
            <w:shd w:val="clear" w:color="auto" w:fill="auto"/>
            <w:noWrap/>
            <w:vAlign w:val="center"/>
          </w:tcPr>
          <w:p w14:paraId="587058EF">
            <w:pPr>
              <w:spacing w:after="0" w:line="240" w:lineRule="auto"/>
              <w:ind w:firstLine="0"/>
              <w:jc w:val="center"/>
              <w:rPr>
                <w:color w:val="000000"/>
                <w:sz w:val="20"/>
                <w:szCs w:val="20"/>
              </w:rPr>
            </w:pPr>
            <w:r>
              <w:rPr>
                <w:color w:val="000000"/>
                <w:sz w:val="20"/>
                <w:szCs w:val="20"/>
              </w:rPr>
              <w:t>2</w:t>
            </w:r>
          </w:p>
        </w:tc>
        <w:tc>
          <w:tcPr>
            <w:tcW w:w="2107" w:type="pct"/>
            <w:tcBorders>
              <w:top w:val="nil"/>
              <w:left w:val="nil"/>
              <w:bottom w:val="single" w:color="auto" w:sz="4" w:space="0"/>
              <w:right w:val="single" w:color="auto" w:sz="4" w:space="0"/>
            </w:tcBorders>
            <w:shd w:val="clear" w:color="auto" w:fill="auto"/>
            <w:vAlign w:val="center"/>
          </w:tcPr>
          <w:p w14:paraId="090C5A69">
            <w:pPr>
              <w:spacing w:after="0" w:line="240" w:lineRule="auto"/>
              <w:ind w:firstLine="0"/>
              <w:jc w:val="center"/>
              <w:rPr>
                <w:color w:val="000000"/>
                <w:sz w:val="20"/>
                <w:szCs w:val="20"/>
              </w:rPr>
            </w:pPr>
            <w:r>
              <w:rPr>
                <w:color w:val="000000"/>
                <w:sz w:val="20"/>
                <w:szCs w:val="20"/>
              </w:rPr>
              <w:t>Котельная «2БВК»</w:t>
            </w:r>
          </w:p>
        </w:tc>
        <w:tc>
          <w:tcPr>
            <w:tcW w:w="1243" w:type="pct"/>
            <w:tcBorders>
              <w:top w:val="nil"/>
              <w:left w:val="nil"/>
              <w:bottom w:val="single" w:color="auto" w:sz="4" w:space="0"/>
              <w:right w:val="single" w:color="auto" w:sz="4" w:space="0"/>
            </w:tcBorders>
            <w:shd w:val="clear" w:color="auto" w:fill="auto"/>
            <w:vAlign w:val="center"/>
          </w:tcPr>
          <w:p w14:paraId="60281901">
            <w:pPr>
              <w:spacing w:after="0" w:line="240" w:lineRule="auto"/>
              <w:ind w:firstLine="0"/>
              <w:jc w:val="center"/>
              <w:rPr>
                <w:color w:val="000000"/>
                <w:sz w:val="20"/>
                <w:szCs w:val="20"/>
              </w:rPr>
            </w:pPr>
            <w:r>
              <w:rPr>
                <w:color w:val="000000"/>
                <w:sz w:val="20"/>
                <w:szCs w:val="20"/>
              </w:rPr>
              <w:t>7,2</w:t>
            </w:r>
          </w:p>
        </w:tc>
        <w:tc>
          <w:tcPr>
            <w:tcW w:w="1175" w:type="pct"/>
            <w:vMerge w:val="restart"/>
            <w:tcBorders>
              <w:top w:val="nil"/>
              <w:left w:val="single" w:color="auto" w:sz="4" w:space="0"/>
              <w:bottom w:val="single" w:color="000000" w:sz="4" w:space="0"/>
              <w:right w:val="single" w:color="auto" w:sz="4" w:space="0"/>
            </w:tcBorders>
            <w:shd w:val="clear" w:color="auto" w:fill="auto"/>
            <w:vAlign w:val="center"/>
          </w:tcPr>
          <w:p w14:paraId="1A17D74E">
            <w:pPr>
              <w:spacing w:after="0" w:line="240" w:lineRule="auto"/>
              <w:ind w:firstLine="0"/>
              <w:jc w:val="center"/>
              <w:rPr>
                <w:color w:val="000000"/>
                <w:sz w:val="20"/>
                <w:szCs w:val="20"/>
              </w:rPr>
            </w:pPr>
            <w:r>
              <w:rPr>
                <w:color w:val="000000"/>
                <w:sz w:val="20"/>
                <w:szCs w:val="20"/>
              </w:rPr>
              <w:t>5456,80</w:t>
            </w:r>
          </w:p>
        </w:tc>
      </w:tr>
      <w:tr w14:paraId="6D43C2AA">
        <w:tblPrEx>
          <w:tblCellMar>
            <w:top w:w="0" w:type="dxa"/>
            <w:left w:w="108" w:type="dxa"/>
            <w:bottom w:w="0" w:type="dxa"/>
            <w:right w:w="108" w:type="dxa"/>
          </w:tblCellMar>
        </w:tblPrEx>
        <w:trPr>
          <w:trHeight w:val="20" w:hRule="atLeast"/>
        </w:trPr>
        <w:tc>
          <w:tcPr>
            <w:tcW w:w="475" w:type="pct"/>
            <w:tcBorders>
              <w:top w:val="nil"/>
              <w:left w:val="single" w:color="auto" w:sz="4" w:space="0"/>
              <w:bottom w:val="single" w:color="auto" w:sz="4" w:space="0"/>
              <w:right w:val="single" w:color="auto" w:sz="4" w:space="0"/>
            </w:tcBorders>
            <w:shd w:val="clear" w:color="auto" w:fill="auto"/>
            <w:noWrap/>
            <w:vAlign w:val="center"/>
          </w:tcPr>
          <w:p w14:paraId="565935F5">
            <w:pPr>
              <w:spacing w:after="0" w:line="240" w:lineRule="auto"/>
              <w:ind w:firstLine="0"/>
              <w:jc w:val="center"/>
              <w:rPr>
                <w:color w:val="000000"/>
                <w:sz w:val="20"/>
                <w:szCs w:val="20"/>
              </w:rPr>
            </w:pPr>
            <w:r>
              <w:rPr>
                <w:color w:val="000000"/>
                <w:sz w:val="20"/>
                <w:szCs w:val="20"/>
              </w:rPr>
              <w:t>3</w:t>
            </w:r>
          </w:p>
        </w:tc>
        <w:tc>
          <w:tcPr>
            <w:tcW w:w="2107" w:type="pct"/>
            <w:tcBorders>
              <w:top w:val="nil"/>
              <w:left w:val="nil"/>
              <w:bottom w:val="single" w:color="auto" w:sz="4" w:space="0"/>
              <w:right w:val="single" w:color="auto" w:sz="4" w:space="0"/>
            </w:tcBorders>
            <w:shd w:val="clear" w:color="auto" w:fill="auto"/>
            <w:vAlign w:val="center"/>
          </w:tcPr>
          <w:p w14:paraId="6AC895AE">
            <w:pPr>
              <w:spacing w:after="0" w:line="240" w:lineRule="auto"/>
              <w:ind w:firstLine="0"/>
              <w:jc w:val="center"/>
              <w:rPr>
                <w:color w:val="000000"/>
                <w:sz w:val="20"/>
                <w:szCs w:val="20"/>
              </w:rPr>
            </w:pPr>
            <w:r>
              <w:rPr>
                <w:color w:val="000000"/>
                <w:sz w:val="20"/>
                <w:szCs w:val="20"/>
              </w:rPr>
              <w:t>Котельная «Вирбекс»</w:t>
            </w:r>
          </w:p>
        </w:tc>
        <w:tc>
          <w:tcPr>
            <w:tcW w:w="1243" w:type="pct"/>
            <w:tcBorders>
              <w:top w:val="nil"/>
              <w:left w:val="nil"/>
              <w:bottom w:val="single" w:color="auto" w:sz="4" w:space="0"/>
              <w:right w:val="single" w:color="auto" w:sz="4" w:space="0"/>
            </w:tcBorders>
            <w:shd w:val="clear" w:color="auto" w:fill="auto"/>
            <w:vAlign w:val="center"/>
          </w:tcPr>
          <w:p w14:paraId="5D85AF65">
            <w:pPr>
              <w:spacing w:after="0" w:line="240" w:lineRule="auto"/>
              <w:ind w:firstLine="0"/>
              <w:jc w:val="center"/>
              <w:rPr>
                <w:color w:val="000000"/>
                <w:sz w:val="20"/>
                <w:szCs w:val="20"/>
              </w:rPr>
            </w:pPr>
            <w:r>
              <w:rPr>
                <w:color w:val="000000"/>
                <w:sz w:val="20"/>
                <w:szCs w:val="20"/>
              </w:rPr>
              <w:t>2,8</w:t>
            </w:r>
          </w:p>
        </w:tc>
        <w:tc>
          <w:tcPr>
            <w:tcW w:w="1175" w:type="pct"/>
            <w:vMerge w:val="continue"/>
            <w:tcBorders>
              <w:top w:val="nil"/>
              <w:left w:val="single" w:color="auto" w:sz="4" w:space="0"/>
              <w:bottom w:val="single" w:color="000000" w:sz="4" w:space="0"/>
              <w:right w:val="single" w:color="auto" w:sz="4" w:space="0"/>
            </w:tcBorders>
            <w:vAlign w:val="center"/>
          </w:tcPr>
          <w:p w14:paraId="3D572D12">
            <w:pPr>
              <w:spacing w:after="0" w:line="240" w:lineRule="auto"/>
              <w:ind w:firstLine="0"/>
              <w:rPr>
                <w:color w:val="000000"/>
                <w:sz w:val="20"/>
                <w:szCs w:val="20"/>
              </w:rPr>
            </w:pPr>
          </w:p>
        </w:tc>
      </w:tr>
      <w:tr w14:paraId="63A24D01">
        <w:tblPrEx>
          <w:tblCellMar>
            <w:top w:w="0" w:type="dxa"/>
            <w:left w:w="108" w:type="dxa"/>
            <w:bottom w:w="0" w:type="dxa"/>
            <w:right w:w="108" w:type="dxa"/>
          </w:tblCellMar>
        </w:tblPrEx>
        <w:trPr>
          <w:trHeight w:val="20" w:hRule="atLeast"/>
        </w:trPr>
        <w:tc>
          <w:tcPr>
            <w:tcW w:w="475" w:type="pct"/>
            <w:tcBorders>
              <w:top w:val="nil"/>
              <w:left w:val="single" w:color="auto" w:sz="4" w:space="0"/>
              <w:bottom w:val="single" w:color="auto" w:sz="4" w:space="0"/>
              <w:right w:val="single" w:color="auto" w:sz="4" w:space="0"/>
            </w:tcBorders>
            <w:shd w:val="clear" w:color="auto" w:fill="auto"/>
            <w:noWrap/>
            <w:vAlign w:val="center"/>
          </w:tcPr>
          <w:p w14:paraId="7BC1DBA1">
            <w:pPr>
              <w:spacing w:after="0" w:line="240" w:lineRule="auto"/>
              <w:ind w:firstLine="0"/>
              <w:jc w:val="center"/>
              <w:rPr>
                <w:color w:val="000000"/>
                <w:sz w:val="20"/>
                <w:szCs w:val="20"/>
              </w:rPr>
            </w:pPr>
            <w:r>
              <w:rPr>
                <w:color w:val="000000"/>
                <w:sz w:val="20"/>
                <w:szCs w:val="20"/>
              </w:rPr>
              <w:t>4</w:t>
            </w:r>
          </w:p>
        </w:tc>
        <w:tc>
          <w:tcPr>
            <w:tcW w:w="2107" w:type="pct"/>
            <w:tcBorders>
              <w:top w:val="nil"/>
              <w:left w:val="nil"/>
              <w:bottom w:val="single" w:color="auto" w:sz="4" w:space="0"/>
              <w:right w:val="single" w:color="auto" w:sz="4" w:space="0"/>
            </w:tcBorders>
            <w:shd w:val="clear" w:color="auto" w:fill="auto"/>
            <w:vAlign w:val="center"/>
          </w:tcPr>
          <w:p w14:paraId="1DB407A0">
            <w:pPr>
              <w:spacing w:after="0" w:line="240" w:lineRule="auto"/>
              <w:ind w:firstLine="0"/>
              <w:jc w:val="center"/>
              <w:rPr>
                <w:color w:val="000000"/>
                <w:sz w:val="20"/>
                <w:szCs w:val="20"/>
              </w:rPr>
            </w:pPr>
            <w:r>
              <w:rPr>
                <w:color w:val="000000"/>
                <w:sz w:val="20"/>
                <w:szCs w:val="20"/>
              </w:rPr>
              <w:t>Теплоутилизационные установки КС «Верхнеказымская»</w:t>
            </w:r>
          </w:p>
        </w:tc>
        <w:tc>
          <w:tcPr>
            <w:tcW w:w="1243" w:type="pct"/>
            <w:tcBorders>
              <w:top w:val="nil"/>
              <w:left w:val="nil"/>
              <w:bottom w:val="single" w:color="auto" w:sz="4" w:space="0"/>
              <w:right w:val="single" w:color="auto" w:sz="4" w:space="0"/>
            </w:tcBorders>
            <w:shd w:val="clear" w:color="auto" w:fill="auto"/>
            <w:vAlign w:val="center"/>
          </w:tcPr>
          <w:p w14:paraId="7EF30B92">
            <w:pPr>
              <w:spacing w:after="0" w:line="240" w:lineRule="auto"/>
              <w:ind w:firstLine="0"/>
              <w:jc w:val="center"/>
              <w:rPr>
                <w:color w:val="000000"/>
                <w:sz w:val="20"/>
                <w:szCs w:val="20"/>
              </w:rPr>
            </w:pPr>
            <w:r>
              <w:rPr>
                <w:color w:val="000000"/>
                <w:sz w:val="20"/>
                <w:szCs w:val="20"/>
              </w:rPr>
              <w:t>37,72</w:t>
            </w:r>
          </w:p>
        </w:tc>
        <w:tc>
          <w:tcPr>
            <w:tcW w:w="1175" w:type="pct"/>
            <w:vMerge w:val="continue"/>
            <w:tcBorders>
              <w:top w:val="nil"/>
              <w:left w:val="single" w:color="auto" w:sz="4" w:space="0"/>
              <w:bottom w:val="single" w:color="000000" w:sz="4" w:space="0"/>
              <w:right w:val="single" w:color="auto" w:sz="4" w:space="0"/>
            </w:tcBorders>
            <w:vAlign w:val="center"/>
          </w:tcPr>
          <w:p w14:paraId="701AC1CA">
            <w:pPr>
              <w:spacing w:after="0" w:line="240" w:lineRule="auto"/>
              <w:ind w:firstLine="0"/>
              <w:rPr>
                <w:color w:val="000000"/>
                <w:sz w:val="20"/>
                <w:szCs w:val="20"/>
              </w:rPr>
            </w:pPr>
          </w:p>
        </w:tc>
      </w:tr>
    </w:tbl>
    <w:p w14:paraId="3547B05E">
      <w:pPr>
        <w:spacing w:after="0" w:line="240" w:lineRule="auto"/>
        <w:contextualSpacing/>
        <w:jc w:val="both"/>
        <w:rPr>
          <w:sz w:val="24"/>
          <w:szCs w:val="24"/>
        </w:rPr>
      </w:pPr>
      <w:r>
        <w:rPr>
          <w:sz w:val="24"/>
          <w:szCs w:val="24"/>
        </w:rPr>
        <w:t>Существующие и перспективные нормируемые утечки теплоносителя в тепловых сетях и системах теплопотребления потребителей поселка на период до 2029 года представлены в таблице 56.</w:t>
      </w:r>
    </w:p>
    <w:p w14:paraId="74F72698">
      <w:pPr>
        <w:spacing w:after="0" w:line="240" w:lineRule="auto"/>
        <w:contextualSpacing/>
        <w:jc w:val="both"/>
        <w:rPr>
          <w:sz w:val="24"/>
          <w:szCs w:val="24"/>
          <w:highlight w:val="yellow"/>
        </w:rPr>
      </w:pPr>
    </w:p>
    <w:p w14:paraId="5016E708">
      <w:pPr>
        <w:spacing w:after="0" w:line="240" w:lineRule="auto"/>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56</w:t>
      </w:r>
      <w:r>
        <w:rPr>
          <w:sz w:val="24"/>
          <w:szCs w:val="24"/>
        </w:rPr>
        <w:fldChar w:fldCharType="end"/>
      </w:r>
      <w:r>
        <w:rPr>
          <w:sz w:val="24"/>
          <w:szCs w:val="24"/>
        </w:rPr>
        <w:t xml:space="preserve"> – Существующие и перспективные нормируемые утечки теплоносителя в тепловых сетях и системах теплопотребления потребителей поселка на период до 2029 года</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92"/>
        <w:gridCol w:w="6455"/>
        <w:gridCol w:w="995"/>
        <w:gridCol w:w="1416"/>
      </w:tblGrid>
      <w:tr w14:paraId="3114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36C951D2">
            <w:pPr>
              <w:pStyle w:val="2183"/>
              <w:spacing w:before="0" w:beforeAutospacing="0" w:after="0" w:afterAutospacing="0"/>
              <w:contextualSpacing/>
              <w:rPr>
                <w:b w:val="0"/>
                <w:color w:val="auto"/>
                <w:sz w:val="20"/>
                <w:szCs w:val="20"/>
              </w:rPr>
            </w:pPr>
            <w:r>
              <w:rPr>
                <w:b w:val="0"/>
                <w:color w:val="auto"/>
                <w:sz w:val="20"/>
                <w:szCs w:val="20"/>
              </w:rPr>
              <w:t>№ п.п.</w:t>
            </w:r>
          </w:p>
        </w:tc>
        <w:tc>
          <w:tcPr>
            <w:tcW w:w="3342" w:type="pct"/>
            <w:shd w:val="clear" w:color="auto" w:fill="FFFFFF"/>
            <w:vAlign w:val="center"/>
          </w:tcPr>
          <w:p w14:paraId="68A0E056">
            <w:pPr>
              <w:pStyle w:val="2183"/>
              <w:spacing w:before="0" w:beforeAutospacing="0" w:after="0" w:afterAutospacing="0"/>
              <w:contextualSpacing/>
              <w:rPr>
                <w:b w:val="0"/>
                <w:color w:val="auto"/>
                <w:sz w:val="20"/>
                <w:szCs w:val="20"/>
              </w:rPr>
            </w:pPr>
            <w:r>
              <w:rPr>
                <w:b w:val="0"/>
                <w:color w:val="auto"/>
                <w:sz w:val="20"/>
                <w:szCs w:val="20"/>
              </w:rPr>
              <w:t>Параметр</w:t>
            </w:r>
          </w:p>
        </w:tc>
        <w:tc>
          <w:tcPr>
            <w:tcW w:w="515" w:type="pct"/>
            <w:shd w:val="clear" w:color="auto" w:fill="FFFFFF"/>
            <w:vAlign w:val="center"/>
          </w:tcPr>
          <w:p w14:paraId="1C2EAA83">
            <w:pPr>
              <w:pStyle w:val="2183"/>
              <w:spacing w:before="0" w:beforeAutospacing="0" w:after="0" w:afterAutospacing="0"/>
              <w:contextualSpacing/>
              <w:rPr>
                <w:b w:val="0"/>
                <w:color w:val="auto"/>
                <w:sz w:val="20"/>
                <w:szCs w:val="20"/>
              </w:rPr>
            </w:pPr>
            <w:r>
              <w:rPr>
                <w:b w:val="0"/>
                <w:color w:val="auto"/>
                <w:sz w:val="20"/>
                <w:szCs w:val="20"/>
              </w:rPr>
              <w:t>Ед. изм.</w:t>
            </w:r>
          </w:p>
        </w:tc>
        <w:tc>
          <w:tcPr>
            <w:tcW w:w="733" w:type="pct"/>
            <w:shd w:val="clear" w:color="auto" w:fill="FFFFFF"/>
            <w:vAlign w:val="center"/>
          </w:tcPr>
          <w:p w14:paraId="729E96EE">
            <w:pPr>
              <w:pStyle w:val="2183"/>
              <w:spacing w:before="0" w:after="0"/>
              <w:contextualSpacing/>
              <w:rPr>
                <w:b w:val="0"/>
                <w:color w:val="auto"/>
                <w:sz w:val="20"/>
                <w:szCs w:val="20"/>
              </w:rPr>
            </w:pPr>
            <w:r>
              <w:rPr>
                <w:b w:val="0"/>
                <w:color w:val="auto"/>
                <w:sz w:val="20"/>
                <w:szCs w:val="20"/>
              </w:rPr>
              <w:t>2023-2029 гг.</w:t>
            </w:r>
          </w:p>
        </w:tc>
      </w:tr>
      <w:tr w14:paraId="4123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53B235DE">
            <w:pPr>
              <w:pStyle w:val="2183"/>
              <w:spacing w:before="0" w:beforeAutospacing="0" w:after="0" w:afterAutospacing="0"/>
              <w:contextualSpacing/>
              <w:rPr>
                <w:color w:val="auto"/>
                <w:sz w:val="20"/>
                <w:szCs w:val="20"/>
              </w:rPr>
            </w:pPr>
            <w:r>
              <w:rPr>
                <w:b w:val="0"/>
                <w:color w:val="auto"/>
                <w:sz w:val="20"/>
                <w:szCs w:val="20"/>
              </w:rPr>
              <w:t>1</w:t>
            </w:r>
          </w:p>
        </w:tc>
        <w:tc>
          <w:tcPr>
            <w:tcW w:w="3342" w:type="pct"/>
            <w:shd w:val="clear" w:color="auto" w:fill="FFFFFF"/>
            <w:vAlign w:val="center"/>
          </w:tcPr>
          <w:p w14:paraId="1FB46FF2">
            <w:pPr>
              <w:pStyle w:val="2183"/>
              <w:spacing w:before="0" w:beforeAutospacing="0" w:after="0" w:afterAutospacing="0"/>
              <w:contextualSpacing/>
              <w:jc w:val="left"/>
              <w:rPr>
                <w:color w:val="auto"/>
                <w:sz w:val="20"/>
                <w:szCs w:val="20"/>
              </w:rPr>
            </w:pPr>
            <w:r>
              <w:rPr>
                <w:b w:val="0"/>
                <w:color w:val="auto"/>
                <w:sz w:val="20"/>
                <w:szCs w:val="20"/>
              </w:rPr>
              <w:t>Утечки теплоносителя в тепловой сети отопления (в зоне действия теплоутилизационных установок КС «Верхнеказымская») в т.ч.:</w:t>
            </w:r>
          </w:p>
        </w:tc>
        <w:tc>
          <w:tcPr>
            <w:tcW w:w="515" w:type="pct"/>
            <w:shd w:val="clear" w:color="auto" w:fill="FFFFFF"/>
            <w:vAlign w:val="center"/>
          </w:tcPr>
          <w:p w14:paraId="60325B00">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04A16823">
            <w:pPr>
              <w:pStyle w:val="2183"/>
              <w:spacing w:before="0" w:beforeAutospacing="0" w:after="0" w:afterAutospacing="0"/>
              <w:contextualSpacing/>
              <w:rPr>
                <w:color w:val="auto"/>
                <w:sz w:val="20"/>
                <w:szCs w:val="20"/>
              </w:rPr>
            </w:pPr>
            <w:r>
              <w:rPr>
                <w:b w:val="0"/>
                <w:color w:val="auto"/>
                <w:sz w:val="20"/>
                <w:szCs w:val="20"/>
              </w:rPr>
              <w:t>3,75</w:t>
            </w:r>
          </w:p>
        </w:tc>
      </w:tr>
      <w:tr w14:paraId="4A89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3694C87E">
            <w:pPr>
              <w:pStyle w:val="2183"/>
              <w:spacing w:before="0" w:beforeAutospacing="0" w:after="0" w:afterAutospacing="0"/>
              <w:contextualSpacing/>
              <w:rPr>
                <w:color w:val="auto"/>
                <w:sz w:val="20"/>
                <w:szCs w:val="20"/>
              </w:rPr>
            </w:pPr>
            <w:r>
              <w:rPr>
                <w:b w:val="0"/>
                <w:color w:val="auto"/>
                <w:sz w:val="20"/>
                <w:szCs w:val="20"/>
              </w:rPr>
              <w:t>1.1</w:t>
            </w:r>
          </w:p>
        </w:tc>
        <w:tc>
          <w:tcPr>
            <w:tcW w:w="3342" w:type="pct"/>
            <w:shd w:val="clear" w:color="auto" w:fill="FFFFFF"/>
            <w:vAlign w:val="center"/>
          </w:tcPr>
          <w:p w14:paraId="5FEFDEAB">
            <w:pPr>
              <w:pStyle w:val="2183"/>
              <w:spacing w:before="0" w:beforeAutospacing="0" w:after="0" w:afterAutospacing="0"/>
              <w:contextualSpacing/>
              <w:jc w:val="left"/>
              <w:rPr>
                <w:color w:val="auto"/>
                <w:sz w:val="20"/>
                <w:szCs w:val="20"/>
              </w:rPr>
            </w:pPr>
            <w:r>
              <w:rPr>
                <w:b w:val="0"/>
                <w:color w:val="auto"/>
                <w:sz w:val="20"/>
                <w:szCs w:val="20"/>
              </w:rPr>
              <w:t>- в тепловой сети</w:t>
            </w:r>
          </w:p>
        </w:tc>
        <w:tc>
          <w:tcPr>
            <w:tcW w:w="515" w:type="pct"/>
            <w:shd w:val="clear" w:color="auto" w:fill="FFFFFF"/>
            <w:vAlign w:val="center"/>
          </w:tcPr>
          <w:p w14:paraId="0CD5CA08">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60EA2DCB">
            <w:pPr>
              <w:pStyle w:val="2183"/>
              <w:spacing w:before="0" w:beforeAutospacing="0" w:after="0" w:afterAutospacing="0"/>
              <w:contextualSpacing/>
              <w:rPr>
                <w:color w:val="auto"/>
                <w:sz w:val="20"/>
                <w:szCs w:val="20"/>
              </w:rPr>
            </w:pPr>
            <w:r>
              <w:rPr>
                <w:b w:val="0"/>
                <w:color w:val="auto"/>
                <w:sz w:val="20"/>
                <w:szCs w:val="20"/>
              </w:rPr>
              <w:t>3,16</w:t>
            </w:r>
          </w:p>
        </w:tc>
      </w:tr>
      <w:tr w14:paraId="3DD8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3660436D">
            <w:pPr>
              <w:pStyle w:val="2183"/>
              <w:spacing w:before="0" w:beforeAutospacing="0" w:after="0" w:afterAutospacing="0"/>
              <w:contextualSpacing/>
              <w:rPr>
                <w:color w:val="auto"/>
                <w:sz w:val="20"/>
                <w:szCs w:val="20"/>
              </w:rPr>
            </w:pPr>
            <w:r>
              <w:rPr>
                <w:b w:val="0"/>
                <w:color w:val="auto"/>
                <w:sz w:val="20"/>
                <w:szCs w:val="20"/>
              </w:rPr>
              <w:t>1.2</w:t>
            </w:r>
          </w:p>
        </w:tc>
        <w:tc>
          <w:tcPr>
            <w:tcW w:w="3342" w:type="pct"/>
            <w:shd w:val="clear" w:color="auto" w:fill="FFFFFF"/>
            <w:vAlign w:val="center"/>
          </w:tcPr>
          <w:p w14:paraId="5633D38E">
            <w:pPr>
              <w:pStyle w:val="2183"/>
              <w:spacing w:before="0" w:beforeAutospacing="0" w:after="0" w:afterAutospacing="0"/>
              <w:contextualSpacing/>
              <w:jc w:val="left"/>
              <w:rPr>
                <w:color w:val="auto"/>
                <w:sz w:val="20"/>
                <w:szCs w:val="20"/>
              </w:rPr>
            </w:pPr>
            <w:r>
              <w:rPr>
                <w:b w:val="0"/>
                <w:color w:val="auto"/>
                <w:sz w:val="20"/>
                <w:szCs w:val="20"/>
              </w:rPr>
              <w:t>- в системах теплопотребления потребителей</w:t>
            </w:r>
          </w:p>
        </w:tc>
        <w:tc>
          <w:tcPr>
            <w:tcW w:w="515" w:type="pct"/>
            <w:shd w:val="clear" w:color="auto" w:fill="FFFFFF"/>
            <w:vAlign w:val="center"/>
          </w:tcPr>
          <w:p w14:paraId="6756246D">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53A69ABB">
            <w:pPr>
              <w:pStyle w:val="2183"/>
              <w:spacing w:before="0" w:beforeAutospacing="0" w:after="0" w:afterAutospacing="0"/>
              <w:contextualSpacing/>
              <w:rPr>
                <w:color w:val="auto"/>
                <w:sz w:val="20"/>
                <w:szCs w:val="20"/>
              </w:rPr>
            </w:pPr>
            <w:r>
              <w:rPr>
                <w:b w:val="0"/>
                <w:color w:val="auto"/>
                <w:sz w:val="20"/>
                <w:szCs w:val="20"/>
              </w:rPr>
              <w:t>0,59</w:t>
            </w:r>
          </w:p>
        </w:tc>
      </w:tr>
      <w:tr w14:paraId="2836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7E28814D">
            <w:pPr>
              <w:pStyle w:val="2183"/>
              <w:spacing w:before="0" w:beforeAutospacing="0" w:after="0" w:afterAutospacing="0"/>
              <w:contextualSpacing/>
              <w:rPr>
                <w:color w:val="auto"/>
                <w:sz w:val="20"/>
                <w:szCs w:val="20"/>
              </w:rPr>
            </w:pPr>
            <w:r>
              <w:rPr>
                <w:b w:val="0"/>
                <w:color w:val="auto"/>
                <w:sz w:val="20"/>
                <w:szCs w:val="20"/>
              </w:rPr>
              <w:t>2</w:t>
            </w:r>
          </w:p>
        </w:tc>
        <w:tc>
          <w:tcPr>
            <w:tcW w:w="3342" w:type="pct"/>
            <w:shd w:val="clear" w:color="auto" w:fill="FFFFFF"/>
            <w:vAlign w:val="center"/>
          </w:tcPr>
          <w:p w14:paraId="3E9582E9">
            <w:pPr>
              <w:pStyle w:val="2183"/>
              <w:spacing w:before="0" w:beforeAutospacing="0" w:after="0" w:afterAutospacing="0"/>
              <w:contextualSpacing/>
              <w:jc w:val="left"/>
              <w:rPr>
                <w:color w:val="auto"/>
                <w:sz w:val="20"/>
                <w:szCs w:val="20"/>
              </w:rPr>
            </w:pPr>
            <w:r>
              <w:rPr>
                <w:b w:val="0"/>
                <w:color w:val="auto"/>
                <w:sz w:val="20"/>
                <w:szCs w:val="20"/>
              </w:rPr>
              <w:t>Утечки теплоносителя в тепловой сети отопления (в зоне действия котельной №2) в т.ч.:</w:t>
            </w:r>
          </w:p>
        </w:tc>
        <w:tc>
          <w:tcPr>
            <w:tcW w:w="515" w:type="pct"/>
            <w:shd w:val="clear" w:color="auto" w:fill="FFFFFF"/>
            <w:vAlign w:val="center"/>
          </w:tcPr>
          <w:p w14:paraId="1EB5AC4F">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617285C2">
            <w:pPr>
              <w:pStyle w:val="2183"/>
              <w:spacing w:before="0" w:beforeAutospacing="0" w:after="0" w:afterAutospacing="0"/>
              <w:contextualSpacing/>
              <w:rPr>
                <w:color w:val="auto"/>
                <w:sz w:val="20"/>
                <w:szCs w:val="20"/>
              </w:rPr>
            </w:pPr>
            <w:r>
              <w:rPr>
                <w:b w:val="0"/>
                <w:color w:val="auto"/>
                <w:sz w:val="20"/>
                <w:szCs w:val="20"/>
              </w:rPr>
              <w:t>0,17</w:t>
            </w:r>
          </w:p>
        </w:tc>
      </w:tr>
      <w:tr w14:paraId="6F39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13C9EA20">
            <w:pPr>
              <w:pStyle w:val="2183"/>
              <w:spacing w:before="0" w:beforeAutospacing="0" w:after="0" w:afterAutospacing="0"/>
              <w:contextualSpacing/>
              <w:rPr>
                <w:color w:val="auto"/>
                <w:sz w:val="20"/>
                <w:szCs w:val="20"/>
              </w:rPr>
            </w:pPr>
            <w:r>
              <w:rPr>
                <w:b w:val="0"/>
                <w:color w:val="auto"/>
                <w:sz w:val="20"/>
                <w:szCs w:val="20"/>
              </w:rPr>
              <w:t>2.1</w:t>
            </w:r>
          </w:p>
        </w:tc>
        <w:tc>
          <w:tcPr>
            <w:tcW w:w="3342" w:type="pct"/>
            <w:shd w:val="clear" w:color="auto" w:fill="FFFFFF"/>
            <w:vAlign w:val="center"/>
          </w:tcPr>
          <w:p w14:paraId="7115F96C">
            <w:pPr>
              <w:pStyle w:val="2183"/>
              <w:spacing w:before="0" w:beforeAutospacing="0" w:after="0" w:afterAutospacing="0"/>
              <w:contextualSpacing/>
              <w:jc w:val="left"/>
              <w:rPr>
                <w:color w:val="auto"/>
                <w:sz w:val="20"/>
                <w:szCs w:val="20"/>
              </w:rPr>
            </w:pPr>
            <w:r>
              <w:rPr>
                <w:b w:val="0"/>
                <w:color w:val="auto"/>
                <w:sz w:val="20"/>
                <w:szCs w:val="20"/>
              </w:rPr>
              <w:t>- в тепловой сети</w:t>
            </w:r>
          </w:p>
        </w:tc>
        <w:tc>
          <w:tcPr>
            <w:tcW w:w="515" w:type="pct"/>
            <w:shd w:val="clear" w:color="auto" w:fill="FFFFFF"/>
            <w:vAlign w:val="center"/>
          </w:tcPr>
          <w:p w14:paraId="1D4F28C9">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50D069EC">
            <w:pPr>
              <w:pStyle w:val="2183"/>
              <w:spacing w:before="0" w:beforeAutospacing="0" w:after="0" w:afterAutospacing="0"/>
              <w:contextualSpacing/>
              <w:rPr>
                <w:color w:val="auto"/>
                <w:sz w:val="20"/>
                <w:szCs w:val="20"/>
              </w:rPr>
            </w:pPr>
            <w:r>
              <w:rPr>
                <w:b w:val="0"/>
                <w:color w:val="auto"/>
                <w:sz w:val="20"/>
                <w:szCs w:val="20"/>
              </w:rPr>
              <w:t>0,08</w:t>
            </w:r>
          </w:p>
        </w:tc>
      </w:tr>
      <w:tr w14:paraId="28EF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1534D53B">
            <w:pPr>
              <w:pStyle w:val="2183"/>
              <w:spacing w:before="0" w:beforeAutospacing="0" w:after="0" w:afterAutospacing="0"/>
              <w:contextualSpacing/>
              <w:rPr>
                <w:color w:val="auto"/>
                <w:sz w:val="20"/>
                <w:szCs w:val="20"/>
              </w:rPr>
            </w:pPr>
            <w:r>
              <w:rPr>
                <w:b w:val="0"/>
                <w:color w:val="auto"/>
                <w:sz w:val="20"/>
                <w:szCs w:val="20"/>
              </w:rPr>
              <w:t>2.2</w:t>
            </w:r>
          </w:p>
        </w:tc>
        <w:tc>
          <w:tcPr>
            <w:tcW w:w="3342" w:type="pct"/>
            <w:shd w:val="clear" w:color="auto" w:fill="FFFFFF"/>
            <w:vAlign w:val="center"/>
          </w:tcPr>
          <w:p w14:paraId="528C316D">
            <w:pPr>
              <w:pStyle w:val="2183"/>
              <w:spacing w:before="0" w:beforeAutospacing="0" w:after="0" w:afterAutospacing="0"/>
              <w:contextualSpacing/>
              <w:jc w:val="left"/>
              <w:rPr>
                <w:color w:val="auto"/>
                <w:sz w:val="20"/>
                <w:szCs w:val="20"/>
              </w:rPr>
            </w:pPr>
            <w:r>
              <w:rPr>
                <w:b w:val="0"/>
                <w:color w:val="auto"/>
                <w:sz w:val="20"/>
                <w:szCs w:val="20"/>
              </w:rPr>
              <w:t>- в системах теплопотребления потребителей</w:t>
            </w:r>
          </w:p>
        </w:tc>
        <w:tc>
          <w:tcPr>
            <w:tcW w:w="515" w:type="pct"/>
            <w:shd w:val="clear" w:color="auto" w:fill="FFFFFF"/>
            <w:vAlign w:val="center"/>
          </w:tcPr>
          <w:p w14:paraId="1E7409E1">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27A88431">
            <w:pPr>
              <w:pStyle w:val="2183"/>
              <w:spacing w:before="0" w:beforeAutospacing="0" w:after="0" w:afterAutospacing="0"/>
              <w:contextualSpacing/>
              <w:rPr>
                <w:color w:val="auto"/>
                <w:sz w:val="20"/>
                <w:szCs w:val="20"/>
              </w:rPr>
            </w:pPr>
            <w:r>
              <w:rPr>
                <w:b w:val="0"/>
                <w:color w:val="auto"/>
                <w:sz w:val="20"/>
                <w:szCs w:val="20"/>
              </w:rPr>
              <w:t>0,09</w:t>
            </w:r>
          </w:p>
        </w:tc>
      </w:tr>
      <w:tr w14:paraId="6D94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6228A019">
            <w:pPr>
              <w:pStyle w:val="2183"/>
              <w:spacing w:before="0" w:beforeAutospacing="0" w:after="0" w:afterAutospacing="0"/>
              <w:contextualSpacing/>
              <w:rPr>
                <w:color w:val="auto"/>
                <w:sz w:val="20"/>
                <w:szCs w:val="20"/>
              </w:rPr>
            </w:pPr>
            <w:r>
              <w:rPr>
                <w:color w:val="auto"/>
                <w:sz w:val="20"/>
                <w:szCs w:val="20"/>
              </w:rPr>
              <w:t>3</w:t>
            </w:r>
          </w:p>
        </w:tc>
        <w:tc>
          <w:tcPr>
            <w:tcW w:w="3342" w:type="pct"/>
            <w:shd w:val="clear" w:color="auto" w:fill="FFFFFF"/>
            <w:vAlign w:val="center"/>
          </w:tcPr>
          <w:p w14:paraId="490A834C">
            <w:pPr>
              <w:pStyle w:val="2183"/>
              <w:spacing w:before="0" w:beforeAutospacing="0" w:after="0" w:afterAutospacing="0"/>
              <w:contextualSpacing/>
              <w:jc w:val="left"/>
              <w:rPr>
                <w:color w:val="auto"/>
                <w:sz w:val="20"/>
                <w:szCs w:val="20"/>
              </w:rPr>
            </w:pPr>
            <w:r>
              <w:rPr>
                <w:b w:val="0"/>
                <w:color w:val="auto"/>
                <w:sz w:val="20"/>
                <w:szCs w:val="20"/>
              </w:rPr>
              <w:t>Утечки теплоносителя в тепловой сети ГВС (в зоне действия котельной «2БВК»), в т.ч.:</w:t>
            </w:r>
          </w:p>
        </w:tc>
        <w:tc>
          <w:tcPr>
            <w:tcW w:w="515" w:type="pct"/>
            <w:shd w:val="clear" w:color="auto" w:fill="FFFFFF"/>
            <w:vAlign w:val="center"/>
          </w:tcPr>
          <w:p w14:paraId="1CEF8858">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644EC4AE">
            <w:pPr>
              <w:pStyle w:val="2183"/>
              <w:spacing w:before="0" w:beforeAutospacing="0" w:after="0" w:afterAutospacing="0"/>
              <w:contextualSpacing/>
              <w:rPr>
                <w:color w:val="auto"/>
                <w:sz w:val="20"/>
                <w:szCs w:val="20"/>
              </w:rPr>
            </w:pPr>
            <w:r>
              <w:rPr>
                <w:b w:val="0"/>
                <w:color w:val="auto"/>
                <w:sz w:val="20"/>
                <w:szCs w:val="20"/>
              </w:rPr>
              <w:t>0,25</w:t>
            </w:r>
          </w:p>
        </w:tc>
      </w:tr>
      <w:tr w14:paraId="2CF1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4664F10E">
            <w:pPr>
              <w:pStyle w:val="2183"/>
              <w:spacing w:before="0" w:beforeAutospacing="0" w:after="0" w:afterAutospacing="0"/>
              <w:contextualSpacing/>
              <w:rPr>
                <w:color w:val="auto"/>
                <w:sz w:val="20"/>
                <w:szCs w:val="20"/>
              </w:rPr>
            </w:pPr>
            <w:r>
              <w:rPr>
                <w:b w:val="0"/>
                <w:color w:val="auto"/>
                <w:sz w:val="20"/>
                <w:szCs w:val="20"/>
              </w:rPr>
              <w:t>3.1</w:t>
            </w:r>
          </w:p>
        </w:tc>
        <w:tc>
          <w:tcPr>
            <w:tcW w:w="3342" w:type="pct"/>
            <w:shd w:val="clear" w:color="auto" w:fill="FFFFFF"/>
            <w:vAlign w:val="center"/>
          </w:tcPr>
          <w:p w14:paraId="4D59449D">
            <w:pPr>
              <w:pStyle w:val="2183"/>
              <w:spacing w:before="0" w:beforeAutospacing="0" w:after="0" w:afterAutospacing="0"/>
              <w:contextualSpacing/>
              <w:jc w:val="left"/>
              <w:rPr>
                <w:color w:val="auto"/>
                <w:sz w:val="20"/>
                <w:szCs w:val="20"/>
              </w:rPr>
            </w:pPr>
            <w:r>
              <w:rPr>
                <w:b w:val="0"/>
                <w:color w:val="auto"/>
                <w:sz w:val="20"/>
                <w:szCs w:val="20"/>
              </w:rPr>
              <w:t>- в тепловой сети</w:t>
            </w:r>
          </w:p>
        </w:tc>
        <w:tc>
          <w:tcPr>
            <w:tcW w:w="515" w:type="pct"/>
            <w:shd w:val="clear" w:color="auto" w:fill="FFFFFF"/>
            <w:vAlign w:val="center"/>
          </w:tcPr>
          <w:p w14:paraId="4D679CB3">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327D508E">
            <w:pPr>
              <w:pStyle w:val="2183"/>
              <w:spacing w:before="0" w:beforeAutospacing="0" w:after="0" w:afterAutospacing="0"/>
              <w:contextualSpacing/>
              <w:rPr>
                <w:color w:val="auto"/>
                <w:sz w:val="20"/>
                <w:szCs w:val="20"/>
              </w:rPr>
            </w:pPr>
            <w:r>
              <w:rPr>
                <w:b w:val="0"/>
                <w:color w:val="auto"/>
                <w:sz w:val="20"/>
                <w:szCs w:val="20"/>
              </w:rPr>
              <w:t>0,21</w:t>
            </w:r>
          </w:p>
        </w:tc>
      </w:tr>
      <w:tr w14:paraId="7602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25C094B4">
            <w:pPr>
              <w:pStyle w:val="2183"/>
              <w:spacing w:before="0" w:beforeAutospacing="0" w:after="0" w:afterAutospacing="0"/>
              <w:contextualSpacing/>
              <w:rPr>
                <w:color w:val="auto"/>
                <w:sz w:val="20"/>
                <w:szCs w:val="20"/>
              </w:rPr>
            </w:pPr>
            <w:r>
              <w:rPr>
                <w:b w:val="0"/>
                <w:color w:val="auto"/>
                <w:sz w:val="20"/>
                <w:szCs w:val="20"/>
              </w:rPr>
              <w:t>3.2</w:t>
            </w:r>
          </w:p>
        </w:tc>
        <w:tc>
          <w:tcPr>
            <w:tcW w:w="3342" w:type="pct"/>
            <w:shd w:val="clear" w:color="auto" w:fill="FFFFFF"/>
            <w:vAlign w:val="center"/>
          </w:tcPr>
          <w:p w14:paraId="7FE9404F">
            <w:pPr>
              <w:pStyle w:val="2183"/>
              <w:spacing w:before="0" w:beforeAutospacing="0" w:after="0" w:afterAutospacing="0"/>
              <w:contextualSpacing/>
              <w:jc w:val="left"/>
              <w:rPr>
                <w:color w:val="auto"/>
                <w:sz w:val="20"/>
                <w:szCs w:val="20"/>
              </w:rPr>
            </w:pPr>
            <w:r>
              <w:rPr>
                <w:b w:val="0"/>
                <w:color w:val="auto"/>
                <w:sz w:val="20"/>
                <w:szCs w:val="20"/>
              </w:rPr>
              <w:t>- в системах теплопотребления потребителей</w:t>
            </w:r>
          </w:p>
        </w:tc>
        <w:tc>
          <w:tcPr>
            <w:tcW w:w="515" w:type="pct"/>
            <w:shd w:val="clear" w:color="auto" w:fill="FFFFFF"/>
            <w:vAlign w:val="center"/>
          </w:tcPr>
          <w:p w14:paraId="17216874">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5167B67E">
            <w:pPr>
              <w:pStyle w:val="2183"/>
              <w:spacing w:before="0" w:beforeAutospacing="0" w:after="0" w:afterAutospacing="0"/>
              <w:contextualSpacing/>
              <w:rPr>
                <w:color w:val="auto"/>
                <w:sz w:val="20"/>
                <w:szCs w:val="20"/>
              </w:rPr>
            </w:pPr>
            <w:r>
              <w:rPr>
                <w:b w:val="0"/>
                <w:color w:val="auto"/>
                <w:sz w:val="20"/>
                <w:szCs w:val="20"/>
              </w:rPr>
              <w:t>0,04</w:t>
            </w:r>
          </w:p>
        </w:tc>
      </w:tr>
      <w:tr w14:paraId="337C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6D15A512">
            <w:pPr>
              <w:pStyle w:val="2183"/>
              <w:spacing w:before="0" w:beforeAutospacing="0" w:after="0" w:afterAutospacing="0"/>
              <w:contextualSpacing/>
              <w:rPr>
                <w:color w:val="auto"/>
                <w:sz w:val="20"/>
                <w:szCs w:val="20"/>
              </w:rPr>
            </w:pPr>
            <w:r>
              <w:rPr>
                <w:color w:val="auto"/>
                <w:sz w:val="20"/>
                <w:szCs w:val="20"/>
              </w:rPr>
              <w:t>4</w:t>
            </w:r>
          </w:p>
        </w:tc>
        <w:tc>
          <w:tcPr>
            <w:tcW w:w="3342" w:type="pct"/>
            <w:shd w:val="clear" w:color="auto" w:fill="FFFFFF"/>
            <w:vAlign w:val="center"/>
          </w:tcPr>
          <w:p w14:paraId="391EA36E">
            <w:pPr>
              <w:pStyle w:val="2183"/>
              <w:spacing w:before="0" w:beforeAutospacing="0" w:after="0" w:afterAutospacing="0"/>
              <w:contextualSpacing/>
              <w:jc w:val="left"/>
              <w:rPr>
                <w:color w:val="auto"/>
                <w:sz w:val="20"/>
                <w:szCs w:val="20"/>
              </w:rPr>
            </w:pPr>
            <w:r>
              <w:rPr>
                <w:b w:val="0"/>
                <w:color w:val="auto"/>
                <w:sz w:val="20"/>
                <w:szCs w:val="20"/>
              </w:rPr>
              <w:t>Утечки теплоносителя в тепловой сети ГВС (в зоне действия котельной №2), в т.ч.:</w:t>
            </w:r>
          </w:p>
        </w:tc>
        <w:tc>
          <w:tcPr>
            <w:tcW w:w="515" w:type="pct"/>
            <w:shd w:val="clear" w:color="auto" w:fill="FFFFFF"/>
            <w:vAlign w:val="center"/>
          </w:tcPr>
          <w:p w14:paraId="0EB38D9E">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68367309">
            <w:pPr>
              <w:pStyle w:val="2183"/>
              <w:spacing w:before="0" w:beforeAutospacing="0" w:after="0" w:afterAutospacing="0"/>
              <w:contextualSpacing/>
              <w:rPr>
                <w:color w:val="auto"/>
                <w:sz w:val="20"/>
                <w:szCs w:val="20"/>
              </w:rPr>
            </w:pPr>
            <w:r>
              <w:rPr>
                <w:b w:val="0"/>
                <w:color w:val="auto"/>
                <w:sz w:val="20"/>
                <w:szCs w:val="20"/>
              </w:rPr>
              <w:t>0,03</w:t>
            </w:r>
          </w:p>
        </w:tc>
      </w:tr>
      <w:tr w14:paraId="0378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7EA332E3">
            <w:pPr>
              <w:pStyle w:val="2183"/>
              <w:spacing w:before="0" w:beforeAutospacing="0" w:after="0" w:afterAutospacing="0"/>
              <w:contextualSpacing/>
              <w:rPr>
                <w:color w:val="auto"/>
                <w:sz w:val="20"/>
                <w:szCs w:val="20"/>
              </w:rPr>
            </w:pPr>
            <w:r>
              <w:rPr>
                <w:b w:val="0"/>
                <w:color w:val="auto"/>
                <w:sz w:val="20"/>
                <w:szCs w:val="20"/>
              </w:rPr>
              <w:t>4.1</w:t>
            </w:r>
          </w:p>
        </w:tc>
        <w:tc>
          <w:tcPr>
            <w:tcW w:w="3342" w:type="pct"/>
            <w:shd w:val="clear" w:color="auto" w:fill="FFFFFF"/>
            <w:vAlign w:val="center"/>
          </w:tcPr>
          <w:p w14:paraId="4E985CBF">
            <w:pPr>
              <w:pStyle w:val="2183"/>
              <w:spacing w:before="0" w:beforeAutospacing="0" w:after="0" w:afterAutospacing="0"/>
              <w:contextualSpacing/>
              <w:jc w:val="left"/>
              <w:rPr>
                <w:color w:val="auto"/>
                <w:sz w:val="20"/>
                <w:szCs w:val="20"/>
              </w:rPr>
            </w:pPr>
            <w:r>
              <w:rPr>
                <w:b w:val="0"/>
                <w:color w:val="auto"/>
                <w:sz w:val="20"/>
                <w:szCs w:val="20"/>
              </w:rPr>
              <w:t>- в тепловой сети</w:t>
            </w:r>
          </w:p>
        </w:tc>
        <w:tc>
          <w:tcPr>
            <w:tcW w:w="515" w:type="pct"/>
            <w:shd w:val="clear" w:color="auto" w:fill="FFFFFF"/>
            <w:vAlign w:val="center"/>
          </w:tcPr>
          <w:p w14:paraId="2143F9E8">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4F5B6DB0">
            <w:pPr>
              <w:pStyle w:val="2183"/>
              <w:spacing w:before="0" w:beforeAutospacing="0" w:after="0" w:afterAutospacing="0"/>
              <w:contextualSpacing/>
              <w:rPr>
                <w:color w:val="auto"/>
                <w:sz w:val="20"/>
                <w:szCs w:val="20"/>
              </w:rPr>
            </w:pPr>
            <w:r>
              <w:rPr>
                <w:b w:val="0"/>
                <w:color w:val="auto"/>
                <w:sz w:val="20"/>
                <w:szCs w:val="20"/>
              </w:rPr>
              <w:t>0,02</w:t>
            </w:r>
          </w:p>
        </w:tc>
      </w:tr>
      <w:tr w14:paraId="12A6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410" w:type="pct"/>
            <w:shd w:val="clear" w:color="auto" w:fill="FFFFFF"/>
            <w:vAlign w:val="center"/>
          </w:tcPr>
          <w:p w14:paraId="0F068D80">
            <w:pPr>
              <w:pStyle w:val="2183"/>
              <w:spacing w:before="0" w:beforeAutospacing="0" w:after="0" w:afterAutospacing="0"/>
              <w:contextualSpacing/>
              <w:rPr>
                <w:color w:val="auto"/>
                <w:sz w:val="20"/>
                <w:szCs w:val="20"/>
              </w:rPr>
            </w:pPr>
            <w:r>
              <w:rPr>
                <w:b w:val="0"/>
                <w:color w:val="auto"/>
                <w:sz w:val="20"/>
                <w:szCs w:val="20"/>
              </w:rPr>
              <w:t>4.2</w:t>
            </w:r>
          </w:p>
        </w:tc>
        <w:tc>
          <w:tcPr>
            <w:tcW w:w="3342" w:type="pct"/>
            <w:shd w:val="clear" w:color="auto" w:fill="FFFFFF"/>
            <w:vAlign w:val="center"/>
          </w:tcPr>
          <w:p w14:paraId="604A806B">
            <w:pPr>
              <w:pStyle w:val="2183"/>
              <w:spacing w:before="0" w:beforeAutospacing="0" w:after="0" w:afterAutospacing="0"/>
              <w:contextualSpacing/>
              <w:jc w:val="left"/>
              <w:rPr>
                <w:color w:val="auto"/>
                <w:sz w:val="20"/>
                <w:szCs w:val="20"/>
              </w:rPr>
            </w:pPr>
            <w:r>
              <w:rPr>
                <w:b w:val="0"/>
                <w:color w:val="auto"/>
                <w:sz w:val="20"/>
                <w:szCs w:val="20"/>
              </w:rPr>
              <w:t>- в системах теплопотребления потребителей</w:t>
            </w:r>
          </w:p>
        </w:tc>
        <w:tc>
          <w:tcPr>
            <w:tcW w:w="515" w:type="pct"/>
            <w:shd w:val="clear" w:color="auto" w:fill="FFFFFF"/>
            <w:vAlign w:val="center"/>
          </w:tcPr>
          <w:p w14:paraId="360019F3">
            <w:pPr>
              <w:pStyle w:val="2183"/>
              <w:spacing w:before="0" w:beforeAutospacing="0" w:after="0" w:afterAutospacing="0"/>
              <w:contextualSpacing/>
              <w:rPr>
                <w:color w:val="auto"/>
                <w:sz w:val="20"/>
                <w:szCs w:val="20"/>
              </w:rPr>
            </w:pPr>
            <w:r>
              <w:rPr>
                <w:b w:val="0"/>
                <w:color w:val="auto"/>
                <w:sz w:val="20"/>
                <w:szCs w:val="20"/>
              </w:rPr>
              <w:t>т/ч</w:t>
            </w:r>
          </w:p>
        </w:tc>
        <w:tc>
          <w:tcPr>
            <w:tcW w:w="733" w:type="pct"/>
            <w:shd w:val="clear" w:color="auto" w:fill="FFFFFF"/>
            <w:vAlign w:val="center"/>
          </w:tcPr>
          <w:p w14:paraId="1ADFF3E8">
            <w:pPr>
              <w:pStyle w:val="2183"/>
              <w:spacing w:before="0" w:beforeAutospacing="0" w:after="0" w:afterAutospacing="0"/>
              <w:contextualSpacing/>
              <w:rPr>
                <w:color w:val="auto"/>
                <w:sz w:val="20"/>
                <w:szCs w:val="20"/>
              </w:rPr>
            </w:pPr>
            <w:r>
              <w:rPr>
                <w:b w:val="0"/>
                <w:color w:val="auto"/>
                <w:sz w:val="20"/>
                <w:szCs w:val="20"/>
              </w:rPr>
              <w:t>0,01</w:t>
            </w:r>
          </w:p>
        </w:tc>
      </w:tr>
    </w:tbl>
    <w:p w14:paraId="675F2483">
      <w:pPr>
        <w:spacing w:after="0" w:line="240" w:lineRule="auto"/>
        <w:contextualSpacing/>
        <w:jc w:val="both"/>
        <w:rPr>
          <w:sz w:val="24"/>
          <w:szCs w:val="24"/>
        </w:rPr>
      </w:pPr>
    </w:p>
    <w:p w14:paraId="598E2ED2">
      <w:pPr>
        <w:pStyle w:val="3"/>
        <w:spacing w:before="0" w:line="240" w:lineRule="auto"/>
        <w:ind w:left="0" w:firstLine="709"/>
        <w:contextualSpacing/>
        <w:rPr>
          <w:rFonts w:cs="Times New Roman"/>
          <w:b w:val="0"/>
          <w:sz w:val="24"/>
          <w:szCs w:val="24"/>
        </w:rPr>
      </w:pPr>
      <w:bookmarkStart w:id="480" w:name="_Toc182813994"/>
      <w:bookmarkStart w:id="481" w:name="_Toc524615062"/>
      <w:bookmarkStart w:id="482" w:name="_Toc524614846"/>
      <w:r>
        <w:rPr>
          <w:rFonts w:cs="Times New Roman"/>
          <w:b w:val="0"/>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80"/>
      <w:bookmarkEnd w:id="481"/>
      <w:bookmarkEnd w:id="482"/>
    </w:p>
    <w:p w14:paraId="0F1E755A">
      <w:pPr>
        <w:spacing w:after="0" w:line="240" w:lineRule="auto"/>
        <w:contextualSpacing/>
        <w:jc w:val="both"/>
        <w:rPr>
          <w:sz w:val="24"/>
          <w:szCs w:val="24"/>
        </w:rPr>
      </w:pPr>
      <w:r>
        <w:rPr>
          <w:sz w:val="24"/>
          <w:szCs w:val="24"/>
        </w:rPr>
        <w:t>Расчётный часовой расход воды для подпитки системы теплоснабжения следует принимать:</w:t>
      </w:r>
    </w:p>
    <w:p w14:paraId="65D66771">
      <w:pPr>
        <w:spacing w:after="0" w:line="240" w:lineRule="auto"/>
        <w:contextualSpacing/>
        <w:jc w:val="both"/>
        <w:rPr>
          <w:sz w:val="24"/>
          <w:szCs w:val="24"/>
        </w:rPr>
      </w:pPr>
      <w:r>
        <w:rPr>
          <w:sz w:val="24"/>
          <w:szCs w:val="24"/>
        </w:rPr>
        <w:t>- 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247C4FE">
      <w:pPr>
        <w:spacing w:after="0" w:line="240" w:lineRule="auto"/>
        <w:contextualSpacing/>
        <w:jc w:val="both"/>
        <w:rPr>
          <w:sz w:val="24"/>
          <w:szCs w:val="24"/>
        </w:rPr>
      </w:pPr>
      <w:r>
        <w:rPr>
          <w:sz w:val="24"/>
          <w:szCs w:val="24"/>
        </w:rPr>
        <w:t>- 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5E686CC">
      <w:pPr>
        <w:spacing w:after="0" w:line="240" w:lineRule="auto"/>
        <w:contextualSpacing/>
        <w:jc w:val="both"/>
        <w:rPr>
          <w:sz w:val="24"/>
          <w:szCs w:val="24"/>
        </w:rPr>
      </w:pPr>
      <w:r>
        <w:rPr>
          <w:sz w:val="24"/>
          <w:szCs w:val="24"/>
        </w:rPr>
        <w:t>На территории с.п. Верхнеказымский система теплоснабжения – закрытая зависимая. Отбора теплоносителя на нужды горячего водоснабжения не происходит.</w:t>
      </w:r>
    </w:p>
    <w:p w14:paraId="598E5C5C">
      <w:pPr>
        <w:spacing w:after="0" w:line="240" w:lineRule="auto"/>
        <w:contextualSpacing/>
        <w:jc w:val="both"/>
        <w:rPr>
          <w:sz w:val="24"/>
          <w:szCs w:val="24"/>
        </w:rPr>
      </w:pPr>
    </w:p>
    <w:p w14:paraId="4AE705CE">
      <w:pPr>
        <w:pStyle w:val="3"/>
        <w:spacing w:before="0" w:line="240" w:lineRule="auto"/>
        <w:ind w:left="0" w:firstLine="709"/>
        <w:contextualSpacing/>
        <w:rPr>
          <w:rFonts w:cs="Times New Roman"/>
          <w:b w:val="0"/>
          <w:sz w:val="24"/>
          <w:szCs w:val="24"/>
        </w:rPr>
      </w:pPr>
      <w:bookmarkStart w:id="483" w:name="_Toc524614847"/>
      <w:bookmarkStart w:id="484" w:name="_Toc524615063"/>
      <w:bookmarkStart w:id="485" w:name="_Toc182813995"/>
      <w:r>
        <w:rPr>
          <w:rFonts w:cs="Times New Roman"/>
          <w:b w:val="0"/>
          <w:sz w:val="24"/>
          <w:szCs w:val="24"/>
        </w:rPr>
        <w:t>Сведения о наличии баков-аккумуляторов</w:t>
      </w:r>
      <w:bookmarkEnd w:id="483"/>
      <w:bookmarkEnd w:id="484"/>
      <w:bookmarkEnd w:id="485"/>
    </w:p>
    <w:p w14:paraId="1CDE641A">
      <w:pPr>
        <w:spacing w:after="0" w:line="240" w:lineRule="auto"/>
        <w:contextualSpacing/>
        <w:jc w:val="both"/>
        <w:rPr>
          <w:sz w:val="24"/>
          <w:szCs w:val="24"/>
        </w:rPr>
      </w:pPr>
      <w:r>
        <w:rPr>
          <w:sz w:val="24"/>
          <w:szCs w:val="24"/>
        </w:rPr>
        <w:t>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bookmarkStart w:id="486" w:name="_Hlk37154319"/>
    </w:p>
    <w:p w14:paraId="5DCFB552">
      <w:pPr>
        <w:spacing w:after="0" w:line="240" w:lineRule="auto"/>
        <w:contextualSpacing/>
        <w:rPr>
          <w:sz w:val="24"/>
          <w:szCs w:val="24"/>
        </w:rPr>
      </w:pPr>
      <w:r>
        <w:rPr>
          <w:sz w:val="24"/>
          <w:szCs w:val="24"/>
        </w:rPr>
        <w:t>На источниках теплоснабжения баки-аккумуляторы отсутствуют.</w:t>
      </w:r>
    </w:p>
    <w:p w14:paraId="4F9EFF70">
      <w:pPr>
        <w:spacing w:after="0" w:line="240" w:lineRule="auto"/>
        <w:contextualSpacing/>
        <w:rPr>
          <w:sz w:val="24"/>
          <w:szCs w:val="24"/>
        </w:rPr>
      </w:pPr>
    </w:p>
    <w:p w14:paraId="29758010">
      <w:pPr>
        <w:spacing w:after="0" w:line="240" w:lineRule="auto"/>
        <w:contextualSpacing/>
        <w:rPr>
          <w:sz w:val="24"/>
          <w:szCs w:val="24"/>
        </w:rPr>
      </w:pPr>
    </w:p>
    <w:bookmarkEnd w:id="486"/>
    <w:p w14:paraId="35D566FB">
      <w:pPr>
        <w:pStyle w:val="3"/>
        <w:spacing w:before="0" w:line="240" w:lineRule="auto"/>
        <w:ind w:left="0" w:firstLine="709"/>
        <w:contextualSpacing/>
        <w:rPr>
          <w:rFonts w:cs="Times New Roman"/>
          <w:b w:val="0"/>
          <w:sz w:val="24"/>
          <w:szCs w:val="24"/>
        </w:rPr>
      </w:pPr>
      <w:bookmarkStart w:id="487" w:name="_Toc524614848"/>
      <w:bookmarkStart w:id="488" w:name="_Toc524615064"/>
      <w:bookmarkStart w:id="489" w:name="_Toc182813996"/>
      <w:r>
        <w:rPr>
          <w:rFonts w:cs="Times New Roman"/>
          <w:b w:val="0"/>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87"/>
      <w:bookmarkEnd w:id="488"/>
      <w:bookmarkEnd w:id="489"/>
    </w:p>
    <w:p w14:paraId="62824A06">
      <w:pPr>
        <w:spacing w:after="0" w:line="240" w:lineRule="auto"/>
        <w:contextualSpacing/>
        <w:jc w:val="both"/>
        <w:rPr>
          <w:sz w:val="24"/>
          <w:szCs w:val="24"/>
        </w:rPr>
      </w:pPr>
      <w:r>
        <w:rPr>
          <w:sz w:val="24"/>
          <w:szCs w:val="24"/>
        </w:rPr>
        <w:t>Фактические часовые расходы подпиточной воды в зоне действия источников тепловой энергии администрацией с.п. Верхнеказымский не предоставлены.</w:t>
      </w:r>
    </w:p>
    <w:p w14:paraId="29C904B6">
      <w:pPr>
        <w:spacing w:after="0" w:line="240" w:lineRule="auto"/>
        <w:contextualSpacing/>
        <w:jc w:val="both"/>
        <w:rPr>
          <w:sz w:val="24"/>
          <w:szCs w:val="24"/>
        </w:rPr>
      </w:pPr>
    </w:p>
    <w:p w14:paraId="2E8847C9">
      <w:pPr>
        <w:pStyle w:val="3"/>
        <w:spacing w:before="0" w:line="240" w:lineRule="auto"/>
        <w:ind w:left="0" w:firstLine="709"/>
        <w:contextualSpacing/>
        <w:rPr>
          <w:rFonts w:cs="Times New Roman"/>
          <w:b w:val="0"/>
          <w:sz w:val="24"/>
          <w:szCs w:val="24"/>
        </w:rPr>
      </w:pPr>
      <w:bookmarkStart w:id="490" w:name="_Toc524615065"/>
      <w:bookmarkStart w:id="491" w:name="_Toc182813997"/>
      <w:bookmarkStart w:id="492" w:name="_Toc524614849"/>
      <w:r>
        <w:rPr>
          <w:rFonts w:cs="Times New Roman"/>
          <w:b w:val="0"/>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90"/>
      <w:bookmarkEnd w:id="491"/>
      <w:bookmarkEnd w:id="492"/>
    </w:p>
    <w:p w14:paraId="09BE7448">
      <w:pPr>
        <w:tabs>
          <w:tab w:val="left" w:pos="1134"/>
        </w:tabs>
        <w:spacing w:after="0" w:line="240" w:lineRule="auto"/>
        <w:contextualSpacing/>
        <w:jc w:val="both"/>
        <w:rPr>
          <w:sz w:val="24"/>
          <w:szCs w:val="24"/>
        </w:rPr>
      </w:pPr>
      <w:r>
        <w:rPr>
          <w:sz w:val="24"/>
          <w:szCs w:val="24"/>
        </w:rPr>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 СП 124.13330.2012 «Тепловые сети»:</w:t>
      </w:r>
    </w:p>
    <w:p w14:paraId="76B3A18A">
      <w:pPr>
        <w:pStyle w:val="153"/>
        <w:numPr>
          <w:ilvl w:val="0"/>
          <w:numId w:val="44"/>
        </w:numPr>
        <w:tabs>
          <w:tab w:val="left" w:pos="993"/>
        </w:tabs>
        <w:ind w:left="0" w:firstLine="709"/>
        <w:rPr>
          <w:sz w:val="24"/>
          <w:szCs w:val="24"/>
        </w:rPr>
      </w:pPr>
      <w:r>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65AEBCB6">
      <w:pPr>
        <w:pStyle w:val="153"/>
        <w:numPr>
          <w:ilvl w:val="0"/>
          <w:numId w:val="44"/>
        </w:numPr>
        <w:tabs>
          <w:tab w:val="left" w:pos="993"/>
        </w:tabs>
        <w:ind w:left="0" w:firstLine="709"/>
        <w:rPr>
          <w:sz w:val="24"/>
          <w:szCs w:val="24"/>
        </w:rPr>
      </w:pPr>
      <w:r>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2CFFB6BE">
      <w:pPr>
        <w:pStyle w:val="153"/>
        <w:numPr>
          <w:ilvl w:val="0"/>
          <w:numId w:val="44"/>
        </w:numPr>
        <w:tabs>
          <w:tab w:val="left" w:pos="993"/>
        </w:tabs>
        <w:ind w:left="0" w:firstLine="709"/>
        <w:rPr>
          <w:sz w:val="24"/>
          <w:szCs w:val="24"/>
        </w:rPr>
      </w:pPr>
      <w:r>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0D6CFD4C">
      <w:pPr>
        <w:spacing w:after="0" w:line="240" w:lineRule="auto"/>
        <w:contextualSpacing/>
        <w:rPr>
          <w:sz w:val="24"/>
          <w:szCs w:val="24"/>
        </w:rPr>
      </w:pPr>
      <w:r>
        <w:rPr>
          <w:sz w:val="24"/>
          <w:szCs w:val="24"/>
        </w:rPr>
        <w:t>Баланс производительности ВПУ и подпитки тепловой сети представлен в таблице 57.</w:t>
      </w:r>
    </w:p>
    <w:p w14:paraId="4E616BF5">
      <w:pPr>
        <w:spacing w:after="0" w:line="240" w:lineRule="auto"/>
        <w:contextualSpacing/>
        <w:rPr>
          <w:sz w:val="24"/>
          <w:szCs w:val="24"/>
        </w:rPr>
      </w:pPr>
    </w:p>
    <w:p w14:paraId="4C0C4FCD">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57</w:t>
      </w:r>
      <w:r>
        <w:rPr>
          <w:sz w:val="24"/>
          <w:szCs w:val="24"/>
        </w:rPr>
        <w:fldChar w:fldCharType="end"/>
      </w:r>
      <w:r>
        <w:rPr>
          <w:sz w:val="24"/>
          <w:szCs w:val="24"/>
        </w:rPr>
        <w:t xml:space="preserve"> – Баланс производительности ВПУ и подпитки тепловой сети</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30"/>
        <w:gridCol w:w="1939"/>
        <w:gridCol w:w="1925"/>
      </w:tblGrid>
      <w:tr w14:paraId="44F15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3007" w:type="pct"/>
            <w:shd w:val="clear" w:color="auto" w:fill="auto"/>
            <w:tcMar>
              <w:left w:w="28" w:type="dxa"/>
              <w:right w:w="28" w:type="dxa"/>
            </w:tcMar>
            <w:vAlign w:val="center"/>
          </w:tcPr>
          <w:p w14:paraId="31B4C4DD">
            <w:pPr>
              <w:autoSpaceDE w:val="0"/>
              <w:autoSpaceDN w:val="0"/>
              <w:adjustRightInd w:val="0"/>
              <w:spacing w:after="0" w:line="240" w:lineRule="auto"/>
              <w:ind w:firstLine="0"/>
              <w:contextualSpacing/>
              <w:jc w:val="center"/>
              <w:rPr>
                <w:sz w:val="20"/>
                <w:szCs w:val="20"/>
              </w:rPr>
            </w:pPr>
            <w:r>
              <w:rPr>
                <w:sz w:val="20"/>
                <w:szCs w:val="20"/>
              </w:rPr>
              <w:t>Зона действия источника тепловой энергии</w:t>
            </w:r>
          </w:p>
        </w:tc>
        <w:tc>
          <w:tcPr>
            <w:tcW w:w="1000" w:type="pct"/>
            <w:shd w:val="clear" w:color="auto" w:fill="auto"/>
            <w:tcMar>
              <w:left w:w="28" w:type="dxa"/>
              <w:right w:w="28" w:type="dxa"/>
            </w:tcMar>
            <w:vAlign w:val="center"/>
          </w:tcPr>
          <w:p w14:paraId="5F4B4112">
            <w:pPr>
              <w:autoSpaceDE w:val="0"/>
              <w:autoSpaceDN w:val="0"/>
              <w:adjustRightInd w:val="0"/>
              <w:spacing w:after="0" w:line="240" w:lineRule="auto"/>
              <w:ind w:firstLine="0"/>
              <w:contextualSpacing/>
              <w:jc w:val="center"/>
              <w:rPr>
                <w:sz w:val="20"/>
                <w:szCs w:val="20"/>
              </w:rPr>
            </w:pPr>
            <w:r>
              <w:rPr>
                <w:sz w:val="20"/>
                <w:szCs w:val="20"/>
              </w:rPr>
              <w:t>Размерность</w:t>
            </w:r>
          </w:p>
        </w:tc>
        <w:tc>
          <w:tcPr>
            <w:tcW w:w="994" w:type="pct"/>
            <w:shd w:val="clear" w:color="auto" w:fill="auto"/>
            <w:tcMar>
              <w:left w:w="28" w:type="dxa"/>
              <w:right w:w="28" w:type="dxa"/>
            </w:tcMar>
            <w:vAlign w:val="center"/>
          </w:tcPr>
          <w:p w14:paraId="30F5B349">
            <w:pPr>
              <w:autoSpaceDE w:val="0"/>
              <w:autoSpaceDN w:val="0"/>
              <w:adjustRightInd w:val="0"/>
              <w:spacing w:after="0" w:line="240" w:lineRule="auto"/>
              <w:ind w:firstLine="0"/>
              <w:contextualSpacing/>
              <w:jc w:val="center"/>
              <w:rPr>
                <w:sz w:val="20"/>
                <w:szCs w:val="20"/>
              </w:rPr>
            </w:pPr>
            <w:r>
              <w:rPr>
                <w:sz w:val="20"/>
                <w:szCs w:val="20"/>
              </w:rPr>
              <w:t>Значения</w:t>
            </w:r>
          </w:p>
        </w:tc>
      </w:tr>
      <w:tr w14:paraId="45759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4D73F39D">
            <w:pPr>
              <w:autoSpaceDE w:val="0"/>
              <w:autoSpaceDN w:val="0"/>
              <w:adjustRightInd w:val="0"/>
              <w:spacing w:after="0" w:line="240" w:lineRule="auto"/>
              <w:ind w:firstLine="0"/>
              <w:contextualSpacing/>
              <w:rPr>
                <w:sz w:val="20"/>
                <w:szCs w:val="20"/>
              </w:rPr>
            </w:pPr>
            <w:r>
              <w:rPr>
                <w:sz w:val="20"/>
                <w:szCs w:val="20"/>
              </w:rPr>
              <w:t>Производительность ВПУ</w:t>
            </w:r>
          </w:p>
        </w:tc>
        <w:tc>
          <w:tcPr>
            <w:tcW w:w="1000" w:type="pct"/>
            <w:shd w:val="clear" w:color="auto" w:fill="auto"/>
            <w:tcMar>
              <w:left w:w="28" w:type="dxa"/>
              <w:right w:w="28" w:type="dxa"/>
            </w:tcMar>
            <w:vAlign w:val="center"/>
          </w:tcPr>
          <w:p w14:paraId="74E8A9F9">
            <w:pPr>
              <w:autoSpaceDE w:val="0"/>
              <w:autoSpaceDN w:val="0"/>
              <w:adjustRightInd w:val="0"/>
              <w:spacing w:after="0" w:line="240" w:lineRule="auto"/>
              <w:ind w:firstLine="0"/>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11C47DAB">
            <w:pPr>
              <w:autoSpaceDE w:val="0"/>
              <w:autoSpaceDN w:val="0"/>
              <w:adjustRightInd w:val="0"/>
              <w:spacing w:after="0" w:line="240" w:lineRule="auto"/>
              <w:ind w:firstLine="0"/>
              <w:contextualSpacing/>
              <w:jc w:val="center"/>
              <w:rPr>
                <w:sz w:val="20"/>
                <w:szCs w:val="20"/>
              </w:rPr>
            </w:pPr>
            <w:r>
              <w:rPr>
                <w:sz w:val="20"/>
                <w:szCs w:val="20"/>
              </w:rPr>
              <w:t>0,009</w:t>
            </w:r>
          </w:p>
        </w:tc>
      </w:tr>
      <w:tr w14:paraId="5B997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714EB940">
            <w:pPr>
              <w:pStyle w:val="157"/>
              <w:contextualSpacing/>
              <w:rPr>
                <w:sz w:val="20"/>
                <w:szCs w:val="20"/>
              </w:rPr>
            </w:pPr>
            <w:r>
              <w:rPr>
                <w:sz w:val="20"/>
                <w:szCs w:val="20"/>
              </w:rPr>
              <w:t>Средневзвешенный срок службы</w:t>
            </w:r>
          </w:p>
        </w:tc>
        <w:tc>
          <w:tcPr>
            <w:tcW w:w="1000" w:type="pct"/>
            <w:shd w:val="clear" w:color="auto" w:fill="auto"/>
            <w:tcMar>
              <w:left w:w="28" w:type="dxa"/>
              <w:right w:w="28" w:type="dxa"/>
            </w:tcMar>
            <w:vAlign w:val="center"/>
          </w:tcPr>
          <w:p w14:paraId="71A8CA81">
            <w:pPr>
              <w:pStyle w:val="157"/>
              <w:contextualSpacing/>
              <w:jc w:val="center"/>
              <w:rPr>
                <w:sz w:val="20"/>
                <w:szCs w:val="20"/>
              </w:rPr>
            </w:pPr>
            <w:r>
              <w:rPr>
                <w:sz w:val="20"/>
                <w:szCs w:val="20"/>
              </w:rPr>
              <w:t>лет</w:t>
            </w:r>
          </w:p>
        </w:tc>
        <w:tc>
          <w:tcPr>
            <w:tcW w:w="994" w:type="pct"/>
            <w:shd w:val="clear" w:color="auto" w:fill="auto"/>
            <w:tcMar>
              <w:left w:w="28" w:type="dxa"/>
              <w:right w:w="28" w:type="dxa"/>
            </w:tcMar>
            <w:vAlign w:val="center"/>
          </w:tcPr>
          <w:p w14:paraId="548A0699">
            <w:pPr>
              <w:autoSpaceDE w:val="0"/>
              <w:autoSpaceDN w:val="0"/>
              <w:adjustRightInd w:val="0"/>
              <w:spacing w:after="0" w:line="240" w:lineRule="auto"/>
              <w:ind w:firstLine="0"/>
              <w:contextualSpacing/>
              <w:jc w:val="center"/>
              <w:rPr>
                <w:sz w:val="20"/>
                <w:szCs w:val="20"/>
              </w:rPr>
            </w:pPr>
            <w:r>
              <w:rPr>
                <w:sz w:val="20"/>
                <w:szCs w:val="20"/>
              </w:rPr>
              <w:t>16</w:t>
            </w:r>
          </w:p>
        </w:tc>
      </w:tr>
      <w:tr w14:paraId="3CB5A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6F5B5493">
            <w:pPr>
              <w:pStyle w:val="157"/>
              <w:contextualSpacing/>
              <w:rPr>
                <w:sz w:val="20"/>
                <w:szCs w:val="20"/>
              </w:rPr>
            </w:pPr>
            <w:r>
              <w:rPr>
                <w:sz w:val="20"/>
                <w:szCs w:val="20"/>
              </w:rPr>
              <w:t>Располагаемая производительность ВПУ</w:t>
            </w:r>
          </w:p>
        </w:tc>
        <w:tc>
          <w:tcPr>
            <w:tcW w:w="1000" w:type="pct"/>
            <w:shd w:val="clear" w:color="auto" w:fill="auto"/>
            <w:tcMar>
              <w:left w:w="28" w:type="dxa"/>
              <w:right w:w="28" w:type="dxa"/>
            </w:tcMar>
            <w:vAlign w:val="center"/>
          </w:tcPr>
          <w:p w14:paraId="0958E637">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74905C1D">
            <w:pPr>
              <w:autoSpaceDE w:val="0"/>
              <w:autoSpaceDN w:val="0"/>
              <w:adjustRightInd w:val="0"/>
              <w:spacing w:after="0" w:line="240" w:lineRule="auto"/>
              <w:ind w:firstLine="0"/>
              <w:contextualSpacing/>
              <w:jc w:val="center"/>
              <w:rPr>
                <w:sz w:val="20"/>
                <w:szCs w:val="20"/>
              </w:rPr>
            </w:pPr>
            <w:r>
              <w:rPr>
                <w:sz w:val="20"/>
                <w:szCs w:val="20"/>
              </w:rPr>
              <w:t>0,009</w:t>
            </w:r>
          </w:p>
        </w:tc>
      </w:tr>
      <w:tr w14:paraId="4503A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6CDBAFC1">
            <w:pPr>
              <w:pStyle w:val="157"/>
              <w:contextualSpacing/>
              <w:rPr>
                <w:sz w:val="20"/>
                <w:szCs w:val="20"/>
              </w:rPr>
            </w:pPr>
            <w:r>
              <w:rPr>
                <w:sz w:val="20"/>
                <w:szCs w:val="20"/>
              </w:rPr>
              <w:t>Потери располагаемой производительности</w:t>
            </w:r>
          </w:p>
        </w:tc>
        <w:tc>
          <w:tcPr>
            <w:tcW w:w="1000" w:type="pct"/>
            <w:shd w:val="clear" w:color="auto" w:fill="auto"/>
            <w:tcMar>
              <w:left w:w="28" w:type="dxa"/>
              <w:right w:w="28" w:type="dxa"/>
            </w:tcMar>
            <w:vAlign w:val="center"/>
          </w:tcPr>
          <w:p w14:paraId="4DB8A83A">
            <w:pPr>
              <w:pStyle w:val="157"/>
              <w:contextualSpacing/>
              <w:jc w:val="center"/>
              <w:rPr>
                <w:sz w:val="20"/>
                <w:szCs w:val="20"/>
              </w:rPr>
            </w:pPr>
            <w:r>
              <w:rPr>
                <w:sz w:val="20"/>
                <w:szCs w:val="20"/>
              </w:rPr>
              <w:t>%</w:t>
            </w:r>
          </w:p>
        </w:tc>
        <w:tc>
          <w:tcPr>
            <w:tcW w:w="994" w:type="pct"/>
            <w:shd w:val="clear" w:color="auto" w:fill="auto"/>
            <w:tcMar>
              <w:left w:w="28" w:type="dxa"/>
              <w:right w:w="28" w:type="dxa"/>
            </w:tcMar>
            <w:vAlign w:val="center"/>
          </w:tcPr>
          <w:p w14:paraId="71C30A9A">
            <w:pPr>
              <w:autoSpaceDE w:val="0"/>
              <w:autoSpaceDN w:val="0"/>
              <w:adjustRightInd w:val="0"/>
              <w:spacing w:after="0" w:line="240" w:lineRule="auto"/>
              <w:ind w:firstLine="0"/>
              <w:contextualSpacing/>
              <w:jc w:val="center"/>
              <w:rPr>
                <w:sz w:val="20"/>
                <w:szCs w:val="20"/>
              </w:rPr>
            </w:pPr>
          </w:p>
        </w:tc>
      </w:tr>
      <w:tr w14:paraId="1EA4D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B35C3D0">
            <w:pPr>
              <w:pStyle w:val="157"/>
              <w:contextualSpacing/>
              <w:rPr>
                <w:sz w:val="20"/>
                <w:szCs w:val="20"/>
              </w:rPr>
            </w:pPr>
            <w:r>
              <w:rPr>
                <w:sz w:val="20"/>
                <w:szCs w:val="20"/>
              </w:rPr>
              <w:t>Собственные нужды</w:t>
            </w:r>
          </w:p>
        </w:tc>
        <w:tc>
          <w:tcPr>
            <w:tcW w:w="1000" w:type="pct"/>
            <w:shd w:val="clear" w:color="auto" w:fill="auto"/>
            <w:tcMar>
              <w:left w:w="28" w:type="dxa"/>
              <w:right w:w="28" w:type="dxa"/>
            </w:tcMar>
            <w:vAlign w:val="center"/>
          </w:tcPr>
          <w:p w14:paraId="07A56908">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2277B113">
            <w:pPr>
              <w:autoSpaceDE w:val="0"/>
              <w:autoSpaceDN w:val="0"/>
              <w:adjustRightInd w:val="0"/>
              <w:spacing w:after="0" w:line="240" w:lineRule="auto"/>
              <w:ind w:firstLine="0"/>
              <w:contextualSpacing/>
              <w:jc w:val="center"/>
              <w:rPr>
                <w:sz w:val="20"/>
                <w:szCs w:val="20"/>
              </w:rPr>
            </w:pPr>
            <w:r>
              <w:rPr>
                <w:sz w:val="20"/>
                <w:szCs w:val="20"/>
              </w:rPr>
              <w:t>-</w:t>
            </w:r>
          </w:p>
        </w:tc>
      </w:tr>
      <w:tr w14:paraId="1745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697810EE">
            <w:pPr>
              <w:pStyle w:val="157"/>
              <w:contextualSpacing/>
              <w:rPr>
                <w:sz w:val="20"/>
                <w:szCs w:val="20"/>
              </w:rPr>
            </w:pPr>
            <w:r>
              <w:rPr>
                <w:sz w:val="20"/>
                <w:szCs w:val="20"/>
              </w:rPr>
              <w:t>Количество баков-аккумуляторов теплоносителя</w:t>
            </w:r>
          </w:p>
        </w:tc>
        <w:tc>
          <w:tcPr>
            <w:tcW w:w="1000" w:type="pct"/>
            <w:shd w:val="clear" w:color="auto" w:fill="auto"/>
            <w:tcMar>
              <w:left w:w="28" w:type="dxa"/>
              <w:right w:w="28" w:type="dxa"/>
            </w:tcMar>
            <w:vAlign w:val="center"/>
          </w:tcPr>
          <w:p w14:paraId="61C5BFBF">
            <w:pPr>
              <w:pStyle w:val="157"/>
              <w:contextualSpacing/>
              <w:jc w:val="center"/>
              <w:rPr>
                <w:sz w:val="20"/>
                <w:szCs w:val="20"/>
              </w:rPr>
            </w:pPr>
            <w:r>
              <w:rPr>
                <w:sz w:val="20"/>
                <w:szCs w:val="20"/>
              </w:rPr>
              <w:t>Ед.</w:t>
            </w:r>
          </w:p>
        </w:tc>
        <w:tc>
          <w:tcPr>
            <w:tcW w:w="994" w:type="pct"/>
            <w:shd w:val="clear" w:color="auto" w:fill="auto"/>
            <w:tcMar>
              <w:left w:w="28" w:type="dxa"/>
              <w:right w:w="28" w:type="dxa"/>
            </w:tcMar>
            <w:vAlign w:val="center"/>
          </w:tcPr>
          <w:p w14:paraId="32C5DF3E">
            <w:pPr>
              <w:autoSpaceDE w:val="0"/>
              <w:autoSpaceDN w:val="0"/>
              <w:adjustRightInd w:val="0"/>
              <w:spacing w:after="0" w:line="240" w:lineRule="auto"/>
              <w:ind w:firstLine="0"/>
              <w:contextualSpacing/>
              <w:jc w:val="center"/>
              <w:rPr>
                <w:sz w:val="20"/>
                <w:szCs w:val="20"/>
              </w:rPr>
            </w:pPr>
            <w:r>
              <w:rPr>
                <w:sz w:val="20"/>
                <w:szCs w:val="20"/>
              </w:rPr>
              <w:t>-</w:t>
            </w:r>
          </w:p>
        </w:tc>
      </w:tr>
      <w:tr w14:paraId="47A8E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0A5319AD">
            <w:pPr>
              <w:pStyle w:val="157"/>
              <w:contextualSpacing/>
              <w:rPr>
                <w:sz w:val="20"/>
                <w:szCs w:val="20"/>
              </w:rPr>
            </w:pPr>
            <w:r>
              <w:rPr>
                <w:sz w:val="20"/>
                <w:szCs w:val="20"/>
              </w:rPr>
              <w:t>Емкость баков-аккумуляторов</w:t>
            </w:r>
          </w:p>
        </w:tc>
        <w:tc>
          <w:tcPr>
            <w:tcW w:w="1000" w:type="pct"/>
            <w:shd w:val="clear" w:color="auto" w:fill="auto"/>
            <w:tcMar>
              <w:left w:w="28" w:type="dxa"/>
              <w:right w:w="28" w:type="dxa"/>
            </w:tcMar>
            <w:vAlign w:val="center"/>
          </w:tcPr>
          <w:p w14:paraId="736C21E3">
            <w:pPr>
              <w:pStyle w:val="157"/>
              <w:contextualSpacing/>
              <w:jc w:val="center"/>
              <w:rPr>
                <w:sz w:val="20"/>
                <w:szCs w:val="20"/>
              </w:rPr>
            </w:pPr>
            <w:r>
              <w:rPr>
                <w:sz w:val="20"/>
                <w:szCs w:val="20"/>
              </w:rPr>
              <w:t>тыс. м</w:t>
            </w:r>
            <w:r>
              <w:rPr>
                <w:sz w:val="20"/>
                <w:szCs w:val="20"/>
                <w:vertAlign w:val="superscript"/>
              </w:rPr>
              <w:t>3</w:t>
            </w:r>
          </w:p>
        </w:tc>
        <w:tc>
          <w:tcPr>
            <w:tcW w:w="994" w:type="pct"/>
            <w:shd w:val="clear" w:color="auto" w:fill="auto"/>
            <w:tcMar>
              <w:left w:w="28" w:type="dxa"/>
              <w:right w:w="28" w:type="dxa"/>
            </w:tcMar>
            <w:vAlign w:val="center"/>
          </w:tcPr>
          <w:p w14:paraId="4CCEDC90">
            <w:pPr>
              <w:autoSpaceDE w:val="0"/>
              <w:autoSpaceDN w:val="0"/>
              <w:adjustRightInd w:val="0"/>
              <w:spacing w:after="0" w:line="240" w:lineRule="auto"/>
              <w:ind w:firstLine="0"/>
              <w:contextualSpacing/>
              <w:jc w:val="center"/>
              <w:rPr>
                <w:sz w:val="20"/>
                <w:szCs w:val="20"/>
              </w:rPr>
            </w:pPr>
            <w:r>
              <w:rPr>
                <w:sz w:val="20"/>
                <w:szCs w:val="20"/>
              </w:rPr>
              <w:t>-</w:t>
            </w:r>
          </w:p>
        </w:tc>
      </w:tr>
      <w:tr w14:paraId="12C45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002D2B5A">
            <w:pPr>
              <w:pStyle w:val="157"/>
              <w:contextualSpacing/>
              <w:rPr>
                <w:sz w:val="20"/>
                <w:szCs w:val="20"/>
              </w:rPr>
            </w:pPr>
            <w:r>
              <w:rPr>
                <w:sz w:val="20"/>
                <w:szCs w:val="20"/>
              </w:rPr>
              <w:t>Всего подпитка тепловой сети, в т. ч.:</w:t>
            </w:r>
          </w:p>
        </w:tc>
        <w:tc>
          <w:tcPr>
            <w:tcW w:w="1000" w:type="pct"/>
            <w:shd w:val="clear" w:color="auto" w:fill="auto"/>
            <w:tcMar>
              <w:left w:w="28" w:type="dxa"/>
              <w:right w:w="28" w:type="dxa"/>
            </w:tcMar>
            <w:vAlign w:val="center"/>
          </w:tcPr>
          <w:p w14:paraId="18591617">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20686D9D">
            <w:pPr>
              <w:autoSpaceDE w:val="0"/>
              <w:autoSpaceDN w:val="0"/>
              <w:adjustRightInd w:val="0"/>
              <w:spacing w:after="0" w:line="240" w:lineRule="auto"/>
              <w:ind w:firstLine="0"/>
              <w:contextualSpacing/>
              <w:jc w:val="center"/>
              <w:rPr>
                <w:sz w:val="20"/>
                <w:szCs w:val="20"/>
              </w:rPr>
            </w:pPr>
          </w:p>
        </w:tc>
      </w:tr>
      <w:tr w14:paraId="39F8B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448122F">
            <w:pPr>
              <w:pStyle w:val="157"/>
              <w:contextualSpacing/>
              <w:rPr>
                <w:sz w:val="20"/>
                <w:szCs w:val="20"/>
              </w:rPr>
            </w:pPr>
            <w:r>
              <w:rPr>
                <w:sz w:val="20"/>
                <w:szCs w:val="20"/>
              </w:rPr>
              <w:t>нормативные утечки теплоносителя</w:t>
            </w:r>
          </w:p>
        </w:tc>
        <w:tc>
          <w:tcPr>
            <w:tcW w:w="1000" w:type="pct"/>
            <w:shd w:val="clear" w:color="auto" w:fill="auto"/>
            <w:tcMar>
              <w:left w:w="28" w:type="dxa"/>
              <w:right w:w="28" w:type="dxa"/>
            </w:tcMar>
            <w:vAlign w:val="center"/>
          </w:tcPr>
          <w:p w14:paraId="36BE4E5B">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6A6EEF29">
            <w:pPr>
              <w:autoSpaceDE w:val="0"/>
              <w:autoSpaceDN w:val="0"/>
              <w:adjustRightInd w:val="0"/>
              <w:spacing w:after="0" w:line="240" w:lineRule="auto"/>
              <w:ind w:firstLine="0"/>
              <w:contextualSpacing/>
              <w:jc w:val="center"/>
              <w:rPr>
                <w:sz w:val="20"/>
                <w:szCs w:val="20"/>
              </w:rPr>
            </w:pPr>
          </w:p>
        </w:tc>
      </w:tr>
      <w:tr w14:paraId="710E8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63567ADC">
            <w:pPr>
              <w:pStyle w:val="157"/>
              <w:contextualSpacing/>
              <w:rPr>
                <w:sz w:val="20"/>
                <w:szCs w:val="20"/>
              </w:rPr>
            </w:pPr>
            <w:r>
              <w:rPr>
                <w:sz w:val="20"/>
                <w:szCs w:val="20"/>
              </w:rPr>
              <w:t>сверхнормативные утечки теплоносителя</w:t>
            </w:r>
          </w:p>
        </w:tc>
        <w:tc>
          <w:tcPr>
            <w:tcW w:w="1000" w:type="pct"/>
            <w:shd w:val="clear" w:color="auto" w:fill="auto"/>
            <w:tcMar>
              <w:left w:w="28" w:type="dxa"/>
              <w:right w:w="28" w:type="dxa"/>
            </w:tcMar>
            <w:vAlign w:val="center"/>
          </w:tcPr>
          <w:p w14:paraId="511B8AF7">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293F07CA">
            <w:pPr>
              <w:autoSpaceDE w:val="0"/>
              <w:autoSpaceDN w:val="0"/>
              <w:adjustRightInd w:val="0"/>
              <w:spacing w:after="0" w:line="240" w:lineRule="auto"/>
              <w:ind w:firstLine="0"/>
              <w:contextualSpacing/>
              <w:jc w:val="center"/>
              <w:rPr>
                <w:sz w:val="20"/>
                <w:szCs w:val="20"/>
              </w:rPr>
            </w:pPr>
            <w:r>
              <w:rPr>
                <w:sz w:val="20"/>
                <w:szCs w:val="20"/>
              </w:rPr>
              <w:t>-</w:t>
            </w:r>
          </w:p>
        </w:tc>
      </w:tr>
      <w:tr w14:paraId="61ADC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53EBDBFD">
            <w:pPr>
              <w:pStyle w:val="157"/>
              <w:contextualSpacing/>
              <w:rPr>
                <w:sz w:val="20"/>
                <w:szCs w:val="20"/>
              </w:rPr>
            </w:pPr>
            <w:r>
              <w:rPr>
                <w:sz w:val="20"/>
                <w:szCs w:val="20"/>
              </w:rPr>
              <w:t>отпуск теплоносителя из тепловых сетей на цели горячего водоснабжения (для открытых систем теплоснабжения)</w:t>
            </w:r>
          </w:p>
        </w:tc>
        <w:tc>
          <w:tcPr>
            <w:tcW w:w="1000" w:type="pct"/>
            <w:shd w:val="clear" w:color="auto" w:fill="auto"/>
            <w:tcMar>
              <w:left w:w="28" w:type="dxa"/>
              <w:right w:w="28" w:type="dxa"/>
            </w:tcMar>
            <w:vAlign w:val="center"/>
          </w:tcPr>
          <w:p w14:paraId="52A9B9C6">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31FEC902">
            <w:pPr>
              <w:autoSpaceDE w:val="0"/>
              <w:autoSpaceDN w:val="0"/>
              <w:adjustRightInd w:val="0"/>
              <w:spacing w:after="0" w:line="240" w:lineRule="auto"/>
              <w:ind w:firstLine="0"/>
              <w:contextualSpacing/>
              <w:jc w:val="center"/>
              <w:rPr>
                <w:sz w:val="20"/>
                <w:szCs w:val="20"/>
              </w:rPr>
            </w:pPr>
            <w:r>
              <w:rPr>
                <w:sz w:val="20"/>
                <w:szCs w:val="20"/>
              </w:rPr>
              <w:t>-</w:t>
            </w:r>
          </w:p>
        </w:tc>
      </w:tr>
      <w:tr w14:paraId="2474D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03671EAB">
            <w:pPr>
              <w:pStyle w:val="157"/>
              <w:contextualSpacing/>
              <w:rPr>
                <w:sz w:val="20"/>
                <w:szCs w:val="20"/>
              </w:rPr>
            </w:pPr>
            <w:r>
              <w:rPr>
                <w:sz w:val="20"/>
                <w:szCs w:val="20"/>
              </w:rPr>
              <w:t>Максимум подпитки тепловой сети в эксплуатационном режиме</w:t>
            </w:r>
          </w:p>
        </w:tc>
        <w:tc>
          <w:tcPr>
            <w:tcW w:w="1000" w:type="pct"/>
            <w:shd w:val="clear" w:color="auto" w:fill="auto"/>
            <w:tcMar>
              <w:left w:w="28" w:type="dxa"/>
              <w:right w:w="28" w:type="dxa"/>
            </w:tcMar>
            <w:vAlign w:val="center"/>
          </w:tcPr>
          <w:p w14:paraId="67029954">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482DACA8">
            <w:pPr>
              <w:autoSpaceDE w:val="0"/>
              <w:autoSpaceDN w:val="0"/>
              <w:adjustRightInd w:val="0"/>
              <w:spacing w:after="0" w:line="240" w:lineRule="auto"/>
              <w:ind w:firstLine="0"/>
              <w:contextualSpacing/>
              <w:jc w:val="center"/>
              <w:rPr>
                <w:sz w:val="20"/>
                <w:szCs w:val="20"/>
              </w:rPr>
            </w:pPr>
            <w:r>
              <w:rPr>
                <w:sz w:val="20"/>
                <w:szCs w:val="20"/>
              </w:rPr>
              <w:t>0,5</w:t>
            </w:r>
          </w:p>
        </w:tc>
      </w:tr>
      <w:tr w14:paraId="11B57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69589ED7">
            <w:pPr>
              <w:pStyle w:val="157"/>
              <w:contextualSpacing/>
              <w:rPr>
                <w:sz w:val="20"/>
                <w:szCs w:val="20"/>
              </w:rPr>
            </w:pPr>
            <w:r>
              <w:rPr>
                <w:sz w:val="20"/>
                <w:szCs w:val="20"/>
              </w:rPr>
              <w:t>Максимальная подпитка тепловой сети в период повреждения участка</w:t>
            </w:r>
          </w:p>
        </w:tc>
        <w:tc>
          <w:tcPr>
            <w:tcW w:w="1000" w:type="pct"/>
            <w:shd w:val="clear" w:color="auto" w:fill="auto"/>
            <w:tcMar>
              <w:left w:w="28" w:type="dxa"/>
              <w:right w:w="28" w:type="dxa"/>
            </w:tcMar>
            <w:vAlign w:val="center"/>
          </w:tcPr>
          <w:p w14:paraId="0FBC98D6">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077DBE0C">
            <w:pPr>
              <w:autoSpaceDE w:val="0"/>
              <w:autoSpaceDN w:val="0"/>
              <w:adjustRightInd w:val="0"/>
              <w:spacing w:after="0" w:line="240" w:lineRule="auto"/>
              <w:ind w:firstLine="0"/>
              <w:contextualSpacing/>
              <w:jc w:val="center"/>
              <w:rPr>
                <w:sz w:val="20"/>
                <w:szCs w:val="20"/>
              </w:rPr>
            </w:pPr>
            <w:r>
              <w:rPr>
                <w:sz w:val="20"/>
                <w:szCs w:val="20"/>
              </w:rPr>
              <w:t>2</w:t>
            </w:r>
          </w:p>
        </w:tc>
      </w:tr>
      <w:tr w14:paraId="71588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DA81D7A">
            <w:pPr>
              <w:pStyle w:val="157"/>
              <w:contextualSpacing/>
              <w:rPr>
                <w:sz w:val="20"/>
                <w:szCs w:val="20"/>
              </w:rPr>
            </w:pPr>
            <w:r>
              <w:rPr>
                <w:sz w:val="20"/>
                <w:szCs w:val="20"/>
              </w:rPr>
              <w:t>Резерв (+) / дефицит (-) ВПУ</w:t>
            </w:r>
          </w:p>
        </w:tc>
        <w:tc>
          <w:tcPr>
            <w:tcW w:w="1000" w:type="pct"/>
            <w:shd w:val="clear" w:color="auto" w:fill="auto"/>
            <w:tcMar>
              <w:left w:w="28" w:type="dxa"/>
              <w:right w:w="28" w:type="dxa"/>
            </w:tcMar>
            <w:vAlign w:val="center"/>
          </w:tcPr>
          <w:p w14:paraId="61B41F59">
            <w:pPr>
              <w:pStyle w:val="157"/>
              <w:contextualSpacing/>
              <w:jc w:val="center"/>
              <w:rPr>
                <w:sz w:val="20"/>
                <w:szCs w:val="20"/>
              </w:rPr>
            </w:pPr>
            <w:r>
              <w:rPr>
                <w:sz w:val="20"/>
                <w:szCs w:val="20"/>
              </w:rPr>
              <w:t>тонн/ч</w:t>
            </w:r>
          </w:p>
        </w:tc>
        <w:tc>
          <w:tcPr>
            <w:tcW w:w="994" w:type="pct"/>
            <w:shd w:val="clear" w:color="auto" w:fill="auto"/>
            <w:tcMar>
              <w:left w:w="28" w:type="dxa"/>
              <w:right w:w="28" w:type="dxa"/>
            </w:tcMar>
            <w:vAlign w:val="center"/>
          </w:tcPr>
          <w:p w14:paraId="5E0B65DE">
            <w:pPr>
              <w:autoSpaceDE w:val="0"/>
              <w:autoSpaceDN w:val="0"/>
              <w:adjustRightInd w:val="0"/>
              <w:spacing w:after="0" w:line="240" w:lineRule="auto"/>
              <w:ind w:firstLine="0"/>
              <w:contextualSpacing/>
              <w:jc w:val="center"/>
              <w:rPr>
                <w:sz w:val="20"/>
                <w:szCs w:val="20"/>
              </w:rPr>
            </w:pPr>
          </w:p>
        </w:tc>
      </w:tr>
      <w:tr w14:paraId="6014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09B7B3A5">
            <w:pPr>
              <w:pStyle w:val="157"/>
              <w:contextualSpacing/>
              <w:rPr>
                <w:sz w:val="20"/>
                <w:szCs w:val="20"/>
              </w:rPr>
            </w:pPr>
            <w:r>
              <w:rPr>
                <w:sz w:val="20"/>
                <w:szCs w:val="20"/>
              </w:rPr>
              <w:t>Доля резерва</w:t>
            </w:r>
          </w:p>
        </w:tc>
        <w:tc>
          <w:tcPr>
            <w:tcW w:w="1000" w:type="pct"/>
            <w:shd w:val="clear" w:color="auto" w:fill="auto"/>
            <w:tcMar>
              <w:left w:w="28" w:type="dxa"/>
              <w:right w:w="28" w:type="dxa"/>
            </w:tcMar>
            <w:vAlign w:val="center"/>
          </w:tcPr>
          <w:p w14:paraId="1F27D8CE">
            <w:pPr>
              <w:pStyle w:val="157"/>
              <w:contextualSpacing/>
              <w:jc w:val="center"/>
              <w:rPr>
                <w:sz w:val="20"/>
                <w:szCs w:val="20"/>
              </w:rPr>
            </w:pPr>
            <w:r>
              <w:rPr>
                <w:sz w:val="20"/>
                <w:szCs w:val="20"/>
              </w:rPr>
              <w:t>%</w:t>
            </w:r>
          </w:p>
        </w:tc>
        <w:tc>
          <w:tcPr>
            <w:tcW w:w="994" w:type="pct"/>
            <w:shd w:val="clear" w:color="auto" w:fill="auto"/>
            <w:tcMar>
              <w:left w:w="28" w:type="dxa"/>
              <w:right w:w="28" w:type="dxa"/>
            </w:tcMar>
            <w:vAlign w:val="center"/>
          </w:tcPr>
          <w:p w14:paraId="578DE927">
            <w:pPr>
              <w:autoSpaceDE w:val="0"/>
              <w:autoSpaceDN w:val="0"/>
              <w:adjustRightInd w:val="0"/>
              <w:spacing w:after="0" w:line="240" w:lineRule="auto"/>
              <w:ind w:firstLine="0"/>
              <w:contextualSpacing/>
              <w:jc w:val="center"/>
              <w:rPr>
                <w:sz w:val="20"/>
                <w:szCs w:val="20"/>
              </w:rPr>
            </w:pPr>
          </w:p>
        </w:tc>
      </w:tr>
      <w:tr w14:paraId="46880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F226370">
            <w:pPr>
              <w:pStyle w:val="157"/>
              <w:contextualSpacing/>
              <w:rPr>
                <w:sz w:val="20"/>
                <w:szCs w:val="20"/>
              </w:rPr>
            </w:pPr>
            <w:r>
              <w:rPr>
                <w:sz w:val="20"/>
                <w:szCs w:val="20"/>
              </w:rPr>
              <w:t>Всего подпитка тепловой сети, в т. ч.:</w:t>
            </w:r>
          </w:p>
        </w:tc>
        <w:tc>
          <w:tcPr>
            <w:tcW w:w="1000" w:type="pct"/>
            <w:shd w:val="clear" w:color="auto" w:fill="auto"/>
            <w:tcMar>
              <w:left w:w="28" w:type="dxa"/>
              <w:right w:w="28" w:type="dxa"/>
            </w:tcMar>
            <w:vAlign w:val="center"/>
          </w:tcPr>
          <w:p w14:paraId="2F601809">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4795B9A7">
            <w:pPr>
              <w:autoSpaceDE w:val="0"/>
              <w:autoSpaceDN w:val="0"/>
              <w:adjustRightInd w:val="0"/>
              <w:spacing w:after="0" w:line="240" w:lineRule="auto"/>
              <w:ind w:firstLine="0"/>
              <w:contextualSpacing/>
              <w:jc w:val="center"/>
              <w:rPr>
                <w:sz w:val="20"/>
                <w:szCs w:val="20"/>
              </w:rPr>
            </w:pPr>
            <w:r>
              <w:rPr>
                <w:sz w:val="20"/>
                <w:szCs w:val="20"/>
              </w:rPr>
              <w:t>105</w:t>
            </w:r>
          </w:p>
        </w:tc>
      </w:tr>
      <w:tr w14:paraId="3A02A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2BDDF5D1">
            <w:pPr>
              <w:pStyle w:val="157"/>
              <w:contextualSpacing/>
              <w:rPr>
                <w:sz w:val="20"/>
                <w:szCs w:val="20"/>
              </w:rPr>
            </w:pPr>
            <w:r>
              <w:rPr>
                <w:sz w:val="20"/>
                <w:szCs w:val="20"/>
              </w:rPr>
              <w:t>- нормативные утечки теплоносителя</w:t>
            </w:r>
          </w:p>
        </w:tc>
        <w:tc>
          <w:tcPr>
            <w:tcW w:w="1000" w:type="pct"/>
            <w:shd w:val="clear" w:color="auto" w:fill="auto"/>
            <w:tcMar>
              <w:left w:w="28" w:type="dxa"/>
              <w:right w:w="28" w:type="dxa"/>
            </w:tcMar>
            <w:vAlign w:val="center"/>
          </w:tcPr>
          <w:p w14:paraId="7C8B0F43">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77930EA8">
            <w:pPr>
              <w:autoSpaceDE w:val="0"/>
              <w:autoSpaceDN w:val="0"/>
              <w:adjustRightInd w:val="0"/>
              <w:spacing w:after="0" w:line="240" w:lineRule="auto"/>
              <w:ind w:firstLine="0"/>
              <w:contextualSpacing/>
              <w:jc w:val="center"/>
              <w:rPr>
                <w:sz w:val="20"/>
                <w:szCs w:val="20"/>
              </w:rPr>
            </w:pPr>
            <w:r>
              <w:rPr>
                <w:sz w:val="20"/>
                <w:szCs w:val="20"/>
              </w:rPr>
              <w:t>-</w:t>
            </w:r>
          </w:p>
        </w:tc>
      </w:tr>
      <w:tr w14:paraId="70379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3853B3D6">
            <w:pPr>
              <w:pStyle w:val="157"/>
              <w:contextualSpacing/>
              <w:rPr>
                <w:sz w:val="20"/>
                <w:szCs w:val="20"/>
              </w:rPr>
            </w:pPr>
            <w:r>
              <w:rPr>
                <w:sz w:val="20"/>
                <w:szCs w:val="20"/>
              </w:rPr>
              <w:t>- сверхнормативные утечки теплоносителя</w:t>
            </w:r>
          </w:p>
        </w:tc>
        <w:tc>
          <w:tcPr>
            <w:tcW w:w="1000" w:type="pct"/>
            <w:shd w:val="clear" w:color="auto" w:fill="auto"/>
            <w:tcMar>
              <w:left w:w="28" w:type="dxa"/>
              <w:right w:w="28" w:type="dxa"/>
            </w:tcMar>
            <w:vAlign w:val="center"/>
          </w:tcPr>
          <w:p w14:paraId="444EF35A">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464661A8">
            <w:pPr>
              <w:autoSpaceDE w:val="0"/>
              <w:autoSpaceDN w:val="0"/>
              <w:adjustRightInd w:val="0"/>
              <w:spacing w:after="0" w:line="240" w:lineRule="auto"/>
              <w:ind w:firstLine="0"/>
              <w:contextualSpacing/>
              <w:jc w:val="center"/>
              <w:rPr>
                <w:sz w:val="20"/>
                <w:szCs w:val="20"/>
              </w:rPr>
            </w:pPr>
            <w:r>
              <w:rPr>
                <w:sz w:val="20"/>
                <w:szCs w:val="20"/>
              </w:rPr>
              <w:t>-</w:t>
            </w:r>
          </w:p>
        </w:tc>
      </w:tr>
      <w:tr w14:paraId="28AF3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007" w:type="pct"/>
            <w:shd w:val="clear" w:color="auto" w:fill="auto"/>
            <w:tcMar>
              <w:left w:w="28" w:type="dxa"/>
              <w:right w:w="28" w:type="dxa"/>
            </w:tcMar>
            <w:vAlign w:val="center"/>
          </w:tcPr>
          <w:p w14:paraId="536E83AB">
            <w:pPr>
              <w:pStyle w:val="157"/>
              <w:contextualSpacing/>
              <w:rPr>
                <w:sz w:val="20"/>
                <w:szCs w:val="20"/>
              </w:rPr>
            </w:pPr>
            <w:r>
              <w:rPr>
                <w:sz w:val="20"/>
                <w:szCs w:val="20"/>
              </w:rPr>
              <w:t>- отпуск теплоносителя из тепловых сетей на цели горячего водоснабжения (для открытых систем теплоснабжения)</w:t>
            </w:r>
          </w:p>
        </w:tc>
        <w:tc>
          <w:tcPr>
            <w:tcW w:w="1000" w:type="pct"/>
            <w:shd w:val="clear" w:color="auto" w:fill="auto"/>
            <w:tcMar>
              <w:left w:w="28" w:type="dxa"/>
              <w:right w:w="28" w:type="dxa"/>
            </w:tcMar>
            <w:vAlign w:val="center"/>
          </w:tcPr>
          <w:p w14:paraId="0BA10C19">
            <w:pPr>
              <w:pStyle w:val="157"/>
              <w:contextualSpacing/>
              <w:jc w:val="center"/>
              <w:rPr>
                <w:sz w:val="20"/>
                <w:szCs w:val="20"/>
              </w:rPr>
            </w:pPr>
            <w:r>
              <w:rPr>
                <w:sz w:val="20"/>
                <w:szCs w:val="20"/>
              </w:rPr>
              <w:t>тыс. т/год</w:t>
            </w:r>
          </w:p>
        </w:tc>
        <w:tc>
          <w:tcPr>
            <w:tcW w:w="994" w:type="pct"/>
            <w:shd w:val="clear" w:color="auto" w:fill="auto"/>
            <w:tcMar>
              <w:left w:w="28" w:type="dxa"/>
              <w:right w:w="28" w:type="dxa"/>
            </w:tcMar>
            <w:vAlign w:val="center"/>
          </w:tcPr>
          <w:p w14:paraId="2F38C2EE">
            <w:pPr>
              <w:autoSpaceDE w:val="0"/>
              <w:autoSpaceDN w:val="0"/>
              <w:adjustRightInd w:val="0"/>
              <w:spacing w:after="0" w:line="240" w:lineRule="auto"/>
              <w:ind w:firstLine="0"/>
              <w:contextualSpacing/>
              <w:jc w:val="center"/>
              <w:rPr>
                <w:sz w:val="20"/>
                <w:szCs w:val="20"/>
              </w:rPr>
            </w:pPr>
            <w:r>
              <w:rPr>
                <w:sz w:val="20"/>
                <w:szCs w:val="20"/>
              </w:rPr>
              <w:t>-</w:t>
            </w:r>
          </w:p>
        </w:tc>
      </w:tr>
    </w:tbl>
    <w:p w14:paraId="5F52C213">
      <w:pPr>
        <w:spacing w:after="0" w:line="240" w:lineRule="auto"/>
        <w:contextualSpacing/>
        <w:jc w:val="both"/>
        <w:rPr>
          <w:sz w:val="24"/>
          <w:szCs w:val="24"/>
          <w:lang w:eastAsia="en-US"/>
        </w:rPr>
      </w:pPr>
    </w:p>
    <w:p w14:paraId="0BE53155">
      <w:pPr>
        <w:pStyle w:val="3"/>
        <w:spacing w:before="0" w:line="240" w:lineRule="auto"/>
        <w:ind w:left="0" w:firstLine="709"/>
        <w:contextualSpacing/>
        <w:rPr>
          <w:rFonts w:cs="Times New Roman"/>
          <w:b w:val="0"/>
          <w:sz w:val="24"/>
          <w:szCs w:val="24"/>
        </w:rPr>
      </w:pPr>
      <w:bookmarkStart w:id="493" w:name="_Toc182813998"/>
      <w:bookmarkStart w:id="494" w:name="_Hlk43280276"/>
      <w:r>
        <w:rPr>
          <w:rFonts w:cs="Times New Roman"/>
          <w:b w:val="0"/>
          <w:sz w:val="24"/>
          <w:szCs w:val="24"/>
        </w:rPr>
        <w:t xml:space="preserve">Описание </w:t>
      </w:r>
      <w:bookmarkStart w:id="495" w:name="_Hlk527994221"/>
      <w:r>
        <w:rPr>
          <w:rFonts w:cs="Times New Roman"/>
          <w:b w:val="0"/>
          <w:sz w:val="24"/>
          <w:szCs w:val="24"/>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93"/>
    </w:p>
    <w:bookmarkEnd w:id="494"/>
    <w:p w14:paraId="2BA6F385">
      <w:pPr>
        <w:spacing w:after="0" w:line="240" w:lineRule="auto"/>
        <w:contextualSpacing/>
        <w:jc w:val="both"/>
        <w:rPr>
          <w:sz w:val="24"/>
          <w:szCs w:val="24"/>
        </w:rPr>
      </w:pPr>
      <w:r>
        <w:rPr>
          <w:sz w:val="24"/>
          <w:szCs w:val="24"/>
        </w:rPr>
        <w:t>Существенных изменений не зафиксировано.</w:t>
      </w:r>
    </w:p>
    <w:p w14:paraId="6593FCFC">
      <w:pPr>
        <w:spacing w:after="0" w:line="240" w:lineRule="auto"/>
        <w:contextualSpacing/>
        <w:jc w:val="both"/>
        <w:rPr>
          <w:sz w:val="24"/>
          <w:szCs w:val="24"/>
        </w:rPr>
      </w:pPr>
    </w:p>
    <w:bookmarkEnd w:id="495"/>
    <w:p w14:paraId="654F8D48">
      <w:pPr>
        <w:pStyle w:val="3"/>
        <w:spacing w:before="0" w:line="240" w:lineRule="auto"/>
        <w:ind w:left="0" w:firstLine="709"/>
        <w:contextualSpacing/>
        <w:rPr>
          <w:rFonts w:cs="Times New Roman"/>
          <w:b w:val="0"/>
          <w:sz w:val="24"/>
          <w:szCs w:val="24"/>
        </w:rPr>
      </w:pPr>
      <w:bookmarkStart w:id="496" w:name="_Toc182813999"/>
      <w:bookmarkStart w:id="497" w:name="_Hlk43280282"/>
      <w:r>
        <w:rPr>
          <w:rFonts w:cs="Times New Roman"/>
          <w:b w:val="0"/>
          <w:sz w:val="24"/>
          <w:szCs w:val="24"/>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96"/>
    </w:p>
    <w:bookmarkEnd w:id="497"/>
    <w:p w14:paraId="496F6DC3">
      <w:pPr>
        <w:spacing w:after="0" w:line="240" w:lineRule="auto"/>
        <w:contextualSpacing/>
        <w:jc w:val="both"/>
        <w:rPr>
          <w:sz w:val="24"/>
          <w:szCs w:val="24"/>
        </w:rPr>
      </w:pPr>
      <w:r>
        <w:rPr>
          <w:sz w:val="24"/>
          <w:szCs w:val="24"/>
        </w:rPr>
        <w:t>Величина расчётных потерь теплоносителя в тепловых сетях представлена в таблице 57.</w:t>
      </w:r>
    </w:p>
    <w:p w14:paraId="4C309190">
      <w:pPr>
        <w:spacing w:after="0" w:line="240" w:lineRule="auto"/>
        <w:contextualSpacing/>
        <w:jc w:val="both"/>
        <w:rPr>
          <w:sz w:val="24"/>
          <w:szCs w:val="24"/>
        </w:rPr>
      </w:pPr>
    </w:p>
    <w:p w14:paraId="7FD1ADE8">
      <w:pPr>
        <w:spacing w:after="0" w:line="240" w:lineRule="auto"/>
        <w:contextualSpacing/>
        <w:jc w:val="both"/>
        <w:rPr>
          <w:sz w:val="24"/>
          <w:szCs w:val="24"/>
        </w:rPr>
      </w:pPr>
    </w:p>
    <w:p w14:paraId="48A018EF">
      <w:pPr>
        <w:pStyle w:val="2"/>
        <w:keepLines w:val="0"/>
        <w:pageBreakBefore/>
        <w:widowControl w:val="0"/>
        <w:spacing w:before="0" w:line="240" w:lineRule="auto"/>
        <w:ind w:left="0" w:firstLine="709"/>
        <w:contextualSpacing/>
        <w:rPr>
          <w:rFonts w:cs="Times New Roman"/>
          <w:b w:val="0"/>
          <w:sz w:val="24"/>
          <w:szCs w:val="24"/>
        </w:rPr>
      </w:pPr>
      <w:bookmarkStart w:id="498" w:name="_Toc524614850"/>
      <w:bookmarkStart w:id="499" w:name="_Toc524615066"/>
      <w:bookmarkStart w:id="500" w:name="_Toc182814000"/>
      <w:r>
        <w:rPr>
          <w:rFonts w:cs="Times New Roman"/>
          <w:b w:val="0"/>
          <w:sz w:val="24"/>
          <w:szCs w:val="24"/>
        </w:rPr>
        <w:t xml:space="preserve">Глава 7. </w:t>
      </w:r>
      <w:bookmarkEnd w:id="498"/>
      <w:bookmarkEnd w:id="499"/>
      <w:bookmarkStart w:id="501" w:name="_Hlk15651471"/>
      <w:r>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500"/>
      <w:bookmarkEnd w:id="501"/>
    </w:p>
    <w:p w14:paraId="5953069B">
      <w:pPr>
        <w:pStyle w:val="3"/>
        <w:keepLines w:val="0"/>
        <w:widowControl w:val="0"/>
        <w:spacing w:before="0" w:line="240" w:lineRule="auto"/>
        <w:ind w:left="0" w:firstLine="709"/>
        <w:contextualSpacing/>
        <w:rPr>
          <w:rFonts w:cs="Times New Roman"/>
          <w:b w:val="0"/>
          <w:sz w:val="24"/>
          <w:szCs w:val="24"/>
        </w:rPr>
      </w:pPr>
      <w:bookmarkStart w:id="502" w:name="_Toc182814001"/>
      <w:r>
        <w:rPr>
          <w:rFonts w:cs="Times New Roman"/>
          <w:b w:val="0"/>
          <w:sz w:val="24"/>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02"/>
    </w:p>
    <w:p w14:paraId="6C0DE857">
      <w:pPr>
        <w:spacing w:after="0" w:line="240" w:lineRule="auto"/>
        <w:contextualSpacing/>
        <w:jc w:val="both"/>
        <w:rPr>
          <w:sz w:val="24"/>
          <w:szCs w:val="24"/>
        </w:rPr>
      </w:pPr>
      <w:r>
        <w:rPr>
          <w:sz w:val="24"/>
          <w:szCs w:val="24"/>
        </w:rPr>
        <w:t>Одним из общих принципов организации отношений и основы государственной политики в сфере теплоснабжения, согласно статье 3 Федерального Закона от 27.07.2010 № 190-ФЗ «О теплоснабжении»,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утверждённым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Указанными правилами установлены:</w:t>
      </w:r>
    </w:p>
    <w:p w14:paraId="628CA8A5">
      <w:pPr>
        <w:pStyle w:val="153"/>
        <w:numPr>
          <w:ilvl w:val="0"/>
          <w:numId w:val="45"/>
        </w:numPr>
        <w:tabs>
          <w:tab w:val="left" w:pos="993"/>
        </w:tabs>
        <w:ind w:left="0" w:firstLine="709"/>
        <w:rPr>
          <w:sz w:val="24"/>
          <w:szCs w:val="24"/>
        </w:rPr>
      </w:pPr>
      <w:r>
        <w:rPr>
          <w:sz w:val="24"/>
          <w:szCs w:val="24"/>
        </w:rPr>
        <w:t>критерии и порядок определения единой теплоснабжающей организации (далее ЕТО);</w:t>
      </w:r>
    </w:p>
    <w:p w14:paraId="0D788CED">
      <w:pPr>
        <w:pStyle w:val="153"/>
        <w:numPr>
          <w:ilvl w:val="0"/>
          <w:numId w:val="45"/>
        </w:numPr>
        <w:tabs>
          <w:tab w:val="left" w:pos="993"/>
        </w:tabs>
        <w:ind w:left="0" w:firstLine="709"/>
        <w:rPr>
          <w:sz w:val="24"/>
          <w:szCs w:val="24"/>
        </w:rPr>
      </w:pPr>
      <w:r>
        <w:rPr>
          <w:sz w:val="24"/>
          <w:szCs w:val="24"/>
        </w:rPr>
        <w:t>определение договора теплоснабжения и существенные условия отношений теплоснабжающей организации и потребителя тепловой энергии, порядок и особенности его заключения;</w:t>
      </w:r>
    </w:p>
    <w:p w14:paraId="0A031906">
      <w:pPr>
        <w:pStyle w:val="153"/>
        <w:numPr>
          <w:ilvl w:val="0"/>
          <w:numId w:val="45"/>
        </w:numPr>
        <w:tabs>
          <w:tab w:val="left" w:pos="993"/>
        </w:tabs>
        <w:ind w:left="0" w:firstLine="709"/>
        <w:rPr>
          <w:sz w:val="24"/>
          <w:szCs w:val="24"/>
        </w:rPr>
      </w:pPr>
      <w:r>
        <w:rPr>
          <w:sz w:val="24"/>
          <w:szCs w:val="24"/>
        </w:rPr>
        <w:t>порядок заключения и исполнения договора оказания услуг по передаче тепловой энергии, теплоносителя;</w:t>
      </w:r>
    </w:p>
    <w:p w14:paraId="13E27B87">
      <w:pPr>
        <w:pStyle w:val="153"/>
        <w:numPr>
          <w:ilvl w:val="0"/>
          <w:numId w:val="45"/>
        </w:numPr>
        <w:tabs>
          <w:tab w:val="left" w:pos="993"/>
        </w:tabs>
        <w:ind w:left="0" w:firstLine="709"/>
        <w:rPr>
          <w:sz w:val="24"/>
          <w:szCs w:val="24"/>
        </w:rPr>
      </w:pPr>
      <w:r>
        <w:rPr>
          <w:sz w:val="24"/>
          <w:szCs w:val="24"/>
        </w:rPr>
        <w:t>порядок ограничения и прекращения подачи тепловой энергии, теплоносителя и другие статьи, устанавливающие взаимоотношения теплоснабжающих организаций с потребителями и между собой.</w:t>
      </w:r>
    </w:p>
    <w:p w14:paraId="2CCB99C8">
      <w:pPr>
        <w:spacing w:after="0" w:line="240" w:lineRule="auto"/>
        <w:contextualSpacing/>
        <w:jc w:val="both"/>
        <w:rPr>
          <w:sz w:val="24"/>
          <w:szCs w:val="24"/>
        </w:rPr>
      </w:pPr>
    </w:p>
    <w:p w14:paraId="4DBD17B4">
      <w:pPr>
        <w:spacing w:after="0" w:line="240" w:lineRule="auto"/>
        <w:contextualSpacing/>
        <w:jc w:val="both"/>
        <w:rPr>
          <w:sz w:val="24"/>
          <w:szCs w:val="24"/>
        </w:rPr>
      </w:pPr>
      <w:r>
        <w:rPr>
          <w:sz w:val="24"/>
          <w:szCs w:val="24"/>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w:t>
      </w:r>
    </w:p>
    <w:p w14:paraId="21A87FAC">
      <w:pPr>
        <w:pStyle w:val="153"/>
        <w:numPr>
          <w:ilvl w:val="0"/>
          <w:numId w:val="45"/>
        </w:numPr>
        <w:tabs>
          <w:tab w:val="left" w:pos="993"/>
        </w:tabs>
        <w:ind w:left="0" w:firstLine="709"/>
        <w:rPr>
          <w:sz w:val="24"/>
          <w:szCs w:val="24"/>
        </w:rPr>
      </w:pPr>
      <w:r>
        <w:rPr>
          <w:sz w:val="24"/>
          <w:szCs w:val="24"/>
        </w:rPr>
        <w:t>для индивидуальных жилых домов до трёх этажей вне зависимости от месторасположения;</w:t>
      </w:r>
    </w:p>
    <w:p w14:paraId="0197131F">
      <w:pPr>
        <w:pStyle w:val="153"/>
        <w:numPr>
          <w:ilvl w:val="0"/>
          <w:numId w:val="45"/>
        </w:numPr>
        <w:tabs>
          <w:tab w:val="left" w:pos="993"/>
        </w:tabs>
        <w:ind w:left="0" w:firstLine="709"/>
        <w:rPr>
          <w:sz w:val="24"/>
          <w:szCs w:val="24"/>
        </w:rPr>
      </w:pPr>
      <w:r>
        <w:rPr>
          <w:sz w:val="24"/>
          <w:szCs w:val="24"/>
        </w:rPr>
        <w:t>при низкой теплоплотности - как правило, ниже 0,15 Гкал/ч на Га.;</w:t>
      </w:r>
    </w:p>
    <w:p w14:paraId="04ECAE5C">
      <w:pPr>
        <w:pStyle w:val="153"/>
        <w:numPr>
          <w:ilvl w:val="0"/>
          <w:numId w:val="45"/>
        </w:numPr>
        <w:tabs>
          <w:tab w:val="left" w:pos="993"/>
        </w:tabs>
        <w:ind w:left="0" w:firstLine="709"/>
        <w:rPr>
          <w:sz w:val="24"/>
          <w:szCs w:val="24"/>
        </w:rPr>
      </w:pPr>
      <w:r>
        <w:rPr>
          <w:sz w:val="24"/>
          <w:szCs w:val="24"/>
        </w:rPr>
        <w:t xml:space="preserve">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14:paraId="584255FD">
      <w:pPr>
        <w:pStyle w:val="153"/>
        <w:numPr>
          <w:ilvl w:val="0"/>
          <w:numId w:val="45"/>
        </w:numPr>
        <w:tabs>
          <w:tab w:val="left" w:pos="993"/>
        </w:tabs>
        <w:ind w:left="0" w:firstLine="709"/>
        <w:rPr>
          <w:sz w:val="24"/>
          <w:szCs w:val="24"/>
        </w:rPr>
      </w:pPr>
      <w:r>
        <w:rPr>
          <w:sz w:val="24"/>
          <w:szCs w:val="24"/>
        </w:rPr>
        <w:t>для промышленных и прочих потребителей, технологический процесс которых предусматривает потребление природного газа;</w:t>
      </w:r>
    </w:p>
    <w:p w14:paraId="404C78FC">
      <w:pPr>
        <w:pStyle w:val="153"/>
        <w:numPr>
          <w:ilvl w:val="0"/>
          <w:numId w:val="45"/>
        </w:numPr>
        <w:tabs>
          <w:tab w:val="left" w:pos="993"/>
        </w:tabs>
        <w:ind w:left="0" w:firstLine="709"/>
        <w:rPr>
          <w:sz w:val="24"/>
          <w:szCs w:val="24"/>
        </w:rPr>
      </w:pPr>
      <w:r>
        <w:rPr>
          <w:sz w:val="24"/>
          <w:szCs w:val="24"/>
        </w:rPr>
        <w:t>для инновационных объектов, проектом теплоснабжения которых предусматривается удельный расход тепловой энергии на отопление менее 15 кВт.ч/м</w:t>
      </w:r>
      <w:r>
        <w:rPr>
          <w:sz w:val="24"/>
          <w:szCs w:val="24"/>
          <w:vertAlign w:val="superscript"/>
        </w:rPr>
        <w:t>2</w:t>
      </w:r>
      <w:r>
        <w:rPr>
          <w:sz w:val="24"/>
          <w:szCs w:val="24"/>
        </w:rPr>
        <w:t xml:space="preserve">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w:t>
      </w:r>
    </w:p>
    <w:p w14:paraId="366ACF10">
      <w:pPr>
        <w:pStyle w:val="153"/>
        <w:numPr>
          <w:ilvl w:val="0"/>
          <w:numId w:val="45"/>
        </w:numPr>
        <w:tabs>
          <w:tab w:val="left" w:pos="993"/>
        </w:tabs>
        <w:ind w:left="0" w:firstLine="709"/>
        <w:rPr>
          <w:sz w:val="24"/>
          <w:szCs w:val="24"/>
        </w:rPr>
      </w:pPr>
      <w:r>
        <w:rPr>
          <w:sz w:val="24"/>
          <w:szCs w:val="24"/>
        </w:rPr>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14:paraId="61B0B80B">
      <w:pPr>
        <w:pStyle w:val="153"/>
        <w:numPr>
          <w:ilvl w:val="0"/>
          <w:numId w:val="45"/>
        </w:numPr>
        <w:tabs>
          <w:tab w:val="left" w:pos="993"/>
        </w:tabs>
        <w:ind w:left="0" w:firstLine="709"/>
        <w:rPr>
          <w:sz w:val="24"/>
          <w:szCs w:val="24"/>
        </w:rPr>
      </w:pPr>
      <w:r>
        <w:rPr>
          <w:sz w:val="24"/>
          <w:szCs w:val="24"/>
        </w:rPr>
        <w:t>для осуществления теплоснабжения потребителя в период строительства;</w:t>
      </w:r>
    </w:p>
    <w:p w14:paraId="1B63A647">
      <w:pPr>
        <w:pStyle w:val="153"/>
        <w:numPr>
          <w:ilvl w:val="0"/>
          <w:numId w:val="45"/>
        </w:numPr>
        <w:tabs>
          <w:tab w:val="left" w:pos="993"/>
        </w:tabs>
        <w:ind w:left="0" w:firstLine="709"/>
        <w:rPr>
          <w:sz w:val="24"/>
          <w:szCs w:val="24"/>
        </w:rPr>
      </w:pPr>
      <w:r>
        <w:rPr>
          <w:sz w:val="24"/>
          <w:szCs w:val="24"/>
        </w:rPr>
        <w:t>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14:paraId="30532056">
      <w:pPr>
        <w:spacing w:after="0" w:line="240" w:lineRule="auto"/>
        <w:contextualSpacing/>
        <w:jc w:val="both"/>
        <w:rPr>
          <w:sz w:val="24"/>
          <w:szCs w:val="24"/>
        </w:rPr>
      </w:pPr>
    </w:p>
    <w:p w14:paraId="7F180387">
      <w:pPr>
        <w:spacing w:after="0" w:line="240" w:lineRule="auto"/>
        <w:contextualSpacing/>
        <w:jc w:val="both"/>
        <w:rPr>
          <w:sz w:val="24"/>
          <w:szCs w:val="24"/>
        </w:rPr>
      </w:pPr>
      <w:r>
        <w:rPr>
          <w:sz w:val="24"/>
          <w:szCs w:val="24"/>
        </w:rPr>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Согласно СП 41-108-2004 «Свод правил по проектированию и строительству поквартирное теплоснабжение жилых зданий с теплогенераторами на газовом топливе»,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УПО МЧС России, а в зданиях высотой более пяти этажей должны устанавливаться котлы с закрытой камерой сгорания и принудительной вытяжкой.</w:t>
      </w:r>
    </w:p>
    <w:p w14:paraId="08E97CA6">
      <w:pPr>
        <w:spacing w:after="0" w:line="240" w:lineRule="auto"/>
        <w:contextualSpacing/>
        <w:jc w:val="both"/>
        <w:rPr>
          <w:sz w:val="24"/>
          <w:szCs w:val="24"/>
        </w:rPr>
      </w:pPr>
      <w:r>
        <w:rPr>
          <w:sz w:val="24"/>
          <w:szCs w:val="24"/>
        </w:rPr>
        <w:t>Централизованное теплоснабжение предусмотрено для существующей застройки и перспективной многоэтажной застройки (от 4 эт. и выше).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14:paraId="29F3E2B8">
      <w:pPr>
        <w:spacing w:after="0" w:line="240" w:lineRule="auto"/>
        <w:contextualSpacing/>
        <w:jc w:val="both"/>
        <w:rPr>
          <w:sz w:val="24"/>
          <w:szCs w:val="24"/>
        </w:rPr>
      </w:pPr>
      <w:r>
        <w:rPr>
          <w:sz w:val="24"/>
          <w:szCs w:val="24"/>
        </w:rPr>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6588720F">
      <w:pPr>
        <w:spacing w:after="0" w:line="240" w:lineRule="auto"/>
        <w:contextualSpacing/>
        <w:jc w:val="both"/>
        <w:rPr>
          <w:sz w:val="24"/>
          <w:szCs w:val="24"/>
        </w:rPr>
      </w:pPr>
    </w:p>
    <w:p w14:paraId="4B3DAF47">
      <w:pPr>
        <w:pStyle w:val="3"/>
        <w:spacing w:before="0" w:line="240" w:lineRule="auto"/>
        <w:ind w:left="0" w:firstLine="567"/>
        <w:contextualSpacing/>
        <w:rPr>
          <w:rFonts w:cs="Times New Roman"/>
          <w:b w:val="0"/>
          <w:sz w:val="24"/>
          <w:szCs w:val="24"/>
        </w:rPr>
      </w:pPr>
      <w:bookmarkStart w:id="503" w:name="_Toc524614852"/>
      <w:bookmarkStart w:id="504" w:name="_Toc524615068"/>
      <w:bookmarkStart w:id="505" w:name="_Toc182814002"/>
      <w:r>
        <w:rPr>
          <w:rFonts w:cs="Times New Roman"/>
          <w:b w:val="0"/>
          <w:sz w:val="24"/>
          <w:szCs w:val="24"/>
        </w:rPr>
        <w:t>Описание текущей ситуации, связанной с ранее принятыми в соответствии с законодательством Российской Федерации об электроэнергетических системах России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03"/>
      <w:bookmarkEnd w:id="504"/>
      <w:bookmarkEnd w:id="505"/>
    </w:p>
    <w:p w14:paraId="672C81F3">
      <w:pPr>
        <w:spacing w:after="0" w:line="240" w:lineRule="auto"/>
        <w:ind w:firstLine="567"/>
        <w:contextualSpacing/>
        <w:jc w:val="both"/>
        <w:rPr>
          <w:sz w:val="24"/>
          <w:szCs w:val="24"/>
        </w:rPr>
      </w:pPr>
      <w:r>
        <w:rPr>
          <w:sz w:val="24"/>
          <w:szCs w:val="24"/>
        </w:rPr>
        <w:t>На территории с.п. Верхнеказымский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08DF61F3">
      <w:pPr>
        <w:spacing w:after="0" w:line="240" w:lineRule="auto"/>
        <w:ind w:firstLine="567"/>
        <w:contextualSpacing/>
        <w:jc w:val="both"/>
        <w:rPr>
          <w:sz w:val="24"/>
          <w:szCs w:val="24"/>
        </w:rPr>
      </w:pPr>
    </w:p>
    <w:p w14:paraId="0D3995E5">
      <w:pPr>
        <w:pStyle w:val="3"/>
        <w:keepLines w:val="0"/>
        <w:widowControl w:val="0"/>
        <w:spacing w:before="0" w:line="240" w:lineRule="auto"/>
        <w:ind w:left="0" w:firstLine="567"/>
        <w:contextualSpacing/>
        <w:rPr>
          <w:rFonts w:cs="Times New Roman"/>
          <w:b w:val="0"/>
          <w:sz w:val="24"/>
          <w:szCs w:val="24"/>
        </w:rPr>
      </w:pPr>
      <w:bookmarkStart w:id="506" w:name="_Toc524614853"/>
      <w:bookmarkStart w:id="507" w:name="_Toc524615069"/>
      <w:bookmarkStart w:id="508" w:name="_Toc182814003"/>
      <w:r>
        <w:rPr>
          <w:rFonts w:cs="Times New Roman"/>
          <w:b w:val="0"/>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06"/>
      <w:bookmarkEnd w:id="507"/>
      <w:bookmarkEnd w:id="508"/>
    </w:p>
    <w:p w14:paraId="7E725A13">
      <w:pPr>
        <w:widowControl w:val="0"/>
        <w:spacing w:after="0" w:line="240" w:lineRule="auto"/>
        <w:ind w:firstLine="567"/>
        <w:contextualSpacing/>
        <w:jc w:val="both"/>
        <w:rPr>
          <w:sz w:val="24"/>
          <w:szCs w:val="24"/>
        </w:rPr>
      </w:pPr>
      <w:r>
        <w:rPr>
          <w:sz w:val="24"/>
          <w:szCs w:val="24"/>
        </w:rPr>
        <w:t>На момент Разработки схемы теплоснабжения 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с.п. Верхнеказымский ранее не принимались.</w:t>
      </w:r>
    </w:p>
    <w:p w14:paraId="45744F88">
      <w:pPr>
        <w:widowControl w:val="0"/>
        <w:spacing w:after="0" w:line="240" w:lineRule="auto"/>
        <w:ind w:firstLine="567"/>
        <w:contextualSpacing/>
        <w:jc w:val="both"/>
        <w:rPr>
          <w:sz w:val="24"/>
          <w:szCs w:val="24"/>
        </w:rPr>
      </w:pPr>
      <w:r>
        <w:rPr>
          <w:sz w:val="24"/>
          <w:szCs w:val="24"/>
        </w:rPr>
        <w:t>Вывод в резерв и (или) вывод из эксплуатации источников тепла в с.п. Верхнеказымский не предусмотрен.</w:t>
      </w:r>
    </w:p>
    <w:p w14:paraId="3BFFD0F1">
      <w:pPr>
        <w:widowControl w:val="0"/>
        <w:spacing w:after="0" w:line="240" w:lineRule="auto"/>
        <w:ind w:firstLine="567"/>
        <w:contextualSpacing/>
        <w:jc w:val="both"/>
        <w:rPr>
          <w:sz w:val="24"/>
          <w:szCs w:val="24"/>
        </w:rPr>
      </w:pPr>
    </w:p>
    <w:p w14:paraId="45583DFF">
      <w:pPr>
        <w:pStyle w:val="3"/>
        <w:keepLines w:val="0"/>
        <w:widowControl w:val="0"/>
        <w:spacing w:before="0" w:line="240" w:lineRule="auto"/>
        <w:ind w:left="0" w:firstLine="709"/>
        <w:contextualSpacing/>
        <w:rPr>
          <w:rFonts w:cs="Times New Roman"/>
          <w:b w:val="0"/>
          <w:sz w:val="24"/>
          <w:szCs w:val="24"/>
        </w:rPr>
      </w:pPr>
      <w:bookmarkStart w:id="509" w:name="_Toc182814004"/>
      <w:bookmarkStart w:id="510" w:name="_Toc524615070"/>
      <w:bookmarkStart w:id="511" w:name="_Toc524614854"/>
      <w:r>
        <w:rPr>
          <w:rFonts w:cs="Times New Roman"/>
          <w:b w:val="0"/>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09"/>
    </w:p>
    <w:p w14:paraId="3A66D411">
      <w:pPr>
        <w:widowControl w:val="0"/>
        <w:spacing w:after="0" w:line="240" w:lineRule="auto"/>
        <w:contextualSpacing/>
        <w:jc w:val="both"/>
        <w:rPr>
          <w:sz w:val="24"/>
          <w:szCs w:val="24"/>
        </w:rPr>
      </w:pPr>
      <w:bookmarkStart w:id="512" w:name="_Hlk26705408"/>
      <w:r>
        <w:rPr>
          <w:sz w:val="24"/>
          <w:szCs w:val="24"/>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расчетный срок схемы теплоснабжения не планируется.</w:t>
      </w:r>
    </w:p>
    <w:p w14:paraId="7614C98B">
      <w:pPr>
        <w:widowControl w:val="0"/>
        <w:spacing w:after="0" w:line="240" w:lineRule="auto"/>
        <w:contextualSpacing/>
        <w:jc w:val="both"/>
        <w:rPr>
          <w:sz w:val="24"/>
          <w:szCs w:val="24"/>
        </w:rPr>
      </w:pPr>
    </w:p>
    <w:bookmarkEnd w:id="510"/>
    <w:bookmarkEnd w:id="511"/>
    <w:bookmarkEnd w:id="512"/>
    <w:p w14:paraId="31D55E24">
      <w:pPr>
        <w:pStyle w:val="3"/>
        <w:keepLines w:val="0"/>
        <w:widowControl w:val="0"/>
        <w:spacing w:before="0" w:line="240" w:lineRule="auto"/>
        <w:ind w:left="0" w:firstLine="709"/>
        <w:contextualSpacing/>
        <w:rPr>
          <w:rFonts w:cs="Times New Roman"/>
          <w:b w:val="0"/>
          <w:sz w:val="24"/>
          <w:szCs w:val="24"/>
        </w:rPr>
      </w:pPr>
      <w:bookmarkStart w:id="513" w:name="_Toc182814005"/>
      <w:bookmarkStart w:id="514" w:name="_Toc15640907"/>
      <w:bookmarkStart w:id="515" w:name="_Hlk15651537"/>
      <w:r>
        <w:rPr>
          <w:rFonts w:cs="Times New Roman"/>
          <w:b w:val="0"/>
          <w:sz w:val="24"/>
          <w:szCs w:val="24"/>
        </w:rPr>
        <w:t xml:space="preserve">Обоснование предлагаемых для реконструкции и (или) модернизации </w:t>
      </w:r>
      <w:bookmarkStart w:id="516" w:name="_Hlk528001318"/>
      <w:r>
        <w:rPr>
          <w:rFonts w:cs="Times New Roman"/>
          <w:b w:val="0"/>
          <w:sz w:val="24"/>
          <w:szCs w:val="24"/>
        </w:rPr>
        <w:t xml:space="preserve">действующих источников тепловой энергии, </w:t>
      </w:r>
      <w:bookmarkStart w:id="517" w:name="_Hlk528050751"/>
      <w:r>
        <w:rPr>
          <w:rFonts w:cs="Times New Roman"/>
          <w:b w:val="0"/>
          <w:sz w:val="24"/>
          <w:szCs w:val="24"/>
        </w:rPr>
        <w:t>функционирующих в режиме комбинированной выработки электрической и тепловой энергии</w:t>
      </w:r>
      <w:bookmarkEnd w:id="516"/>
      <w:r>
        <w:rPr>
          <w:rFonts w:cs="Times New Roman"/>
          <w:b w:val="0"/>
          <w:sz w:val="24"/>
          <w:szCs w:val="24"/>
        </w:rPr>
        <w:t xml:space="preserve">, </w:t>
      </w:r>
      <w:bookmarkEnd w:id="517"/>
      <w:r>
        <w:rPr>
          <w:rFonts w:cs="Times New Roman"/>
          <w:b w:val="0"/>
          <w:sz w:val="24"/>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513"/>
      <w:bookmarkEnd w:id="514"/>
    </w:p>
    <w:bookmarkEnd w:id="515"/>
    <w:p w14:paraId="557AADCC">
      <w:pPr>
        <w:widowControl w:val="0"/>
        <w:spacing w:after="0" w:line="240" w:lineRule="auto"/>
        <w:contextualSpacing/>
        <w:jc w:val="both"/>
        <w:rPr>
          <w:sz w:val="24"/>
          <w:szCs w:val="24"/>
        </w:rPr>
      </w:pPr>
      <w:bookmarkStart w:id="518" w:name="_Hlk140835132"/>
      <w:r>
        <w:rPr>
          <w:sz w:val="24"/>
          <w:szCs w:val="24"/>
        </w:rPr>
        <w:t>На территории с.п. Верхнеказымский отсутствуют источники комбинированной выработки электрической и тепловой энергии.</w:t>
      </w:r>
    </w:p>
    <w:p w14:paraId="219EE558">
      <w:pPr>
        <w:widowControl w:val="0"/>
        <w:spacing w:after="0" w:line="240" w:lineRule="auto"/>
        <w:contextualSpacing/>
        <w:jc w:val="both"/>
        <w:rPr>
          <w:sz w:val="24"/>
          <w:szCs w:val="24"/>
        </w:rPr>
      </w:pPr>
    </w:p>
    <w:bookmarkEnd w:id="518"/>
    <w:p w14:paraId="6D2195C3">
      <w:pPr>
        <w:pStyle w:val="3"/>
        <w:keepLines w:val="0"/>
        <w:widowControl w:val="0"/>
        <w:spacing w:before="0" w:line="240" w:lineRule="auto"/>
        <w:ind w:left="0" w:firstLine="709"/>
        <w:contextualSpacing/>
        <w:rPr>
          <w:rFonts w:cs="Times New Roman"/>
          <w:b w:val="0"/>
          <w:sz w:val="24"/>
          <w:szCs w:val="24"/>
        </w:rPr>
      </w:pPr>
      <w:bookmarkStart w:id="519" w:name="_Toc524615071"/>
      <w:bookmarkStart w:id="520" w:name="_Toc524614855"/>
      <w:bookmarkStart w:id="521" w:name="_Toc182814006"/>
      <w:r>
        <w:rPr>
          <w:rFonts w:cs="Times New Roman"/>
          <w:b w:val="0"/>
          <w:sz w:val="24"/>
          <w:szCs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519"/>
      <w:bookmarkEnd w:id="520"/>
      <w:r>
        <w:rPr>
          <w:rFonts w:cs="Times New Roman"/>
          <w:b w:val="0"/>
          <w:sz w:val="24"/>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21"/>
    </w:p>
    <w:p w14:paraId="1B9D4DC6">
      <w:pPr>
        <w:widowControl w:val="0"/>
        <w:spacing w:after="0" w:line="240" w:lineRule="auto"/>
        <w:contextualSpacing/>
        <w:jc w:val="both"/>
        <w:rPr>
          <w:sz w:val="24"/>
          <w:szCs w:val="24"/>
        </w:rPr>
      </w:pPr>
      <w:r>
        <w:rPr>
          <w:sz w:val="24"/>
          <w:szCs w:val="24"/>
        </w:rPr>
        <w:t>На территории с.п. Верхнеказымский 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14:paraId="14DC4446">
      <w:pPr>
        <w:widowControl w:val="0"/>
        <w:spacing w:after="0" w:line="240" w:lineRule="auto"/>
        <w:contextualSpacing/>
        <w:jc w:val="both"/>
        <w:rPr>
          <w:sz w:val="24"/>
          <w:szCs w:val="24"/>
        </w:rPr>
      </w:pPr>
    </w:p>
    <w:p w14:paraId="47D6E48C">
      <w:pPr>
        <w:pStyle w:val="3"/>
        <w:keepLines w:val="0"/>
        <w:widowControl w:val="0"/>
        <w:spacing w:before="0" w:line="240" w:lineRule="auto"/>
        <w:ind w:left="0" w:firstLine="709"/>
        <w:contextualSpacing/>
        <w:rPr>
          <w:rFonts w:cs="Times New Roman"/>
          <w:b w:val="0"/>
          <w:sz w:val="24"/>
          <w:szCs w:val="24"/>
        </w:rPr>
      </w:pPr>
      <w:bookmarkStart w:id="522" w:name="_Toc182814007"/>
      <w:bookmarkStart w:id="523" w:name="_Toc15640909"/>
      <w:bookmarkStart w:id="524" w:name="_Hlk15651550"/>
      <w:r>
        <w:rPr>
          <w:rFonts w:cs="Times New Roman"/>
          <w:b w:val="0"/>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22"/>
      <w:bookmarkEnd w:id="523"/>
    </w:p>
    <w:bookmarkEnd w:id="524"/>
    <w:p w14:paraId="58FF7B05">
      <w:pPr>
        <w:widowControl w:val="0"/>
        <w:spacing w:after="0" w:line="240" w:lineRule="auto"/>
        <w:contextualSpacing/>
        <w:jc w:val="both"/>
        <w:rPr>
          <w:sz w:val="24"/>
          <w:szCs w:val="24"/>
        </w:rPr>
      </w:pPr>
      <w:r>
        <w:rPr>
          <w:sz w:val="24"/>
          <w:szCs w:val="24"/>
        </w:rPr>
        <w:t>Реконструкция источников тепловой энергии с увеличением зоны ее действия путем включения в нее зон действия существующих источников тепловой энергии не предусматривается.</w:t>
      </w:r>
    </w:p>
    <w:p w14:paraId="525B119C">
      <w:pPr>
        <w:widowControl w:val="0"/>
        <w:spacing w:after="0" w:line="240" w:lineRule="auto"/>
        <w:contextualSpacing/>
        <w:jc w:val="both"/>
        <w:rPr>
          <w:sz w:val="24"/>
          <w:szCs w:val="24"/>
        </w:rPr>
      </w:pPr>
    </w:p>
    <w:p w14:paraId="307961D8">
      <w:pPr>
        <w:pStyle w:val="3"/>
        <w:keepLines w:val="0"/>
        <w:widowControl w:val="0"/>
        <w:spacing w:before="0" w:line="240" w:lineRule="auto"/>
        <w:ind w:left="0" w:firstLine="709"/>
        <w:contextualSpacing/>
        <w:rPr>
          <w:rFonts w:cs="Times New Roman"/>
          <w:b w:val="0"/>
          <w:sz w:val="24"/>
          <w:szCs w:val="24"/>
        </w:rPr>
      </w:pPr>
      <w:bookmarkStart w:id="525" w:name="_Toc182814008"/>
      <w:r>
        <w:rPr>
          <w:rFonts w:cs="Times New Roman"/>
          <w:b w:val="0"/>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25"/>
    </w:p>
    <w:p w14:paraId="3A4C1EDC">
      <w:pPr>
        <w:widowControl w:val="0"/>
        <w:spacing w:after="0" w:line="240" w:lineRule="auto"/>
        <w:contextualSpacing/>
        <w:jc w:val="both"/>
        <w:rPr>
          <w:sz w:val="24"/>
          <w:szCs w:val="24"/>
        </w:rPr>
      </w:pPr>
      <w:r>
        <w:rPr>
          <w:sz w:val="24"/>
          <w:szCs w:val="24"/>
        </w:rPr>
        <w:t>Источники, функционирующих в режиме комбинированной выработки электрической и тепловой энергии в с.п. Верхнеказымский, отсутствуют.</w:t>
      </w:r>
    </w:p>
    <w:p w14:paraId="6DB470FA">
      <w:pPr>
        <w:widowControl w:val="0"/>
        <w:spacing w:after="0" w:line="240" w:lineRule="auto"/>
        <w:contextualSpacing/>
        <w:jc w:val="both"/>
        <w:rPr>
          <w:sz w:val="24"/>
          <w:szCs w:val="24"/>
        </w:rPr>
      </w:pPr>
      <w:r>
        <w:rPr>
          <w:sz w:val="24"/>
          <w:szCs w:val="24"/>
        </w:rPr>
        <w:t>Предлагаемые мероприятия для перевода в пиковой режим работы котельных при Разработке схемы не рассматриваются.</w:t>
      </w:r>
    </w:p>
    <w:p w14:paraId="04DA82E7">
      <w:pPr>
        <w:widowControl w:val="0"/>
        <w:spacing w:after="0" w:line="240" w:lineRule="auto"/>
        <w:contextualSpacing/>
        <w:jc w:val="both"/>
        <w:rPr>
          <w:sz w:val="24"/>
          <w:szCs w:val="24"/>
        </w:rPr>
      </w:pPr>
    </w:p>
    <w:p w14:paraId="3CD7FEB3">
      <w:pPr>
        <w:pStyle w:val="3"/>
        <w:keepLines w:val="0"/>
        <w:widowControl w:val="0"/>
        <w:spacing w:before="0" w:line="240" w:lineRule="auto"/>
        <w:ind w:left="0" w:firstLine="709"/>
        <w:contextualSpacing/>
        <w:rPr>
          <w:rFonts w:cs="Times New Roman"/>
          <w:b w:val="0"/>
          <w:sz w:val="24"/>
          <w:szCs w:val="24"/>
        </w:rPr>
      </w:pPr>
      <w:bookmarkStart w:id="526" w:name="_Toc182814009"/>
      <w:r>
        <w:rPr>
          <w:rFonts w:cs="Times New Roman"/>
          <w:b w:val="0"/>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26"/>
    </w:p>
    <w:p w14:paraId="47749FB6">
      <w:pPr>
        <w:widowControl w:val="0"/>
        <w:spacing w:after="0" w:line="240" w:lineRule="auto"/>
        <w:contextualSpacing/>
        <w:jc w:val="both"/>
        <w:rPr>
          <w:sz w:val="24"/>
          <w:szCs w:val="24"/>
        </w:rPr>
      </w:pPr>
      <w:r>
        <w:rPr>
          <w:sz w:val="24"/>
          <w:szCs w:val="24"/>
        </w:rPr>
        <w:t>На территории с.п. Верхнеказымский отсутствуют источники тепловой энергии, функционирующие в режиме комбинированной выработки электрической и тепловой энергии. Расширения зон действия существующих источников теплоснабжения не планируется.</w:t>
      </w:r>
    </w:p>
    <w:p w14:paraId="23A1DBE4">
      <w:pPr>
        <w:widowControl w:val="0"/>
        <w:spacing w:after="0" w:line="240" w:lineRule="auto"/>
        <w:contextualSpacing/>
        <w:jc w:val="both"/>
        <w:rPr>
          <w:sz w:val="24"/>
          <w:szCs w:val="24"/>
        </w:rPr>
      </w:pPr>
    </w:p>
    <w:p w14:paraId="388D7BC1">
      <w:pPr>
        <w:pStyle w:val="3"/>
        <w:keepNext/>
        <w:widowControl w:val="0"/>
        <w:spacing w:before="0" w:line="240" w:lineRule="auto"/>
        <w:ind w:left="0" w:firstLine="709"/>
        <w:contextualSpacing/>
        <w:rPr>
          <w:rFonts w:cs="Times New Roman"/>
          <w:b w:val="0"/>
          <w:sz w:val="24"/>
          <w:szCs w:val="24"/>
        </w:rPr>
      </w:pPr>
      <w:bookmarkStart w:id="527" w:name="_Toc524615075"/>
      <w:bookmarkStart w:id="528" w:name="_Toc524614859"/>
      <w:bookmarkStart w:id="529" w:name="_Toc182814010"/>
      <w:r>
        <w:rPr>
          <w:rFonts w:cs="Times New Roman"/>
          <w:b w:val="0"/>
          <w:sz w:val="24"/>
          <w:szCs w:val="24"/>
        </w:rPr>
        <w:t>Обоснование</w:t>
      </w:r>
      <w:bookmarkEnd w:id="527"/>
      <w:bookmarkEnd w:id="528"/>
      <w:r>
        <w:rPr>
          <w:rFonts w:cs="Times New Roman"/>
          <w:b w:val="0"/>
          <w:sz w:val="24"/>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29"/>
    </w:p>
    <w:p w14:paraId="5F21CCE0">
      <w:pPr>
        <w:widowControl w:val="0"/>
        <w:spacing w:after="0" w:line="240" w:lineRule="auto"/>
        <w:contextualSpacing/>
        <w:jc w:val="both"/>
        <w:rPr>
          <w:sz w:val="24"/>
          <w:szCs w:val="24"/>
        </w:rPr>
      </w:pPr>
      <w:r>
        <w:rPr>
          <w:sz w:val="24"/>
          <w:szCs w:val="24"/>
        </w:rPr>
        <w:t>Мероприятия не предусмотрены.</w:t>
      </w:r>
    </w:p>
    <w:p w14:paraId="53E74FD2">
      <w:pPr>
        <w:widowControl w:val="0"/>
        <w:spacing w:after="0" w:line="240" w:lineRule="auto"/>
        <w:contextualSpacing/>
        <w:jc w:val="both"/>
        <w:rPr>
          <w:sz w:val="24"/>
          <w:szCs w:val="24"/>
        </w:rPr>
      </w:pPr>
    </w:p>
    <w:p w14:paraId="0BDFFAB1">
      <w:pPr>
        <w:pStyle w:val="3"/>
        <w:keepNext/>
        <w:widowControl w:val="0"/>
        <w:spacing w:before="0" w:line="240" w:lineRule="auto"/>
        <w:ind w:left="0" w:firstLine="709"/>
        <w:contextualSpacing/>
        <w:rPr>
          <w:rFonts w:cs="Times New Roman"/>
          <w:b w:val="0"/>
          <w:sz w:val="24"/>
          <w:szCs w:val="24"/>
        </w:rPr>
      </w:pPr>
      <w:bookmarkStart w:id="530" w:name="_Toc524615076"/>
      <w:bookmarkStart w:id="531" w:name="_Toc524614860"/>
      <w:bookmarkStart w:id="532" w:name="_Toc182814011"/>
      <w:r>
        <w:rPr>
          <w:rFonts w:cs="Times New Roman"/>
          <w:b w:val="0"/>
          <w:sz w:val="24"/>
          <w:szCs w:val="24"/>
        </w:rPr>
        <w:t>Обоснование</w:t>
      </w:r>
      <w:bookmarkEnd w:id="530"/>
      <w:bookmarkEnd w:id="531"/>
      <w:r>
        <w:rPr>
          <w:rFonts w:cs="Times New Roman"/>
          <w:b w:val="0"/>
          <w:sz w:val="24"/>
          <w:szCs w:val="24"/>
        </w:rPr>
        <w:t xml:space="preserve"> организации индивидуального теплоснабжения в зонах застройки на территории с.п. Верхнеказымский малоэтажными жилыми зданиями</w:t>
      </w:r>
      <w:bookmarkEnd w:id="532"/>
    </w:p>
    <w:p w14:paraId="004D171F">
      <w:pPr>
        <w:widowControl w:val="0"/>
        <w:spacing w:after="0" w:line="240" w:lineRule="auto"/>
        <w:contextualSpacing/>
        <w:jc w:val="both"/>
        <w:rPr>
          <w:sz w:val="24"/>
          <w:szCs w:val="24"/>
        </w:rPr>
      </w:pPr>
      <w:r>
        <w:rPr>
          <w:sz w:val="24"/>
          <w:szCs w:val="24"/>
        </w:rPr>
        <w:t>Согласно Генеральному плану с.п. Верхнеказымский, в качестве альтернативных источников теплоснабжения проектируемой индивидуальной жилой застройки используются индивидуальные источники теплоснабжения на природном газе.</w:t>
      </w:r>
    </w:p>
    <w:p w14:paraId="0AFE6AE8">
      <w:pPr>
        <w:widowControl w:val="0"/>
        <w:spacing w:after="0" w:line="240" w:lineRule="auto"/>
        <w:contextualSpacing/>
        <w:jc w:val="both"/>
        <w:rPr>
          <w:sz w:val="24"/>
          <w:szCs w:val="24"/>
        </w:rPr>
      </w:pPr>
    </w:p>
    <w:p w14:paraId="37CF6379">
      <w:pPr>
        <w:pStyle w:val="3"/>
        <w:keepNext/>
        <w:spacing w:before="0" w:line="240" w:lineRule="auto"/>
        <w:ind w:left="0" w:firstLine="709"/>
        <w:contextualSpacing/>
        <w:rPr>
          <w:rFonts w:cs="Times New Roman"/>
          <w:b w:val="0"/>
          <w:sz w:val="24"/>
          <w:szCs w:val="24"/>
        </w:rPr>
      </w:pPr>
      <w:bookmarkStart w:id="533" w:name="_Toc182814012"/>
      <w:r>
        <w:rPr>
          <w:rFonts w:cs="Times New Roman"/>
          <w:b w:val="0"/>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на территории с.п. Верхнеказымский</w:t>
      </w:r>
      <w:bookmarkEnd w:id="533"/>
    </w:p>
    <w:p w14:paraId="1D40AB42">
      <w:pPr>
        <w:spacing w:after="0" w:line="240" w:lineRule="auto"/>
        <w:contextualSpacing/>
        <w:jc w:val="both"/>
        <w:rPr>
          <w:sz w:val="24"/>
          <w:szCs w:val="24"/>
        </w:rPr>
      </w:pPr>
      <w:r>
        <w:rPr>
          <w:sz w:val="24"/>
          <w:szCs w:val="24"/>
        </w:rPr>
        <w:t>Перспективный баланс тепловой мощности источников тепловой энергии представлен в п. 4.1. Главы 4.</w:t>
      </w:r>
    </w:p>
    <w:p w14:paraId="3423DC4B">
      <w:pPr>
        <w:spacing w:after="0" w:line="240" w:lineRule="auto"/>
        <w:contextualSpacing/>
        <w:jc w:val="both"/>
        <w:rPr>
          <w:sz w:val="24"/>
          <w:szCs w:val="24"/>
        </w:rPr>
      </w:pPr>
    </w:p>
    <w:p w14:paraId="69678534">
      <w:pPr>
        <w:pStyle w:val="3"/>
        <w:spacing w:before="0" w:line="240" w:lineRule="auto"/>
        <w:ind w:left="0" w:firstLine="709"/>
        <w:contextualSpacing/>
        <w:rPr>
          <w:rFonts w:cs="Times New Roman"/>
          <w:b w:val="0"/>
          <w:sz w:val="24"/>
          <w:szCs w:val="24"/>
        </w:rPr>
      </w:pPr>
      <w:bookmarkStart w:id="534" w:name="_Toc182814013"/>
      <w:bookmarkStart w:id="535" w:name="_Toc15640915"/>
      <w:bookmarkStart w:id="536" w:name="_Hlk15651566"/>
      <w:r>
        <w:rPr>
          <w:rFonts w:cs="Times New Roman"/>
          <w:b w:val="0"/>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34"/>
      <w:bookmarkEnd w:id="535"/>
    </w:p>
    <w:bookmarkEnd w:id="536"/>
    <w:p w14:paraId="1978B24B">
      <w:pPr>
        <w:spacing w:after="0" w:line="240" w:lineRule="auto"/>
        <w:contextualSpacing/>
        <w:jc w:val="both"/>
        <w:rPr>
          <w:sz w:val="24"/>
          <w:szCs w:val="24"/>
        </w:rPr>
      </w:pPr>
      <w:r>
        <w:rPr>
          <w:sz w:val="24"/>
          <w:szCs w:val="24"/>
        </w:rPr>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схемой теплоснабжения не предполагается.</w:t>
      </w:r>
    </w:p>
    <w:p w14:paraId="32FAD931">
      <w:pPr>
        <w:spacing w:after="0" w:line="240" w:lineRule="auto"/>
        <w:contextualSpacing/>
        <w:jc w:val="both"/>
        <w:rPr>
          <w:sz w:val="24"/>
          <w:szCs w:val="24"/>
        </w:rPr>
      </w:pPr>
    </w:p>
    <w:p w14:paraId="023ECAE7">
      <w:pPr>
        <w:pStyle w:val="3"/>
        <w:spacing w:before="0" w:line="240" w:lineRule="auto"/>
        <w:ind w:left="0" w:firstLine="709"/>
        <w:contextualSpacing/>
        <w:rPr>
          <w:rFonts w:cs="Times New Roman"/>
          <w:b w:val="0"/>
          <w:sz w:val="24"/>
          <w:szCs w:val="24"/>
        </w:rPr>
      </w:pPr>
      <w:bookmarkStart w:id="537" w:name="_Toc182814014"/>
      <w:r>
        <w:rPr>
          <w:rFonts w:cs="Times New Roman"/>
          <w:b w:val="0"/>
          <w:sz w:val="24"/>
          <w:szCs w:val="24"/>
        </w:rPr>
        <w:t>Обоснование организации теплоснабжения в производственных зонах на территории с.п. Верхнеказымский</w:t>
      </w:r>
      <w:bookmarkEnd w:id="537"/>
    </w:p>
    <w:p w14:paraId="654AB143">
      <w:pPr>
        <w:spacing w:after="0" w:line="240" w:lineRule="auto"/>
        <w:contextualSpacing/>
        <w:jc w:val="both"/>
        <w:rPr>
          <w:sz w:val="24"/>
          <w:szCs w:val="24"/>
        </w:rPr>
      </w:pPr>
      <w:r>
        <w:rPr>
          <w:sz w:val="24"/>
          <w:szCs w:val="24"/>
        </w:rPr>
        <w:t>Перспективное развитие промышленности на территории с.п. Верхнеказымский намечено за счёт развития и реконструкции существующих предприятий. Возможный прирост ресурсопотребления на промышленных предприятиях за счёт расширения производства будет компенсироваться снижением за счёт внедрения энергосберегающих технологий.</w:t>
      </w:r>
    </w:p>
    <w:p w14:paraId="1E49F897">
      <w:pPr>
        <w:spacing w:after="0" w:line="240" w:lineRule="auto"/>
        <w:contextualSpacing/>
        <w:jc w:val="both"/>
        <w:rPr>
          <w:sz w:val="24"/>
          <w:szCs w:val="24"/>
        </w:rPr>
      </w:pPr>
    </w:p>
    <w:p w14:paraId="2B875E6A">
      <w:pPr>
        <w:pStyle w:val="3"/>
        <w:spacing w:before="0" w:line="240" w:lineRule="auto"/>
        <w:ind w:left="0" w:firstLine="709"/>
        <w:contextualSpacing/>
        <w:rPr>
          <w:rFonts w:cs="Times New Roman"/>
          <w:b w:val="0"/>
          <w:sz w:val="24"/>
          <w:szCs w:val="24"/>
        </w:rPr>
      </w:pPr>
      <w:bookmarkStart w:id="538" w:name="_Toc182814015"/>
      <w:r>
        <w:rPr>
          <w:rFonts w:cs="Times New Roman"/>
          <w:b w:val="0"/>
          <w:sz w:val="24"/>
          <w:szCs w:val="24"/>
        </w:rPr>
        <w:t>Результаты расчетов радиуса эффективного теплоснабжения</w:t>
      </w:r>
      <w:bookmarkEnd w:id="538"/>
    </w:p>
    <w:p w14:paraId="6ADADB5B">
      <w:pPr>
        <w:spacing w:after="0" w:line="240" w:lineRule="auto"/>
        <w:contextualSpacing/>
        <w:jc w:val="both"/>
        <w:rPr>
          <w:sz w:val="24"/>
          <w:szCs w:val="24"/>
        </w:rPr>
      </w:pPr>
      <w:bookmarkStart w:id="539" w:name="_Hlk182295594"/>
      <w:r>
        <w:rPr>
          <w:sz w:val="24"/>
          <w:szCs w:val="24"/>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8AEC6E1">
      <w:pPr>
        <w:spacing w:after="0" w:line="240" w:lineRule="auto"/>
        <w:contextualSpacing/>
        <w:jc w:val="both"/>
        <w:rPr>
          <w:sz w:val="24"/>
          <w:szCs w:val="24"/>
        </w:rPr>
      </w:pPr>
      <w:r>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31BC5FE4">
      <w:pPr>
        <w:spacing w:after="0" w:line="240" w:lineRule="auto"/>
        <w:contextualSpacing/>
        <w:jc w:val="both"/>
        <w:rPr>
          <w:sz w:val="24"/>
          <w:szCs w:val="24"/>
        </w:rPr>
      </w:pPr>
      <w:r>
        <w:rPr>
          <w:sz w:val="24"/>
          <w:szCs w:val="24"/>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3A6F728D">
      <w:pPr>
        <w:spacing w:after="0" w:line="240" w:lineRule="auto"/>
        <w:contextualSpacing/>
        <w:jc w:val="both"/>
        <w:rPr>
          <w:sz w:val="24"/>
          <w:szCs w:val="24"/>
        </w:rPr>
      </w:pPr>
      <w:r>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11300EFA">
      <w:pPr>
        <w:spacing w:after="0" w:line="240" w:lineRule="auto"/>
        <w:ind w:firstLine="0"/>
        <w:contextualSpacing/>
        <w:jc w:val="center"/>
        <w:rPr>
          <w:sz w:val="24"/>
          <w:szCs w:val="24"/>
        </w:rPr>
      </w:pPr>
      <w:r>
        <w:rPr>
          <w:bCs/>
          <w:sz w:val="24"/>
          <w:szCs w:val="24"/>
        </w:rPr>
        <w:drawing>
          <wp:inline distT="0" distB="0" distL="0" distR="0">
            <wp:extent cx="3075305" cy="5372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1" cstate="screen"/>
                    <a:srcRect/>
                    <a:stretch>
                      <a:fillRect/>
                    </a:stretch>
                  </pic:blipFill>
                  <pic:spPr>
                    <a:xfrm>
                      <a:off x="0" y="0"/>
                      <a:ext cx="3364466" cy="587967"/>
                    </a:xfrm>
                    <a:prstGeom prst="rect">
                      <a:avLst/>
                    </a:prstGeom>
                    <a:noFill/>
                    <a:ln>
                      <a:noFill/>
                    </a:ln>
                  </pic:spPr>
                </pic:pic>
              </a:graphicData>
            </a:graphic>
          </wp:inline>
        </w:drawing>
      </w:r>
      <w:r>
        <w:rPr>
          <w:sz w:val="24"/>
          <w:szCs w:val="24"/>
        </w:rPr>
        <w:t>,</w:t>
      </w:r>
    </w:p>
    <w:p w14:paraId="2774D93E">
      <w:pPr>
        <w:spacing w:after="0" w:line="240" w:lineRule="auto"/>
        <w:contextualSpacing/>
        <w:jc w:val="both"/>
        <w:rPr>
          <w:sz w:val="24"/>
          <w:szCs w:val="24"/>
        </w:rPr>
      </w:pPr>
      <w:r>
        <w:rPr>
          <w:sz w:val="24"/>
          <w:szCs w:val="24"/>
        </w:rPr>
        <w:t>где:</w:t>
      </w:r>
    </w:p>
    <w:p w14:paraId="04E2BFAB">
      <w:pPr>
        <w:spacing w:after="0" w:line="240" w:lineRule="auto"/>
        <w:contextualSpacing/>
        <w:jc w:val="both"/>
        <w:rPr>
          <w:sz w:val="24"/>
          <w:szCs w:val="24"/>
        </w:rPr>
      </w:pPr>
      <w:r>
        <w:rPr>
          <w:sz w:val="24"/>
          <w:szCs w:val="24"/>
        </w:rPr>
        <w:t>R - радиус действия тепловой сети (длина главной тепловой магистрали самого протяженного вывода от источника), км;</w:t>
      </w:r>
    </w:p>
    <w:p w14:paraId="36929F54">
      <w:pPr>
        <w:spacing w:after="0" w:line="240" w:lineRule="auto"/>
        <w:contextualSpacing/>
        <w:jc w:val="both"/>
        <w:rPr>
          <w:sz w:val="24"/>
          <w:szCs w:val="24"/>
        </w:rPr>
      </w:pPr>
      <w:r>
        <w:rPr>
          <w:sz w:val="24"/>
          <w:szCs w:val="24"/>
        </w:rPr>
        <w:t>H - потеря напора на трение при транспорте теплоносителя по тепловой магистрали, м. вод. ст.;</w:t>
      </w:r>
    </w:p>
    <w:p w14:paraId="028870E5">
      <w:pPr>
        <w:spacing w:after="0" w:line="240" w:lineRule="auto"/>
        <w:contextualSpacing/>
        <w:jc w:val="both"/>
        <w:rPr>
          <w:sz w:val="24"/>
          <w:szCs w:val="24"/>
        </w:rPr>
      </w:pPr>
      <w:r>
        <w:rPr>
          <w:sz w:val="24"/>
          <w:szCs w:val="24"/>
        </w:rPr>
        <w:t>b - эмпирический коэффициент удельных затрат в единицу тепловой мощности котельной, руб./Гкал/ч;</w:t>
      </w:r>
    </w:p>
    <w:p w14:paraId="4139BD17">
      <w:pPr>
        <w:spacing w:after="0" w:line="240" w:lineRule="auto"/>
        <w:contextualSpacing/>
        <w:jc w:val="both"/>
        <w:rPr>
          <w:sz w:val="24"/>
          <w:szCs w:val="24"/>
        </w:rPr>
      </w:pPr>
      <w:r>
        <w:rPr>
          <w:sz w:val="24"/>
          <w:szCs w:val="24"/>
        </w:rPr>
        <w:t>s - удельная стоимость материальной характеристики тепловой сети, руб./м</w:t>
      </w:r>
      <w:r>
        <w:rPr>
          <w:sz w:val="24"/>
          <w:szCs w:val="24"/>
          <w:vertAlign w:val="superscript"/>
        </w:rPr>
        <w:t>2</w:t>
      </w:r>
      <w:r>
        <w:rPr>
          <w:sz w:val="24"/>
          <w:szCs w:val="24"/>
        </w:rPr>
        <w:t>;</w:t>
      </w:r>
    </w:p>
    <w:p w14:paraId="23049039">
      <w:pPr>
        <w:spacing w:after="0" w:line="240" w:lineRule="auto"/>
        <w:contextualSpacing/>
        <w:jc w:val="both"/>
        <w:rPr>
          <w:sz w:val="24"/>
          <w:szCs w:val="24"/>
        </w:rPr>
      </w:pPr>
      <w:r>
        <w:rPr>
          <w:sz w:val="24"/>
          <w:szCs w:val="24"/>
        </w:rPr>
        <w:t>B - среднее число абонентов на единицу площади зоны действия источника теплоснабжения, 1/км</w:t>
      </w:r>
      <w:r>
        <w:rPr>
          <w:sz w:val="24"/>
          <w:szCs w:val="24"/>
          <w:vertAlign w:val="superscript"/>
        </w:rPr>
        <w:t>2</w:t>
      </w:r>
      <w:r>
        <w:rPr>
          <w:sz w:val="24"/>
          <w:szCs w:val="24"/>
        </w:rPr>
        <w:t>;</w:t>
      </w:r>
    </w:p>
    <w:p w14:paraId="76585A33">
      <w:pPr>
        <w:spacing w:after="0" w:line="240" w:lineRule="auto"/>
        <w:contextualSpacing/>
        <w:jc w:val="both"/>
        <w:rPr>
          <w:sz w:val="24"/>
          <w:szCs w:val="24"/>
        </w:rPr>
      </w:pPr>
      <w:r>
        <w:rPr>
          <w:sz w:val="24"/>
          <w:szCs w:val="24"/>
        </w:rPr>
        <w:t>П - теплоплотность района, Гкал/ч км</w:t>
      </w:r>
      <w:r>
        <w:rPr>
          <w:sz w:val="24"/>
          <w:szCs w:val="24"/>
          <w:vertAlign w:val="superscript"/>
        </w:rPr>
        <w:t>2</w:t>
      </w:r>
      <w:r>
        <w:rPr>
          <w:sz w:val="24"/>
          <w:szCs w:val="24"/>
        </w:rPr>
        <w:t>;</w:t>
      </w:r>
    </w:p>
    <w:p w14:paraId="69E1E381">
      <w:pPr>
        <w:spacing w:after="0" w:line="240" w:lineRule="auto"/>
        <w:contextualSpacing/>
        <w:jc w:val="both"/>
        <w:rPr>
          <w:sz w:val="24"/>
          <w:szCs w:val="24"/>
        </w:rPr>
      </w:pPr>
      <w:r>
        <w:rPr>
          <w:sz w:val="24"/>
          <w:szCs w:val="24"/>
        </w:rPr>
        <w:t xml:space="preserve">Δτ - расчетный перепад температур теплоносителя в тепловой сети, </w:t>
      </w:r>
      <w:r>
        <w:rPr>
          <w:sz w:val="24"/>
          <w:szCs w:val="24"/>
          <w:vertAlign w:val="superscript"/>
        </w:rPr>
        <w:t>о</w:t>
      </w:r>
      <w:r>
        <w:rPr>
          <w:sz w:val="24"/>
          <w:szCs w:val="24"/>
        </w:rPr>
        <w:t>С;</w:t>
      </w:r>
    </w:p>
    <w:p w14:paraId="04122295">
      <w:pPr>
        <w:spacing w:after="0" w:line="240" w:lineRule="auto"/>
        <w:contextualSpacing/>
        <w:jc w:val="both"/>
        <w:rPr>
          <w:sz w:val="24"/>
          <w:szCs w:val="24"/>
        </w:rPr>
      </w:pPr>
      <w:r>
        <w:rPr>
          <w:sz w:val="24"/>
          <w:szCs w:val="24"/>
        </w:rPr>
        <w:t>φ - поправочный коэффициент, принимаемый равным 1,3 для ТЭЦ и 1 для котельных.</w:t>
      </w:r>
    </w:p>
    <w:p w14:paraId="283D2578">
      <w:pPr>
        <w:spacing w:after="0" w:line="240" w:lineRule="auto"/>
        <w:contextualSpacing/>
        <w:jc w:val="both"/>
        <w:rPr>
          <w:sz w:val="24"/>
          <w:szCs w:val="24"/>
        </w:rPr>
      </w:pPr>
    </w:p>
    <w:p w14:paraId="7D459DC7">
      <w:pPr>
        <w:spacing w:after="0" w:line="240" w:lineRule="auto"/>
        <w:contextualSpacing/>
        <w:jc w:val="both"/>
        <w:rPr>
          <w:sz w:val="24"/>
          <w:szCs w:val="24"/>
        </w:rPr>
      </w:pPr>
      <w:r>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3A003EB8">
      <w:pPr>
        <w:spacing w:after="0" w:line="240" w:lineRule="auto"/>
        <w:ind w:firstLine="0"/>
        <w:contextualSpacing/>
        <w:jc w:val="center"/>
        <w:rPr>
          <w:sz w:val="24"/>
          <w:szCs w:val="24"/>
        </w:rPr>
      </w:pPr>
      <w:r>
        <w:rPr>
          <w:sz w:val="24"/>
          <w:szCs w:val="24"/>
        </w:rPr>
        <w:drawing>
          <wp:inline distT="0" distB="0" distL="0" distR="0">
            <wp:extent cx="2606040" cy="57404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32" cstate="screen"/>
                    <a:srcRect/>
                    <a:stretch>
                      <a:fillRect/>
                    </a:stretch>
                  </pic:blipFill>
                  <pic:spPr>
                    <a:xfrm>
                      <a:off x="0" y="0"/>
                      <a:ext cx="2865316" cy="631169"/>
                    </a:xfrm>
                    <a:prstGeom prst="rect">
                      <a:avLst/>
                    </a:prstGeom>
                    <a:noFill/>
                    <a:ln>
                      <a:noFill/>
                    </a:ln>
                  </pic:spPr>
                </pic:pic>
              </a:graphicData>
            </a:graphic>
          </wp:inline>
        </w:drawing>
      </w:r>
    </w:p>
    <w:p w14:paraId="31B404F2">
      <w:pPr>
        <w:spacing w:after="0" w:line="240" w:lineRule="auto"/>
        <w:contextualSpacing/>
        <w:jc w:val="both"/>
        <w:rPr>
          <w:sz w:val="24"/>
          <w:szCs w:val="24"/>
        </w:rPr>
      </w:pPr>
    </w:p>
    <w:p w14:paraId="57A29248">
      <w:pPr>
        <w:spacing w:after="0" w:line="240" w:lineRule="auto"/>
        <w:contextualSpacing/>
        <w:jc w:val="both"/>
        <w:rPr>
          <w:sz w:val="24"/>
          <w:szCs w:val="24"/>
        </w:rPr>
      </w:pPr>
      <w:r>
        <w:rPr>
          <w:sz w:val="24"/>
          <w:szCs w:val="24"/>
        </w:rPr>
        <w:t>Прогноз потребления электрической энергии и мощности, перечень планируемых изменений установленной генерирующей мощности объектов по производству электрической энергии и перечень мероприятий по строительству (реконструкции) объектов по производству электрической энергии на территориях технологически необходимой генерации на расчетный срок схемы теплоснабжения не планируется.</w:t>
      </w:r>
    </w:p>
    <w:p w14:paraId="62B47EAC">
      <w:pPr>
        <w:spacing w:after="0" w:line="240" w:lineRule="auto"/>
        <w:contextualSpacing/>
        <w:jc w:val="both"/>
        <w:rPr>
          <w:sz w:val="24"/>
          <w:szCs w:val="24"/>
        </w:rPr>
      </w:pPr>
      <w:r>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9493E19">
      <w:pPr>
        <w:spacing w:after="0" w:line="240" w:lineRule="auto"/>
        <w:contextualSpacing/>
        <w:jc w:val="both"/>
        <w:rPr>
          <w:sz w:val="24"/>
          <w:szCs w:val="24"/>
        </w:rPr>
      </w:pPr>
      <w:r>
        <w:rPr>
          <w:sz w:val="24"/>
          <w:szCs w:val="24"/>
        </w:rPr>
        <w:t>Результаты расчёта эффективного радиуса теплоснабжения для котельных с.п. Верхнеказымский приводятся в таблице 58.</w:t>
      </w:r>
    </w:p>
    <w:p w14:paraId="50A50EBB">
      <w:pPr>
        <w:spacing w:after="0" w:line="240" w:lineRule="auto"/>
        <w:ind w:firstLine="0"/>
        <w:contextualSpacing/>
        <w:jc w:val="both"/>
        <w:rPr>
          <w:sz w:val="24"/>
          <w:szCs w:val="24"/>
        </w:rPr>
      </w:pPr>
    </w:p>
    <w:p w14:paraId="54583FCC">
      <w:pPr>
        <w:pStyle w:val="43"/>
        <w:keepNext/>
        <w:keepLines/>
        <w:spacing w:before="0" w:after="0" w:line="240" w:lineRule="auto"/>
        <w:ind w:firstLine="0"/>
        <w:contextualSpacing/>
        <w:rPr>
          <w:rFonts w:cs="Times New Roman"/>
          <w:b w:val="0"/>
          <w:sz w:val="24"/>
          <w:szCs w:val="24"/>
        </w:rPr>
      </w:pPr>
      <w:bookmarkStart w:id="540" w:name="_Toc28125536"/>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58</w:t>
      </w:r>
      <w:r>
        <w:rPr>
          <w:rFonts w:cs="Times New Roman"/>
          <w:b w:val="0"/>
          <w:sz w:val="24"/>
          <w:szCs w:val="24"/>
        </w:rPr>
        <w:fldChar w:fldCharType="end"/>
      </w:r>
      <w:r>
        <w:rPr>
          <w:rFonts w:cs="Times New Roman"/>
          <w:b w:val="0"/>
          <w:sz w:val="24"/>
          <w:szCs w:val="24"/>
        </w:rPr>
        <w:t xml:space="preserve"> – Радиус эффективного теплоснабжения существующих источников тепловой энергии</w:t>
      </w:r>
      <w:bookmarkEnd w:id="540"/>
    </w:p>
    <w:tbl>
      <w:tblPr>
        <w:tblStyle w:val="1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5727"/>
        <w:gridCol w:w="3967"/>
      </w:tblGrid>
      <w:tr w14:paraId="79B2C3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 w:hRule="atLeast"/>
        </w:trPr>
        <w:tc>
          <w:tcPr>
            <w:tcW w:w="2954" w:type="pct"/>
            <w:shd w:val="clear" w:color="auto" w:fill="auto"/>
            <w:vAlign w:val="center"/>
          </w:tcPr>
          <w:p w14:paraId="25997880">
            <w:pPr>
              <w:keepNext/>
              <w:keepLines/>
              <w:spacing w:after="0" w:line="240" w:lineRule="auto"/>
              <w:ind w:firstLine="0"/>
              <w:contextualSpacing/>
              <w:jc w:val="center"/>
              <w:rPr>
                <w:sz w:val="20"/>
                <w:szCs w:val="20"/>
              </w:rPr>
            </w:pPr>
            <w:r>
              <w:rPr>
                <w:sz w:val="20"/>
                <w:szCs w:val="20"/>
              </w:rPr>
              <w:t>Источник тепловой энергии</w:t>
            </w:r>
          </w:p>
        </w:tc>
        <w:tc>
          <w:tcPr>
            <w:tcW w:w="2046" w:type="pct"/>
            <w:vAlign w:val="center"/>
          </w:tcPr>
          <w:p w14:paraId="5C968421">
            <w:pPr>
              <w:keepNext/>
              <w:keepLines/>
              <w:spacing w:after="0" w:line="240" w:lineRule="auto"/>
              <w:ind w:firstLine="0"/>
              <w:contextualSpacing/>
              <w:jc w:val="center"/>
              <w:rPr>
                <w:sz w:val="20"/>
                <w:szCs w:val="20"/>
              </w:rPr>
            </w:pPr>
            <w:r>
              <w:rPr>
                <w:sz w:val="20"/>
                <w:szCs w:val="20"/>
              </w:rPr>
              <w:t>Максимальный радиус км</w:t>
            </w:r>
          </w:p>
        </w:tc>
      </w:tr>
      <w:tr w14:paraId="442CFC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 w:hRule="atLeast"/>
        </w:trPr>
        <w:tc>
          <w:tcPr>
            <w:tcW w:w="2954" w:type="pct"/>
            <w:shd w:val="clear" w:color="auto" w:fill="auto"/>
            <w:noWrap/>
            <w:vAlign w:val="center"/>
          </w:tcPr>
          <w:p w14:paraId="418E0661">
            <w:pPr>
              <w:keepNext/>
              <w:keepLines/>
              <w:spacing w:after="0" w:line="240" w:lineRule="auto"/>
              <w:ind w:firstLine="0"/>
              <w:contextualSpacing/>
              <w:jc w:val="center"/>
              <w:rPr>
                <w:sz w:val="20"/>
                <w:szCs w:val="20"/>
                <w:lang w:val="en-US"/>
              </w:rPr>
            </w:pPr>
            <w:r>
              <w:rPr>
                <w:sz w:val="20"/>
                <w:szCs w:val="20"/>
              </w:rPr>
              <w:t>Котельная №2 МУП «БКС»</w:t>
            </w:r>
          </w:p>
        </w:tc>
        <w:tc>
          <w:tcPr>
            <w:tcW w:w="2046" w:type="pct"/>
            <w:vAlign w:val="center"/>
          </w:tcPr>
          <w:p w14:paraId="4E24BF73">
            <w:pPr>
              <w:keepNext/>
              <w:keepLines/>
              <w:spacing w:after="0" w:line="240" w:lineRule="auto"/>
              <w:ind w:firstLine="0"/>
              <w:contextualSpacing/>
              <w:jc w:val="center"/>
              <w:rPr>
                <w:sz w:val="20"/>
                <w:szCs w:val="20"/>
              </w:rPr>
            </w:pPr>
            <w:r>
              <w:rPr>
                <w:sz w:val="20"/>
                <w:szCs w:val="20"/>
              </w:rPr>
              <w:t>0,3</w:t>
            </w:r>
          </w:p>
        </w:tc>
      </w:tr>
      <w:tr w14:paraId="76E935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 w:hRule="atLeast"/>
        </w:trPr>
        <w:tc>
          <w:tcPr>
            <w:tcW w:w="2954" w:type="pct"/>
            <w:shd w:val="clear" w:color="auto" w:fill="auto"/>
            <w:noWrap/>
            <w:vAlign w:val="center"/>
          </w:tcPr>
          <w:p w14:paraId="75CD0395">
            <w:pPr>
              <w:keepNext/>
              <w:keepLines/>
              <w:spacing w:after="0" w:line="240" w:lineRule="auto"/>
              <w:ind w:firstLine="0"/>
              <w:contextualSpacing/>
              <w:jc w:val="center"/>
              <w:rPr>
                <w:sz w:val="20"/>
                <w:szCs w:val="20"/>
              </w:rPr>
            </w:pPr>
            <w:r>
              <w:rPr>
                <w:sz w:val="20"/>
                <w:szCs w:val="20"/>
              </w:rPr>
              <w:t>Котельная «2БВК»</w:t>
            </w:r>
          </w:p>
        </w:tc>
        <w:tc>
          <w:tcPr>
            <w:tcW w:w="2046" w:type="pct"/>
            <w:vAlign w:val="center"/>
          </w:tcPr>
          <w:p w14:paraId="315F2912">
            <w:pPr>
              <w:keepNext/>
              <w:keepLines/>
              <w:spacing w:after="0" w:line="240" w:lineRule="auto"/>
              <w:ind w:firstLine="0"/>
              <w:contextualSpacing/>
              <w:jc w:val="center"/>
              <w:rPr>
                <w:sz w:val="20"/>
                <w:szCs w:val="20"/>
              </w:rPr>
            </w:pPr>
            <w:r>
              <w:rPr>
                <w:sz w:val="20"/>
                <w:szCs w:val="20"/>
              </w:rPr>
              <w:t>0,714</w:t>
            </w:r>
          </w:p>
        </w:tc>
      </w:tr>
      <w:tr w14:paraId="396CF6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 w:hRule="atLeast"/>
        </w:trPr>
        <w:tc>
          <w:tcPr>
            <w:tcW w:w="2954" w:type="pct"/>
            <w:shd w:val="clear" w:color="auto" w:fill="auto"/>
            <w:noWrap/>
            <w:vAlign w:val="center"/>
          </w:tcPr>
          <w:p w14:paraId="14BDD359">
            <w:pPr>
              <w:spacing w:after="0" w:line="240" w:lineRule="auto"/>
              <w:ind w:firstLine="0"/>
              <w:contextualSpacing/>
              <w:jc w:val="center"/>
              <w:rPr>
                <w:sz w:val="20"/>
                <w:szCs w:val="20"/>
              </w:rPr>
            </w:pPr>
            <w:r>
              <w:rPr>
                <w:sz w:val="20"/>
                <w:szCs w:val="20"/>
              </w:rPr>
              <w:t>ТУ КС «Верхнеказымская»</w:t>
            </w:r>
          </w:p>
        </w:tc>
        <w:tc>
          <w:tcPr>
            <w:tcW w:w="2046" w:type="pct"/>
            <w:vAlign w:val="center"/>
          </w:tcPr>
          <w:p w14:paraId="2B655939">
            <w:pPr>
              <w:spacing w:after="0" w:line="240" w:lineRule="auto"/>
              <w:ind w:firstLine="0"/>
              <w:contextualSpacing/>
              <w:jc w:val="center"/>
              <w:rPr>
                <w:sz w:val="20"/>
                <w:szCs w:val="20"/>
              </w:rPr>
            </w:pPr>
            <w:r>
              <w:rPr>
                <w:sz w:val="20"/>
                <w:szCs w:val="20"/>
              </w:rPr>
              <w:t>3,45</w:t>
            </w:r>
          </w:p>
        </w:tc>
      </w:tr>
    </w:tbl>
    <w:p w14:paraId="35CFCFEA">
      <w:pPr>
        <w:spacing w:after="0" w:line="240" w:lineRule="auto"/>
        <w:ind w:firstLine="0"/>
        <w:contextualSpacing/>
        <w:jc w:val="both"/>
        <w:rPr>
          <w:sz w:val="24"/>
          <w:szCs w:val="24"/>
        </w:rPr>
      </w:pPr>
    </w:p>
    <w:bookmarkEnd w:id="539"/>
    <w:p w14:paraId="2B43F872">
      <w:pPr>
        <w:pStyle w:val="3"/>
        <w:spacing w:before="0" w:line="240" w:lineRule="auto"/>
        <w:ind w:left="0" w:firstLine="709"/>
        <w:contextualSpacing/>
        <w:rPr>
          <w:rFonts w:cs="Times New Roman"/>
          <w:b w:val="0"/>
          <w:sz w:val="24"/>
          <w:szCs w:val="24"/>
        </w:rPr>
      </w:pPr>
      <w:bookmarkStart w:id="541" w:name="_Toc15640918"/>
      <w:bookmarkStart w:id="542" w:name="_Toc182814016"/>
      <w:bookmarkStart w:id="543" w:name="_Hlk15651581"/>
      <w:r>
        <w:rPr>
          <w:rFonts w:cs="Times New Roman"/>
          <w:b w:val="0"/>
          <w:sz w:val="24"/>
          <w:szCs w:val="24"/>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41"/>
      <w:bookmarkEnd w:id="542"/>
    </w:p>
    <w:bookmarkEnd w:id="543"/>
    <w:p w14:paraId="30242805">
      <w:pPr>
        <w:spacing w:after="0" w:line="240" w:lineRule="auto"/>
        <w:contextualSpacing/>
        <w:jc w:val="both"/>
        <w:rPr>
          <w:sz w:val="24"/>
          <w:szCs w:val="24"/>
        </w:rPr>
      </w:pPr>
      <w:bookmarkStart w:id="544" w:name="_Hlk165621501"/>
      <w:r>
        <w:rPr>
          <w:sz w:val="24"/>
          <w:szCs w:val="24"/>
        </w:rPr>
        <w:t>Строительство новых котельных, а также реконструкция и техническое перевооружение существующих котельных за период, предшествующий актуализации схемы теплоснабжения, не производились.</w:t>
      </w:r>
    </w:p>
    <w:p w14:paraId="72F8ABE2">
      <w:pPr>
        <w:spacing w:after="0" w:line="240" w:lineRule="auto"/>
        <w:contextualSpacing/>
        <w:jc w:val="both"/>
        <w:rPr>
          <w:sz w:val="24"/>
          <w:szCs w:val="24"/>
        </w:rPr>
      </w:pPr>
    </w:p>
    <w:bookmarkEnd w:id="544"/>
    <w:p w14:paraId="786EF4A1">
      <w:pPr>
        <w:pStyle w:val="3"/>
        <w:spacing w:before="0" w:line="240" w:lineRule="auto"/>
        <w:ind w:left="0" w:firstLine="709"/>
        <w:contextualSpacing/>
        <w:rPr>
          <w:rFonts w:cs="Times New Roman"/>
          <w:b w:val="0"/>
          <w:sz w:val="24"/>
          <w:szCs w:val="24"/>
        </w:rPr>
      </w:pPr>
      <w:bookmarkStart w:id="545" w:name="_Toc182814017"/>
      <w:bookmarkStart w:id="546" w:name="_Hlk43280311"/>
      <w:r>
        <w:rPr>
          <w:rFonts w:cs="Times New Roman"/>
          <w:b w:val="0"/>
          <w:sz w:val="24"/>
          <w:szCs w:val="24"/>
        </w:rPr>
        <w:t>Обоснование покрытия перспективной тепловой нагрузки, не обеспеченной тепловой мощностью</w:t>
      </w:r>
      <w:bookmarkEnd w:id="545"/>
    </w:p>
    <w:bookmarkEnd w:id="546"/>
    <w:p w14:paraId="031546E8">
      <w:pPr>
        <w:spacing w:after="0" w:line="240" w:lineRule="auto"/>
        <w:contextualSpacing/>
        <w:jc w:val="both"/>
        <w:rPr>
          <w:sz w:val="24"/>
          <w:szCs w:val="24"/>
        </w:rPr>
      </w:pPr>
      <w:r>
        <w:rPr>
          <w:sz w:val="24"/>
          <w:szCs w:val="24"/>
        </w:rPr>
        <w:t>Тепловая нагрузка, не обеспеченная тепловой мощностью, отсутствует.</w:t>
      </w:r>
    </w:p>
    <w:p w14:paraId="5DAF5364">
      <w:pPr>
        <w:pStyle w:val="3"/>
        <w:spacing w:before="0" w:line="240" w:lineRule="auto"/>
        <w:ind w:left="0" w:firstLine="709"/>
        <w:contextualSpacing/>
        <w:rPr>
          <w:rFonts w:cs="Times New Roman"/>
          <w:b w:val="0"/>
          <w:sz w:val="24"/>
          <w:szCs w:val="24"/>
        </w:rPr>
      </w:pPr>
      <w:bookmarkStart w:id="547" w:name="_Toc182814018"/>
      <w:bookmarkStart w:id="548" w:name="_Hlk43280316"/>
      <w:r>
        <w:rPr>
          <w:rFonts w:cs="Times New Roman"/>
          <w:b w:val="0"/>
          <w:sz w:val="24"/>
          <w:szCs w:val="24"/>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47"/>
    </w:p>
    <w:bookmarkEnd w:id="548"/>
    <w:p w14:paraId="065FF819">
      <w:pPr>
        <w:spacing w:after="0" w:line="240" w:lineRule="auto"/>
        <w:contextualSpacing/>
        <w:jc w:val="both"/>
        <w:rPr>
          <w:sz w:val="24"/>
          <w:szCs w:val="24"/>
        </w:rPr>
      </w:pPr>
      <w:r>
        <w:rPr>
          <w:sz w:val="24"/>
          <w:szCs w:val="24"/>
        </w:rPr>
        <w:t>На территории с.п. Верхнеказымский отсутствуют источники тепловой энергии, функционирующие в режиме комбинированной выработки электрической и тепловой энергии.</w:t>
      </w:r>
    </w:p>
    <w:p w14:paraId="652B2239">
      <w:pPr>
        <w:spacing w:after="0" w:line="240" w:lineRule="auto"/>
        <w:contextualSpacing/>
        <w:jc w:val="both"/>
        <w:rPr>
          <w:sz w:val="24"/>
          <w:szCs w:val="24"/>
        </w:rPr>
      </w:pPr>
    </w:p>
    <w:p w14:paraId="3F5494C3">
      <w:pPr>
        <w:pStyle w:val="3"/>
        <w:spacing w:before="0" w:line="240" w:lineRule="auto"/>
        <w:ind w:left="0" w:firstLine="709"/>
        <w:contextualSpacing/>
        <w:rPr>
          <w:rFonts w:cs="Times New Roman"/>
          <w:b w:val="0"/>
          <w:sz w:val="24"/>
          <w:szCs w:val="24"/>
        </w:rPr>
      </w:pPr>
      <w:bookmarkStart w:id="549" w:name="_Toc182814019"/>
      <w:bookmarkStart w:id="550" w:name="_Hlk43280322"/>
      <w:r>
        <w:rPr>
          <w:rFonts w:cs="Times New Roman"/>
          <w:b w:val="0"/>
          <w:sz w:val="24"/>
          <w:szCs w:val="24"/>
        </w:rPr>
        <w:t xml:space="preserve">Определение </w:t>
      </w:r>
      <w:bookmarkStart w:id="551" w:name="_Hlk36722628"/>
      <w:r>
        <w:rPr>
          <w:rFonts w:cs="Times New Roman"/>
          <w:b w:val="0"/>
          <w:sz w:val="24"/>
          <w:szCs w:val="24"/>
        </w:rPr>
        <w:t>перспективных режимов загрузки источников тепловой энергии</w:t>
      </w:r>
      <w:bookmarkEnd w:id="551"/>
      <w:r>
        <w:rPr>
          <w:rFonts w:cs="Times New Roman"/>
          <w:b w:val="0"/>
          <w:sz w:val="24"/>
          <w:szCs w:val="24"/>
        </w:rPr>
        <w:t xml:space="preserve"> по присоединенной нагрузке</w:t>
      </w:r>
      <w:bookmarkEnd w:id="549"/>
    </w:p>
    <w:bookmarkEnd w:id="550"/>
    <w:p w14:paraId="06667D72">
      <w:pPr>
        <w:spacing w:after="0" w:line="240" w:lineRule="auto"/>
        <w:contextualSpacing/>
        <w:jc w:val="both"/>
        <w:rPr>
          <w:sz w:val="24"/>
          <w:szCs w:val="24"/>
        </w:rPr>
      </w:pPr>
      <w:r>
        <w:rPr>
          <w:sz w:val="24"/>
          <w:szCs w:val="24"/>
        </w:rPr>
        <w:t>Загрузка источников тепловой энергии выражается наличием резервов и дефицитов тепловой мощности, сведения по которым представлены в Главе 4 п.4.1. настоящей схемы.</w:t>
      </w:r>
    </w:p>
    <w:p w14:paraId="606AE69D">
      <w:pPr>
        <w:spacing w:after="0" w:line="240" w:lineRule="auto"/>
        <w:contextualSpacing/>
        <w:jc w:val="both"/>
        <w:rPr>
          <w:sz w:val="24"/>
          <w:szCs w:val="24"/>
        </w:rPr>
      </w:pPr>
    </w:p>
    <w:p w14:paraId="7A2B1BEA">
      <w:pPr>
        <w:pStyle w:val="3"/>
        <w:spacing w:before="0" w:line="240" w:lineRule="auto"/>
        <w:ind w:left="0" w:firstLine="709"/>
        <w:contextualSpacing/>
        <w:rPr>
          <w:rFonts w:cs="Times New Roman"/>
          <w:b w:val="0"/>
          <w:sz w:val="24"/>
          <w:szCs w:val="24"/>
        </w:rPr>
      </w:pPr>
      <w:bookmarkStart w:id="552" w:name="_Toc182814020"/>
      <w:r>
        <w:rPr>
          <w:rFonts w:cs="Times New Roman"/>
          <w:b w:val="0"/>
          <w:sz w:val="24"/>
          <w:szCs w:val="24"/>
        </w:rPr>
        <w:t>Определение потребности в топливе и рекомендации по видам используемого топлива</w:t>
      </w:r>
      <w:bookmarkEnd w:id="552"/>
    </w:p>
    <w:p w14:paraId="7598DDA6">
      <w:pPr>
        <w:spacing w:after="0" w:line="240" w:lineRule="auto"/>
        <w:jc w:val="both"/>
        <w:rPr>
          <w:sz w:val="24"/>
          <w:szCs w:val="24"/>
        </w:rPr>
      </w:pPr>
      <w:r>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14:paraId="402CE94F">
      <w:pPr>
        <w:spacing w:after="0" w:line="240" w:lineRule="auto"/>
        <w:jc w:val="both"/>
        <w:rPr>
          <w:sz w:val="24"/>
          <w:szCs w:val="24"/>
        </w:rPr>
      </w:pPr>
      <w:r>
        <w:rPr>
          <w:sz w:val="24"/>
          <w:szCs w:val="24"/>
        </w:rPr>
        <w:t>Калорийный эквивалент принят на основании анализа паспортов газа за 2023 год, для территории с.п. Верхнеказымский:</w:t>
      </w:r>
    </w:p>
    <w:p w14:paraId="7F1B9E83">
      <w:pPr>
        <w:spacing w:after="0" w:line="240" w:lineRule="auto"/>
        <w:jc w:val="both"/>
        <w:rPr>
          <w:sz w:val="24"/>
          <w:szCs w:val="24"/>
        </w:rPr>
      </w:pPr>
      <w:r>
        <w:rPr>
          <w:sz w:val="24"/>
          <w:szCs w:val="24"/>
        </w:rPr>
        <w:t>Э=8479/7000=1,211.</w:t>
      </w:r>
    </w:p>
    <w:p w14:paraId="3D94FD2D">
      <w:pPr>
        <w:spacing w:after="0" w:line="240" w:lineRule="auto"/>
        <w:jc w:val="both"/>
        <w:rPr>
          <w:sz w:val="24"/>
          <w:szCs w:val="24"/>
        </w:rPr>
      </w:pPr>
      <w:r>
        <w:rPr>
          <w:sz w:val="24"/>
          <w:szCs w:val="24"/>
        </w:rPr>
        <w:t>Общее потребление природного газа источниками тепловой энергии ООО «Газпром трансгаз Югорск» Верхнеказымское ЛПУ МГ за 2023 год составило 386,53 тыс. м</w:t>
      </w:r>
      <w:r>
        <w:rPr>
          <w:sz w:val="24"/>
          <w:szCs w:val="24"/>
          <w:vertAlign w:val="superscript"/>
        </w:rPr>
        <w:t>3</w:t>
      </w:r>
      <w:r>
        <w:rPr>
          <w:sz w:val="24"/>
          <w:szCs w:val="24"/>
        </w:rPr>
        <w:t>, фактический удельный расход условного топлива при производстве тепловой энергии источниками тепловой энергии – 35,37 кг у.т./Гкал.</w:t>
      </w:r>
    </w:p>
    <w:p w14:paraId="611F3E0C">
      <w:pPr>
        <w:spacing w:after="0" w:line="240" w:lineRule="auto"/>
        <w:jc w:val="both"/>
        <w:rPr>
          <w:sz w:val="24"/>
          <w:szCs w:val="24"/>
        </w:rPr>
      </w:pPr>
      <w:r>
        <w:rPr>
          <w:sz w:val="24"/>
          <w:szCs w:val="24"/>
        </w:rPr>
        <w:t>Общее потребление природного газа источником тепловой энергии МУП «БКС» за 2023 год составило 441,791 тыс. м</w:t>
      </w:r>
      <w:r>
        <w:rPr>
          <w:sz w:val="24"/>
          <w:szCs w:val="24"/>
          <w:vertAlign w:val="superscript"/>
        </w:rPr>
        <w:t>3</w:t>
      </w:r>
      <w:r>
        <w:rPr>
          <w:sz w:val="24"/>
          <w:szCs w:val="24"/>
        </w:rPr>
        <w:t>, фактический удельный расход условного топлива при производстве тепловой энергии источниками тепловой энергии – 169,813 кг у.т./Гкал.</w:t>
      </w:r>
    </w:p>
    <w:p w14:paraId="0D6E63BC">
      <w:pPr>
        <w:spacing w:after="0" w:line="240" w:lineRule="auto"/>
        <w:jc w:val="both"/>
        <w:rPr>
          <w:sz w:val="24"/>
          <w:szCs w:val="24"/>
        </w:rPr>
      </w:pPr>
      <w:r>
        <w:rPr>
          <w:sz w:val="24"/>
          <w:szCs w:val="24"/>
        </w:rPr>
        <w:t>Резервное топливо на источниках не предусмотрено, так как система газопроводов поселка выполнена таким образом, что для источников теплоснабжения не предусмотрена возможность резервного газоснабжения.</w:t>
      </w:r>
    </w:p>
    <w:p w14:paraId="70E85181">
      <w:pPr>
        <w:spacing w:after="0" w:line="240" w:lineRule="auto"/>
        <w:contextualSpacing/>
        <w:jc w:val="both"/>
        <w:rPr>
          <w:sz w:val="24"/>
          <w:szCs w:val="24"/>
        </w:rPr>
      </w:pPr>
      <w:r>
        <w:rPr>
          <w:sz w:val="24"/>
          <w:szCs w:val="24"/>
        </w:rPr>
        <w:t>В таблице 59 приведены значения перспективного потребления топлива источниками тепловой энергии в с.п. Верхнеказымский.</w:t>
      </w:r>
    </w:p>
    <w:p w14:paraId="1A238695">
      <w:pPr>
        <w:spacing w:after="0" w:line="240" w:lineRule="auto"/>
        <w:contextualSpacing/>
        <w:jc w:val="both"/>
        <w:rPr>
          <w:sz w:val="24"/>
          <w:szCs w:val="24"/>
        </w:rPr>
      </w:pPr>
    </w:p>
    <w:p w14:paraId="2B9A0BC0">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59</w:t>
      </w:r>
      <w:r>
        <w:rPr>
          <w:sz w:val="24"/>
          <w:szCs w:val="24"/>
        </w:rPr>
        <w:fldChar w:fldCharType="end"/>
      </w:r>
      <w:r>
        <w:rPr>
          <w:sz w:val="24"/>
          <w:szCs w:val="24"/>
        </w:rPr>
        <w:t xml:space="preserve"> – Значения перспективного потребления топлива источниками тепловой энергии в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990"/>
        <w:gridCol w:w="979"/>
        <w:gridCol w:w="840"/>
        <w:gridCol w:w="840"/>
        <w:gridCol w:w="841"/>
        <w:gridCol w:w="841"/>
        <w:gridCol w:w="841"/>
        <w:gridCol w:w="845"/>
      </w:tblGrid>
      <w:tr w14:paraId="5255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380" w:type="pct"/>
            <w:shd w:val="clear" w:color="auto" w:fill="auto"/>
            <w:tcMar>
              <w:left w:w="28" w:type="dxa"/>
              <w:right w:w="28" w:type="dxa"/>
            </w:tcMar>
            <w:vAlign w:val="center"/>
          </w:tcPr>
          <w:p w14:paraId="745B6D71">
            <w:pPr>
              <w:spacing w:after="0" w:line="240" w:lineRule="auto"/>
              <w:ind w:firstLine="0"/>
              <w:jc w:val="center"/>
              <w:rPr>
                <w:color w:val="000000"/>
                <w:sz w:val="20"/>
                <w:szCs w:val="20"/>
              </w:rPr>
            </w:pPr>
            <w:r>
              <w:rPr>
                <w:color w:val="000000"/>
                <w:sz w:val="20"/>
                <w:szCs w:val="20"/>
              </w:rPr>
              <w:t>Наименование показателя</w:t>
            </w:r>
          </w:p>
        </w:tc>
        <w:tc>
          <w:tcPr>
            <w:tcW w:w="510" w:type="pct"/>
            <w:shd w:val="clear" w:color="auto" w:fill="auto"/>
            <w:tcMar>
              <w:left w:w="28" w:type="dxa"/>
              <w:right w:w="28" w:type="dxa"/>
            </w:tcMar>
            <w:vAlign w:val="center"/>
          </w:tcPr>
          <w:p w14:paraId="3135B44E">
            <w:pPr>
              <w:spacing w:after="0" w:line="240" w:lineRule="auto"/>
              <w:ind w:firstLine="0"/>
              <w:jc w:val="center"/>
              <w:rPr>
                <w:color w:val="000000"/>
                <w:sz w:val="20"/>
                <w:szCs w:val="20"/>
              </w:rPr>
            </w:pPr>
            <w:r>
              <w:rPr>
                <w:color w:val="000000"/>
                <w:sz w:val="20"/>
                <w:szCs w:val="20"/>
              </w:rPr>
              <w:t>Единица измерения</w:t>
            </w:r>
          </w:p>
        </w:tc>
        <w:tc>
          <w:tcPr>
            <w:tcW w:w="505" w:type="pct"/>
            <w:shd w:val="clear" w:color="auto" w:fill="auto"/>
            <w:tcMar>
              <w:left w:w="28" w:type="dxa"/>
              <w:right w:w="28" w:type="dxa"/>
            </w:tcMar>
            <w:vAlign w:val="center"/>
          </w:tcPr>
          <w:p w14:paraId="2CD30B08">
            <w:pPr>
              <w:spacing w:after="0" w:line="240" w:lineRule="auto"/>
              <w:ind w:firstLine="0"/>
              <w:jc w:val="center"/>
              <w:rPr>
                <w:color w:val="000000"/>
                <w:sz w:val="20"/>
                <w:szCs w:val="20"/>
              </w:rPr>
            </w:pPr>
            <w:r>
              <w:rPr>
                <w:color w:val="000000"/>
                <w:sz w:val="20"/>
                <w:szCs w:val="20"/>
              </w:rPr>
              <w:t>2023</w:t>
            </w:r>
          </w:p>
        </w:tc>
        <w:tc>
          <w:tcPr>
            <w:tcW w:w="433" w:type="pct"/>
            <w:shd w:val="clear" w:color="auto" w:fill="auto"/>
            <w:tcMar>
              <w:left w:w="28" w:type="dxa"/>
              <w:right w:w="28" w:type="dxa"/>
            </w:tcMar>
            <w:vAlign w:val="center"/>
          </w:tcPr>
          <w:p w14:paraId="13E43CDC">
            <w:pPr>
              <w:spacing w:after="0" w:line="240" w:lineRule="auto"/>
              <w:ind w:firstLine="0"/>
              <w:jc w:val="center"/>
              <w:rPr>
                <w:color w:val="000000"/>
                <w:sz w:val="20"/>
                <w:szCs w:val="20"/>
              </w:rPr>
            </w:pPr>
            <w:r>
              <w:rPr>
                <w:color w:val="000000"/>
                <w:sz w:val="20"/>
                <w:szCs w:val="20"/>
              </w:rPr>
              <w:t>2024</w:t>
            </w:r>
          </w:p>
        </w:tc>
        <w:tc>
          <w:tcPr>
            <w:tcW w:w="433" w:type="pct"/>
            <w:shd w:val="clear" w:color="auto" w:fill="auto"/>
            <w:tcMar>
              <w:left w:w="28" w:type="dxa"/>
              <w:right w:w="28" w:type="dxa"/>
            </w:tcMar>
            <w:vAlign w:val="center"/>
          </w:tcPr>
          <w:p w14:paraId="0CDF7A9C">
            <w:pPr>
              <w:spacing w:after="0" w:line="240" w:lineRule="auto"/>
              <w:ind w:firstLine="0"/>
              <w:jc w:val="center"/>
              <w:rPr>
                <w:color w:val="000000"/>
                <w:sz w:val="20"/>
                <w:szCs w:val="20"/>
              </w:rPr>
            </w:pPr>
            <w:r>
              <w:rPr>
                <w:color w:val="000000"/>
                <w:sz w:val="20"/>
                <w:szCs w:val="20"/>
              </w:rPr>
              <w:t>2025</w:t>
            </w:r>
          </w:p>
        </w:tc>
        <w:tc>
          <w:tcPr>
            <w:tcW w:w="434" w:type="pct"/>
            <w:shd w:val="clear" w:color="auto" w:fill="auto"/>
            <w:tcMar>
              <w:left w:w="28" w:type="dxa"/>
              <w:right w:w="28" w:type="dxa"/>
            </w:tcMar>
            <w:vAlign w:val="center"/>
          </w:tcPr>
          <w:p w14:paraId="737DC9A5">
            <w:pPr>
              <w:spacing w:after="0" w:line="240" w:lineRule="auto"/>
              <w:ind w:firstLine="0"/>
              <w:jc w:val="center"/>
              <w:rPr>
                <w:color w:val="000000"/>
                <w:sz w:val="20"/>
                <w:szCs w:val="20"/>
              </w:rPr>
            </w:pPr>
            <w:r>
              <w:rPr>
                <w:color w:val="000000"/>
                <w:sz w:val="20"/>
                <w:szCs w:val="20"/>
              </w:rPr>
              <w:t>2026</w:t>
            </w:r>
          </w:p>
        </w:tc>
        <w:tc>
          <w:tcPr>
            <w:tcW w:w="434" w:type="pct"/>
            <w:shd w:val="clear" w:color="auto" w:fill="auto"/>
            <w:tcMar>
              <w:left w:w="28" w:type="dxa"/>
              <w:right w:w="28" w:type="dxa"/>
            </w:tcMar>
            <w:vAlign w:val="center"/>
          </w:tcPr>
          <w:p w14:paraId="724D1658">
            <w:pPr>
              <w:spacing w:after="0" w:line="240" w:lineRule="auto"/>
              <w:ind w:firstLine="0"/>
              <w:jc w:val="center"/>
              <w:rPr>
                <w:color w:val="000000"/>
                <w:sz w:val="20"/>
                <w:szCs w:val="20"/>
              </w:rPr>
            </w:pPr>
            <w:r>
              <w:rPr>
                <w:color w:val="000000"/>
                <w:sz w:val="20"/>
                <w:szCs w:val="20"/>
              </w:rPr>
              <w:t>2027</w:t>
            </w:r>
          </w:p>
        </w:tc>
        <w:tc>
          <w:tcPr>
            <w:tcW w:w="434" w:type="pct"/>
            <w:shd w:val="clear" w:color="auto" w:fill="auto"/>
            <w:tcMar>
              <w:left w:w="28" w:type="dxa"/>
              <w:right w:w="28" w:type="dxa"/>
            </w:tcMar>
            <w:vAlign w:val="center"/>
          </w:tcPr>
          <w:p w14:paraId="41B9C31E">
            <w:pPr>
              <w:spacing w:after="0" w:line="240" w:lineRule="auto"/>
              <w:ind w:firstLine="0"/>
              <w:jc w:val="center"/>
              <w:rPr>
                <w:color w:val="000000"/>
                <w:sz w:val="20"/>
                <w:szCs w:val="20"/>
              </w:rPr>
            </w:pPr>
            <w:r>
              <w:rPr>
                <w:color w:val="000000"/>
                <w:sz w:val="20"/>
                <w:szCs w:val="20"/>
              </w:rPr>
              <w:t>2028</w:t>
            </w:r>
          </w:p>
        </w:tc>
        <w:tc>
          <w:tcPr>
            <w:tcW w:w="436" w:type="pct"/>
            <w:shd w:val="clear" w:color="auto" w:fill="auto"/>
            <w:tcMar>
              <w:left w:w="28" w:type="dxa"/>
              <w:right w:w="28" w:type="dxa"/>
            </w:tcMar>
            <w:vAlign w:val="center"/>
          </w:tcPr>
          <w:p w14:paraId="39EF4D5D">
            <w:pPr>
              <w:spacing w:after="0" w:line="240" w:lineRule="auto"/>
              <w:ind w:firstLine="0"/>
              <w:jc w:val="center"/>
              <w:rPr>
                <w:color w:val="000000"/>
                <w:sz w:val="20"/>
                <w:szCs w:val="20"/>
              </w:rPr>
            </w:pPr>
            <w:r>
              <w:rPr>
                <w:color w:val="000000"/>
                <w:sz w:val="20"/>
                <w:szCs w:val="20"/>
              </w:rPr>
              <w:t>2029</w:t>
            </w:r>
          </w:p>
        </w:tc>
      </w:tr>
      <w:tr w14:paraId="73A9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6E122535">
            <w:pPr>
              <w:spacing w:after="0" w:line="240" w:lineRule="auto"/>
              <w:ind w:firstLine="0"/>
              <w:jc w:val="center"/>
              <w:rPr>
                <w:color w:val="000000"/>
                <w:sz w:val="20"/>
                <w:szCs w:val="20"/>
              </w:rPr>
            </w:pPr>
            <w:r>
              <w:rPr>
                <w:color w:val="000000"/>
                <w:sz w:val="20"/>
                <w:szCs w:val="20"/>
              </w:rPr>
              <w:t>Котельная №2 МУП «БКС»</w:t>
            </w:r>
          </w:p>
        </w:tc>
        <w:tc>
          <w:tcPr>
            <w:tcW w:w="510" w:type="pct"/>
            <w:shd w:val="clear" w:color="auto" w:fill="auto"/>
            <w:noWrap/>
            <w:tcMar>
              <w:left w:w="28" w:type="dxa"/>
              <w:right w:w="28" w:type="dxa"/>
            </w:tcMar>
            <w:vAlign w:val="center"/>
          </w:tcPr>
          <w:p w14:paraId="733A2AEF">
            <w:pPr>
              <w:spacing w:after="0" w:line="240" w:lineRule="auto"/>
              <w:ind w:firstLine="0"/>
              <w:jc w:val="center"/>
              <w:rPr>
                <w:color w:val="000000"/>
                <w:sz w:val="20"/>
                <w:szCs w:val="20"/>
              </w:rPr>
            </w:pPr>
            <w:r>
              <w:rPr>
                <w:color w:val="000000"/>
                <w:sz w:val="20"/>
                <w:szCs w:val="20"/>
              </w:rPr>
              <w:t> </w:t>
            </w:r>
          </w:p>
        </w:tc>
        <w:tc>
          <w:tcPr>
            <w:tcW w:w="505" w:type="pct"/>
            <w:shd w:val="clear" w:color="auto" w:fill="auto"/>
            <w:noWrap/>
            <w:tcMar>
              <w:left w:w="28" w:type="dxa"/>
              <w:right w:w="28" w:type="dxa"/>
            </w:tcMar>
            <w:vAlign w:val="center"/>
          </w:tcPr>
          <w:p w14:paraId="0070B654">
            <w:pPr>
              <w:spacing w:after="0" w:line="240" w:lineRule="auto"/>
              <w:ind w:firstLine="0"/>
              <w:jc w:val="center"/>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504E1ECB">
            <w:pPr>
              <w:spacing w:after="0" w:line="240" w:lineRule="auto"/>
              <w:ind w:firstLine="0"/>
              <w:jc w:val="center"/>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1D024953">
            <w:pPr>
              <w:spacing w:after="0" w:line="240" w:lineRule="auto"/>
              <w:ind w:firstLine="0"/>
              <w:jc w:val="center"/>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03380747">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6B7A1FB7">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7693A1DA">
            <w:pPr>
              <w:spacing w:after="0" w:line="240" w:lineRule="auto"/>
              <w:ind w:firstLine="0"/>
              <w:rPr>
                <w:color w:val="000000"/>
                <w:sz w:val="20"/>
                <w:szCs w:val="20"/>
              </w:rPr>
            </w:pPr>
            <w:r>
              <w:rPr>
                <w:color w:val="000000"/>
                <w:sz w:val="20"/>
                <w:szCs w:val="20"/>
              </w:rPr>
              <w:t> </w:t>
            </w:r>
          </w:p>
        </w:tc>
        <w:tc>
          <w:tcPr>
            <w:tcW w:w="436" w:type="pct"/>
            <w:shd w:val="clear" w:color="auto" w:fill="auto"/>
            <w:noWrap/>
            <w:tcMar>
              <w:left w:w="28" w:type="dxa"/>
              <w:right w:w="28" w:type="dxa"/>
            </w:tcMar>
            <w:vAlign w:val="center"/>
          </w:tcPr>
          <w:p w14:paraId="62723B65">
            <w:pPr>
              <w:spacing w:after="0" w:line="240" w:lineRule="auto"/>
              <w:ind w:firstLine="0"/>
              <w:rPr>
                <w:color w:val="000000"/>
                <w:sz w:val="20"/>
                <w:szCs w:val="20"/>
              </w:rPr>
            </w:pPr>
            <w:r>
              <w:rPr>
                <w:color w:val="000000"/>
                <w:sz w:val="20"/>
                <w:szCs w:val="20"/>
              </w:rPr>
              <w:t> </w:t>
            </w:r>
          </w:p>
        </w:tc>
      </w:tr>
      <w:tr w14:paraId="1511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52AB55BA">
            <w:pPr>
              <w:spacing w:after="0" w:line="240" w:lineRule="auto"/>
              <w:ind w:firstLine="0"/>
              <w:jc w:val="center"/>
              <w:rPr>
                <w:color w:val="000000"/>
                <w:sz w:val="20"/>
                <w:szCs w:val="20"/>
              </w:rPr>
            </w:pPr>
            <w:r>
              <w:rPr>
                <w:color w:val="000000"/>
                <w:sz w:val="20"/>
                <w:szCs w:val="20"/>
              </w:rPr>
              <w:t>Выработано тепловой энергии:</w:t>
            </w:r>
          </w:p>
        </w:tc>
        <w:tc>
          <w:tcPr>
            <w:tcW w:w="510" w:type="pct"/>
            <w:shd w:val="clear" w:color="auto" w:fill="auto"/>
            <w:tcMar>
              <w:left w:w="28" w:type="dxa"/>
              <w:right w:w="28" w:type="dxa"/>
            </w:tcMar>
            <w:vAlign w:val="center"/>
          </w:tcPr>
          <w:p w14:paraId="0E2757DD">
            <w:pPr>
              <w:spacing w:after="0" w:line="240" w:lineRule="auto"/>
              <w:ind w:firstLine="0"/>
              <w:jc w:val="center"/>
              <w:rPr>
                <w:color w:val="000000"/>
                <w:sz w:val="20"/>
                <w:szCs w:val="20"/>
              </w:rPr>
            </w:pPr>
            <w:r>
              <w:rPr>
                <w:color w:val="000000"/>
                <w:sz w:val="20"/>
                <w:szCs w:val="20"/>
              </w:rPr>
              <w:t>Гкал</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left w:w="28" w:type="dxa"/>
              <w:right w:w="28" w:type="dxa"/>
            </w:tcMar>
            <w:vAlign w:val="center"/>
          </w:tcPr>
          <w:p w14:paraId="397AA56D">
            <w:pPr>
              <w:spacing w:after="0" w:line="240" w:lineRule="auto"/>
              <w:ind w:firstLine="0"/>
              <w:jc w:val="center"/>
              <w:rPr>
                <w:color w:val="000000"/>
                <w:sz w:val="20"/>
                <w:szCs w:val="20"/>
                <w:highlight w:val="yellow"/>
              </w:rPr>
            </w:pPr>
            <w:r>
              <w:rPr>
                <w:bCs/>
                <w:color w:val="000000"/>
                <w:sz w:val="20"/>
                <w:szCs w:val="20"/>
              </w:rPr>
              <w:t>3217,822</w:t>
            </w:r>
          </w:p>
        </w:tc>
        <w:tc>
          <w:tcPr>
            <w:tcW w:w="433"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3362B8E0">
            <w:pPr>
              <w:spacing w:after="0" w:line="240" w:lineRule="auto"/>
              <w:ind w:firstLine="0"/>
              <w:jc w:val="center"/>
              <w:rPr>
                <w:color w:val="000000"/>
                <w:sz w:val="20"/>
                <w:szCs w:val="20"/>
                <w:highlight w:val="yellow"/>
              </w:rPr>
            </w:pPr>
            <w:r>
              <w:rPr>
                <w:bCs/>
                <w:color w:val="000000"/>
                <w:sz w:val="20"/>
                <w:szCs w:val="20"/>
              </w:rPr>
              <w:t>3265,805</w:t>
            </w:r>
          </w:p>
        </w:tc>
        <w:tc>
          <w:tcPr>
            <w:tcW w:w="433"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13F4A07D">
            <w:pPr>
              <w:spacing w:after="0" w:line="240" w:lineRule="auto"/>
              <w:ind w:firstLine="0"/>
              <w:jc w:val="center"/>
              <w:rPr>
                <w:color w:val="000000"/>
                <w:sz w:val="20"/>
                <w:szCs w:val="20"/>
                <w:highlight w:val="yellow"/>
              </w:rPr>
            </w:pPr>
            <w:r>
              <w:rPr>
                <w:bCs/>
                <w:color w:val="000000"/>
                <w:sz w:val="20"/>
                <w:szCs w:val="20"/>
              </w:rPr>
              <w:t>3265,805</w:t>
            </w:r>
          </w:p>
        </w:tc>
        <w:tc>
          <w:tcPr>
            <w:tcW w:w="434"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691F016D">
            <w:pPr>
              <w:spacing w:after="0" w:line="240" w:lineRule="auto"/>
              <w:ind w:firstLine="0"/>
              <w:jc w:val="center"/>
              <w:rPr>
                <w:color w:val="000000"/>
                <w:sz w:val="20"/>
                <w:szCs w:val="20"/>
                <w:highlight w:val="yellow"/>
              </w:rPr>
            </w:pPr>
            <w:r>
              <w:rPr>
                <w:bCs/>
                <w:color w:val="000000"/>
                <w:sz w:val="20"/>
                <w:szCs w:val="20"/>
              </w:rPr>
              <w:t>3265,805</w:t>
            </w:r>
          </w:p>
        </w:tc>
        <w:tc>
          <w:tcPr>
            <w:tcW w:w="434"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4C107B48">
            <w:pPr>
              <w:spacing w:after="0" w:line="240" w:lineRule="auto"/>
              <w:ind w:firstLine="0"/>
              <w:jc w:val="center"/>
              <w:rPr>
                <w:color w:val="000000"/>
                <w:sz w:val="20"/>
                <w:szCs w:val="20"/>
                <w:highlight w:val="yellow"/>
              </w:rPr>
            </w:pPr>
            <w:r>
              <w:rPr>
                <w:bCs/>
                <w:color w:val="000000"/>
                <w:sz w:val="20"/>
                <w:szCs w:val="20"/>
              </w:rPr>
              <w:t>3265,805</w:t>
            </w:r>
          </w:p>
        </w:tc>
        <w:tc>
          <w:tcPr>
            <w:tcW w:w="434"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7A7C3A2D">
            <w:pPr>
              <w:spacing w:after="0" w:line="240" w:lineRule="auto"/>
              <w:ind w:firstLine="0"/>
              <w:jc w:val="center"/>
              <w:rPr>
                <w:color w:val="000000"/>
                <w:sz w:val="20"/>
                <w:szCs w:val="20"/>
                <w:highlight w:val="yellow"/>
              </w:rPr>
            </w:pPr>
            <w:r>
              <w:rPr>
                <w:bCs/>
                <w:color w:val="000000"/>
                <w:sz w:val="20"/>
                <w:szCs w:val="20"/>
              </w:rPr>
              <w:t>3265,805</w:t>
            </w:r>
          </w:p>
        </w:tc>
        <w:tc>
          <w:tcPr>
            <w:tcW w:w="436"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57C287E6">
            <w:pPr>
              <w:spacing w:after="0" w:line="240" w:lineRule="auto"/>
              <w:ind w:firstLine="0"/>
              <w:jc w:val="center"/>
              <w:rPr>
                <w:color w:val="000000"/>
                <w:sz w:val="20"/>
                <w:szCs w:val="20"/>
                <w:highlight w:val="yellow"/>
              </w:rPr>
            </w:pPr>
            <w:r>
              <w:rPr>
                <w:bCs/>
                <w:color w:val="000000"/>
                <w:sz w:val="20"/>
                <w:szCs w:val="20"/>
              </w:rPr>
              <w:t>3265,805</w:t>
            </w:r>
          </w:p>
        </w:tc>
      </w:tr>
      <w:tr w14:paraId="3130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044C6A16">
            <w:pPr>
              <w:spacing w:after="0" w:line="240" w:lineRule="auto"/>
              <w:ind w:firstLine="0"/>
              <w:jc w:val="center"/>
              <w:rPr>
                <w:color w:val="000000"/>
                <w:sz w:val="20"/>
                <w:szCs w:val="20"/>
              </w:rPr>
            </w:pPr>
            <w:r>
              <w:rPr>
                <w:color w:val="000000"/>
                <w:sz w:val="20"/>
                <w:szCs w:val="20"/>
              </w:rPr>
              <w:t>Удельный расход условного топлива на выработку тепловой энергии</w:t>
            </w:r>
          </w:p>
        </w:tc>
        <w:tc>
          <w:tcPr>
            <w:tcW w:w="510" w:type="pct"/>
            <w:shd w:val="clear" w:color="auto" w:fill="auto"/>
            <w:tcMar>
              <w:left w:w="28" w:type="dxa"/>
              <w:right w:w="28" w:type="dxa"/>
            </w:tcMar>
            <w:vAlign w:val="center"/>
          </w:tcPr>
          <w:p w14:paraId="171012A3">
            <w:pPr>
              <w:spacing w:after="0" w:line="240" w:lineRule="auto"/>
              <w:ind w:firstLine="0"/>
              <w:jc w:val="center"/>
              <w:rPr>
                <w:color w:val="000000"/>
                <w:sz w:val="20"/>
                <w:szCs w:val="20"/>
              </w:rPr>
            </w:pPr>
            <w:r>
              <w:rPr>
                <w:color w:val="000000"/>
                <w:sz w:val="20"/>
                <w:szCs w:val="20"/>
              </w:rPr>
              <w:t>кг у. т./Гкал</w:t>
            </w:r>
          </w:p>
        </w:tc>
        <w:tc>
          <w:tcPr>
            <w:tcW w:w="50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248C9F5C">
            <w:pPr>
              <w:spacing w:after="0" w:line="240" w:lineRule="auto"/>
              <w:ind w:firstLine="0"/>
              <w:jc w:val="center"/>
              <w:rPr>
                <w:color w:val="000000"/>
                <w:sz w:val="20"/>
                <w:szCs w:val="20"/>
                <w:highlight w:val="yellow"/>
              </w:rPr>
            </w:pPr>
            <w:r>
              <w:rPr>
                <w:color w:val="000000"/>
                <w:sz w:val="20"/>
                <w:szCs w:val="20"/>
              </w:rPr>
              <w:t>169,813</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346F8FF">
            <w:pPr>
              <w:spacing w:after="0" w:line="240" w:lineRule="auto"/>
              <w:ind w:firstLine="0"/>
              <w:jc w:val="center"/>
              <w:rPr>
                <w:color w:val="000000"/>
                <w:sz w:val="20"/>
                <w:szCs w:val="20"/>
                <w:highlight w:val="yellow"/>
              </w:rPr>
            </w:pPr>
            <w:r>
              <w:rPr>
                <w:color w:val="000000"/>
                <w:sz w:val="20"/>
                <w:szCs w:val="20"/>
              </w:rPr>
              <w:t>172,35</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685A5DE">
            <w:pPr>
              <w:spacing w:after="0" w:line="240" w:lineRule="auto"/>
              <w:ind w:firstLine="0"/>
              <w:jc w:val="center"/>
              <w:rPr>
                <w:color w:val="000000"/>
                <w:sz w:val="20"/>
                <w:szCs w:val="20"/>
                <w:highlight w:val="yellow"/>
              </w:rPr>
            </w:pPr>
            <w:r>
              <w:rPr>
                <w:color w:val="000000"/>
                <w:sz w:val="20"/>
                <w:szCs w:val="20"/>
              </w:rPr>
              <w:t>172,35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9149B4B">
            <w:pPr>
              <w:spacing w:after="0" w:line="240" w:lineRule="auto"/>
              <w:ind w:firstLine="0"/>
              <w:jc w:val="center"/>
              <w:rPr>
                <w:color w:val="000000"/>
                <w:sz w:val="20"/>
                <w:szCs w:val="20"/>
                <w:highlight w:val="yellow"/>
              </w:rPr>
            </w:pPr>
            <w:r>
              <w:rPr>
                <w:color w:val="000000"/>
                <w:sz w:val="20"/>
                <w:szCs w:val="20"/>
              </w:rPr>
              <w:t>172,35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E363AD4">
            <w:pPr>
              <w:spacing w:after="0" w:line="240" w:lineRule="auto"/>
              <w:ind w:firstLine="0"/>
              <w:jc w:val="center"/>
              <w:rPr>
                <w:color w:val="000000"/>
                <w:sz w:val="20"/>
                <w:szCs w:val="20"/>
                <w:highlight w:val="yellow"/>
              </w:rPr>
            </w:pPr>
            <w:r>
              <w:rPr>
                <w:color w:val="000000"/>
                <w:sz w:val="20"/>
                <w:szCs w:val="20"/>
              </w:rPr>
              <w:t>172,35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05CE9F8">
            <w:pPr>
              <w:spacing w:after="0" w:line="240" w:lineRule="auto"/>
              <w:ind w:firstLine="0"/>
              <w:jc w:val="center"/>
              <w:rPr>
                <w:color w:val="000000"/>
                <w:sz w:val="20"/>
                <w:szCs w:val="20"/>
                <w:highlight w:val="yellow"/>
              </w:rPr>
            </w:pPr>
            <w:r>
              <w:rPr>
                <w:color w:val="000000"/>
                <w:sz w:val="20"/>
                <w:szCs w:val="20"/>
              </w:rPr>
              <w:t>172,35</w:t>
            </w:r>
          </w:p>
        </w:tc>
        <w:tc>
          <w:tcPr>
            <w:tcW w:w="436"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ABBC402">
            <w:pPr>
              <w:spacing w:after="0" w:line="240" w:lineRule="auto"/>
              <w:ind w:firstLine="0"/>
              <w:jc w:val="center"/>
              <w:rPr>
                <w:color w:val="000000"/>
                <w:sz w:val="20"/>
                <w:szCs w:val="20"/>
                <w:highlight w:val="yellow"/>
              </w:rPr>
            </w:pPr>
            <w:r>
              <w:rPr>
                <w:color w:val="000000"/>
                <w:sz w:val="20"/>
                <w:szCs w:val="20"/>
              </w:rPr>
              <w:t>172,35</w:t>
            </w:r>
          </w:p>
        </w:tc>
      </w:tr>
      <w:tr w14:paraId="1163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2E5AF4CB">
            <w:pPr>
              <w:spacing w:after="0" w:line="240" w:lineRule="auto"/>
              <w:ind w:firstLine="0"/>
              <w:jc w:val="center"/>
              <w:rPr>
                <w:color w:val="000000"/>
                <w:sz w:val="20"/>
                <w:szCs w:val="20"/>
              </w:rPr>
            </w:pPr>
            <w:r>
              <w:rPr>
                <w:color w:val="000000"/>
                <w:sz w:val="20"/>
                <w:szCs w:val="20"/>
              </w:rPr>
              <w:t>Удельный расход натурального топлива на выработку тепловой энергии</w:t>
            </w:r>
          </w:p>
        </w:tc>
        <w:tc>
          <w:tcPr>
            <w:tcW w:w="510" w:type="pct"/>
            <w:shd w:val="clear" w:color="auto" w:fill="auto"/>
            <w:tcMar>
              <w:left w:w="28" w:type="dxa"/>
              <w:right w:w="28" w:type="dxa"/>
            </w:tcMar>
            <w:vAlign w:val="center"/>
          </w:tcPr>
          <w:p w14:paraId="3952E271">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/Гкал</w:t>
            </w:r>
          </w:p>
        </w:tc>
        <w:tc>
          <w:tcPr>
            <w:tcW w:w="50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1B0A196C">
            <w:pPr>
              <w:spacing w:after="0" w:line="240" w:lineRule="auto"/>
              <w:ind w:firstLine="0"/>
              <w:jc w:val="center"/>
              <w:rPr>
                <w:color w:val="000000"/>
                <w:sz w:val="20"/>
                <w:szCs w:val="20"/>
                <w:highlight w:val="yellow"/>
              </w:rPr>
            </w:pPr>
            <w:r>
              <w:rPr>
                <w:color w:val="000000"/>
                <w:sz w:val="20"/>
                <w:szCs w:val="20"/>
              </w:rPr>
              <w:t>137,295</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EDF1A17">
            <w:pPr>
              <w:spacing w:after="0" w:line="240" w:lineRule="auto"/>
              <w:ind w:firstLine="0"/>
              <w:jc w:val="center"/>
              <w:rPr>
                <w:color w:val="000000"/>
                <w:sz w:val="20"/>
                <w:szCs w:val="20"/>
                <w:highlight w:val="yellow"/>
              </w:rPr>
            </w:pPr>
            <w:r>
              <w:rPr>
                <w:color w:val="000000"/>
                <w:sz w:val="20"/>
                <w:szCs w:val="20"/>
              </w:rPr>
              <w:t>142,49</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302B720E">
            <w:pPr>
              <w:spacing w:after="0" w:line="240" w:lineRule="auto"/>
              <w:ind w:firstLine="0"/>
              <w:jc w:val="center"/>
              <w:rPr>
                <w:color w:val="000000"/>
                <w:sz w:val="20"/>
                <w:szCs w:val="20"/>
                <w:highlight w:val="yellow"/>
              </w:rPr>
            </w:pPr>
            <w:r>
              <w:rPr>
                <w:color w:val="000000"/>
                <w:sz w:val="20"/>
                <w:szCs w:val="20"/>
              </w:rPr>
              <w:t>142,49</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0D7FD9C">
            <w:pPr>
              <w:spacing w:after="0" w:line="240" w:lineRule="auto"/>
              <w:ind w:firstLine="0"/>
              <w:jc w:val="center"/>
              <w:rPr>
                <w:color w:val="000000"/>
                <w:sz w:val="20"/>
                <w:szCs w:val="20"/>
                <w:highlight w:val="yellow"/>
              </w:rPr>
            </w:pPr>
            <w:r>
              <w:rPr>
                <w:color w:val="000000"/>
                <w:sz w:val="20"/>
                <w:szCs w:val="20"/>
              </w:rPr>
              <w:t>142,49</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DC7DEA5">
            <w:pPr>
              <w:spacing w:after="0" w:line="240" w:lineRule="auto"/>
              <w:ind w:firstLine="0"/>
              <w:jc w:val="center"/>
              <w:rPr>
                <w:color w:val="000000"/>
                <w:sz w:val="20"/>
                <w:szCs w:val="20"/>
                <w:highlight w:val="yellow"/>
              </w:rPr>
            </w:pPr>
            <w:r>
              <w:rPr>
                <w:color w:val="000000"/>
                <w:sz w:val="20"/>
                <w:szCs w:val="20"/>
              </w:rPr>
              <w:t>142,49</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F6470C8">
            <w:pPr>
              <w:spacing w:after="0" w:line="240" w:lineRule="auto"/>
              <w:ind w:firstLine="0"/>
              <w:jc w:val="center"/>
              <w:rPr>
                <w:color w:val="000000"/>
                <w:sz w:val="20"/>
                <w:szCs w:val="20"/>
                <w:highlight w:val="yellow"/>
              </w:rPr>
            </w:pPr>
            <w:r>
              <w:rPr>
                <w:color w:val="000000"/>
                <w:sz w:val="20"/>
                <w:szCs w:val="20"/>
              </w:rPr>
              <w:t>142,49</w:t>
            </w:r>
          </w:p>
        </w:tc>
        <w:tc>
          <w:tcPr>
            <w:tcW w:w="436"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31D1940">
            <w:pPr>
              <w:spacing w:after="0" w:line="240" w:lineRule="auto"/>
              <w:ind w:firstLine="0"/>
              <w:jc w:val="center"/>
              <w:rPr>
                <w:color w:val="000000"/>
                <w:sz w:val="20"/>
                <w:szCs w:val="20"/>
                <w:highlight w:val="yellow"/>
              </w:rPr>
            </w:pPr>
            <w:r>
              <w:rPr>
                <w:color w:val="000000"/>
                <w:sz w:val="20"/>
                <w:szCs w:val="20"/>
              </w:rPr>
              <w:t>142,49</w:t>
            </w:r>
          </w:p>
        </w:tc>
      </w:tr>
      <w:tr w14:paraId="7B8A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13DA1B2B">
            <w:pPr>
              <w:spacing w:after="0" w:line="240" w:lineRule="auto"/>
              <w:ind w:firstLine="0"/>
              <w:jc w:val="center"/>
              <w:rPr>
                <w:color w:val="000000"/>
                <w:sz w:val="20"/>
                <w:szCs w:val="20"/>
              </w:rPr>
            </w:pPr>
            <w:r>
              <w:rPr>
                <w:color w:val="000000"/>
                <w:sz w:val="20"/>
                <w:szCs w:val="20"/>
              </w:rPr>
              <w:t>Расход условного топлива</w:t>
            </w:r>
          </w:p>
        </w:tc>
        <w:tc>
          <w:tcPr>
            <w:tcW w:w="510" w:type="pct"/>
            <w:shd w:val="clear" w:color="auto" w:fill="auto"/>
            <w:tcMar>
              <w:left w:w="28" w:type="dxa"/>
              <w:right w:w="28" w:type="dxa"/>
            </w:tcMar>
            <w:vAlign w:val="center"/>
          </w:tcPr>
          <w:p w14:paraId="4A470007">
            <w:pPr>
              <w:spacing w:after="0" w:line="240" w:lineRule="auto"/>
              <w:ind w:firstLine="0"/>
              <w:jc w:val="center"/>
              <w:rPr>
                <w:color w:val="000000"/>
                <w:sz w:val="20"/>
                <w:szCs w:val="20"/>
              </w:rPr>
            </w:pPr>
            <w:r>
              <w:rPr>
                <w:color w:val="000000"/>
                <w:sz w:val="20"/>
                <w:szCs w:val="20"/>
              </w:rPr>
              <w:t>т у. т.</w:t>
            </w:r>
          </w:p>
        </w:tc>
        <w:tc>
          <w:tcPr>
            <w:tcW w:w="505"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8666879">
            <w:pPr>
              <w:spacing w:after="0" w:line="240" w:lineRule="auto"/>
              <w:ind w:firstLine="0"/>
              <w:jc w:val="center"/>
              <w:rPr>
                <w:color w:val="000000"/>
                <w:sz w:val="20"/>
                <w:szCs w:val="20"/>
                <w:highlight w:val="yellow"/>
              </w:rPr>
            </w:pPr>
            <w:r>
              <w:rPr>
                <w:color w:val="000000"/>
                <w:sz w:val="20"/>
                <w:szCs w:val="20"/>
              </w:rPr>
              <w:t>546,428</w:t>
            </w:r>
          </w:p>
        </w:tc>
        <w:tc>
          <w:tcPr>
            <w:tcW w:w="433" w:type="pct"/>
            <w:tcBorders>
              <w:top w:val="nil"/>
              <w:left w:val="nil"/>
              <w:bottom w:val="single" w:color="auto" w:sz="4" w:space="0"/>
              <w:right w:val="single" w:color="auto" w:sz="4" w:space="0"/>
            </w:tcBorders>
            <w:shd w:val="clear" w:color="auto" w:fill="auto"/>
            <w:tcMar>
              <w:left w:w="28" w:type="dxa"/>
              <w:right w:w="28" w:type="dxa"/>
            </w:tcMar>
            <w:vAlign w:val="center"/>
          </w:tcPr>
          <w:p w14:paraId="0A51A676">
            <w:pPr>
              <w:spacing w:after="0" w:line="240" w:lineRule="auto"/>
              <w:ind w:firstLine="0"/>
              <w:jc w:val="center"/>
              <w:rPr>
                <w:color w:val="000000"/>
                <w:sz w:val="20"/>
                <w:szCs w:val="20"/>
                <w:highlight w:val="yellow"/>
              </w:rPr>
            </w:pPr>
            <w:r>
              <w:rPr>
                <w:color w:val="000000"/>
                <w:sz w:val="20"/>
                <w:szCs w:val="20"/>
              </w:rPr>
              <w:t>562,861</w:t>
            </w:r>
          </w:p>
        </w:tc>
        <w:tc>
          <w:tcPr>
            <w:tcW w:w="433" w:type="pct"/>
            <w:tcBorders>
              <w:top w:val="nil"/>
              <w:left w:val="nil"/>
              <w:bottom w:val="single" w:color="auto" w:sz="4" w:space="0"/>
              <w:right w:val="single" w:color="auto" w:sz="4" w:space="0"/>
            </w:tcBorders>
            <w:shd w:val="clear" w:color="auto" w:fill="auto"/>
            <w:tcMar>
              <w:left w:w="28" w:type="dxa"/>
              <w:right w:w="28" w:type="dxa"/>
            </w:tcMar>
            <w:vAlign w:val="center"/>
          </w:tcPr>
          <w:p w14:paraId="79F3CA28">
            <w:pPr>
              <w:spacing w:after="0" w:line="240" w:lineRule="auto"/>
              <w:ind w:firstLine="0"/>
              <w:jc w:val="center"/>
              <w:rPr>
                <w:color w:val="000000"/>
                <w:sz w:val="20"/>
                <w:szCs w:val="20"/>
                <w:highlight w:val="yellow"/>
              </w:rPr>
            </w:pPr>
            <w:r>
              <w:rPr>
                <w:color w:val="000000"/>
                <w:sz w:val="20"/>
                <w:szCs w:val="20"/>
              </w:rPr>
              <w:t>562,861</w:t>
            </w:r>
          </w:p>
        </w:tc>
        <w:tc>
          <w:tcPr>
            <w:tcW w:w="434" w:type="pct"/>
            <w:tcBorders>
              <w:top w:val="nil"/>
              <w:left w:val="nil"/>
              <w:bottom w:val="single" w:color="auto" w:sz="4" w:space="0"/>
              <w:right w:val="single" w:color="auto" w:sz="4" w:space="0"/>
            </w:tcBorders>
            <w:shd w:val="clear" w:color="auto" w:fill="auto"/>
            <w:tcMar>
              <w:left w:w="28" w:type="dxa"/>
              <w:right w:w="28" w:type="dxa"/>
            </w:tcMar>
            <w:vAlign w:val="center"/>
          </w:tcPr>
          <w:p w14:paraId="770D9C5A">
            <w:pPr>
              <w:spacing w:after="0" w:line="240" w:lineRule="auto"/>
              <w:ind w:firstLine="0"/>
              <w:jc w:val="center"/>
              <w:rPr>
                <w:color w:val="000000"/>
                <w:sz w:val="20"/>
                <w:szCs w:val="20"/>
                <w:highlight w:val="yellow"/>
              </w:rPr>
            </w:pPr>
            <w:r>
              <w:rPr>
                <w:color w:val="000000"/>
                <w:sz w:val="20"/>
                <w:szCs w:val="20"/>
              </w:rPr>
              <w:t>562,861</w:t>
            </w:r>
          </w:p>
        </w:tc>
        <w:tc>
          <w:tcPr>
            <w:tcW w:w="434" w:type="pct"/>
            <w:tcBorders>
              <w:top w:val="nil"/>
              <w:left w:val="nil"/>
              <w:bottom w:val="single" w:color="auto" w:sz="4" w:space="0"/>
              <w:right w:val="single" w:color="auto" w:sz="4" w:space="0"/>
            </w:tcBorders>
            <w:shd w:val="clear" w:color="auto" w:fill="auto"/>
            <w:tcMar>
              <w:left w:w="28" w:type="dxa"/>
              <w:right w:w="28" w:type="dxa"/>
            </w:tcMar>
            <w:vAlign w:val="center"/>
          </w:tcPr>
          <w:p w14:paraId="6123A43D">
            <w:pPr>
              <w:spacing w:after="0" w:line="240" w:lineRule="auto"/>
              <w:ind w:firstLine="0"/>
              <w:jc w:val="center"/>
              <w:rPr>
                <w:color w:val="000000"/>
                <w:sz w:val="20"/>
                <w:szCs w:val="20"/>
                <w:highlight w:val="yellow"/>
              </w:rPr>
            </w:pPr>
            <w:r>
              <w:rPr>
                <w:color w:val="000000"/>
                <w:sz w:val="20"/>
                <w:szCs w:val="20"/>
              </w:rPr>
              <w:t>562,861</w:t>
            </w:r>
          </w:p>
        </w:tc>
        <w:tc>
          <w:tcPr>
            <w:tcW w:w="434" w:type="pct"/>
            <w:tcBorders>
              <w:top w:val="nil"/>
              <w:left w:val="nil"/>
              <w:bottom w:val="single" w:color="auto" w:sz="4" w:space="0"/>
              <w:right w:val="single" w:color="auto" w:sz="4" w:space="0"/>
            </w:tcBorders>
            <w:shd w:val="clear" w:color="auto" w:fill="auto"/>
            <w:tcMar>
              <w:left w:w="28" w:type="dxa"/>
              <w:right w:w="28" w:type="dxa"/>
            </w:tcMar>
            <w:vAlign w:val="center"/>
          </w:tcPr>
          <w:p w14:paraId="4F6E281A">
            <w:pPr>
              <w:spacing w:after="0" w:line="240" w:lineRule="auto"/>
              <w:ind w:firstLine="0"/>
              <w:jc w:val="center"/>
              <w:rPr>
                <w:color w:val="000000"/>
                <w:sz w:val="20"/>
                <w:szCs w:val="20"/>
                <w:highlight w:val="yellow"/>
              </w:rPr>
            </w:pPr>
            <w:r>
              <w:rPr>
                <w:color w:val="000000"/>
                <w:sz w:val="20"/>
                <w:szCs w:val="20"/>
              </w:rPr>
              <w:t>562,861</w:t>
            </w:r>
          </w:p>
        </w:tc>
        <w:tc>
          <w:tcPr>
            <w:tcW w:w="436" w:type="pct"/>
            <w:tcBorders>
              <w:top w:val="nil"/>
              <w:left w:val="nil"/>
              <w:bottom w:val="single" w:color="auto" w:sz="4" w:space="0"/>
              <w:right w:val="single" w:color="auto" w:sz="4" w:space="0"/>
            </w:tcBorders>
            <w:shd w:val="clear" w:color="auto" w:fill="auto"/>
            <w:tcMar>
              <w:left w:w="28" w:type="dxa"/>
              <w:right w:w="28" w:type="dxa"/>
            </w:tcMar>
            <w:vAlign w:val="center"/>
          </w:tcPr>
          <w:p w14:paraId="6DD88B28">
            <w:pPr>
              <w:spacing w:after="0" w:line="240" w:lineRule="auto"/>
              <w:ind w:firstLine="0"/>
              <w:jc w:val="center"/>
              <w:rPr>
                <w:color w:val="000000"/>
                <w:sz w:val="20"/>
                <w:szCs w:val="20"/>
                <w:highlight w:val="yellow"/>
              </w:rPr>
            </w:pPr>
            <w:r>
              <w:rPr>
                <w:color w:val="000000"/>
                <w:sz w:val="20"/>
                <w:szCs w:val="20"/>
              </w:rPr>
              <w:t>562,861</w:t>
            </w:r>
          </w:p>
        </w:tc>
      </w:tr>
      <w:tr w14:paraId="1D7B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5F3B720B">
            <w:pPr>
              <w:spacing w:after="0" w:line="240" w:lineRule="auto"/>
              <w:ind w:firstLine="0"/>
              <w:jc w:val="center"/>
              <w:rPr>
                <w:color w:val="000000"/>
                <w:sz w:val="20"/>
                <w:szCs w:val="20"/>
              </w:rPr>
            </w:pPr>
            <w:r>
              <w:rPr>
                <w:color w:val="000000"/>
                <w:sz w:val="20"/>
                <w:szCs w:val="20"/>
              </w:rPr>
              <w:t>Расход натурального топлива</w:t>
            </w:r>
          </w:p>
        </w:tc>
        <w:tc>
          <w:tcPr>
            <w:tcW w:w="510" w:type="pct"/>
            <w:shd w:val="clear" w:color="auto" w:fill="auto"/>
            <w:tcMar>
              <w:left w:w="28" w:type="dxa"/>
              <w:right w:w="28" w:type="dxa"/>
            </w:tcMar>
            <w:vAlign w:val="center"/>
          </w:tcPr>
          <w:p w14:paraId="255E36F2">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p>
        </w:tc>
        <w:tc>
          <w:tcPr>
            <w:tcW w:w="50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B0378CE">
            <w:pPr>
              <w:spacing w:after="0" w:line="240" w:lineRule="auto"/>
              <w:ind w:firstLine="0"/>
              <w:jc w:val="center"/>
              <w:rPr>
                <w:color w:val="000000"/>
                <w:sz w:val="20"/>
                <w:szCs w:val="20"/>
                <w:highlight w:val="yellow"/>
              </w:rPr>
            </w:pPr>
            <w:r>
              <w:rPr>
                <w:color w:val="000000"/>
                <w:sz w:val="20"/>
                <w:szCs w:val="20"/>
              </w:rPr>
              <w:t>441,791</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34EEEF1">
            <w:pPr>
              <w:spacing w:after="0" w:line="240" w:lineRule="auto"/>
              <w:ind w:firstLine="0"/>
              <w:jc w:val="center"/>
              <w:rPr>
                <w:color w:val="000000"/>
                <w:sz w:val="20"/>
                <w:szCs w:val="20"/>
                <w:highlight w:val="yellow"/>
              </w:rPr>
            </w:pPr>
            <w:r>
              <w:rPr>
                <w:color w:val="000000"/>
                <w:sz w:val="20"/>
                <w:szCs w:val="20"/>
              </w:rPr>
              <w:t>465,345</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4E1165A6">
            <w:pPr>
              <w:spacing w:after="0" w:line="240" w:lineRule="auto"/>
              <w:ind w:firstLine="0"/>
              <w:jc w:val="center"/>
              <w:rPr>
                <w:color w:val="000000"/>
                <w:sz w:val="20"/>
                <w:szCs w:val="20"/>
                <w:highlight w:val="yellow"/>
              </w:rPr>
            </w:pPr>
            <w:r>
              <w:rPr>
                <w:color w:val="000000"/>
                <w:sz w:val="20"/>
                <w:szCs w:val="20"/>
              </w:rPr>
              <w:t>465,345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570707E">
            <w:pPr>
              <w:spacing w:after="0" w:line="240" w:lineRule="auto"/>
              <w:ind w:firstLine="0"/>
              <w:jc w:val="center"/>
              <w:rPr>
                <w:color w:val="000000"/>
                <w:sz w:val="20"/>
                <w:szCs w:val="20"/>
                <w:highlight w:val="yellow"/>
              </w:rPr>
            </w:pPr>
            <w:r>
              <w:rPr>
                <w:color w:val="000000"/>
                <w:sz w:val="20"/>
                <w:szCs w:val="20"/>
              </w:rPr>
              <w:t>465,345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A4405D0">
            <w:pPr>
              <w:spacing w:after="0" w:line="240" w:lineRule="auto"/>
              <w:ind w:firstLine="0"/>
              <w:jc w:val="center"/>
              <w:rPr>
                <w:color w:val="000000"/>
                <w:sz w:val="20"/>
                <w:szCs w:val="20"/>
                <w:highlight w:val="yellow"/>
              </w:rPr>
            </w:pPr>
            <w:r>
              <w:rPr>
                <w:color w:val="000000"/>
                <w:sz w:val="20"/>
                <w:szCs w:val="20"/>
              </w:rPr>
              <w:t>465,345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77AF209">
            <w:pPr>
              <w:spacing w:after="0" w:line="240" w:lineRule="auto"/>
              <w:ind w:firstLine="0"/>
              <w:jc w:val="center"/>
              <w:rPr>
                <w:color w:val="000000"/>
                <w:sz w:val="20"/>
                <w:szCs w:val="20"/>
                <w:highlight w:val="yellow"/>
              </w:rPr>
            </w:pPr>
            <w:r>
              <w:rPr>
                <w:color w:val="000000"/>
                <w:sz w:val="20"/>
                <w:szCs w:val="20"/>
              </w:rPr>
              <w:t>465,345</w:t>
            </w:r>
          </w:p>
        </w:tc>
        <w:tc>
          <w:tcPr>
            <w:tcW w:w="436"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96539AA">
            <w:pPr>
              <w:spacing w:after="0" w:line="240" w:lineRule="auto"/>
              <w:ind w:firstLine="0"/>
              <w:jc w:val="center"/>
              <w:rPr>
                <w:color w:val="000000"/>
                <w:sz w:val="20"/>
                <w:szCs w:val="20"/>
                <w:highlight w:val="yellow"/>
              </w:rPr>
            </w:pPr>
            <w:r>
              <w:rPr>
                <w:color w:val="000000"/>
                <w:sz w:val="20"/>
                <w:szCs w:val="20"/>
              </w:rPr>
              <w:t>465,345</w:t>
            </w:r>
          </w:p>
        </w:tc>
      </w:tr>
      <w:tr w14:paraId="5B56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16086F95">
            <w:pPr>
              <w:spacing w:after="0" w:line="240" w:lineRule="auto"/>
              <w:ind w:firstLine="0"/>
              <w:jc w:val="center"/>
              <w:rPr>
                <w:color w:val="000000"/>
                <w:sz w:val="20"/>
                <w:szCs w:val="20"/>
              </w:rPr>
            </w:pPr>
            <w:r>
              <w:rPr>
                <w:color w:val="000000"/>
                <w:sz w:val="20"/>
                <w:szCs w:val="20"/>
              </w:rPr>
              <w:t>Котельные «Вирбекс», «2БВК»</w:t>
            </w:r>
          </w:p>
        </w:tc>
        <w:tc>
          <w:tcPr>
            <w:tcW w:w="510" w:type="pct"/>
            <w:shd w:val="clear" w:color="auto" w:fill="auto"/>
            <w:noWrap/>
            <w:tcMar>
              <w:left w:w="28" w:type="dxa"/>
              <w:right w:w="28" w:type="dxa"/>
            </w:tcMar>
            <w:vAlign w:val="center"/>
          </w:tcPr>
          <w:p w14:paraId="42F4EE46">
            <w:pPr>
              <w:spacing w:after="0" w:line="240" w:lineRule="auto"/>
              <w:ind w:firstLine="0"/>
              <w:rPr>
                <w:color w:val="000000"/>
                <w:sz w:val="20"/>
                <w:szCs w:val="20"/>
              </w:rPr>
            </w:pPr>
            <w:r>
              <w:rPr>
                <w:color w:val="000000"/>
                <w:sz w:val="20"/>
                <w:szCs w:val="20"/>
              </w:rPr>
              <w:t> </w:t>
            </w:r>
          </w:p>
        </w:tc>
        <w:tc>
          <w:tcPr>
            <w:tcW w:w="505" w:type="pct"/>
            <w:shd w:val="clear" w:color="auto" w:fill="auto"/>
            <w:noWrap/>
            <w:tcMar>
              <w:left w:w="28" w:type="dxa"/>
              <w:right w:w="28" w:type="dxa"/>
            </w:tcMar>
            <w:vAlign w:val="center"/>
          </w:tcPr>
          <w:p w14:paraId="763552E5">
            <w:pPr>
              <w:spacing w:after="0" w:line="240" w:lineRule="auto"/>
              <w:ind w:firstLine="0"/>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1C945D39">
            <w:pPr>
              <w:spacing w:after="0" w:line="240" w:lineRule="auto"/>
              <w:ind w:firstLine="0"/>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547EA934">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620399C5">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2E210876">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275F2BA6">
            <w:pPr>
              <w:spacing w:after="0" w:line="240" w:lineRule="auto"/>
              <w:ind w:firstLine="0"/>
              <w:rPr>
                <w:color w:val="000000"/>
                <w:sz w:val="20"/>
                <w:szCs w:val="20"/>
              </w:rPr>
            </w:pPr>
            <w:r>
              <w:rPr>
                <w:color w:val="000000"/>
                <w:sz w:val="20"/>
                <w:szCs w:val="20"/>
              </w:rPr>
              <w:t> </w:t>
            </w:r>
          </w:p>
        </w:tc>
        <w:tc>
          <w:tcPr>
            <w:tcW w:w="436" w:type="pct"/>
            <w:shd w:val="clear" w:color="auto" w:fill="auto"/>
            <w:noWrap/>
            <w:tcMar>
              <w:left w:w="28" w:type="dxa"/>
              <w:right w:w="28" w:type="dxa"/>
            </w:tcMar>
            <w:vAlign w:val="center"/>
          </w:tcPr>
          <w:p w14:paraId="5D45F5FB">
            <w:pPr>
              <w:spacing w:after="0" w:line="240" w:lineRule="auto"/>
              <w:ind w:firstLine="0"/>
              <w:rPr>
                <w:color w:val="000000"/>
                <w:sz w:val="20"/>
                <w:szCs w:val="20"/>
              </w:rPr>
            </w:pPr>
            <w:r>
              <w:rPr>
                <w:color w:val="000000"/>
                <w:sz w:val="20"/>
                <w:szCs w:val="20"/>
              </w:rPr>
              <w:t> </w:t>
            </w:r>
          </w:p>
        </w:tc>
      </w:tr>
      <w:tr w14:paraId="5F2A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2D67E474">
            <w:pPr>
              <w:spacing w:after="0" w:line="240" w:lineRule="auto"/>
              <w:ind w:firstLine="0"/>
              <w:jc w:val="center"/>
              <w:rPr>
                <w:color w:val="000000"/>
                <w:sz w:val="20"/>
                <w:szCs w:val="20"/>
              </w:rPr>
            </w:pPr>
            <w:r>
              <w:rPr>
                <w:color w:val="000000"/>
                <w:sz w:val="20"/>
                <w:szCs w:val="20"/>
              </w:rPr>
              <w:t>Выработано тепловой энергии:</w:t>
            </w:r>
          </w:p>
        </w:tc>
        <w:tc>
          <w:tcPr>
            <w:tcW w:w="510" w:type="pct"/>
            <w:shd w:val="clear" w:color="auto" w:fill="auto"/>
            <w:noWrap/>
            <w:tcMar>
              <w:left w:w="28" w:type="dxa"/>
              <w:right w:w="28" w:type="dxa"/>
            </w:tcMar>
            <w:vAlign w:val="center"/>
          </w:tcPr>
          <w:p w14:paraId="27D5DAEA">
            <w:pPr>
              <w:spacing w:after="0" w:line="240" w:lineRule="auto"/>
              <w:ind w:firstLine="0"/>
              <w:jc w:val="center"/>
              <w:rPr>
                <w:color w:val="000000"/>
                <w:sz w:val="20"/>
                <w:szCs w:val="20"/>
              </w:rPr>
            </w:pPr>
            <w:r>
              <w:rPr>
                <w:color w:val="000000"/>
                <w:sz w:val="20"/>
                <w:szCs w:val="20"/>
              </w:rPr>
              <w:t>Гкал</w:t>
            </w:r>
          </w:p>
        </w:tc>
        <w:tc>
          <w:tcPr>
            <w:tcW w:w="505" w:type="pct"/>
            <w:shd w:val="clear" w:color="auto" w:fill="auto"/>
            <w:noWrap/>
            <w:tcMar>
              <w:left w:w="28" w:type="dxa"/>
              <w:right w:w="28" w:type="dxa"/>
            </w:tcMar>
            <w:vAlign w:val="center"/>
          </w:tcPr>
          <w:p w14:paraId="297D4F0D">
            <w:pPr>
              <w:spacing w:after="0" w:line="240" w:lineRule="auto"/>
              <w:ind w:firstLine="0"/>
              <w:jc w:val="center"/>
              <w:rPr>
                <w:color w:val="000000"/>
                <w:sz w:val="20"/>
                <w:szCs w:val="20"/>
              </w:rPr>
            </w:pPr>
            <w:r>
              <w:rPr>
                <w:color w:val="000000"/>
                <w:sz w:val="20"/>
                <w:szCs w:val="20"/>
              </w:rPr>
              <w:t>18022,50</w:t>
            </w:r>
          </w:p>
        </w:tc>
        <w:tc>
          <w:tcPr>
            <w:tcW w:w="433" w:type="pct"/>
            <w:shd w:val="clear" w:color="auto" w:fill="auto"/>
            <w:noWrap/>
            <w:tcMar>
              <w:left w:w="28" w:type="dxa"/>
              <w:right w:w="28" w:type="dxa"/>
            </w:tcMar>
            <w:vAlign w:val="center"/>
          </w:tcPr>
          <w:p w14:paraId="78EC9B92">
            <w:pPr>
              <w:spacing w:after="0" w:line="240" w:lineRule="auto"/>
              <w:ind w:firstLine="0"/>
              <w:jc w:val="center"/>
              <w:rPr>
                <w:color w:val="000000"/>
                <w:sz w:val="20"/>
                <w:szCs w:val="20"/>
              </w:rPr>
            </w:pPr>
            <w:r>
              <w:rPr>
                <w:color w:val="000000"/>
                <w:sz w:val="20"/>
                <w:szCs w:val="20"/>
              </w:rPr>
              <w:t>19431,37</w:t>
            </w:r>
          </w:p>
        </w:tc>
        <w:tc>
          <w:tcPr>
            <w:tcW w:w="433" w:type="pct"/>
            <w:shd w:val="clear" w:color="auto" w:fill="auto"/>
            <w:noWrap/>
            <w:tcMar>
              <w:left w:w="28" w:type="dxa"/>
              <w:right w:w="28" w:type="dxa"/>
            </w:tcMar>
            <w:vAlign w:val="center"/>
          </w:tcPr>
          <w:p w14:paraId="49EC9D44">
            <w:pPr>
              <w:spacing w:after="0" w:line="240" w:lineRule="auto"/>
              <w:ind w:firstLine="0"/>
              <w:jc w:val="center"/>
              <w:rPr>
                <w:color w:val="000000"/>
                <w:sz w:val="20"/>
                <w:szCs w:val="20"/>
              </w:rPr>
            </w:pPr>
            <w:r>
              <w:rPr>
                <w:color w:val="000000"/>
                <w:sz w:val="20"/>
                <w:szCs w:val="20"/>
              </w:rPr>
              <w:t>20840,23</w:t>
            </w:r>
          </w:p>
        </w:tc>
        <w:tc>
          <w:tcPr>
            <w:tcW w:w="434" w:type="pct"/>
            <w:shd w:val="clear" w:color="auto" w:fill="auto"/>
            <w:noWrap/>
            <w:tcMar>
              <w:left w:w="28" w:type="dxa"/>
              <w:right w:w="28" w:type="dxa"/>
            </w:tcMar>
            <w:vAlign w:val="center"/>
          </w:tcPr>
          <w:p w14:paraId="3DA7B201">
            <w:pPr>
              <w:spacing w:after="0" w:line="240" w:lineRule="auto"/>
              <w:ind w:firstLine="0"/>
              <w:jc w:val="center"/>
              <w:rPr>
                <w:color w:val="000000"/>
                <w:sz w:val="20"/>
                <w:szCs w:val="20"/>
              </w:rPr>
            </w:pPr>
            <w:r>
              <w:rPr>
                <w:color w:val="000000"/>
                <w:sz w:val="20"/>
                <w:szCs w:val="20"/>
              </w:rPr>
              <w:t>22249,10</w:t>
            </w:r>
          </w:p>
        </w:tc>
        <w:tc>
          <w:tcPr>
            <w:tcW w:w="434" w:type="pct"/>
            <w:shd w:val="clear" w:color="auto" w:fill="auto"/>
            <w:noWrap/>
            <w:tcMar>
              <w:left w:w="28" w:type="dxa"/>
              <w:right w:w="28" w:type="dxa"/>
            </w:tcMar>
            <w:vAlign w:val="center"/>
          </w:tcPr>
          <w:p w14:paraId="134D2734">
            <w:pPr>
              <w:spacing w:after="0" w:line="240" w:lineRule="auto"/>
              <w:ind w:firstLine="0"/>
              <w:jc w:val="center"/>
              <w:rPr>
                <w:color w:val="000000"/>
                <w:sz w:val="20"/>
                <w:szCs w:val="20"/>
              </w:rPr>
            </w:pPr>
            <w:r>
              <w:rPr>
                <w:color w:val="000000"/>
                <w:sz w:val="20"/>
                <w:szCs w:val="20"/>
              </w:rPr>
              <w:t>23657,97</w:t>
            </w:r>
          </w:p>
        </w:tc>
        <w:tc>
          <w:tcPr>
            <w:tcW w:w="434" w:type="pct"/>
            <w:shd w:val="clear" w:color="auto" w:fill="auto"/>
            <w:noWrap/>
            <w:tcMar>
              <w:left w:w="28" w:type="dxa"/>
              <w:right w:w="28" w:type="dxa"/>
            </w:tcMar>
            <w:vAlign w:val="center"/>
          </w:tcPr>
          <w:p w14:paraId="566C5F60">
            <w:pPr>
              <w:spacing w:after="0" w:line="240" w:lineRule="auto"/>
              <w:ind w:firstLine="0"/>
              <w:jc w:val="center"/>
              <w:rPr>
                <w:color w:val="000000"/>
                <w:sz w:val="20"/>
                <w:szCs w:val="20"/>
              </w:rPr>
            </w:pPr>
            <w:r>
              <w:rPr>
                <w:color w:val="000000"/>
                <w:sz w:val="20"/>
                <w:szCs w:val="20"/>
              </w:rPr>
              <w:t>25066,83</w:t>
            </w:r>
          </w:p>
        </w:tc>
        <w:tc>
          <w:tcPr>
            <w:tcW w:w="436" w:type="pct"/>
            <w:shd w:val="clear" w:color="auto" w:fill="auto"/>
            <w:noWrap/>
            <w:tcMar>
              <w:left w:w="28" w:type="dxa"/>
              <w:right w:w="28" w:type="dxa"/>
            </w:tcMar>
            <w:vAlign w:val="center"/>
          </w:tcPr>
          <w:p w14:paraId="63193D93">
            <w:pPr>
              <w:spacing w:after="0" w:line="240" w:lineRule="auto"/>
              <w:ind w:firstLine="0"/>
              <w:jc w:val="center"/>
              <w:rPr>
                <w:color w:val="000000"/>
                <w:sz w:val="20"/>
                <w:szCs w:val="20"/>
              </w:rPr>
            </w:pPr>
            <w:r>
              <w:rPr>
                <w:color w:val="000000"/>
                <w:sz w:val="20"/>
                <w:szCs w:val="20"/>
              </w:rPr>
              <w:t>26475,70</w:t>
            </w:r>
          </w:p>
        </w:tc>
      </w:tr>
      <w:tr w14:paraId="2096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3D6CDEE6">
            <w:pPr>
              <w:spacing w:after="0" w:line="240" w:lineRule="auto"/>
              <w:ind w:firstLine="0"/>
              <w:jc w:val="center"/>
              <w:rPr>
                <w:color w:val="000000"/>
                <w:sz w:val="20"/>
                <w:szCs w:val="20"/>
              </w:rPr>
            </w:pPr>
            <w:r>
              <w:rPr>
                <w:color w:val="000000"/>
                <w:sz w:val="20"/>
                <w:szCs w:val="20"/>
              </w:rPr>
              <w:t>Удельный расход условного топлива на выработку тепловой энергии</w:t>
            </w:r>
          </w:p>
        </w:tc>
        <w:tc>
          <w:tcPr>
            <w:tcW w:w="510" w:type="pct"/>
            <w:shd w:val="clear" w:color="auto" w:fill="auto"/>
            <w:tcMar>
              <w:left w:w="28" w:type="dxa"/>
              <w:right w:w="28" w:type="dxa"/>
            </w:tcMar>
            <w:vAlign w:val="center"/>
          </w:tcPr>
          <w:p w14:paraId="667008B7">
            <w:pPr>
              <w:spacing w:after="0" w:line="240" w:lineRule="auto"/>
              <w:ind w:firstLine="0"/>
              <w:jc w:val="center"/>
              <w:rPr>
                <w:color w:val="000000"/>
                <w:sz w:val="20"/>
                <w:szCs w:val="20"/>
              </w:rPr>
            </w:pPr>
            <w:r>
              <w:rPr>
                <w:color w:val="000000"/>
                <w:sz w:val="20"/>
                <w:szCs w:val="20"/>
              </w:rPr>
              <w:t>кг у. т./Гкал</w:t>
            </w:r>
          </w:p>
        </w:tc>
        <w:tc>
          <w:tcPr>
            <w:tcW w:w="505" w:type="pct"/>
            <w:shd w:val="clear" w:color="auto" w:fill="auto"/>
            <w:noWrap/>
            <w:tcMar>
              <w:left w:w="28" w:type="dxa"/>
              <w:right w:w="28" w:type="dxa"/>
            </w:tcMar>
            <w:vAlign w:val="center"/>
          </w:tcPr>
          <w:p w14:paraId="17017CD6">
            <w:pPr>
              <w:spacing w:after="0" w:line="240" w:lineRule="auto"/>
              <w:ind w:firstLine="0"/>
              <w:jc w:val="center"/>
              <w:rPr>
                <w:color w:val="000000"/>
                <w:sz w:val="20"/>
                <w:szCs w:val="20"/>
              </w:rPr>
            </w:pPr>
            <w:r>
              <w:rPr>
                <w:color w:val="000000"/>
                <w:sz w:val="20"/>
                <w:szCs w:val="20"/>
              </w:rPr>
              <w:t>35,37</w:t>
            </w:r>
          </w:p>
        </w:tc>
        <w:tc>
          <w:tcPr>
            <w:tcW w:w="433" w:type="pct"/>
            <w:shd w:val="clear" w:color="auto" w:fill="auto"/>
            <w:noWrap/>
            <w:tcMar>
              <w:left w:w="28" w:type="dxa"/>
              <w:right w:w="28" w:type="dxa"/>
            </w:tcMar>
            <w:vAlign w:val="center"/>
          </w:tcPr>
          <w:p w14:paraId="17B632FE">
            <w:pPr>
              <w:spacing w:after="0" w:line="240" w:lineRule="auto"/>
              <w:ind w:firstLine="0"/>
              <w:jc w:val="center"/>
              <w:rPr>
                <w:color w:val="000000"/>
                <w:sz w:val="20"/>
                <w:szCs w:val="20"/>
              </w:rPr>
            </w:pPr>
            <w:r>
              <w:rPr>
                <w:color w:val="000000"/>
                <w:sz w:val="20"/>
                <w:szCs w:val="20"/>
              </w:rPr>
              <w:t>35,37</w:t>
            </w:r>
          </w:p>
        </w:tc>
        <w:tc>
          <w:tcPr>
            <w:tcW w:w="433" w:type="pct"/>
            <w:shd w:val="clear" w:color="auto" w:fill="auto"/>
            <w:noWrap/>
            <w:tcMar>
              <w:left w:w="28" w:type="dxa"/>
              <w:right w:w="28" w:type="dxa"/>
            </w:tcMar>
            <w:vAlign w:val="center"/>
          </w:tcPr>
          <w:p w14:paraId="134BEB22">
            <w:pPr>
              <w:spacing w:after="0" w:line="240" w:lineRule="auto"/>
              <w:ind w:firstLine="0"/>
              <w:jc w:val="center"/>
              <w:rPr>
                <w:color w:val="000000"/>
                <w:sz w:val="20"/>
                <w:szCs w:val="20"/>
              </w:rPr>
            </w:pPr>
            <w:r>
              <w:rPr>
                <w:color w:val="000000"/>
                <w:sz w:val="20"/>
                <w:szCs w:val="20"/>
              </w:rPr>
              <w:t>35,37</w:t>
            </w:r>
          </w:p>
        </w:tc>
        <w:tc>
          <w:tcPr>
            <w:tcW w:w="434" w:type="pct"/>
            <w:shd w:val="clear" w:color="auto" w:fill="auto"/>
            <w:noWrap/>
            <w:tcMar>
              <w:left w:w="28" w:type="dxa"/>
              <w:right w:w="28" w:type="dxa"/>
            </w:tcMar>
            <w:vAlign w:val="center"/>
          </w:tcPr>
          <w:p w14:paraId="58CBBCCB">
            <w:pPr>
              <w:spacing w:after="0" w:line="240" w:lineRule="auto"/>
              <w:ind w:firstLine="0"/>
              <w:jc w:val="center"/>
              <w:rPr>
                <w:color w:val="000000"/>
                <w:sz w:val="20"/>
                <w:szCs w:val="20"/>
              </w:rPr>
            </w:pPr>
            <w:r>
              <w:rPr>
                <w:color w:val="000000"/>
                <w:sz w:val="20"/>
                <w:szCs w:val="20"/>
              </w:rPr>
              <w:t>35,37</w:t>
            </w:r>
          </w:p>
        </w:tc>
        <w:tc>
          <w:tcPr>
            <w:tcW w:w="434" w:type="pct"/>
            <w:shd w:val="clear" w:color="auto" w:fill="auto"/>
            <w:noWrap/>
            <w:tcMar>
              <w:left w:w="28" w:type="dxa"/>
              <w:right w:w="28" w:type="dxa"/>
            </w:tcMar>
            <w:vAlign w:val="center"/>
          </w:tcPr>
          <w:p w14:paraId="7D62BE4D">
            <w:pPr>
              <w:spacing w:after="0" w:line="240" w:lineRule="auto"/>
              <w:ind w:firstLine="0"/>
              <w:jc w:val="center"/>
              <w:rPr>
                <w:color w:val="000000"/>
                <w:sz w:val="20"/>
                <w:szCs w:val="20"/>
              </w:rPr>
            </w:pPr>
            <w:r>
              <w:rPr>
                <w:color w:val="000000"/>
                <w:sz w:val="20"/>
                <w:szCs w:val="20"/>
              </w:rPr>
              <w:t>35,37</w:t>
            </w:r>
          </w:p>
        </w:tc>
        <w:tc>
          <w:tcPr>
            <w:tcW w:w="434" w:type="pct"/>
            <w:shd w:val="clear" w:color="auto" w:fill="auto"/>
            <w:noWrap/>
            <w:tcMar>
              <w:left w:w="28" w:type="dxa"/>
              <w:right w:w="28" w:type="dxa"/>
            </w:tcMar>
            <w:vAlign w:val="center"/>
          </w:tcPr>
          <w:p w14:paraId="4E5B65AF">
            <w:pPr>
              <w:spacing w:after="0" w:line="240" w:lineRule="auto"/>
              <w:ind w:firstLine="0"/>
              <w:jc w:val="center"/>
              <w:rPr>
                <w:color w:val="000000"/>
                <w:sz w:val="20"/>
                <w:szCs w:val="20"/>
              </w:rPr>
            </w:pPr>
            <w:r>
              <w:rPr>
                <w:color w:val="000000"/>
                <w:sz w:val="20"/>
                <w:szCs w:val="20"/>
              </w:rPr>
              <w:t>35,37</w:t>
            </w:r>
          </w:p>
        </w:tc>
        <w:tc>
          <w:tcPr>
            <w:tcW w:w="436" w:type="pct"/>
            <w:shd w:val="clear" w:color="auto" w:fill="auto"/>
            <w:noWrap/>
            <w:tcMar>
              <w:left w:w="28" w:type="dxa"/>
              <w:right w:w="28" w:type="dxa"/>
            </w:tcMar>
            <w:vAlign w:val="center"/>
          </w:tcPr>
          <w:p w14:paraId="1A90409A">
            <w:pPr>
              <w:spacing w:after="0" w:line="240" w:lineRule="auto"/>
              <w:ind w:firstLine="0"/>
              <w:jc w:val="center"/>
              <w:rPr>
                <w:color w:val="000000"/>
                <w:sz w:val="20"/>
                <w:szCs w:val="20"/>
              </w:rPr>
            </w:pPr>
            <w:r>
              <w:rPr>
                <w:color w:val="000000"/>
                <w:sz w:val="20"/>
                <w:szCs w:val="20"/>
              </w:rPr>
              <w:t>35,37</w:t>
            </w:r>
          </w:p>
        </w:tc>
      </w:tr>
      <w:tr w14:paraId="5A2B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2CE8CE08">
            <w:pPr>
              <w:spacing w:after="0" w:line="240" w:lineRule="auto"/>
              <w:ind w:firstLine="0"/>
              <w:jc w:val="center"/>
              <w:rPr>
                <w:color w:val="000000"/>
                <w:sz w:val="20"/>
                <w:szCs w:val="20"/>
              </w:rPr>
            </w:pPr>
            <w:r>
              <w:rPr>
                <w:color w:val="000000"/>
                <w:sz w:val="20"/>
                <w:szCs w:val="20"/>
              </w:rPr>
              <w:t>Удельный расход натурального топлива на выработку тепловой энергии</w:t>
            </w:r>
          </w:p>
        </w:tc>
        <w:tc>
          <w:tcPr>
            <w:tcW w:w="510" w:type="pct"/>
            <w:shd w:val="clear" w:color="auto" w:fill="auto"/>
            <w:tcMar>
              <w:left w:w="28" w:type="dxa"/>
              <w:right w:w="28" w:type="dxa"/>
            </w:tcMar>
            <w:vAlign w:val="center"/>
          </w:tcPr>
          <w:p w14:paraId="637C226B">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/Гкал</w:t>
            </w:r>
          </w:p>
        </w:tc>
        <w:tc>
          <w:tcPr>
            <w:tcW w:w="505" w:type="pct"/>
            <w:shd w:val="clear" w:color="auto" w:fill="auto"/>
            <w:noWrap/>
            <w:tcMar>
              <w:left w:w="28" w:type="dxa"/>
              <w:right w:w="28" w:type="dxa"/>
            </w:tcMar>
            <w:vAlign w:val="center"/>
          </w:tcPr>
          <w:p w14:paraId="0ACE8D21">
            <w:pPr>
              <w:spacing w:after="0" w:line="240" w:lineRule="auto"/>
              <w:ind w:firstLine="0"/>
              <w:jc w:val="center"/>
              <w:rPr>
                <w:color w:val="000000"/>
                <w:sz w:val="20"/>
                <w:szCs w:val="20"/>
              </w:rPr>
            </w:pPr>
            <w:r>
              <w:rPr>
                <w:color w:val="000000"/>
                <w:sz w:val="20"/>
                <w:szCs w:val="20"/>
              </w:rPr>
              <w:t>21,45</w:t>
            </w:r>
          </w:p>
        </w:tc>
        <w:tc>
          <w:tcPr>
            <w:tcW w:w="433" w:type="pct"/>
            <w:shd w:val="clear" w:color="auto" w:fill="auto"/>
            <w:noWrap/>
            <w:tcMar>
              <w:left w:w="28" w:type="dxa"/>
              <w:right w:w="28" w:type="dxa"/>
            </w:tcMar>
            <w:vAlign w:val="center"/>
          </w:tcPr>
          <w:p w14:paraId="41450A54">
            <w:pPr>
              <w:spacing w:after="0" w:line="240" w:lineRule="auto"/>
              <w:ind w:firstLine="0"/>
              <w:jc w:val="center"/>
              <w:rPr>
                <w:color w:val="000000"/>
                <w:sz w:val="20"/>
                <w:szCs w:val="20"/>
              </w:rPr>
            </w:pPr>
            <w:r>
              <w:rPr>
                <w:color w:val="000000"/>
                <w:sz w:val="20"/>
                <w:szCs w:val="20"/>
              </w:rPr>
              <w:t>19,89</w:t>
            </w:r>
          </w:p>
        </w:tc>
        <w:tc>
          <w:tcPr>
            <w:tcW w:w="433" w:type="pct"/>
            <w:shd w:val="clear" w:color="auto" w:fill="auto"/>
            <w:noWrap/>
            <w:tcMar>
              <w:left w:w="28" w:type="dxa"/>
              <w:right w:w="28" w:type="dxa"/>
            </w:tcMar>
            <w:vAlign w:val="center"/>
          </w:tcPr>
          <w:p w14:paraId="1952C543">
            <w:pPr>
              <w:spacing w:after="0" w:line="240" w:lineRule="auto"/>
              <w:ind w:firstLine="0"/>
              <w:jc w:val="center"/>
              <w:rPr>
                <w:color w:val="000000"/>
                <w:sz w:val="20"/>
                <w:szCs w:val="20"/>
              </w:rPr>
            </w:pPr>
            <w:r>
              <w:rPr>
                <w:color w:val="000000"/>
                <w:sz w:val="20"/>
                <w:szCs w:val="20"/>
              </w:rPr>
              <w:t>18,55</w:t>
            </w:r>
          </w:p>
        </w:tc>
        <w:tc>
          <w:tcPr>
            <w:tcW w:w="434" w:type="pct"/>
            <w:shd w:val="clear" w:color="auto" w:fill="auto"/>
            <w:noWrap/>
            <w:tcMar>
              <w:left w:w="28" w:type="dxa"/>
              <w:right w:w="28" w:type="dxa"/>
            </w:tcMar>
            <w:vAlign w:val="center"/>
          </w:tcPr>
          <w:p w14:paraId="2BCCA3AD">
            <w:pPr>
              <w:spacing w:after="0" w:line="240" w:lineRule="auto"/>
              <w:ind w:firstLine="0"/>
              <w:jc w:val="center"/>
              <w:rPr>
                <w:color w:val="000000"/>
                <w:sz w:val="20"/>
                <w:szCs w:val="20"/>
              </w:rPr>
            </w:pPr>
            <w:r>
              <w:rPr>
                <w:color w:val="000000"/>
                <w:sz w:val="20"/>
                <w:szCs w:val="20"/>
              </w:rPr>
              <w:t>17,37</w:t>
            </w:r>
          </w:p>
        </w:tc>
        <w:tc>
          <w:tcPr>
            <w:tcW w:w="434" w:type="pct"/>
            <w:shd w:val="clear" w:color="auto" w:fill="auto"/>
            <w:noWrap/>
            <w:tcMar>
              <w:left w:w="28" w:type="dxa"/>
              <w:right w:w="28" w:type="dxa"/>
            </w:tcMar>
            <w:vAlign w:val="center"/>
          </w:tcPr>
          <w:p w14:paraId="04E2D0A0">
            <w:pPr>
              <w:spacing w:after="0" w:line="240" w:lineRule="auto"/>
              <w:ind w:firstLine="0"/>
              <w:jc w:val="center"/>
              <w:rPr>
                <w:color w:val="000000"/>
                <w:sz w:val="20"/>
                <w:szCs w:val="20"/>
              </w:rPr>
            </w:pPr>
            <w:r>
              <w:rPr>
                <w:color w:val="000000"/>
                <w:sz w:val="20"/>
                <w:szCs w:val="20"/>
              </w:rPr>
              <w:t>16,34</w:t>
            </w:r>
          </w:p>
        </w:tc>
        <w:tc>
          <w:tcPr>
            <w:tcW w:w="434" w:type="pct"/>
            <w:shd w:val="clear" w:color="auto" w:fill="auto"/>
            <w:noWrap/>
            <w:tcMar>
              <w:left w:w="28" w:type="dxa"/>
              <w:right w:w="28" w:type="dxa"/>
            </w:tcMar>
            <w:vAlign w:val="center"/>
          </w:tcPr>
          <w:p w14:paraId="44EB0313">
            <w:pPr>
              <w:spacing w:after="0" w:line="240" w:lineRule="auto"/>
              <w:ind w:firstLine="0"/>
              <w:jc w:val="center"/>
              <w:rPr>
                <w:color w:val="000000"/>
                <w:sz w:val="20"/>
                <w:szCs w:val="20"/>
              </w:rPr>
            </w:pPr>
            <w:r>
              <w:rPr>
                <w:color w:val="000000"/>
                <w:sz w:val="20"/>
                <w:szCs w:val="20"/>
              </w:rPr>
              <w:t>15,42</w:t>
            </w:r>
          </w:p>
        </w:tc>
        <w:tc>
          <w:tcPr>
            <w:tcW w:w="436" w:type="pct"/>
            <w:shd w:val="clear" w:color="auto" w:fill="auto"/>
            <w:noWrap/>
            <w:tcMar>
              <w:left w:w="28" w:type="dxa"/>
              <w:right w:w="28" w:type="dxa"/>
            </w:tcMar>
            <w:vAlign w:val="center"/>
          </w:tcPr>
          <w:p w14:paraId="256DFA87">
            <w:pPr>
              <w:spacing w:after="0" w:line="240" w:lineRule="auto"/>
              <w:ind w:firstLine="0"/>
              <w:jc w:val="center"/>
              <w:rPr>
                <w:color w:val="000000"/>
                <w:sz w:val="20"/>
                <w:szCs w:val="20"/>
              </w:rPr>
            </w:pPr>
            <w:r>
              <w:rPr>
                <w:color w:val="000000"/>
                <w:sz w:val="20"/>
                <w:szCs w:val="20"/>
              </w:rPr>
              <w:t>14,60</w:t>
            </w:r>
          </w:p>
        </w:tc>
      </w:tr>
      <w:tr w14:paraId="2B7D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0CCB6066">
            <w:pPr>
              <w:spacing w:after="0" w:line="240" w:lineRule="auto"/>
              <w:ind w:firstLine="0"/>
              <w:jc w:val="center"/>
              <w:rPr>
                <w:color w:val="000000"/>
                <w:sz w:val="20"/>
                <w:szCs w:val="20"/>
              </w:rPr>
            </w:pPr>
            <w:r>
              <w:rPr>
                <w:color w:val="000000"/>
                <w:sz w:val="20"/>
                <w:szCs w:val="20"/>
              </w:rPr>
              <w:t>Расход условного топлива</w:t>
            </w:r>
          </w:p>
        </w:tc>
        <w:tc>
          <w:tcPr>
            <w:tcW w:w="510" w:type="pct"/>
            <w:shd w:val="clear" w:color="auto" w:fill="auto"/>
            <w:tcMar>
              <w:left w:w="28" w:type="dxa"/>
              <w:right w:w="28" w:type="dxa"/>
            </w:tcMar>
            <w:vAlign w:val="center"/>
          </w:tcPr>
          <w:p w14:paraId="5B3FD3B7">
            <w:pPr>
              <w:spacing w:after="0" w:line="240" w:lineRule="auto"/>
              <w:ind w:firstLine="0"/>
              <w:jc w:val="center"/>
              <w:rPr>
                <w:color w:val="000000"/>
                <w:sz w:val="20"/>
                <w:szCs w:val="20"/>
              </w:rPr>
            </w:pPr>
            <w:r>
              <w:rPr>
                <w:color w:val="000000"/>
                <w:sz w:val="20"/>
                <w:szCs w:val="20"/>
              </w:rPr>
              <w:t>т у. т.</w:t>
            </w:r>
          </w:p>
        </w:tc>
        <w:tc>
          <w:tcPr>
            <w:tcW w:w="505" w:type="pct"/>
            <w:shd w:val="clear" w:color="auto" w:fill="auto"/>
            <w:noWrap/>
            <w:tcMar>
              <w:left w:w="28" w:type="dxa"/>
              <w:right w:w="28" w:type="dxa"/>
            </w:tcMar>
            <w:vAlign w:val="center"/>
          </w:tcPr>
          <w:p w14:paraId="64FB6619">
            <w:pPr>
              <w:spacing w:after="0" w:line="240" w:lineRule="auto"/>
              <w:ind w:firstLine="0"/>
              <w:jc w:val="center"/>
              <w:rPr>
                <w:color w:val="000000"/>
                <w:sz w:val="20"/>
                <w:szCs w:val="20"/>
              </w:rPr>
            </w:pPr>
            <w:r>
              <w:rPr>
                <w:color w:val="000000"/>
                <w:sz w:val="20"/>
                <w:szCs w:val="20"/>
              </w:rPr>
              <w:t>637,54</w:t>
            </w:r>
          </w:p>
        </w:tc>
        <w:tc>
          <w:tcPr>
            <w:tcW w:w="433" w:type="pct"/>
            <w:shd w:val="clear" w:color="auto" w:fill="auto"/>
            <w:noWrap/>
            <w:tcMar>
              <w:left w:w="28" w:type="dxa"/>
              <w:right w:w="28" w:type="dxa"/>
            </w:tcMar>
            <w:vAlign w:val="center"/>
          </w:tcPr>
          <w:p w14:paraId="195F095A">
            <w:pPr>
              <w:spacing w:after="0" w:line="240" w:lineRule="auto"/>
              <w:ind w:firstLine="0"/>
              <w:jc w:val="center"/>
              <w:rPr>
                <w:color w:val="000000"/>
                <w:sz w:val="20"/>
                <w:szCs w:val="20"/>
              </w:rPr>
            </w:pPr>
            <w:r>
              <w:rPr>
                <w:color w:val="000000"/>
                <w:sz w:val="20"/>
                <w:szCs w:val="20"/>
              </w:rPr>
              <w:t>687,38</w:t>
            </w:r>
          </w:p>
        </w:tc>
        <w:tc>
          <w:tcPr>
            <w:tcW w:w="433" w:type="pct"/>
            <w:shd w:val="clear" w:color="auto" w:fill="auto"/>
            <w:noWrap/>
            <w:tcMar>
              <w:left w:w="28" w:type="dxa"/>
              <w:right w:w="28" w:type="dxa"/>
            </w:tcMar>
            <w:vAlign w:val="center"/>
          </w:tcPr>
          <w:p w14:paraId="24E5455A">
            <w:pPr>
              <w:spacing w:after="0" w:line="240" w:lineRule="auto"/>
              <w:ind w:firstLine="0"/>
              <w:jc w:val="center"/>
              <w:rPr>
                <w:color w:val="000000"/>
                <w:sz w:val="20"/>
                <w:szCs w:val="20"/>
              </w:rPr>
            </w:pPr>
            <w:r>
              <w:rPr>
                <w:color w:val="000000"/>
                <w:sz w:val="20"/>
                <w:szCs w:val="20"/>
              </w:rPr>
              <w:t>737,22</w:t>
            </w:r>
          </w:p>
        </w:tc>
        <w:tc>
          <w:tcPr>
            <w:tcW w:w="434" w:type="pct"/>
            <w:shd w:val="clear" w:color="auto" w:fill="auto"/>
            <w:noWrap/>
            <w:tcMar>
              <w:left w:w="28" w:type="dxa"/>
              <w:right w:w="28" w:type="dxa"/>
            </w:tcMar>
            <w:vAlign w:val="center"/>
          </w:tcPr>
          <w:p w14:paraId="12326B8A">
            <w:pPr>
              <w:spacing w:after="0" w:line="240" w:lineRule="auto"/>
              <w:ind w:firstLine="0"/>
              <w:jc w:val="center"/>
              <w:rPr>
                <w:color w:val="000000"/>
                <w:sz w:val="20"/>
                <w:szCs w:val="20"/>
              </w:rPr>
            </w:pPr>
            <w:r>
              <w:rPr>
                <w:color w:val="000000"/>
                <w:sz w:val="20"/>
                <w:szCs w:val="20"/>
              </w:rPr>
              <w:t>787,06</w:t>
            </w:r>
          </w:p>
        </w:tc>
        <w:tc>
          <w:tcPr>
            <w:tcW w:w="434" w:type="pct"/>
            <w:shd w:val="clear" w:color="auto" w:fill="auto"/>
            <w:noWrap/>
            <w:tcMar>
              <w:left w:w="28" w:type="dxa"/>
              <w:right w:w="28" w:type="dxa"/>
            </w:tcMar>
            <w:vAlign w:val="center"/>
          </w:tcPr>
          <w:p w14:paraId="01AE899E">
            <w:pPr>
              <w:spacing w:after="0" w:line="240" w:lineRule="auto"/>
              <w:ind w:firstLine="0"/>
              <w:jc w:val="center"/>
              <w:rPr>
                <w:color w:val="000000"/>
                <w:sz w:val="20"/>
                <w:szCs w:val="20"/>
              </w:rPr>
            </w:pPr>
            <w:r>
              <w:rPr>
                <w:color w:val="000000"/>
                <w:sz w:val="20"/>
                <w:szCs w:val="20"/>
              </w:rPr>
              <w:t>836,90</w:t>
            </w:r>
          </w:p>
        </w:tc>
        <w:tc>
          <w:tcPr>
            <w:tcW w:w="434" w:type="pct"/>
            <w:shd w:val="clear" w:color="auto" w:fill="auto"/>
            <w:noWrap/>
            <w:tcMar>
              <w:left w:w="28" w:type="dxa"/>
              <w:right w:w="28" w:type="dxa"/>
            </w:tcMar>
            <w:vAlign w:val="center"/>
          </w:tcPr>
          <w:p w14:paraId="211B5378">
            <w:pPr>
              <w:spacing w:after="0" w:line="240" w:lineRule="auto"/>
              <w:ind w:firstLine="0"/>
              <w:jc w:val="center"/>
              <w:rPr>
                <w:color w:val="000000"/>
                <w:sz w:val="20"/>
                <w:szCs w:val="20"/>
              </w:rPr>
            </w:pPr>
            <w:r>
              <w:rPr>
                <w:color w:val="000000"/>
                <w:sz w:val="20"/>
                <w:szCs w:val="20"/>
              </w:rPr>
              <w:t>886,74</w:t>
            </w:r>
          </w:p>
        </w:tc>
        <w:tc>
          <w:tcPr>
            <w:tcW w:w="436" w:type="pct"/>
            <w:shd w:val="clear" w:color="auto" w:fill="auto"/>
            <w:noWrap/>
            <w:tcMar>
              <w:left w:w="28" w:type="dxa"/>
              <w:right w:w="28" w:type="dxa"/>
            </w:tcMar>
            <w:vAlign w:val="center"/>
          </w:tcPr>
          <w:p w14:paraId="2E9299BB">
            <w:pPr>
              <w:spacing w:after="0" w:line="240" w:lineRule="auto"/>
              <w:ind w:firstLine="0"/>
              <w:jc w:val="center"/>
              <w:rPr>
                <w:color w:val="000000"/>
                <w:sz w:val="20"/>
                <w:szCs w:val="20"/>
              </w:rPr>
            </w:pPr>
            <w:r>
              <w:rPr>
                <w:color w:val="000000"/>
                <w:sz w:val="20"/>
                <w:szCs w:val="20"/>
              </w:rPr>
              <w:t>936,58</w:t>
            </w:r>
          </w:p>
        </w:tc>
      </w:tr>
      <w:tr w14:paraId="343F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71513C86">
            <w:pPr>
              <w:spacing w:after="0" w:line="240" w:lineRule="auto"/>
              <w:ind w:firstLine="0"/>
              <w:jc w:val="center"/>
              <w:rPr>
                <w:color w:val="000000"/>
                <w:sz w:val="20"/>
                <w:szCs w:val="20"/>
              </w:rPr>
            </w:pPr>
            <w:r>
              <w:rPr>
                <w:color w:val="000000"/>
                <w:sz w:val="20"/>
                <w:szCs w:val="20"/>
              </w:rPr>
              <w:t>Расход натурального топлива</w:t>
            </w:r>
          </w:p>
        </w:tc>
        <w:tc>
          <w:tcPr>
            <w:tcW w:w="510" w:type="pct"/>
            <w:shd w:val="clear" w:color="auto" w:fill="auto"/>
            <w:tcMar>
              <w:left w:w="28" w:type="dxa"/>
              <w:right w:w="28" w:type="dxa"/>
            </w:tcMar>
            <w:vAlign w:val="center"/>
          </w:tcPr>
          <w:p w14:paraId="74652F7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p>
        </w:tc>
        <w:tc>
          <w:tcPr>
            <w:tcW w:w="505" w:type="pct"/>
            <w:shd w:val="clear" w:color="auto" w:fill="auto"/>
            <w:noWrap/>
            <w:tcMar>
              <w:left w:w="28" w:type="dxa"/>
              <w:right w:w="28" w:type="dxa"/>
            </w:tcMar>
            <w:vAlign w:val="center"/>
          </w:tcPr>
          <w:p w14:paraId="0D971D21">
            <w:pPr>
              <w:spacing w:after="0" w:line="240" w:lineRule="auto"/>
              <w:ind w:firstLine="0"/>
              <w:jc w:val="center"/>
              <w:rPr>
                <w:color w:val="000000"/>
                <w:sz w:val="20"/>
                <w:szCs w:val="20"/>
              </w:rPr>
            </w:pPr>
            <w:r>
              <w:rPr>
                <w:color w:val="000000"/>
                <w:sz w:val="20"/>
                <w:szCs w:val="20"/>
              </w:rPr>
              <w:t>386,53</w:t>
            </w:r>
          </w:p>
        </w:tc>
        <w:tc>
          <w:tcPr>
            <w:tcW w:w="433" w:type="pct"/>
            <w:shd w:val="clear" w:color="auto" w:fill="auto"/>
            <w:noWrap/>
            <w:tcMar>
              <w:left w:w="28" w:type="dxa"/>
              <w:right w:w="28" w:type="dxa"/>
            </w:tcMar>
            <w:vAlign w:val="center"/>
          </w:tcPr>
          <w:p w14:paraId="2023DA46">
            <w:pPr>
              <w:spacing w:after="0" w:line="240" w:lineRule="auto"/>
              <w:ind w:firstLine="0"/>
              <w:jc w:val="center"/>
              <w:rPr>
                <w:color w:val="000000"/>
                <w:sz w:val="20"/>
                <w:szCs w:val="20"/>
              </w:rPr>
            </w:pPr>
            <w:r>
              <w:rPr>
                <w:color w:val="000000"/>
                <w:sz w:val="20"/>
                <w:szCs w:val="20"/>
              </w:rPr>
              <w:t>386,53</w:t>
            </w:r>
          </w:p>
        </w:tc>
        <w:tc>
          <w:tcPr>
            <w:tcW w:w="433" w:type="pct"/>
            <w:shd w:val="clear" w:color="auto" w:fill="auto"/>
            <w:noWrap/>
            <w:tcMar>
              <w:left w:w="28" w:type="dxa"/>
              <w:right w:w="28" w:type="dxa"/>
            </w:tcMar>
            <w:vAlign w:val="center"/>
          </w:tcPr>
          <w:p w14:paraId="29E9CC1F">
            <w:pPr>
              <w:spacing w:after="0" w:line="240" w:lineRule="auto"/>
              <w:ind w:firstLine="0"/>
              <w:jc w:val="center"/>
              <w:rPr>
                <w:color w:val="000000"/>
                <w:sz w:val="20"/>
                <w:szCs w:val="20"/>
              </w:rPr>
            </w:pPr>
            <w:r>
              <w:rPr>
                <w:color w:val="000000"/>
                <w:sz w:val="20"/>
                <w:szCs w:val="20"/>
              </w:rPr>
              <w:t>386,53</w:t>
            </w:r>
          </w:p>
        </w:tc>
        <w:tc>
          <w:tcPr>
            <w:tcW w:w="434" w:type="pct"/>
            <w:shd w:val="clear" w:color="auto" w:fill="auto"/>
            <w:noWrap/>
            <w:tcMar>
              <w:left w:w="28" w:type="dxa"/>
              <w:right w:w="28" w:type="dxa"/>
            </w:tcMar>
            <w:vAlign w:val="center"/>
          </w:tcPr>
          <w:p w14:paraId="63B46BCA">
            <w:pPr>
              <w:spacing w:after="0" w:line="240" w:lineRule="auto"/>
              <w:ind w:firstLine="0"/>
              <w:jc w:val="center"/>
              <w:rPr>
                <w:color w:val="000000"/>
                <w:sz w:val="20"/>
                <w:szCs w:val="20"/>
              </w:rPr>
            </w:pPr>
            <w:r>
              <w:rPr>
                <w:color w:val="000000"/>
                <w:sz w:val="20"/>
                <w:szCs w:val="20"/>
              </w:rPr>
              <w:t>386,53</w:t>
            </w:r>
          </w:p>
        </w:tc>
        <w:tc>
          <w:tcPr>
            <w:tcW w:w="434" w:type="pct"/>
            <w:shd w:val="clear" w:color="auto" w:fill="auto"/>
            <w:noWrap/>
            <w:tcMar>
              <w:left w:w="28" w:type="dxa"/>
              <w:right w:w="28" w:type="dxa"/>
            </w:tcMar>
            <w:vAlign w:val="center"/>
          </w:tcPr>
          <w:p w14:paraId="4A26D014">
            <w:pPr>
              <w:spacing w:after="0" w:line="240" w:lineRule="auto"/>
              <w:ind w:firstLine="0"/>
              <w:jc w:val="center"/>
              <w:rPr>
                <w:color w:val="000000"/>
                <w:sz w:val="20"/>
                <w:szCs w:val="20"/>
              </w:rPr>
            </w:pPr>
            <w:r>
              <w:rPr>
                <w:color w:val="000000"/>
                <w:sz w:val="20"/>
                <w:szCs w:val="20"/>
              </w:rPr>
              <w:t>386,53</w:t>
            </w:r>
          </w:p>
        </w:tc>
        <w:tc>
          <w:tcPr>
            <w:tcW w:w="434" w:type="pct"/>
            <w:shd w:val="clear" w:color="auto" w:fill="auto"/>
            <w:noWrap/>
            <w:tcMar>
              <w:left w:w="28" w:type="dxa"/>
              <w:right w:w="28" w:type="dxa"/>
            </w:tcMar>
            <w:vAlign w:val="center"/>
          </w:tcPr>
          <w:p w14:paraId="3E36BDC2">
            <w:pPr>
              <w:spacing w:after="0" w:line="240" w:lineRule="auto"/>
              <w:ind w:firstLine="0"/>
              <w:jc w:val="center"/>
              <w:rPr>
                <w:color w:val="000000"/>
                <w:sz w:val="20"/>
                <w:szCs w:val="20"/>
              </w:rPr>
            </w:pPr>
            <w:r>
              <w:rPr>
                <w:color w:val="000000"/>
                <w:sz w:val="20"/>
                <w:szCs w:val="20"/>
              </w:rPr>
              <w:t>386,53</w:t>
            </w:r>
          </w:p>
        </w:tc>
        <w:tc>
          <w:tcPr>
            <w:tcW w:w="436" w:type="pct"/>
            <w:shd w:val="clear" w:color="auto" w:fill="auto"/>
            <w:noWrap/>
            <w:tcMar>
              <w:left w:w="28" w:type="dxa"/>
              <w:right w:w="28" w:type="dxa"/>
            </w:tcMar>
            <w:vAlign w:val="center"/>
          </w:tcPr>
          <w:p w14:paraId="1352D276">
            <w:pPr>
              <w:spacing w:after="0" w:line="240" w:lineRule="auto"/>
              <w:ind w:firstLine="0"/>
              <w:jc w:val="center"/>
              <w:rPr>
                <w:color w:val="000000"/>
                <w:sz w:val="20"/>
                <w:szCs w:val="20"/>
              </w:rPr>
            </w:pPr>
            <w:r>
              <w:rPr>
                <w:color w:val="000000"/>
                <w:sz w:val="20"/>
                <w:szCs w:val="20"/>
              </w:rPr>
              <w:t>386,53</w:t>
            </w:r>
          </w:p>
        </w:tc>
      </w:tr>
    </w:tbl>
    <w:p w14:paraId="50E0540B">
      <w:pPr>
        <w:spacing w:after="0" w:line="240" w:lineRule="auto"/>
        <w:ind w:firstLine="0"/>
        <w:contextualSpacing/>
        <w:jc w:val="both"/>
        <w:rPr>
          <w:sz w:val="24"/>
          <w:szCs w:val="24"/>
        </w:rPr>
      </w:pPr>
    </w:p>
    <w:p w14:paraId="3C6C408E">
      <w:pPr>
        <w:spacing w:after="0" w:line="240" w:lineRule="auto"/>
        <w:ind w:firstLine="0"/>
        <w:contextualSpacing/>
        <w:jc w:val="both"/>
        <w:rPr>
          <w:sz w:val="24"/>
          <w:szCs w:val="24"/>
        </w:rPr>
      </w:pPr>
    </w:p>
    <w:p w14:paraId="22500CBC">
      <w:pPr>
        <w:pStyle w:val="2"/>
        <w:keepLines w:val="0"/>
        <w:pageBreakBefore/>
        <w:widowControl w:val="0"/>
        <w:spacing w:before="0" w:line="240" w:lineRule="auto"/>
        <w:ind w:left="0" w:firstLine="709"/>
        <w:contextualSpacing/>
        <w:rPr>
          <w:rFonts w:cs="Times New Roman"/>
          <w:b w:val="0"/>
          <w:sz w:val="24"/>
          <w:szCs w:val="24"/>
        </w:rPr>
      </w:pPr>
      <w:bookmarkStart w:id="553" w:name="_Toc524614867"/>
      <w:bookmarkStart w:id="554" w:name="_Toc524615083"/>
      <w:bookmarkStart w:id="555" w:name="_Toc182814021"/>
      <w:r>
        <w:rPr>
          <w:rFonts w:cs="Times New Roman"/>
          <w:b w:val="0"/>
          <w:sz w:val="24"/>
          <w:szCs w:val="24"/>
        </w:rPr>
        <w:t xml:space="preserve">Глава 8. </w:t>
      </w:r>
      <w:bookmarkEnd w:id="553"/>
      <w:bookmarkEnd w:id="554"/>
      <w:bookmarkStart w:id="556" w:name="_Hlk15651595"/>
      <w:r>
        <w:rPr>
          <w:rFonts w:cs="Times New Roman"/>
          <w:b w:val="0"/>
          <w:sz w:val="24"/>
          <w:szCs w:val="24"/>
        </w:rPr>
        <w:t>Предложения по строительству, реконструкции и (или) модернизации тепловых сетей</w:t>
      </w:r>
      <w:bookmarkEnd w:id="555"/>
      <w:bookmarkEnd w:id="556"/>
    </w:p>
    <w:p w14:paraId="3931B845">
      <w:pPr>
        <w:pStyle w:val="3"/>
        <w:spacing w:before="0" w:line="240" w:lineRule="auto"/>
        <w:ind w:left="0" w:firstLine="709"/>
        <w:contextualSpacing/>
        <w:rPr>
          <w:rFonts w:cs="Times New Roman"/>
          <w:b w:val="0"/>
          <w:sz w:val="24"/>
          <w:szCs w:val="24"/>
        </w:rPr>
      </w:pPr>
      <w:bookmarkStart w:id="557" w:name="_Toc524614868"/>
      <w:bookmarkStart w:id="558" w:name="_Toc524615084"/>
      <w:bookmarkStart w:id="559" w:name="_Toc15640924"/>
      <w:bookmarkStart w:id="560" w:name="_Toc182814022"/>
      <w:bookmarkStart w:id="561" w:name="_Hlk15651602"/>
      <w:r>
        <w:rPr>
          <w:rFonts w:cs="Times New Roman"/>
          <w:b w:val="0"/>
          <w:sz w:val="24"/>
          <w:szCs w:val="24"/>
        </w:rPr>
        <w:t xml:space="preserve">Предложения </w:t>
      </w:r>
      <w:bookmarkEnd w:id="557"/>
      <w:bookmarkEnd w:id="558"/>
      <w:r>
        <w:rPr>
          <w:rFonts w:cs="Times New Roman"/>
          <w:b w:val="0"/>
          <w:sz w:val="24"/>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59"/>
      <w:bookmarkEnd w:id="560"/>
    </w:p>
    <w:bookmarkEnd w:id="561"/>
    <w:p w14:paraId="7A80E146">
      <w:pPr>
        <w:spacing w:after="0" w:line="240" w:lineRule="auto"/>
        <w:contextualSpacing/>
        <w:jc w:val="both"/>
        <w:rPr>
          <w:sz w:val="24"/>
          <w:szCs w:val="24"/>
        </w:rPr>
      </w:pPr>
      <w:r>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404CD265">
      <w:pPr>
        <w:spacing w:after="0" w:line="240" w:lineRule="auto"/>
        <w:contextualSpacing/>
        <w:jc w:val="both"/>
        <w:rPr>
          <w:sz w:val="24"/>
          <w:szCs w:val="24"/>
        </w:rPr>
      </w:pPr>
    </w:p>
    <w:p w14:paraId="7AF92F18">
      <w:pPr>
        <w:pStyle w:val="3"/>
        <w:spacing w:before="0" w:line="240" w:lineRule="auto"/>
        <w:ind w:left="0" w:firstLine="709"/>
        <w:contextualSpacing/>
        <w:rPr>
          <w:rFonts w:cs="Times New Roman"/>
          <w:b w:val="0"/>
          <w:sz w:val="24"/>
          <w:szCs w:val="24"/>
        </w:rPr>
      </w:pPr>
      <w:bookmarkStart w:id="562" w:name="_Toc524614869"/>
      <w:bookmarkStart w:id="563" w:name="_Toc524615085"/>
      <w:bookmarkStart w:id="564" w:name="_Toc182814023"/>
      <w:r>
        <w:rPr>
          <w:rFonts w:cs="Times New Roman"/>
          <w:b w:val="0"/>
          <w:sz w:val="24"/>
          <w:szCs w:val="24"/>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562"/>
      <w:bookmarkEnd w:id="563"/>
      <w:r>
        <w:rPr>
          <w:rFonts w:cs="Times New Roman"/>
          <w:b w:val="0"/>
          <w:sz w:val="24"/>
          <w:szCs w:val="24"/>
        </w:rPr>
        <w:t>муниципального образования</w:t>
      </w:r>
      <w:bookmarkEnd w:id="564"/>
    </w:p>
    <w:p w14:paraId="356A3563">
      <w:pPr>
        <w:spacing w:after="0" w:line="240" w:lineRule="auto"/>
        <w:contextualSpacing/>
        <w:jc w:val="both"/>
        <w:rPr>
          <w:sz w:val="24"/>
          <w:szCs w:val="24"/>
        </w:rPr>
      </w:pPr>
      <w:r>
        <w:rPr>
          <w:sz w:val="24"/>
          <w:szCs w:val="24"/>
        </w:rPr>
        <w:t>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60.</w:t>
      </w:r>
    </w:p>
    <w:p w14:paraId="77113875">
      <w:pPr>
        <w:spacing w:after="0" w:line="240" w:lineRule="auto"/>
        <w:contextualSpacing/>
        <w:jc w:val="both"/>
        <w:rPr>
          <w:sz w:val="24"/>
          <w:szCs w:val="24"/>
        </w:rPr>
      </w:pPr>
      <w:r>
        <w:rPr>
          <w:sz w:val="24"/>
          <w:szCs w:val="24"/>
        </w:rPr>
        <w:t>Проекты по новому строительству и реконструкции тепловых сетей до 2029 года в с.п. Верхнеказымский представлены в таблице 61.</w:t>
      </w:r>
    </w:p>
    <w:p w14:paraId="59DADF02">
      <w:pPr>
        <w:spacing w:after="0" w:line="240" w:lineRule="auto"/>
        <w:contextualSpacing/>
        <w:jc w:val="both"/>
        <w:rPr>
          <w:sz w:val="24"/>
          <w:szCs w:val="24"/>
        </w:rPr>
      </w:pPr>
      <w:r>
        <w:rPr>
          <w:sz w:val="24"/>
          <w:szCs w:val="24"/>
        </w:rPr>
        <w:t>Ожидаемые эффекты: возможность присоединение новых потребителей, обеспечение доступности и удовлетворение спроса на тепловую энергию.</w:t>
      </w:r>
    </w:p>
    <w:p w14:paraId="7BBBFBC6">
      <w:pPr>
        <w:spacing w:after="0" w:line="240" w:lineRule="auto"/>
        <w:contextualSpacing/>
        <w:jc w:val="both"/>
        <w:rPr>
          <w:sz w:val="24"/>
          <w:szCs w:val="24"/>
        </w:rPr>
      </w:pPr>
    </w:p>
    <w:p w14:paraId="3A7AAC8C">
      <w:pPr>
        <w:spacing w:after="0" w:line="240" w:lineRule="auto"/>
        <w:contextualSpacing/>
        <w:jc w:val="both"/>
        <w:rPr>
          <w:sz w:val="24"/>
          <w:szCs w:val="24"/>
        </w:rPr>
      </w:pPr>
    </w:p>
    <w:p w14:paraId="3E9509DD">
      <w:pPr>
        <w:spacing w:after="0" w:line="240" w:lineRule="auto"/>
        <w:contextualSpacing/>
        <w:jc w:val="both"/>
        <w:rPr>
          <w:sz w:val="24"/>
          <w:szCs w:val="24"/>
        </w:rPr>
      </w:pPr>
    </w:p>
    <w:p w14:paraId="47051FCF">
      <w:pPr>
        <w:spacing w:after="0" w:line="240" w:lineRule="auto"/>
        <w:contextualSpacing/>
        <w:jc w:val="both"/>
        <w:rPr>
          <w:sz w:val="24"/>
          <w:szCs w:val="24"/>
        </w:rPr>
      </w:pPr>
    </w:p>
    <w:p w14:paraId="029A0343">
      <w:pPr>
        <w:spacing w:after="0" w:line="240" w:lineRule="auto"/>
        <w:contextualSpacing/>
        <w:jc w:val="both"/>
        <w:rPr>
          <w:sz w:val="24"/>
          <w:szCs w:val="24"/>
        </w:rPr>
      </w:pPr>
    </w:p>
    <w:p w14:paraId="4F4F89FE">
      <w:pPr>
        <w:spacing w:after="0" w:line="240" w:lineRule="auto"/>
        <w:contextualSpacing/>
        <w:jc w:val="both"/>
        <w:rPr>
          <w:sz w:val="24"/>
          <w:szCs w:val="24"/>
        </w:rPr>
      </w:pPr>
    </w:p>
    <w:p w14:paraId="4EFA19AF">
      <w:pPr>
        <w:spacing w:after="0" w:line="240" w:lineRule="auto"/>
        <w:contextualSpacing/>
        <w:jc w:val="both"/>
        <w:rPr>
          <w:sz w:val="24"/>
          <w:szCs w:val="24"/>
        </w:rPr>
        <w:sectPr>
          <w:pgSz w:w="11906" w:h="16838"/>
          <w:pgMar w:top="1134" w:right="567" w:bottom="1134" w:left="1701" w:header="708" w:footer="708" w:gutter="0"/>
          <w:cols w:space="708" w:num="1"/>
          <w:docGrid w:linePitch="360" w:charSpace="0"/>
        </w:sectPr>
      </w:pPr>
    </w:p>
    <w:p w14:paraId="63EEBC11">
      <w:pPr>
        <w:spacing w:after="0" w:line="240" w:lineRule="auto"/>
        <w:ind w:firstLine="0"/>
        <w:contextualSpacing/>
        <w:jc w:val="both"/>
        <w:rPr>
          <w:rFonts w:eastAsiaTheme="minorHAnsi"/>
          <w:bCs/>
          <w:sz w:val="24"/>
          <w:szCs w:val="24"/>
          <w:lang w:eastAsia="en-US"/>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60</w:t>
      </w:r>
      <w:r>
        <w:rPr>
          <w:sz w:val="24"/>
          <w:szCs w:val="24"/>
        </w:rPr>
        <w:fldChar w:fldCharType="end"/>
      </w:r>
      <w:r>
        <w:rPr>
          <w:sz w:val="24"/>
          <w:szCs w:val="24"/>
        </w:rPr>
        <w:t xml:space="preserve"> – </w:t>
      </w:r>
      <w:r>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22"/>
        <w:gridCol w:w="732"/>
        <w:gridCol w:w="2297"/>
        <w:gridCol w:w="2015"/>
        <w:gridCol w:w="3143"/>
        <w:gridCol w:w="3531"/>
        <w:gridCol w:w="1753"/>
      </w:tblGrid>
      <w:tr w14:paraId="36DC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593" w:type="pct"/>
            <w:vMerge w:val="restart"/>
            <w:shd w:val="clear" w:color="auto" w:fill="auto"/>
            <w:vAlign w:val="center"/>
          </w:tcPr>
          <w:p w14:paraId="5E38FB9F">
            <w:pPr>
              <w:pStyle w:val="404"/>
              <w:spacing w:line="240" w:lineRule="auto"/>
              <w:ind w:firstLine="0"/>
              <w:contextualSpacing/>
              <w:jc w:val="center"/>
              <w:rPr>
                <w:sz w:val="20"/>
                <w:szCs w:val="20"/>
              </w:rPr>
            </w:pPr>
            <w:r>
              <w:rPr>
                <w:sz w:val="20"/>
                <w:szCs w:val="20"/>
              </w:rPr>
              <w:t>Наименование группы проектов</w:t>
            </w:r>
          </w:p>
        </w:tc>
        <w:tc>
          <w:tcPr>
            <w:tcW w:w="267" w:type="pct"/>
            <w:vMerge w:val="restart"/>
            <w:shd w:val="clear" w:color="auto" w:fill="auto"/>
            <w:vAlign w:val="center"/>
          </w:tcPr>
          <w:p w14:paraId="3EE2F733">
            <w:pPr>
              <w:pStyle w:val="404"/>
              <w:spacing w:line="240" w:lineRule="auto"/>
              <w:ind w:firstLine="0"/>
              <w:contextualSpacing/>
              <w:jc w:val="center"/>
              <w:rPr>
                <w:sz w:val="20"/>
                <w:szCs w:val="20"/>
              </w:rPr>
            </w:pPr>
            <w:r>
              <w:rPr>
                <w:sz w:val="20"/>
                <w:szCs w:val="20"/>
              </w:rPr>
              <w:t>№ проекта</w:t>
            </w:r>
          </w:p>
        </w:tc>
        <w:tc>
          <w:tcPr>
            <w:tcW w:w="782" w:type="pct"/>
            <w:vMerge w:val="restart"/>
            <w:shd w:val="clear" w:color="auto" w:fill="auto"/>
            <w:vAlign w:val="center"/>
          </w:tcPr>
          <w:p w14:paraId="261E5CE2">
            <w:pPr>
              <w:pStyle w:val="404"/>
              <w:spacing w:line="240" w:lineRule="auto"/>
              <w:ind w:firstLine="0"/>
              <w:contextualSpacing/>
              <w:jc w:val="center"/>
              <w:rPr>
                <w:sz w:val="20"/>
                <w:szCs w:val="20"/>
              </w:rPr>
            </w:pPr>
            <w:r>
              <w:rPr>
                <w:sz w:val="20"/>
                <w:szCs w:val="20"/>
              </w:rPr>
              <w:t>Краткое описание, технические параметры проекта</w:t>
            </w:r>
          </w:p>
        </w:tc>
        <w:tc>
          <w:tcPr>
            <w:tcW w:w="689" w:type="pct"/>
            <w:vMerge w:val="restart"/>
            <w:shd w:val="clear" w:color="auto" w:fill="auto"/>
            <w:vAlign w:val="center"/>
          </w:tcPr>
          <w:p w14:paraId="1DA00A79">
            <w:pPr>
              <w:pStyle w:val="404"/>
              <w:spacing w:line="240" w:lineRule="auto"/>
              <w:ind w:firstLine="0"/>
              <w:contextualSpacing/>
              <w:jc w:val="center"/>
              <w:rPr>
                <w:sz w:val="20"/>
                <w:szCs w:val="20"/>
              </w:rPr>
            </w:pPr>
            <w:r>
              <w:rPr>
                <w:sz w:val="20"/>
                <w:szCs w:val="20"/>
              </w:rPr>
              <w:t>Цель проекта</w:t>
            </w:r>
          </w:p>
        </w:tc>
        <w:tc>
          <w:tcPr>
            <w:tcW w:w="973" w:type="pct"/>
            <w:vMerge w:val="restart"/>
            <w:shd w:val="clear" w:color="auto" w:fill="auto"/>
            <w:noWrap/>
            <w:vAlign w:val="center"/>
          </w:tcPr>
          <w:p w14:paraId="2DFEA8B3">
            <w:pPr>
              <w:pStyle w:val="404"/>
              <w:spacing w:line="240" w:lineRule="auto"/>
              <w:ind w:firstLine="0"/>
              <w:contextualSpacing/>
              <w:jc w:val="center"/>
              <w:rPr>
                <w:sz w:val="20"/>
                <w:szCs w:val="20"/>
              </w:rPr>
            </w:pPr>
            <w:r>
              <w:rPr>
                <w:sz w:val="20"/>
                <w:szCs w:val="20"/>
              </w:rPr>
              <w:t>Необходимые капитальные</w:t>
            </w:r>
          </w:p>
          <w:p w14:paraId="19E898BC">
            <w:pPr>
              <w:pStyle w:val="404"/>
              <w:spacing w:line="240" w:lineRule="auto"/>
              <w:ind w:firstLine="0"/>
              <w:contextualSpacing/>
              <w:jc w:val="center"/>
              <w:rPr>
                <w:sz w:val="20"/>
                <w:szCs w:val="20"/>
              </w:rPr>
            </w:pPr>
            <w:r>
              <w:rPr>
                <w:sz w:val="20"/>
                <w:szCs w:val="20"/>
              </w:rPr>
              <w:t>затраты в ценах 2024 года, тыс. руб.</w:t>
            </w:r>
          </w:p>
        </w:tc>
        <w:tc>
          <w:tcPr>
            <w:tcW w:w="1093" w:type="pct"/>
            <w:shd w:val="clear" w:color="auto" w:fill="auto"/>
            <w:noWrap/>
            <w:vAlign w:val="center"/>
          </w:tcPr>
          <w:p w14:paraId="59E50936">
            <w:pPr>
              <w:pStyle w:val="404"/>
              <w:spacing w:line="240" w:lineRule="auto"/>
              <w:ind w:firstLine="0"/>
              <w:contextualSpacing/>
              <w:jc w:val="center"/>
              <w:rPr>
                <w:sz w:val="20"/>
                <w:szCs w:val="20"/>
              </w:rPr>
            </w:pPr>
            <w:r>
              <w:rPr>
                <w:sz w:val="20"/>
                <w:szCs w:val="20"/>
              </w:rPr>
              <w:t>Объемы инвестиций и сроки реализации</w:t>
            </w:r>
          </w:p>
        </w:tc>
        <w:tc>
          <w:tcPr>
            <w:tcW w:w="603" w:type="pct"/>
            <w:vMerge w:val="restart"/>
            <w:shd w:val="clear" w:color="auto" w:fill="auto"/>
            <w:vAlign w:val="center"/>
          </w:tcPr>
          <w:p w14:paraId="06F036D8">
            <w:pPr>
              <w:pStyle w:val="404"/>
              <w:spacing w:line="240" w:lineRule="auto"/>
              <w:ind w:firstLine="0"/>
              <w:contextualSpacing/>
              <w:jc w:val="center"/>
              <w:rPr>
                <w:sz w:val="20"/>
                <w:szCs w:val="20"/>
              </w:rPr>
            </w:pPr>
            <w:r>
              <w:rPr>
                <w:sz w:val="20"/>
                <w:szCs w:val="20"/>
              </w:rPr>
              <w:t>Ожидаемые эффекты</w:t>
            </w:r>
          </w:p>
        </w:tc>
      </w:tr>
      <w:tr w14:paraId="1B36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593" w:type="pct"/>
            <w:vMerge w:val="continue"/>
            <w:shd w:val="clear" w:color="auto" w:fill="auto"/>
            <w:vAlign w:val="center"/>
          </w:tcPr>
          <w:p w14:paraId="4F618954">
            <w:pPr>
              <w:pStyle w:val="404"/>
              <w:spacing w:line="240" w:lineRule="auto"/>
              <w:ind w:firstLine="0"/>
              <w:contextualSpacing/>
              <w:jc w:val="center"/>
              <w:rPr>
                <w:sz w:val="20"/>
                <w:szCs w:val="20"/>
              </w:rPr>
            </w:pPr>
          </w:p>
        </w:tc>
        <w:tc>
          <w:tcPr>
            <w:tcW w:w="267" w:type="pct"/>
            <w:vMerge w:val="continue"/>
            <w:shd w:val="clear" w:color="auto" w:fill="auto"/>
            <w:vAlign w:val="center"/>
          </w:tcPr>
          <w:p w14:paraId="7EFD0B82">
            <w:pPr>
              <w:pStyle w:val="404"/>
              <w:spacing w:line="240" w:lineRule="auto"/>
              <w:ind w:firstLine="0"/>
              <w:contextualSpacing/>
              <w:jc w:val="center"/>
              <w:rPr>
                <w:sz w:val="20"/>
                <w:szCs w:val="20"/>
              </w:rPr>
            </w:pPr>
          </w:p>
        </w:tc>
        <w:tc>
          <w:tcPr>
            <w:tcW w:w="782" w:type="pct"/>
            <w:vMerge w:val="continue"/>
            <w:shd w:val="clear" w:color="auto" w:fill="auto"/>
            <w:vAlign w:val="center"/>
          </w:tcPr>
          <w:p w14:paraId="25C64C62">
            <w:pPr>
              <w:pStyle w:val="404"/>
              <w:spacing w:line="240" w:lineRule="auto"/>
              <w:ind w:firstLine="0"/>
              <w:contextualSpacing/>
              <w:jc w:val="center"/>
              <w:rPr>
                <w:sz w:val="20"/>
                <w:szCs w:val="20"/>
              </w:rPr>
            </w:pPr>
          </w:p>
        </w:tc>
        <w:tc>
          <w:tcPr>
            <w:tcW w:w="689" w:type="pct"/>
            <w:vMerge w:val="continue"/>
            <w:shd w:val="clear" w:color="auto" w:fill="auto"/>
            <w:vAlign w:val="center"/>
          </w:tcPr>
          <w:p w14:paraId="3C014AF3">
            <w:pPr>
              <w:pStyle w:val="404"/>
              <w:spacing w:line="240" w:lineRule="auto"/>
              <w:ind w:firstLine="0"/>
              <w:contextualSpacing/>
              <w:jc w:val="center"/>
              <w:rPr>
                <w:sz w:val="20"/>
                <w:szCs w:val="20"/>
              </w:rPr>
            </w:pPr>
          </w:p>
        </w:tc>
        <w:tc>
          <w:tcPr>
            <w:tcW w:w="973" w:type="pct"/>
            <w:vMerge w:val="continue"/>
            <w:shd w:val="clear" w:color="auto" w:fill="auto"/>
            <w:noWrap/>
            <w:vAlign w:val="center"/>
          </w:tcPr>
          <w:p w14:paraId="3B99FA73">
            <w:pPr>
              <w:pStyle w:val="404"/>
              <w:spacing w:line="240" w:lineRule="auto"/>
              <w:ind w:firstLine="0"/>
              <w:contextualSpacing/>
              <w:jc w:val="center"/>
              <w:rPr>
                <w:sz w:val="20"/>
                <w:szCs w:val="20"/>
              </w:rPr>
            </w:pPr>
          </w:p>
        </w:tc>
        <w:tc>
          <w:tcPr>
            <w:tcW w:w="1093" w:type="pct"/>
            <w:shd w:val="clear" w:color="auto" w:fill="auto"/>
            <w:noWrap/>
            <w:vAlign w:val="center"/>
          </w:tcPr>
          <w:p w14:paraId="7A7F683D">
            <w:pPr>
              <w:pStyle w:val="404"/>
              <w:spacing w:line="240" w:lineRule="auto"/>
              <w:ind w:firstLine="0"/>
              <w:contextualSpacing/>
              <w:jc w:val="center"/>
              <w:rPr>
                <w:sz w:val="20"/>
                <w:szCs w:val="20"/>
              </w:rPr>
            </w:pPr>
            <w:r>
              <w:rPr>
                <w:sz w:val="20"/>
                <w:szCs w:val="20"/>
              </w:rPr>
              <w:t>2024-2029</w:t>
            </w:r>
          </w:p>
        </w:tc>
        <w:tc>
          <w:tcPr>
            <w:tcW w:w="603" w:type="pct"/>
            <w:vMerge w:val="continue"/>
            <w:shd w:val="clear" w:color="auto" w:fill="auto"/>
            <w:vAlign w:val="center"/>
          </w:tcPr>
          <w:p w14:paraId="4972CEF2">
            <w:pPr>
              <w:pStyle w:val="404"/>
              <w:spacing w:line="240" w:lineRule="auto"/>
              <w:ind w:firstLine="0"/>
              <w:contextualSpacing/>
              <w:jc w:val="center"/>
              <w:rPr>
                <w:sz w:val="20"/>
                <w:szCs w:val="20"/>
              </w:rPr>
            </w:pPr>
          </w:p>
        </w:tc>
      </w:tr>
      <w:tr w14:paraId="6206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2330" w:type="pct"/>
            <w:gridSpan w:val="4"/>
            <w:shd w:val="clear" w:color="auto" w:fill="auto"/>
            <w:vAlign w:val="center"/>
          </w:tcPr>
          <w:p w14:paraId="6366DDC4">
            <w:pPr>
              <w:pStyle w:val="404"/>
              <w:spacing w:line="240" w:lineRule="auto"/>
              <w:ind w:firstLine="0"/>
              <w:contextualSpacing/>
              <w:jc w:val="center"/>
              <w:rPr>
                <w:sz w:val="20"/>
                <w:szCs w:val="20"/>
              </w:rPr>
            </w:pPr>
            <w:r>
              <w:rPr>
                <w:sz w:val="20"/>
                <w:szCs w:val="20"/>
              </w:rPr>
              <w:t>Всего по проектам схемы теплоснабжения, в том числе:</w:t>
            </w:r>
          </w:p>
        </w:tc>
        <w:tc>
          <w:tcPr>
            <w:tcW w:w="973" w:type="pct"/>
            <w:shd w:val="clear" w:color="auto" w:fill="auto"/>
            <w:noWrap/>
            <w:vAlign w:val="center"/>
          </w:tcPr>
          <w:p w14:paraId="340C76B8">
            <w:pPr>
              <w:pStyle w:val="404"/>
              <w:spacing w:line="240" w:lineRule="auto"/>
              <w:ind w:firstLine="0"/>
              <w:contextualSpacing/>
              <w:jc w:val="center"/>
              <w:rPr>
                <w:sz w:val="20"/>
                <w:szCs w:val="20"/>
              </w:rPr>
            </w:pPr>
            <w:r>
              <w:rPr>
                <w:sz w:val="20"/>
                <w:szCs w:val="20"/>
              </w:rPr>
              <w:t>40501,67</w:t>
            </w:r>
          </w:p>
        </w:tc>
        <w:tc>
          <w:tcPr>
            <w:tcW w:w="1093" w:type="pct"/>
            <w:shd w:val="clear" w:color="auto" w:fill="auto"/>
            <w:noWrap/>
            <w:vAlign w:val="center"/>
          </w:tcPr>
          <w:p w14:paraId="21D4B5BA">
            <w:pPr>
              <w:pStyle w:val="404"/>
              <w:spacing w:line="240" w:lineRule="auto"/>
              <w:ind w:firstLine="0"/>
              <w:contextualSpacing/>
              <w:jc w:val="center"/>
              <w:rPr>
                <w:sz w:val="20"/>
                <w:szCs w:val="20"/>
              </w:rPr>
            </w:pPr>
            <w:r>
              <w:rPr>
                <w:sz w:val="20"/>
                <w:szCs w:val="20"/>
              </w:rPr>
              <w:t>40501,67</w:t>
            </w:r>
          </w:p>
        </w:tc>
        <w:tc>
          <w:tcPr>
            <w:tcW w:w="603" w:type="pct"/>
            <w:shd w:val="clear" w:color="auto" w:fill="auto"/>
            <w:vAlign w:val="center"/>
          </w:tcPr>
          <w:p w14:paraId="22E296AB">
            <w:pPr>
              <w:pStyle w:val="404"/>
              <w:spacing w:line="240" w:lineRule="auto"/>
              <w:ind w:firstLine="0"/>
              <w:contextualSpacing/>
              <w:jc w:val="center"/>
              <w:rPr>
                <w:sz w:val="20"/>
                <w:szCs w:val="20"/>
              </w:rPr>
            </w:pPr>
          </w:p>
        </w:tc>
      </w:tr>
      <w:tr w14:paraId="7510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 w:hRule="atLeast"/>
          <w:jc w:val="center"/>
        </w:trPr>
        <w:tc>
          <w:tcPr>
            <w:tcW w:w="5000" w:type="pct"/>
            <w:gridSpan w:val="7"/>
            <w:shd w:val="clear" w:color="auto" w:fill="auto"/>
            <w:noWrap/>
            <w:vAlign w:val="center"/>
          </w:tcPr>
          <w:p w14:paraId="45C2AFD5">
            <w:pPr>
              <w:pStyle w:val="404"/>
              <w:spacing w:line="240" w:lineRule="auto"/>
              <w:ind w:firstLine="0"/>
              <w:contextualSpacing/>
              <w:jc w:val="center"/>
              <w:rPr>
                <w:sz w:val="20"/>
                <w:szCs w:val="20"/>
              </w:rPr>
            </w:pPr>
            <w:r>
              <w:rPr>
                <w:sz w:val="20"/>
                <w:szCs w:val="20"/>
              </w:rPr>
              <w:t>1. Проекты по новому строительству и реконструкции тепловых сетей</w:t>
            </w:r>
          </w:p>
        </w:tc>
      </w:tr>
      <w:tr w14:paraId="62B8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93" w:type="pct"/>
            <w:shd w:val="clear" w:color="auto" w:fill="auto"/>
            <w:vAlign w:val="center"/>
          </w:tcPr>
          <w:p w14:paraId="1B16FF3C">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67" w:type="pct"/>
            <w:shd w:val="clear" w:color="auto" w:fill="auto"/>
            <w:vAlign w:val="center"/>
          </w:tcPr>
          <w:p w14:paraId="5C98FAC0">
            <w:pPr>
              <w:pStyle w:val="404"/>
              <w:spacing w:line="240" w:lineRule="auto"/>
              <w:ind w:firstLine="0"/>
              <w:contextualSpacing/>
              <w:jc w:val="center"/>
              <w:rPr>
                <w:sz w:val="20"/>
                <w:szCs w:val="20"/>
              </w:rPr>
            </w:pPr>
            <w:r>
              <w:rPr>
                <w:sz w:val="20"/>
                <w:szCs w:val="20"/>
              </w:rPr>
              <w:t>1.1.</w:t>
            </w:r>
          </w:p>
        </w:tc>
        <w:tc>
          <w:tcPr>
            <w:tcW w:w="782" w:type="pct"/>
            <w:shd w:val="clear" w:color="auto" w:fill="auto"/>
            <w:vAlign w:val="center"/>
          </w:tcPr>
          <w:p w14:paraId="4E7D7A5F">
            <w:pPr>
              <w:pStyle w:val="404"/>
              <w:spacing w:line="240" w:lineRule="auto"/>
              <w:ind w:firstLine="0"/>
              <w:contextualSpacing/>
              <w:jc w:val="center"/>
              <w:rPr>
                <w:sz w:val="20"/>
                <w:szCs w:val="20"/>
              </w:rPr>
            </w:pPr>
            <w:r>
              <w:rPr>
                <w:sz w:val="20"/>
                <w:szCs w:val="20"/>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689" w:type="pct"/>
            <w:shd w:val="clear" w:color="auto" w:fill="auto"/>
            <w:vAlign w:val="center"/>
          </w:tcPr>
          <w:p w14:paraId="7B3CA43A">
            <w:pPr>
              <w:pStyle w:val="404"/>
              <w:spacing w:line="240" w:lineRule="auto"/>
              <w:ind w:firstLine="0"/>
              <w:contextualSpacing/>
              <w:jc w:val="center"/>
              <w:rPr>
                <w:sz w:val="20"/>
                <w:szCs w:val="20"/>
              </w:rPr>
            </w:pPr>
            <w:r>
              <w:rPr>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973" w:type="pct"/>
            <w:shd w:val="clear" w:color="auto" w:fill="auto"/>
            <w:noWrap/>
            <w:vAlign w:val="center"/>
          </w:tcPr>
          <w:p w14:paraId="2CA38176">
            <w:pPr>
              <w:pStyle w:val="404"/>
              <w:spacing w:line="240" w:lineRule="auto"/>
              <w:ind w:firstLine="0"/>
              <w:contextualSpacing/>
              <w:jc w:val="center"/>
              <w:rPr>
                <w:sz w:val="20"/>
                <w:szCs w:val="20"/>
              </w:rPr>
            </w:pPr>
            <w:r>
              <w:rPr>
                <w:sz w:val="20"/>
                <w:szCs w:val="20"/>
              </w:rPr>
              <w:t>40501,67</w:t>
            </w:r>
          </w:p>
        </w:tc>
        <w:tc>
          <w:tcPr>
            <w:tcW w:w="1093" w:type="pct"/>
            <w:shd w:val="clear" w:color="auto" w:fill="auto"/>
            <w:noWrap/>
            <w:vAlign w:val="center"/>
          </w:tcPr>
          <w:p w14:paraId="191EEFEA">
            <w:pPr>
              <w:pStyle w:val="404"/>
              <w:spacing w:line="240" w:lineRule="auto"/>
              <w:ind w:firstLine="0"/>
              <w:contextualSpacing/>
              <w:jc w:val="center"/>
              <w:rPr>
                <w:sz w:val="20"/>
                <w:szCs w:val="20"/>
              </w:rPr>
            </w:pPr>
            <w:r>
              <w:rPr>
                <w:sz w:val="20"/>
                <w:szCs w:val="20"/>
              </w:rPr>
              <w:t>40501,67</w:t>
            </w:r>
          </w:p>
        </w:tc>
        <w:tc>
          <w:tcPr>
            <w:tcW w:w="603" w:type="pct"/>
            <w:shd w:val="clear" w:color="auto" w:fill="auto"/>
            <w:vAlign w:val="center"/>
          </w:tcPr>
          <w:p w14:paraId="06BB89A6">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bl>
    <w:p w14:paraId="56E1590C">
      <w:pPr>
        <w:spacing w:after="0" w:line="240" w:lineRule="auto"/>
        <w:ind w:firstLine="0"/>
        <w:contextualSpacing/>
        <w:rPr>
          <w:rFonts w:eastAsiaTheme="minorHAnsi"/>
          <w:bCs/>
          <w:sz w:val="24"/>
          <w:szCs w:val="24"/>
          <w:lang w:eastAsia="en-US"/>
        </w:rPr>
      </w:pPr>
    </w:p>
    <w:p w14:paraId="66053E77">
      <w:pPr>
        <w:pStyle w:val="43"/>
        <w:keepNext/>
        <w:keepLines/>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61</w:t>
      </w:r>
      <w:r>
        <w:rPr>
          <w:rFonts w:cs="Times New Roman"/>
          <w:b w:val="0"/>
          <w:sz w:val="24"/>
          <w:szCs w:val="24"/>
        </w:rPr>
        <w:fldChar w:fldCharType="end"/>
      </w:r>
      <w:r>
        <w:rPr>
          <w:rFonts w:cs="Times New Roman"/>
          <w:b w:val="0"/>
          <w:sz w:val="24"/>
          <w:szCs w:val="24"/>
        </w:rPr>
        <w:t xml:space="preserve"> – Проекты по новому строительству и реконструкции тепловых сетей до 2029 года в с.п. Верхнеказымский</w:t>
      </w:r>
    </w:p>
    <w:tbl>
      <w:tblPr>
        <w:tblStyle w:val="12"/>
        <w:tblW w:w="49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84"/>
        <w:gridCol w:w="820"/>
        <w:gridCol w:w="1784"/>
        <w:gridCol w:w="5048"/>
        <w:gridCol w:w="21"/>
        <w:gridCol w:w="1874"/>
        <w:gridCol w:w="1853"/>
        <w:gridCol w:w="1582"/>
        <w:gridCol w:w="48"/>
      </w:tblGrid>
      <w:tr w14:paraId="57B2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20" w:hRule="atLeast"/>
          <w:tblHeader/>
        </w:trPr>
        <w:tc>
          <w:tcPr>
            <w:tcW w:w="661" w:type="pct"/>
            <w:vMerge w:val="restart"/>
            <w:shd w:val="clear" w:color="auto" w:fill="auto"/>
            <w:vAlign w:val="center"/>
          </w:tcPr>
          <w:p w14:paraId="15CD7670">
            <w:pPr>
              <w:pStyle w:val="404"/>
              <w:spacing w:line="240" w:lineRule="auto"/>
              <w:ind w:firstLine="0"/>
              <w:contextualSpacing/>
              <w:jc w:val="center"/>
              <w:rPr>
                <w:sz w:val="20"/>
                <w:szCs w:val="20"/>
              </w:rPr>
            </w:pPr>
            <w:r>
              <w:rPr>
                <w:sz w:val="20"/>
                <w:szCs w:val="20"/>
              </w:rPr>
              <w:t>Наименование группы проектов</w:t>
            </w:r>
          </w:p>
        </w:tc>
        <w:tc>
          <w:tcPr>
            <w:tcW w:w="273" w:type="pct"/>
            <w:vMerge w:val="restart"/>
            <w:shd w:val="clear" w:color="auto" w:fill="auto"/>
            <w:vAlign w:val="center"/>
          </w:tcPr>
          <w:p w14:paraId="29BF709D">
            <w:pPr>
              <w:pStyle w:val="404"/>
              <w:spacing w:line="240" w:lineRule="auto"/>
              <w:ind w:firstLine="0"/>
              <w:contextualSpacing/>
              <w:jc w:val="center"/>
              <w:rPr>
                <w:sz w:val="20"/>
                <w:szCs w:val="20"/>
              </w:rPr>
            </w:pPr>
            <w:r>
              <w:rPr>
                <w:sz w:val="20"/>
                <w:szCs w:val="20"/>
              </w:rPr>
              <w:t>№ проекта</w:t>
            </w:r>
          </w:p>
        </w:tc>
        <w:tc>
          <w:tcPr>
            <w:tcW w:w="594" w:type="pct"/>
            <w:vMerge w:val="restart"/>
            <w:shd w:val="clear" w:color="auto" w:fill="auto"/>
            <w:vAlign w:val="center"/>
          </w:tcPr>
          <w:p w14:paraId="089A1710">
            <w:pPr>
              <w:pStyle w:val="404"/>
              <w:spacing w:line="240" w:lineRule="auto"/>
              <w:ind w:firstLine="0"/>
              <w:contextualSpacing/>
              <w:jc w:val="center"/>
              <w:rPr>
                <w:sz w:val="20"/>
                <w:szCs w:val="20"/>
              </w:rPr>
            </w:pPr>
            <w:r>
              <w:rPr>
                <w:sz w:val="20"/>
                <w:szCs w:val="20"/>
              </w:rPr>
              <w:t>Наименование проекта</w:t>
            </w:r>
          </w:p>
        </w:tc>
        <w:tc>
          <w:tcPr>
            <w:tcW w:w="1681" w:type="pct"/>
            <w:vMerge w:val="restart"/>
            <w:shd w:val="clear" w:color="auto" w:fill="auto"/>
            <w:vAlign w:val="center"/>
          </w:tcPr>
          <w:p w14:paraId="14A637AD">
            <w:pPr>
              <w:pStyle w:val="404"/>
              <w:spacing w:line="240" w:lineRule="auto"/>
              <w:ind w:firstLine="0"/>
              <w:contextualSpacing/>
              <w:jc w:val="center"/>
              <w:rPr>
                <w:sz w:val="20"/>
                <w:szCs w:val="20"/>
              </w:rPr>
            </w:pPr>
            <w:r>
              <w:rPr>
                <w:sz w:val="20"/>
                <w:szCs w:val="20"/>
              </w:rPr>
              <w:t>Краткое описание, технические параметры проекта</w:t>
            </w:r>
          </w:p>
        </w:tc>
        <w:tc>
          <w:tcPr>
            <w:tcW w:w="630" w:type="pct"/>
            <w:gridSpan w:val="2"/>
            <w:vMerge w:val="restart"/>
            <w:shd w:val="clear" w:color="auto" w:fill="auto"/>
            <w:noWrap/>
            <w:vAlign w:val="center"/>
          </w:tcPr>
          <w:p w14:paraId="7751064F">
            <w:pPr>
              <w:pStyle w:val="404"/>
              <w:spacing w:line="240" w:lineRule="auto"/>
              <w:ind w:firstLine="0"/>
              <w:contextualSpacing/>
              <w:jc w:val="center"/>
              <w:rPr>
                <w:sz w:val="20"/>
                <w:szCs w:val="20"/>
              </w:rPr>
            </w:pPr>
            <w:r>
              <w:rPr>
                <w:sz w:val="20"/>
                <w:szCs w:val="20"/>
              </w:rPr>
              <w:t>Необходимые капитальные</w:t>
            </w:r>
          </w:p>
          <w:p w14:paraId="4734BD1E">
            <w:pPr>
              <w:pStyle w:val="404"/>
              <w:spacing w:line="240" w:lineRule="auto"/>
              <w:ind w:firstLine="0"/>
              <w:contextualSpacing/>
              <w:jc w:val="center"/>
              <w:rPr>
                <w:sz w:val="20"/>
                <w:szCs w:val="20"/>
              </w:rPr>
            </w:pPr>
            <w:r>
              <w:rPr>
                <w:sz w:val="20"/>
                <w:szCs w:val="20"/>
              </w:rPr>
              <w:t>затраты в ценах 2024 года, тыс. руб.</w:t>
            </w:r>
          </w:p>
        </w:tc>
        <w:tc>
          <w:tcPr>
            <w:tcW w:w="617" w:type="pct"/>
            <w:shd w:val="clear" w:color="auto" w:fill="auto"/>
            <w:noWrap/>
            <w:vAlign w:val="center"/>
          </w:tcPr>
          <w:p w14:paraId="5839A16F">
            <w:pPr>
              <w:pStyle w:val="404"/>
              <w:spacing w:line="240" w:lineRule="auto"/>
              <w:ind w:firstLine="0"/>
              <w:contextualSpacing/>
              <w:jc w:val="center"/>
              <w:rPr>
                <w:sz w:val="20"/>
                <w:szCs w:val="20"/>
              </w:rPr>
            </w:pPr>
            <w:r>
              <w:rPr>
                <w:sz w:val="20"/>
                <w:szCs w:val="20"/>
              </w:rPr>
              <w:t>Объемы инвестиций и сроки реализации</w:t>
            </w:r>
          </w:p>
        </w:tc>
        <w:tc>
          <w:tcPr>
            <w:tcW w:w="527" w:type="pct"/>
            <w:vMerge w:val="restart"/>
            <w:shd w:val="clear" w:color="auto" w:fill="auto"/>
            <w:vAlign w:val="center"/>
          </w:tcPr>
          <w:p w14:paraId="0925DE38">
            <w:pPr>
              <w:pStyle w:val="404"/>
              <w:spacing w:line="240" w:lineRule="auto"/>
              <w:ind w:firstLine="0"/>
              <w:contextualSpacing/>
              <w:jc w:val="center"/>
              <w:rPr>
                <w:sz w:val="20"/>
                <w:szCs w:val="20"/>
              </w:rPr>
            </w:pPr>
            <w:r>
              <w:rPr>
                <w:sz w:val="20"/>
                <w:szCs w:val="20"/>
              </w:rPr>
              <w:t>Ожидаемые эффекты</w:t>
            </w:r>
          </w:p>
        </w:tc>
      </w:tr>
      <w:tr w14:paraId="59F7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20" w:hRule="atLeast"/>
          <w:tblHeader/>
        </w:trPr>
        <w:tc>
          <w:tcPr>
            <w:tcW w:w="661" w:type="pct"/>
            <w:vMerge w:val="continue"/>
            <w:shd w:val="clear" w:color="auto" w:fill="auto"/>
            <w:vAlign w:val="center"/>
          </w:tcPr>
          <w:p w14:paraId="3543137F">
            <w:pPr>
              <w:pStyle w:val="404"/>
              <w:spacing w:line="240" w:lineRule="auto"/>
              <w:ind w:firstLine="0"/>
              <w:contextualSpacing/>
              <w:jc w:val="center"/>
              <w:rPr>
                <w:sz w:val="20"/>
                <w:szCs w:val="20"/>
              </w:rPr>
            </w:pPr>
          </w:p>
        </w:tc>
        <w:tc>
          <w:tcPr>
            <w:tcW w:w="273" w:type="pct"/>
            <w:vMerge w:val="continue"/>
            <w:shd w:val="clear" w:color="auto" w:fill="auto"/>
            <w:vAlign w:val="center"/>
          </w:tcPr>
          <w:p w14:paraId="245AB713">
            <w:pPr>
              <w:pStyle w:val="404"/>
              <w:spacing w:line="240" w:lineRule="auto"/>
              <w:ind w:firstLine="0"/>
              <w:contextualSpacing/>
              <w:jc w:val="center"/>
              <w:rPr>
                <w:sz w:val="20"/>
                <w:szCs w:val="20"/>
              </w:rPr>
            </w:pPr>
          </w:p>
        </w:tc>
        <w:tc>
          <w:tcPr>
            <w:tcW w:w="594" w:type="pct"/>
            <w:vMerge w:val="continue"/>
            <w:shd w:val="clear" w:color="auto" w:fill="auto"/>
            <w:vAlign w:val="center"/>
          </w:tcPr>
          <w:p w14:paraId="79CC4A67">
            <w:pPr>
              <w:pStyle w:val="404"/>
              <w:spacing w:line="240" w:lineRule="auto"/>
              <w:ind w:firstLine="0"/>
              <w:contextualSpacing/>
              <w:jc w:val="center"/>
              <w:rPr>
                <w:sz w:val="20"/>
                <w:szCs w:val="20"/>
              </w:rPr>
            </w:pPr>
          </w:p>
        </w:tc>
        <w:tc>
          <w:tcPr>
            <w:tcW w:w="1681" w:type="pct"/>
            <w:vMerge w:val="continue"/>
            <w:shd w:val="clear" w:color="auto" w:fill="auto"/>
            <w:vAlign w:val="center"/>
          </w:tcPr>
          <w:p w14:paraId="147AFA5C">
            <w:pPr>
              <w:pStyle w:val="404"/>
              <w:spacing w:line="240" w:lineRule="auto"/>
              <w:ind w:firstLine="0"/>
              <w:contextualSpacing/>
              <w:jc w:val="center"/>
              <w:rPr>
                <w:sz w:val="20"/>
                <w:szCs w:val="20"/>
              </w:rPr>
            </w:pPr>
          </w:p>
        </w:tc>
        <w:tc>
          <w:tcPr>
            <w:tcW w:w="630" w:type="pct"/>
            <w:gridSpan w:val="2"/>
            <w:vMerge w:val="continue"/>
            <w:shd w:val="clear" w:color="auto" w:fill="auto"/>
            <w:noWrap/>
            <w:vAlign w:val="center"/>
          </w:tcPr>
          <w:p w14:paraId="137410E1">
            <w:pPr>
              <w:pStyle w:val="404"/>
              <w:spacing w:line="240" w:lineRule="auto"/>
              <w:ind w:firstLine="0"/>
              <w:contextualSpacing/>
              <w:jc w:val="center"/>
              <w:rPr>
                <w:sz w:val="20"/>
                <w:szCs w:val="20"/>
              </w:rPr>
            </w:pPr>
          </w:p>
        </w:tc>
        <w:tc>
          <w:tcPr>
            <w:tcW w:w="617" w:type="pct"/>
            <w:shd w:val="clear" w:color="auto" w:fill="auto"/>
            <w:noWrap/>
            <w:vAlign w:val="center"/>
          </w:tcPr>
          <w:p w14:paraId="3DC9F987">
            <w:pPr>
              <w:pStyle w:val="404"/>
              <w:spacing w:line="240" w:lineRule="auto"/>
              <w:ind w:firstLine="0"/>
              <w:contextualSpacing/>
              <w:jc w:val="center"/>
              <w:rPr>
                <w:sz w:val="20"/>
                <w:szCs w:val="20"/>
              </w:rPr>
            </w:pPr>
            <w:r>
              <w:rPr>
                <w:sz w:val="20"/>
                <w:szCs w:val="20"/>
              </w:rPr>
              <w:t>2024-2029</w:t>
            </w:r>
          </w:p>
        </w:tc>
        <w:tc>
          <w:tcPr>
            <w:tcW w:w="527" w:type="pct"/>
            <w:vMerge w:val="continue"/>
            <w:shd w:val="clear" w:color="auto" w:fill="auto"/>
            <w:vAlign w:val="center"/>
          </w:tcPr>
          <w:p w14:paraId="079DA55F">
            <w:pPr>
              <w:pStyle w:val="404"/>
              <w:spacing w:line="240" w:lineRule="auto"/>
              <w:ind w:firstLine="0"/>
              <w:contextualSpacing/>
              <w:jc w:val="center"/>
              <w:rPr>
                <w:sz w:val="20"/>
                <w:szCs w:val="20"/>
              </w:rPr>
            </w:pPr>
          </w:p>
        </w:tc>
      </w:tr>
      <w:tr w14:paraId="50B3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20" w:hRule="atLeast"/>
        </w:trPr>
        <w:tc>
          <w:tcPr>
            <w:tcW w:w="3216" w:type="pct"/>
            <w:gridSpan w:val="5"/>
            <w:shd w:val="clear" w:color="auto" w:fill="auto"/>
            <w:vAlign w:val="center"/>
          </w:tcPr>
          <w:p w14:paraId="678DA24B">
            <w:pPr>
              <w:pStyle w:val="404"/>
              <w:spacing w:line="240" w:lineRule="auto"/>
              <w:ind w:firstLine="0"/>
              <w:contextualSpacing/>
              <w:jc w:val="center"/>
              <w:rPr>
                <w:sz w:val="20"/>
                <w:szCs w:val="20"/>
              </w:rPr>
            </w:pPr>
            <w:r>
              <w:rPr>
                <w:sz w:val="20"/>
                <w:szCs w:val="20"/>
              </w:rPr>
              <w:t>Всего по проектам схемы теплоснабжения, в том числе:</w:t>
            </w:r>
          </w:p>
        </w:tc>
        <w:tc>
          <w:tcPr>
            <w:tcW w:w="624" w:type="pct"/>
            <w:shd w:val="clear" w:color="auto" w:fill="auto"/>
            <w:noWrap/>
            <w:vAlign w:val="center"/>
          </w:tcPr>
          <w:p w14:paraId="0D4A799B">
            <w:pPr>
              <w:pStyle w:val="404"/>
              <w:spacing w:line="240" w:lineRule="auto"/>
              <w:ind w:firstLine="0"/>
              <w:contextualSpacing/>
              <w:jc w:val="center"/>
              <w:rPr>
                <w:sz w:val="20"/>
                <w:szCs w:val="20"/>
              </w:rPr>
            </w:pPr>
            <w:r>
              <w:rPr>
                <w:sz w:val="20"/>
                <w:szCs w:val="20"/>
              </w:rPr>
              <w:t>40501,67</w:t>
            </w:r>
          </w:p>
        </w:tc>
        <w:tc>
          <w:tcPr>
            <w:tcW w:w="617" w:type="pct"/>
            <w:shd w:val="clear" w:color="auto" w:fill="auto"/>
            <w:noWrap/>
            <w:vAlign w:val="center"/>
          </w:tcPr>
          <w:p w14:paraId="1A6BC02A">
            <w:pPr>
              <w:pStyle w:val="404"/>
              <w:spacing w:line="240" w:lineRule="auto"/>
              <w:ind w:firstLine="0"/>
              <w:contextualSpacing/>
              <w:jc w:val="center"/>
              <w:rPr>
                <w:sz w:val="20"/>
                <w:szCs w:val="20"/>
              </w:rPr>
            </w:pPr>
            <w:r>
              <w:rPr>
                <w:sz w:val="20"/>
                <w:szCs w:val="20"/>
              </w:rPr>
              <w:t>40501,67</w:t>
            </w:r>
          </w:p>
        </w:tc>
        <w:tc>
          <w:tcPr>
            <w:tcW w:w="527" w:type="pct"/>
            <w:shd w:val="clear" w:color="auto" w:fill="auto"/>
            <w:vAlign w:val="center"/>
          </w:tcPr>
          <w:p w14:paraId="43B57C51">
            <w:pPr>
              <w:pStyle w:val="404"/>
              <w:spacing w:line="240" w:lineRule="auto"/>
              <w:ind w:firstLine="0"/>
              <w:contextualSpacing/>
              <w:jc w:val="center"/>
              <w:rPr>
                <w:sz w:val="20"/>
                <w:szCs w:val="20"/>
              </w:rPr>
            </w:pPr>
          </w:p>
        </w:tc>
      </w:tr>
      <w:tr w14:paraId="77B0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14:paraId="2CE462BD">
            <w:pPr>
              <w:pStyle w:val="404"/>
              <w:spacing w:line="240" w:lineRule="auto"/>
              <w:ind w:firstLine="0"/>
              <w:contextualSpacing/>
              <w:jc w:val="center"/>
              <w:rPr>
                <w:sz w:val="20"/>
                <w:szCs w:val="20"/>
              </w:rPr>
            </w:pPr>
            <w:r>
              <w:rPr>
                <w:sz w:val="20"/>
                <w:szCs w:val="20"/>
              </w:rPr>
              <w:t>1. Проекты по новому строительству и реконструкции тепловых сетей</w:t>
            </w:r>
          </w:p>
        </w:tc>
      </w:tr>
      <w:tr w14:paraId="1514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20" w:hRule="atLeast"/>
        </w:trPr>
        <w:tc>
          <w:tcPr>
            <w:tcW w:w="661" w:type="pct"/>
            <w:shd w:val="clear" w:color="auto" w:fill="auto"/>
            <w:vAlign w:val="center"/>
          </w:tcPr>
          <w:p w14:paraId="484761AE">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3" w:type="pct"/>
            <w:shd w:val="clear" w:color="auto" w:fill="auto"/>
            <w:vAlign w:val="center"/>
          </w:tcPr>
          <w:p w14:paraId="4D8BAD3E">
            <w:pPr>
              <w:pStyle w:val="404"/>
              <w:spacing w:line="240" w:lineRule="auto"/>
              <w:ind w:firstLine="0"/>
              <w:contextualSpacing/>
              <w:jc w:val="center"/>
              <w:rPr>
                <w:sz w:val="20"/>
                <w:szCs w:val="20"/>
              </w:rPr>
            </w:pPr>
            <w:r>
              <w:rPr>
                <w:sz w:val="20"/>
                <w:szCs w:val="20"/>
              </w:rPr>
              <w:t>1.1.</w:t>
            </w:r>
          </w:p>
        </w:tc>
        <w:tc>
          <w:tcPr>
            <w:tcW w:w="594" w:type="pct"/>
            <w:shd w:val="clear" w:color="auto" w:fill="auto"/>
            <w:vAlign w:val="center"/>
          </w:tcPr>
          <w:p w14:paraId="467835E1">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681" w:type="pct"/>
            <w:shd w:val="clear" w:color="auto" w:fill="auto"/>
            <w:vAlign w:val="center"/>
          </w:tcPr>
          <w:p w14:paraId="2F57772D">
            <w:pPr>
              <w:pStyle w:val="404"/>
              <w:spacing w:line="240" w:lineRule="auto"/>
              <w:ind w:firstLine="0"/>
              <w:contextualSpacing/>
              <w:jc w:val="center"/>
              <w:rPr>
                <w:sz w:val="20"/>
                <w:szCs w:val="20"/>
              </w:rPr>
            </w:pPr>
            <w:r>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78442873">
            <w:pPr>
              <w:pStyle w:val="404"/>
              <w:spacing w:line="240" w:lineRule="auto"/>
              <w:ind w:firstLine="0"/>
              <w:contextualSpacing/>
              <w:jc w:val="center"/>
              <w:rPr>
                <w:sz w:val="20"/>
                <w:szCs w:val="20"/>
              </w:rPr>
            </w:pPr>
            <w:r>
              <w:rPr>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630" w:type="pct"/>
            <w:gridSpan w:val="2"/>
            <w:shd w:val="clear" w:color="auto" w:fill="auto"/>
            <w:noWrap/>
            <w:vAlign w:val="center"/>
          </w:tcPr>
          <w:p w14:paraId="4619CBE0">
            <w:pPr>
              <w:pStyle w:val="404"/>
              <w:spacing w:line="240" w:lineRule="auto"/>
              <w:ind w:firstLine="0"/>
              <w:contextualSpacing/>
              <w:jc w:val="center"/>
              <w:rPr>
                <w:sz w:val="20"/>
                <w:szCs w:val="20"/>
              </w:rPr>
            </w:pPr>
            <w:r>
              <w:rPr>
                <w:sz w:val="20"/>
                <w:szCs w:val="20"/>
              </w:rPr>
              <w:t>40501,67</w:t>
            </w:r>
          </w:p>
        </w:tc>
        <w:tc>
          <w:tcPr>
            <w:tcW w:w="617" w:type="pct"/>
            <w:shd w:val="clear" w:color="auto" w:fill="auto"/>
            <w:noWrap/>
            <w:vAlign w:val="center"/>
          </w:tcPr>
          <w:p w14:paraId="71A51A9A">
            <w:pPr>
              <w:pStyle w:val="404"/>
              <w:spacing w:line="240" w:lineRule="auto"/>
              <w:ind w:firstLine="0"/>
              <w:contextualSpacing/>
              <w:jc w:val="center"/>
              <w:rPr>
                <w:sz w:val="20"/>
                <w:szCs w:val="20"/>
              </w:rPr>
            </w:pPr>
            <w:r>
              <w:rPr>
                <w:sz w:val="20"/>
                <w:szCs w:val="20"/>
              </w:rPr>
              <w:t>40501,67</w:t>
            </w:r>
          </w:p>
        </w:tc>
        <w:tc>
          <w:tcPr>
            <w:tcW w:w="527" w:type="pct"/>
            <w:shd w:val="clear" w:color="auto" w:fill="auto"/>
            <w:vAlign w:val="center"/>
          </w:tcPr>
          <w:p w14:paraId="6EE63055">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14:paraId="1EC3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14:paraId="1B32A42D">
            <w:pPr>
              <w:pStyle w:val="404"/>
              <w:spacing w:line="240" w:lineRule="auto"/>
              <w:ind w:firstLine="0"/>
              <w:contextualSpacing/>
              <w:jc w:val="left"/>
              <w:rPr>
                <w:sz w:val="20"/>
                <w:szCs w:val="20"/>
              </w:rPr>
            </w:pPr>
            <w:r>
              <w:rPr>
                <w:sz w:val="20"/>
                <w:szCs w:val="20"/>
              </w:rPr>
              <w:t>в том числе:</w:t>
            </w:r>
          </w:p>
        </w:tc>
      </w:tr>
      <w:tr w14:paraId="5FFD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20" w:hRule="atLeast"/>
        </w:trPr>
        <w:tc>
          <w:tcPr>
            <w:tcW w:w="661" w:type="pct"/>
            <w:shd w:val="clear" w:color="auto" w:fill="auto"/>
            <w:vAlign w:val="center"/>
          </w:tcPr>
          <w:p w14:paraId="74EF5A81">
            <w:pPr>
              <w:pStyle w:val="404"/>
              <w:spacing w:line="240" w:lineRule="auto"/>
              <w:ind w:firstLine="0"/>
              <w:contextualSpacing/>
              <w:jc w:val="center"/>
              <w:rPr>
                <w:sz w:val="20"/>
                <w:szCs w:val="20"/>
              </w:rPr>
            </w:pPr>
            <w:r>
              <w:rPr>
                <w:sz w:val="20"/>
                <w:szCs w:val="20"/>
              </w:rPr>
              <w:t>Зона действия теплоутилизационных установок КС «Верхнеказымская», котельных «Вирбекс», «2БВК»</w:t>
            </w:r>
          </w:p>
        </w:tc>
        <w:tc>
          <w:tcPr>
            <w:tcW w:w="273" w:type="pct"/>
            <w:shd w:val="clear" w:color="auto" w:fill="auto"/>
            <w:vAlign w:val="center"/>
          </w:tcPr>
          <w:p w14:paraId="79127F1F">
            <w:pPr>
              <w:pStyle w:val="404"/>
              <w:spacing w:line="240" w:lineRule="auto"/>
              <w:ind w:firstLine="0"/>
              <w:contextualSpacing/>
              <w:jc w:val="center"/>
              <w:rPr>
                <w:sz w:val="20"/>
                <w:szCs w:val="20"/>
              </w:rPr>
            </w:pPr>
            <w:r>
              <w:rPr>
                <w:bCs/>
                <w:sz w:val="20"/>
                <w:szCs w:val="20"/>
              </w:rPr>
              <w:t>1.1.1</w:t>
            </w:r>
          </w:p>
        </w:tc>
        <w:tc>
          <w:tcPr>
            <w:tcW w:w="594" w:type="pct"/>
            <w:shd w:val="clear" w:color="auto" w:fill="auto"/>
            <w:vAlign w:val="center"/>
          </w:tcPr>
          <w:p w14:paraId="56BF3465">
            <w:pPr>
              <w:pStyle w:val="404"/>
              <w:spacing w:line="240" w:lineRule="auto"/>
              <w:ind w:firstLine="0"/>
              <w:contextualSpacing/>
              <w:jc w:val="center"/>
              <w:rPr>
                <w:sz w:val="20"/>
                <w:szCs w:val="20"/>
              </w:rPr>
            </w:pPr>
            <w:r>
              <w:rPr>
                <w:sz w:val="20"/>
                <w:szCs w:val="20"/>
              </w:rPr>
              <w:t>Строительство распределительных сетей теплоснабжения для обеспечения перспективных приростов тепловой нагрузки.</w:t>
            </w:r>
          </w:p>
        </w:tc>
        <w:tc>
          <w:tcPr>
            <w:tcW w:w="1681" w:type="pct"/>
            <w:shd w:val="clear" w:color="auto" w:fill="auto"/>
            <w:vAlign w:val="center"/>
          </w:tcPr>
          <w:p w14:paraId="3399C539">
            <w:pPr>
              <w:pStyle w:val="404"/>
              <w:spacing w:line="240" w:lineRule="auto"/>
              <w:ind w:firstLine="0"/>
              <w:contextualSpacing/>
              <w:jc w:val="center"/>
              <w:rPr>
                <w:sz w:val="20"/>
                <w:szCs w:val="20"/>
              </w:rPr>
            </w:pPr>
            <w:r>
              <w:rPr>
                <w:sz w:val="20"/>
                <w:szCs w:val="20"/>
              </w:rPr>
              <w:t>Строительство теплотрассы к для подключения:</w:t>
            </w:r>
          </w:p>
          <w:p w14:paraId="0FDB62B2">
            <w:pPr>
              <w:pStyle w:val="404"/>
              <w:spacing w:line="240" w:lineRule="auto"/>
              <w:ind w:firstLine="0"/>
              <w:contextualSpacing/>
              <w:jc w:val="center"/>
              <w:rPr>
                <w:sz w:val="20"/>
                <w:szCs w:val="20"/>
              </w:rPr>
            </w:pPr>
            <w:r>
              <w:rPr>
                <w:sz w:val="20"/>
                <w:szCs w:val="20"/>
              </w:rPr>
              <w:t xml:space="preserve"> - перспективного здания ФОК Т1, Т2 = Ду 100, протяженностью 86 м;</w:t>
            </w:r>
          </w:p>
          <w:p w14:paraId="0E1F7964">
            <w:pPr>
              <w:pStyle w:val="404"/>
              <w:spacing w:line="240" w:lineRule="auto"/>
              <w:ind w:firstLine="0"/>
              <w:contextualSpacing/>
              <w:jc w:val="center"/>
              <w:rPr>
                <w:sz w:val="20"/>
                <w:szCs w:val="20"/>
              </w:rPr>
            </w:pPr>
            <w:r>
              <w:rPr>
                <w:sz w:val="20"/>
                <w:szCs w:val="20"/>
              </w:rPr>
              <w:t xml:space="preserve"> - 2-х перспективных многокв. ж. домов в 3 мкр -  ж.д.3-6/1 (20 квартир на месте 3-6), ж.д. 3-5/1 (24 квариры на месте 3-5) - Т1,Т2 = Ду 100 L=28 м, Т1,Т2 = Ду 50 L=6 м, Т1,Т2 = Ду 70 L=90 м;</w:t>
            </w:r>
            <w:r>
              <w:rPr>
                <w:sz w:val="20"/>
                <w:szCs w:val="20"/>
              </w:rPr>
              <w:br w:type="textWrapping"/>
            </w:r>
            <w:r>
              <w:rPr>
                <w:sz w:val="20"/>
                <w:szCs w:val="20"/>
              </w:rPr>
              <w:t xml:space="preserve"> -  перспективного многокв. ж. дома в 3 мкр: ж.д.3-7/1 (42 квартиры на месте 3-7) - Т1,Т2 = Ду 70 L =30 м;</w:t>
            </w:r>
            <w:r>
              <w:rPr>
                <w:sz w:val="20"/>
                <w:szCs w:val="20"/>
              </w:rPr>
              <w:br w:type="textWrapping"/>
            </w:r>
            <w:r>
              <w:rPr>
                <w:sz w:val="20"/>
                <w:szCs w:val="20"/>
              </w:rPr>
              <w:t xml:space="preserve"> - перспективного многокв. ж. дома во 2 мкр: ж.д.2-15/1 (3-хэт. 24 кв. на месте 3-15) - Т1,Т2 = Ду 80 L =105 м;</w:t>
            </w:r>
            <w:r>
              <w:rPr>
                <w:sz w:val="20"/>
                <w:szCs w:val="20"/>
              </w:rPr>
              <w:br w:type="textWrapping"/>
            </w:r>
            <w:r>
              <w:rPr>
                <w:sz w:val="20"/>
                <w:szCs w:val="20"/>
              </w:rPr>
              <w:t xml:space="preserve"> - перспективного многокв. ж. дома во 2 мкр: ж.д.2-1/1 (3 эт 24 кв. на месте 2-1); и существующих зданий №№ 2-6, 2-6А, 2-6Б - Т1,Т2 = Ду 100 L =70 м, Т1,Т2 = Ду 80 L =40 м;</w:t>
            </w:r>
            <w:r>
              <w:rPr>
                <w:sz w:val="20"/>
                <w:szCs w:val="20"/>
              </w:rPr>
              <w:br w:type="textWrapping"/>
            </w:r>
            <w:r>
              <w:rPr>
                <w:sz w:val="20"/>
                <w:szCs w:val="20"/>
              </w:rPr>
              <w:t xml:space="preserve"> - 2-х перспективных многокв. ж. домов во 2 мкр -  ж.д.2-2/1 (24 кв. на месте 2-2), ж.д. 2-3/1 (24 кв. на месте 2-3) - Т1,Т2 = Ду 100 L =35 м, Т1,Т2 = Ду 80 L =80 м;</w:t>
            </w:r>
            <w:r>
              <w:rPr>
                <w:sz w:val="20"/>
                <w:szCs w:val="20"/>
              </w:rPr>
              <w:br w:type="textWrapping"/>
            </w:r>
            <w:r>
              <w:rPr>
                <w:sz w:val="20"/>
                <w:szCs w:val="20"/>
              </w:rPr>
              <w:t xml:space="preserve"> - перспективного многокв. ж. дома во 2 мкр: ж.д.2-11/1 (24 кв. на месте 2-11) - Т1,Т2 = Ду 150 L =30 м, Т1,Т2 = Ду 70 L =40 м;</w:t>
            </w:r>
            <w:r>
              <w:rPr>
                <w:sz w:val="20"/>
                <w:szCs w:val="20"/>
              </w:rPr>
              <w:br w:type="textWrapping"/>
            </w:r>
            <w:r>
              <w:rPr>
                <w:sz w:val="20"/>
                <w:szCs w:val="20"/>
              </w:rPr>
              <w:t xml:space="preserve"> - перспективного многокв. ж. дома во 2 мкр: ж.д.2-12/1 (24 кв. на месте 2-12) - Т1,Т2 = Ду 70 L =12 м;</w:t>
            </w:r>
            <w:r>
              <w:rPr>
                <w:sz w:val="20"/>
                <w:szCs w:val="20"/>
              </w:rPr>
              <w:br w:type="textWrapping"/>
            </w:r>
            <w:r>
              <w:rPr>
                <w:sz w:val="20"/>
                <w:szCs w:val="20"/>
              </w:rPr>
              <w:t xml:space="preserve"> - 2-х перспективных многокв. ж. домов во 2 мкр -  ж.д.2-13/1 (24 кв. на месте 2-13), ж.д. 2-14/1 (24 кв. на месте 2-14) - Т1,Т2 = Ду 100 L =35 м, Т1,Т2 = Ду 70 L =100 м.</w:t>
            </w:r>
          </w:p>
        </w:tc>
        <w:tc>
          <w:tcPr>
            <w:tcW w:w="630" w:type="pct"/>
            <w:gridSpan w:val="2"/>
            <w:shd w:val="clear" w:color="auto" w:fill="auto"/>
            <w:noWrap/>
            <w:vAlign w:val="center"/>
          </w:tcPr>
          <w:p w14:paraId="69BE314F">
            <w:pPr>
              <w:pStyle w:val="404"/>
              <w:spacing w:line="240" w:lineRule="auto"/>
              <w:ind w:firstLine="0"/>
              <w:contextualSpacing/>
              <w:jc w:val="center"/>
              <w:rPr>
                <w:sz w:val="20"/>
                <w:szCs w:val="20"/>
              </w:rPr>
            </w:pPr>
            <w:r>
              <w:rPr>
                <w:sz w:val="20"/>
                <w:szCs w:val="20"/>
              </w:rPr>
              <w:t>10921,05</w:t>
            </w:r>
          </w:p>
        </w:tc>
        <w:tc>
          <w:tcPr>
            <w:tcW w:w="617" w:type="pct"/>
            <w:shd w:val="clear" w:color="auto" w:fill="auto"/>
            <w:noWrap/>
            <w:vAlign w:val="center"/>
          </w:tcPr>
          <w:p w14:paraId="1BB6217F">
            <w:pPr>
              <w:pStyle w:val="404"/>
              <w:spacing w:line="240" w:lineRule="auto"/>
              <w:ind w:firstLine="0"/>
              <w:contextualSpacing/>
              <w:jc w:val="center"/>
              <w:rPr>
                <w:sz w:val="20"/>
                <w:szCs w:val="20"/>
              </w:rPr>
            </w:pPr>
            <w:r>
              <w:rPr>
                <w:sz w:val="20"/>
                <w:szCs w:val="20"/>
              </w:rPr>
              <w:t>10921,05</w:t>
            </w:r>
          </w:p>
        </w:tc>
        <w:tc>
          <w:tcPr>
            <w:tcW w:w="527" w:type="pct"/>
            <w:shd w:val="clear" w:color="auto" w:fill="auto"/>
            <w:vAlign w:val="center"/>
          </w:tcPr>
          <w:p w14:paraId="2170658B">
            <w:pPr>
              <w:pStyle w:val="404"/>
              <w:spacing w:line="240" w:lineRule="auto"/>
              <w:ind w:firstLine="0"/>
              <w:contextualSpacing/>
              <w:jc w:val="center"/>
              <w:rPr>
                <w:sz w:val="20"/>
                <w:szCs w:val="20"/>
              </w:rPr>
            </w:pPr>
            <w:r>
              <w:rPr>
                <w:sz w:val="20"/>
                <w:szCs w:val="20"/>
              </w:rPr>
              <w:t>Качественное и надежное теплоснабжение перспективных потребителей</w:t>
            </w:r>
          </w:p>
        </w:tc>
      </w:tr>
      <w:tr w14:paraId="1CD3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20" w:hRule="atLeast"/>
        </w:trPr>
        <w:tc>
          <w:tcPr>
            <w:tcW w:w="661" w:type="pct"/>
            <w:shd w:val="clear" w:color="auto" w:fill="auto"/>
            <w:vAlign w:val="center"/>
          </w:tcPr>
          <w:p w14:paraId="668CF12A">
            <w:pPr>
              <w:pStyle w:val="404"/>
              <w:spacing w:line="240" w:lineRule="auto"/>
              <w:ind w:firstLine="0"/>
              <w:contextualSpacing/>
              <w:jc w:val="center"/>
              <w:rPr>
                <w:sz w:val="20"/>
                <w:szCs w:val="20"/>
              </w:rPr>
            </w:pPr>
            <w:r>
              <w:rPr>
                <w:sz w:val="20"/>
                <w:szCs w:val="20"/>
              </w:rPr>
              <w:t>Зона действия теплоутилизационных установок КС «Верхнеказымская», котельных «Вирбекс», «2БВК»</w:t>
            </w:r>
          </w:p>
        </w:tc>
        <w:tc>
          <w:tcPr>
            <w:tcW w:w="273" w:type="pct"/>
            <w:shd w:val="clear" w:color="auto" w:fill="auto"/>
            <w:vAlign w:val="center"/>
          </w:tcPr>
          <w:p w14:paraId="59280B7E">
            <w:pPr>
              <w:pStyle w:val="404"/>
              <w:spacing w:line="240" w:lineRule="auto"/>
              <w:ind w:firstLine="0"/>
              <w:contextualSpacing/>
              <w:jc w:val="center"/>
              <w:rPr>
                <w:sz w:val="20"/>
                <w:szCs w:val="20"/>
              </w:rPr>
            </w:pPr>
            <w:r>
              <w:rPr>
                <w:bCs/>
                <w:sz w:val="20"/>
                <w:szCs w:val="20"/>
              </w:rPr>
              <w:t>1.1.2</w:t>
            </w:r>
          </w:p>
        </w:tc>
        <w:tc>
          <w:tcPr>
            <w:tcW w:w="594" w:type="pct"/>
            <w:shd w:val="clear" w:color="auto" w:fill="auto"/>
            <w:vAlign w:val="center"/>
          </w:tcPr>
          <w:p w14:paraId="2C3C119F">
            <w:pPr>
              <w:pStyle w:val="404"/>
              <w:spacing w:line="240" w:lineRule="auto"/>
              <w:ind w:firstLine="0"/>
              <w:contextualSpacing/>
              <w:jc w:val="center"/>
              <w:rPr>
                <w:sz w:val="20"/>
                <w:szCs w:val="20"/>
              </w:rPr>
            </w:pPr>
            <w:r>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681" w:type="pct"/>
            <w:shd w:val="clear" w:color="auto" w:fill="auto"/>
            <w:vAlign w:val="center"/>
          </w:tcPr>
          <w:p w14:paraId="10B495F9">
            <w:pPr>
              <w:pStyle w:val="404"/>
              <w:spacing w:line="240" w:lineRule="auto"/>
              <w:ind w:firstLine="0"/>
              <w:contextualSpacing/>
              <w:jc w:val="center"/>
              <w:rPr>
                <w:sz w:val="20"/>
                <w:szCs w:val="20"/>
              </w:rPr>
            </w:pPr>
            <w:r>
              <w:rPr>
                <w:sz w:val="20"/>
                <w:szCs w:val="20"/>
              </w:rPr>
              <w:t>Реконструкция теплотрассы от ТК2 до ТК2а и от ТК2а до ТК50 (Т1, Т2 с Ду 100 на Ду 150 протяженностью 90 м; Т3, Т4 с Ду 80 на Ду 80 протяженностью 33 м).</w:t>
            </w:r>
            <w:r>
              <w:rPr>
                <w:sz w:val="20"/>
                <w:szCs w:val="20"/>
              </w:rPr>
              <w:br w:type="textWrapping"/>
            </w:r>
            <w:r>
              <w:rPr>
                <w:sz w:val="20"/>
                <w:szCs w:val="20"/>
              </w:rPr>
              <w:t>Реконструкция (вынос) и строительство,  теплосетей для подключения 2-х 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Pr>
                <w:sz w:val="20"/>
                <w:szCs w:val="20"/>
              </w:rPr>
              <w:br w:type="textWrapping"/>
            </w:r>
            <w:r>
              <w:rPr>
                <w:sz w:val="20"/>
                <w:szCs w:val="20"/>
              </w:rPr>
              <w:t>Реконструкция (вынос) и строительство,  теплосетей для подключения перспективного многокв. ж. дома во 2 мкр: ж.д.2-9/1 (24 кв. на месте 2-9) и существующих зданий №№ 2-23, 2-16, 2-17, 2-18, 2-19, 2-20, 2-21 - Т1,Т2 = Ду 150 L=30 м, Т1,Т2 = Ду 80 L=120 м,  Т3,Т4 = Ду 50 L=80 м.</w:t>
            </w:r>
          </w:p>
        </w:tc>
        <w:tc>
          <w:tcPr>
            <w:tcW w:w="630" w:type="pct"/>
            <w:gridSpan w:val="2"/>
            <w:shd w:val="clear" w:color="auto" w:fill="auto"/>
            <w:noWrap/>
            <w:vAlign w:val="center"/>
          </w:tcPr>
          <w:p w14:paraId="5363FA13">
            <w:pPr>
              <w:pStyle w:val="404"/>
              <w:spacing w:line="240" w:lineRule="auto"/>
              <w:ind w:firstLine="0"/>
              <w:contextualSpacing/>
              <w:jc w:val="center"/>
              <w:rPr>
                <w:sz w:val="20"/>
                <w:szCs w:val="20"/>
              </w:rPr>
            </w:pPr>
            <w:r>
              <w:rPr>
                <w:sz w:val="20"/>
                <w:szCs w:val="20"/>
              </w:rPr>
              <w:t>29580,62</w:t>
            </w:r>
          </w:p>
        </w:tc>
        <w:tc>
          <w:tcPr>
            <w:tcW w:w="617" w:type="pct"/>
            <w:shd w:val="clear" w:color="auto" w:fill="auto"/>
            <w:noWrap/>
            <w:vAlign w:val="center"/>
          </w:tcPr>
          <w:p w14:paraId="38AE4200">
            <w:pPr>
              <w:pStyle w:val="404"/>
              <w:spacing w:line="240" w:lineRule="auto"/>
              <w:ind w:firstLine="0"/>
              <w:contextualSpacing/>
              <w:jc w:val="center"/>
              <w:rPr>
                <w:sz w:val="20"/>
                <w:szCs w:val="20"/>
              </w:rPr>
            </w:pPr>
            <w:r>
              <w:rPr>
                <w:sz w:val="20"/>
                <w:szCs w:val="20"/>
              </w:rPr>
              <w:t>29580,62</w:t>
            </w:r>
          </w:p>
        </w:tc>
        <w:tc>
          <w:tcPr>
            <w:tcW w:w="527" w:type="pct"/>
            <w:shd w:val="clear" w:color="auto" w:fill="auto"/>
            <w:vAlign w:val="center"/>
          </w:tcPr>
          <w:p w14:paraId="3A5C9645">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w:t>
            </w:r>
          </w:p>
          <w:p w14:paraId="60240EBD">
            <w:pPr>
              <w:pStyle w:val="404"/>
              <w:spacing w:line="240" w:lineRule="auto"/>
              <w:ind w:firstLine="0"/>
              <w:contextualSpacing/>
              <w:jc w:val="center"/>
              <w:rPr>
                <w:sz w:val="20"/>
                <w:szCs w:val="20"/>
              </w:rPr>
            </w:pPr>
            <w:r>
              <w:rPr>
                <w:sz w:val="20"/>
                <w:szCs w:val="20"/>
              </w:rPr>
              <w:t xml:space="preserve"> Оптимизация существующей системы теплоснабжения</w:t>
            </w:r>
          </w:p>
        </w:tc>
      </w:tr>
    </w:tbl>
    <w:p w14:paraId="6A6A9848">
      <w:pPr>
        <w:spacing w:after="0" w:line="240" w:lineRule="auto"/>
        <w:ind w:firstLine="0"/>
        <w:contextualSpacing/>
        <w:jc w:val="both"/>
        <w:rPr>
          <w:sz w:val="24"/>
          <w:szCs w:val="24"/>
        </w:rPr>
      </w:pPr>
    </w:p>
    <w:p w14:paraId="6D64DD87">
      <w:pPr>
        <w:spacing w:after="0" w:line="240" w:lineRule="auto"/>
        <w:ind w:firstLine="0"/>
        <w:contextualSpacing/>
        <w:jc w:val="both"/>
        <w:rPr>
          <w:sz w:val="24"/>
          <w:szCs w:val="24"/>
        </w:rPr>
      </w:pPr>
    </w:p>
    <w:p w14:paraId="7FB9EA5C">
      <w:pPr>
        <w:spacing w:after="0" w:line="240" w:lineRule="auto"/>
        <w:ind w:firstLine="0"/>
        <w:contextualSpacing/>
        <w:jc w:val="both"/>
        <w:rPr>
          <w:sz w:val="24"/>
          <w:szCs w:val="24"/>
        </w:rPr>
      </w:pPr>
    </w:p>
    <w:p w14:paraId="2551CD3C">
      <w:pPr>
        <w:spacing w:after="0" w:line="240" w:lineRule="auto"/>
        <w:contextualSpacing/>
        <w:jc w:val="both"/>
        <w:rPr>
          <w:sz w:val="24"/>
          <w:szCs w:val="24"/>
        </w:rPr>
      </w:pPr>
    </w:p>
    <w:p w14:paraId="662F181F">
      <w:pPr>
        <w:spacing w:after="0" w:line="240" w:lineRule="auto"/>
        <w:contextualSpacing/>
        <w:jc w:val="both"/>
        <w:rPr>
          <w:sz w:val="24"/>
          <w:szCs w:val="24"/>
        </w:rPr>
        <w:sectPr>
          <w:pgSz w:w="16838" w:h="11906" w:orient="landscape"/>
          <w:pgMar w:top="1418" w:right="567" w:bottom="1134" w:left="1134" w:header="709" w:footer="709" w:gutter="0"/>
          <w:cols w:space="708" w:num="1"/>
          <w:docGrid w:linePitch="381" w:charSpace="0"/>
        </w:sectPr>
      </w:pPr>
    </w:p>
    <w:p w14:paraId="1BF2B4DF">
      <w:pPr>
        <w:pStyle w:val="3"/>
        <w:spacing w:before="0" w:line="240" w:lineRule="auto"/>
        <w:ind w:left="0" w:firstLine="709"/>
        <w:contextualSpacing/>
        <w:rPr>
          <w:rFonts w:cs="Times New Roman"/>
          <w:b w:val="0"/>
          <w:sz w:val="24"/>
          <w:szCs w:val="24"/>
        </w:rPr>
      </w:pPr>
      <w:bookmarkStart w:id="565" w:name="_Toc182814024"/>
      <w:bookmarkStart w:id="566" w:name="_Toc524615086"/>
      <w:bookmarkStart w:id="567" w:name="_Toc524614870"/>
      <w:r>
        <w:rPr>
          <w:rFonts w:cs="Times New Roman"/>
          <w:b w:val="0"/>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65"/>
      <w:bookmarkEnd w:id="566"/>
      <w:bookmarkEnd w:id="567"/>
    </w:p>
    <w:p w14:paraId="200093A1">
      <w:pPr>
        <w:spacing w:after="0" w:line="240" w:lineRule="auto"/>
        <w:contextualSpacing/>
        <w:jc w:val="both"/>
        <w:rPr>
          <w:sz w:val="24"/>
          <w:szCs w:val="24"/>
        </w:rPr>
      </w:pPr>
      <w:bookmarkStart w:id="568" w:name="_Hlk22219791"/>
      <w:bookmarkStart w:id="569" w:name="_Hlk22217762"/>
      <w:r>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23E7F9D2">
      <w:pPr>
        <w:spacing w:after="0" w:line="240" w:lineRule="auto"/>
        <w:contextualSpacing/>
        <w:jc w:val="both"/>
        <w:rPr>
          <w:sz w:val="24"/>
          <w:szCs w:val="24"/>
        </w:rPr>
      </w:pPr>
    </w:p>
    <w:bookmarkEnd w:id="568"/>
    <w:bookmarkEnd w:id="569"/>
    <w:p w14:paraId="43E54570">
      <w:pPr>
        <w:pStyle w:val="3"/>
        <w:spacing w:before="0" w:line="240" w:lineRule="auto"/>
        <w:ind w:left="0" w:firstLine="709"/>
        <w:contextualSpacing/>
        <w:rPr>
          <w:rFonts w:cs="Times New Roman"/>
          <w:b w:val="0"/>
          <w:sz w:val="24"/>
          <w:szCs w:val="24"/>
        </w:rPr>
      </w:pPr>
      <w:bookmarkStart w:id="570" w:name="_Toc524614871"/>
      <w:bookmarkStart w:id="571" w:name="_Toc524615087"/>
      <w:bookmarkStart w:id="572" w:name="_Toc182814025"/>
      <w:r>
        <w:rPr>
          <w:rFonts w:cs="Times New Roman"/>
          <w:b w:val="0"/>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70"/>
      <w:bookmarkEnd w:id="571"/>
      <w:bookmarkEnd w:id="572"/>
    </w:p>
    <w:p w14:paraId="0C37593F">
      <w:pPr>
        <w:spacing w:after="0" w:line="240" w:lineRule="auto"/>
        <w:contextualSpacing/>
        <w:jc w:val="both"/>
        <w:rPr>
          <w:sz w:val="24"/>
          <w:szCs w:val="24"/>
        </w:rPr>
      </w:pPr>
      <w:bookmarkStart w:id="573" w:name="_Hlk10420208"/>
      <w:r>
        <w:rPr>
          <w:sz w:val="24"/>
          <w:szCs w:val="24"/>
        </w:rPr>
        <w:t>Перевод котельных в пиковый режим работы не предусматривается.</w:t>
      </w:r>
    </w:p>
    <w:p w14:paraId="2D3B8539">
      <w:pPr>
        <w:spacing w:after="0" w:line="240" w:lineRule="auto"/>
        <w:contextualSpacing/>
        <w:jc w:val="both"/>
        <w:rPr>
          <w:sz w:val="24"/>
          <w:szCs w:val="24"/>
        </w:rPr>
      </w:pPr>
      <w:r>
        <w:rPr>
          <w:sz w:val="24"/>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таблицах 60-61.</w:t>
      </w:r>
    </w:p>
    <w:p w14:paraId="50978601">
      <w:pPr>
        <w:spacing w:after="0" w:line="240" w:lineRule="auto"/>
        <w:contextualSpacing/>
        <w:jc w:val="both"/>
        <w:rPr>
          <w:sz w:val="24"/>
          <w:szCs w:val="24"/>
        </w:rPr>
      </w:pPr>
    </w:p>
    <w:p w14:paraId="31DA1323">
      <w:pPr>
        <w:spacing w:after="0" w:line="240" w:lineRule="auto"/>
        <w:contextualSpacing/>
        <w:jc w:val="both"/>
        <w:rPr>
          <w:sz w:val="24"/>
          <w:szCs w:val="24"/>
        </w:rPr>
      </w:pPr>
      <w:r>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53418611">
      <w:pPr>
        <w:spacing w:after="0" w:line="240" w:lineRule="auto"/>
        <w:contextualSpacing/>
        <w:jc w:val="both"/>
        <w:rPr>
          <w:sz w:val="24"/>
          <w:szCs w:val="24"/>
        </w:rPr>
      </w:pPr>
    </w:p>
    <w:bookmarkEnd w:id="573"/>
    <w:p w14:paraId="72054B78">
      <w:pPr>
        <w:pStyle w:val="3"/>
        <w:spacing w:before="0" w:line="240" w:lineRule="auto"/>
        <w:ind w:left="0" w:firstLine="709"/>
        <w:contextualSpacing/>
        <w:rPr>
          <w:rFonts w:cs="Times New Roman"/>
          <w:b w:val="0"/>
          <w:sz w:val="24"/>
          <w:szCs w:val="24"/>
        </w:rPr>
      </w:pPr>
      <w:bookmarkStart w:id="574" w:name="_Toc182814026"/>
      <w:bookmarkStart w:id="575" w:name="_Toc524614872"/>
      <w:bookmarkStart w:id="576" w:name="_Toc524615088"/>
      <w:r>
        <w:rPr>
          <w:rFonts w:cs="Times New Roman"/>
          <w:b w:val="0"/>
          <w:sz w:val="24"/>
          <w:szCs w:val="24"/>
        </w:rPr>
        <w:t>Предложения по строительству тепловых сетей для обеспечения нормативной надежности теплоснабжения</w:t>
      </w:r>
      <w:bookmarkEnd w:id="574"/>
      <w:bookmarkEnd w:id="575"/>
      <w:bookmarkEnd w:id="576"/>
    </w:p>
    <w:p w14:paraId="79F47BC9">
      <w:pPr>
        <w:spacing w:after="0" w:line="240" w:lineRule="auto"/>
        <w:contextualSpacing/>
        <w:jc w:val="both"/>
        <w:rPr>
          <w:sz w:val="24"/>
          <w:szCs w:val="24"/>
        </w:rPr>
      </w:pPr>
      <w:bookmarkStart w:id="577" w:name="_Hlk10420236"/>
      <w:r>
        <w:rPr>
          <w:sz w:val="24"/>
          <w:szCs w:val="24"/>
        </w:rPr>
        <w:t>Мероприятия по строительству сетей теплоснабжения в с.п. Верхнеказымский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6108A74B">
      <w:pPr>
        <w:spacing w:after="0" w:line="240" w:lineRule="auto"/>
        <w:contextualSpacing/>
        <w:jc w:val="both"/>
        <w:rPr>
          <w:sz w:val="24"/>
          <w:szCs w:val="24"/>
        </w:rPr>
      </w:pPr>
    </w:p>
    <w:bookmarkEnd w:id="577"/>
    <w:p w14:paraId="0DDDCBCA">
      <w:pPr>
        <w:pStyle w:val="3"/>
        <w:spacing w:before="0" w:line="240" w:lineRule="auto"/>
        <w:ind w:left="0" w:firstLine="709"/>
        <w:contextualSpacing/>
        <w:rPr>
          <w:rFonts w:cs="Times New Roman"/>
          <w:b w:val="0"/>
          <w:sz w:val="24"/>
          <w:szCs w:val="24"/>
        </w:rPr>
      </w:pPr>
      <w:bookmarkStart w:id="578" w:name="_Toc524614873"/>
      <w:bookmarkStart w:id="579" w:name="_Toc524615089"/>
      <w:bookmarkStart w:id="580" w:name="_Toc15640929"/>
      <w:bookmarkStart w:id="581" w:name="_Toc182814027"/>
      <w:bookmarkStart w:id="582" w:name="_Hlk15651615"/>
      <w:r>
        <w:rPr>
          <w:rFonts w:cs="Times New Roman"/>
          <w:b w:val="0"/>
          <w:sz w:val="24"/>
          <w:szCs w:val="24"/>
        </w:rPr>
        <w:t xml:space="preserve">Предложения </w:t>
      </w:r>
      <w:bookmarkEnd w:id="578"/>
      <w:bookmarkEnd w:id="579"/>
      <w:r>
        <w:rPr>
          <w:rFonts w:cs="Times New Roman"/>
          <w:b w:val="0"/>
          <w:sz w:val="24"/>
          <w:szCs w:val="24"/>
        </w:rPr>
        <w:t xml:space="preserve">по реконструкции и (или) модернизации тепловых сетей с увеличением диаметра трубопроводов </w:t>
      </w:r>
      <w:bookmarkStart w:id="583" w:name="_Hlk47356082"/>
      <w:r>
        <w:rPr>
          <w:rFonts w:cs="Times New Roman"/>
          <w:b w:val="0"/>
          <w:sz w:val="24"/>
          <w:szCs w:val="24"/>
        </w:rPr>
        <w:t>для обеспечения перспективных приростов тепловой нагрузки</w:t>
      </w:r>
      <w:bookmarkEnd w:id="580"/>
      <w:bookmarkEnd w:id="581"/>
    </w:p>
    <w:bookmarkEnd w:id="582"/>
    <w:bookmarkEnd w:id="583"/>
    <w:p w14:paraId="53D81278">
      <w:pPr>
        <w:spacing w:after="0" w:line="240" w:lineRule="auto"/>
        <w:contextualSpacing/>
        <w:jc w:val="both"/>
        <w:rPr>
          <w:sz w:val="24"/>
          <w:szCs w:val="24"/>
        </w:rPr>
      </w:pPr>
      <w:r>
        <w:rPr>
          <w:sz w:val="24"/>
          <w:szCs w:val="24"/>
        </w:rPr>
        <w:t>Реконструкция участков тепловой сети с увеличением диаметра трубопроводов для обеспечения перспективных приростов тепловой нагрузки, не требуется.</w:t>
      </w:r>
    </w:p>
    <w:p w14:paraId="70CB7C46">
      <w:pPr>
        <w:spacing w:after="0" w:line="240" w:lineRule="auto"/>
        <w:contextualSpacing/>
        <w:jc w:val="both"/>
        <w:rPr>
          <w:sz w:val="24"/>
          <w:szCs w:val="24"/>
        </w:rPr>
      </w:pPr>
    </w:p>
    <w:p w14:paraId="4BCD0245">
      <w:pPr>
        <w:pStyle w:val="3"/>
        <w:spacing w:before="0" w:line="240" w:lineRule="auto"/>
        <w:ind w:left="0" w:firstLine="709"/>
        <w:contextualSpacing/>
        <w:rPr>
          <w:rFonts w:cs="Times New Roman"/>
          <w:b w:val="0"/>
          <w:sz w:val="24"/>
          <w:szCs w:val="24"/>
        </w:rPr>
      </w:pPr>
      <w:bookmarkStart w:id="584" w:name="_Toc15640930"/>
      <w:bookmarkStart w:id="585" w:name="_Toc182814028"/>
      <w:bookmarkStart w:id="586" w:name="_Hlk15651631"/>
      <w:r>
        <w:rPr>
          <w:rFonts w:cs="Times New Roman"/>
          <w:b w:val="0"/>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584"/>
      <w:bookmarkEnd w:id="585"/>
    </w:p>
    <w:bookmarkEnd w:id="586"/>
    <w:p w14:paraId="6ED5A13F">
      <w:pPr>
        <w:widowControl w:val="0"/>
        <w:spacing w:after="0" w:line="240" w:lineRule="auto"/>
        <w:contextualSpacing/>
        <w:jc w:val="both"/>
        <w:rPr>
          <w:color w:val="000000"/>
          <w:sz w:val="24"/>
          <w:szCs w:val="24"/>
        </w:rPr>
      </w:pPr>
      <w:bookmarkStart w:id="587" w:name="_Hlk26709355"/>
      <w:bookmarkStart w:id="588" w:name="_Hlk10420276"/>
      <w:r>
        <w:rPr>
          <w:color w:val="000000"/>
          <w:sz w:val="24"/>
          <w:szCs w:val="24"/>
        </w:rPr>
        <w:t xml:space="preserve">С целью обеспечения качественным, бесперебойным теплоснабжением потребителей тепловой энергии </w:t>
      </w:r>
      <w:r>
        <w:rPr>
          <w:sz w:val="24"/>
          <w:szCs w:val="24"/>
        </w:rPr>
        <w:t xml:space="preserve">с.п. Верхнеказымский </w:t>
      </w:r>
      <w:r>
        <w:rPr>
          <w:color w:val="000000"/>
          <w:sz w:val="24"/>
          <w:szCs w:val="24"/>
        </w:rPr>
        <w:t>в качестве первоочередных мероприятий предусмотрено проведение капитальных ремонтов участков тепловых сетей, имеющих значительный износ.</w:t>
      </w:r>
    </w:p>
    <w:p w14:paraId="7F1C4998">
      <w:pPr>
        <w:spacing w:after="0" w:line="240" w:lineRule="auto"/>
        <w:contextualSpacing/>
        <w:jc w:val="both"/>
        <w:rPr>
          <w:sz w:val="24"/>
          <w:szCs w:val="24"/>
        </w:rPr>
      </w:pPr>
      <w:r>
        <w:rPr>
          <w:color w:val="000000"/>
          <w:sz w:val="24"/>
          <w:szCs w:val="24"/>
        </w:rPr>
        <w:t xml:space="preserve">Основной перечень мероприятий по реконструкции тепловых сетей, подлежащих замене в связи с исчерпанием эксплуатационного ресурса и технического перевооружения сооружений на них, представлен </w:t>
      </w:r>
      <w:r>
        <w:rPr>
          <w:sz w:val="24"/>
          <w:szCs w:val="24"/>
        </w:rPr>
        <w:t xml:space="preserve">в </w:t>
      </w:r>
      <w:bookmarkEnd w:id="587"/>
      <w:bookmarkEnd w:id="588"/>
      <w:r>
        <w:rPr>
          <w:sz w:val="24"/>
          <w:szCs w:val="24"/>
        </w:rPr>
        <w:t>таблице 61.</w:t>
      </w:r>
    </w:p>
    <w:p w14:paraId="02DBD20C">
      <w:pPr>
        <w:spacing w:after="0" w:line="240" w:lineRule="auto"/>
        <w:contextualSpacing/>
        <w:jc w:val="both"/>
        <w:rPr>
          <w:sz w:val="24"/>
          <w:szCs w:val="24"/>
        </w:rPr>
      </w:pPr>
    </w:p>
    <w:p w14:paraId="02AD5CD0">
      <w:pPr>
        <w:pStyle w:val="3"/>
        <w:spacing w:before="0" w:line="240" w:lineRule="auto"/>
        <w:ind w:left="0" w:firstLine="709"/>
        <w:contextualSpacing/>
        <w:rPr>
          <w:rFonts w:cs="Times New Roman"/>
          <w:b w:val="0"/>
          <w:sz w:val="24"/>
          <w:szCs w:val="24"/>
        </w:rPr>
      </w:pPr>
      <w:bookmarkStart w:id="589" w:name="_Toc524614874"/>
      <w:bookmarkStart w:id="590" w:name="_Toc524615090"/>
      <w:bookmarkStart w:id="591" w:name="_Toc15640931"/>
      <w:bookmarkStart w:id="592" w:name="_Toc182814029"/>
      <w:bookmarkStart w:id="593" w:name="_Hlk15651647"/>
      <w:r>
        <w:rPr>
          <w:rFonts w:cs="Times New Roman"/>
          <w:b w:val="0"/>
          <w:sz w:val="24"/>
          <w:szCs w:val="24"/>
        </w:rPr>
        <w:t xml:space="preserve">Предложения </w:t>
      </w:r>
      <w:bookmarkEnd w:id="589"/>
      <w:bookmarkEnd w:id="590"/>
      <w:r>
        <w:rPr>
          <w:rFonts w:cs="Times New Roman"/>
          <w:b w:val="0"/>
          <w:sz w:val="24"/>
          <w:szCs w:val="24"/>
        </w:rPr>
        <w:t>по строительству, реконструкции и (или) модернизации насосных станций</w:t>
      </w:r>
      <w:bookmarkEnd w:id="591"/>
      <w:bookmarkEnd w:id="592"/>
    </w:p>
    <w:bookmarkEnd w:id="593"/>
    <w:p w14:paraId="0631540A">
      <w:pPr>
        <w:spacing w:after="0" w:line="240" w:lineRule="auto"/>
        <w:contextualSpacing/>
        <w:jc w:val="both"/>
        <w:rPr>
          <w:color w:val="000000"/>
          <w:sz w:val="24"/>
          <w:szCs w:val="24"/>
        </w:rPr>
      </w:pPr>
      <w:bookmarkStart w:id="594" w:name="_Hlk47961537"/>
      <w:r>
        <w:rPr>
          <w:color w:val="000000"/>
          <w:sz w:val="24"/>
          <w:szCs w:val="24"/>
        </w:rPr>
        <w:t>Строительство, реконструкция и (или) модернизация насосных станций на территории с.п. Верхнеказымский не предполагается.</w:t>
      </w:r>
    </w:p>
    <w:p w14:paraId="2AFF4309">
      <w:pPr>
        <w:spacing w:after="0" w:line="240" w:lineRule="auto"/>
        <w:contextualSpacing/>
        <w:jc w:val="both"/>
        <w:rPr>
          <w:color w:val="000000"/>
          <w:sz w:val="24"/>
          <w:szCs w:val="24"/>
        </w:rPr>
      </w:pPr>
    </w:p>
    <w:bookmarkEnd w:id="594"/>
    <w:p w14:paraId="1FAD2F9B">
      <w:pPr>
        <w:pStyle w:val="3"/>
        <w:keepLines w:val="0"/>
        <w:widowControl w:val="0"/>
        <w:spacing w:before="0" w:line="240" w:lineRule="auto"/>
        <w:ind w:left="0" w:firstLine="709"/>
        <w:contextualSpacing/>
        <w:rPr>
          <w:rFonts w:cs="Times New Roman"/>
          <w:b w:val="0"/>
          <w:sz w:val="24"/>
          <w:szCs w:val="24"/>
        </w:rPr>
      </w:pPr>
      <w:bookmarkStart w:id="595" w:name="_Toc15640932"/>
      <w:bookmarkStart w:id="596" w:name="_Toc182814030"/>
      <w:bookmarkStart w:id="597" w:name="_Hlk15651660"/>
      <w:r>
        <w:rPr>
          <w:rFonts w:cs="Times New Roman"/>
          <w:b w:val="0"/>
          <w:sz w:val="24"/>
          <w:szCs w:val="24"/>
        </w:rPr>
        <w:t xml:space="preserve">Описание </w:t>
      </w:r>
      <w:bookmarkStart w:id="598" w:name="_Hlk36740024"/>
      <w:r>
        <w:rPr>
          <w:rFonts w:cs="Times New Roman"/>
          <w:b w:val="0"/>
          <w:sz w:val="24"/>
          <w:szCs w:val="24"/>
        </w:rPr>
        <w:t xml:space="preserve">изменений в предложениях по строительству, реконструкции и (или) модернизации тепловых сетей </w:t>
      </w:r>
      <w:bookmarkEnd w:id="598"/>
      <w:r>
        <w:rPr>
          <w:rFonts w:cs="Times New Roman"/>
          <w:b w:val="0"/>
          <w:sz w:val="24"/>
          <w:szCs w:val="24"/>
        </w:rPr>
        <w:t>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95"/>
      <w:bookmarkEnd w:id="596"/>
    </w:p>
    <w:bookmarkEnd w:id="597"/>
    <w:p w14:paraId="483713C3">
      <w:pPr>
        <w:spacing w:after="0" w:line="240" w:lineRule="auto"/>
        <w:contextualSpacing/>
        <w:jc w:val="both"/>
        <w:rPr>
          <w:sz w:val="24"/>
          <w:szCs w:val="24"/>
        </w:rPr>
      </w:pPr>
      <w:r>
        <w:rPr>
          <w:color w:val="000000"/>
          <w:sz w:val="24"/>
          <w:szCs w:val="24"/>
        </w:rPr>
        <w:t xml:space="preserve">Актуализированный перечень мероприятий по строительству, реконструкции </w:t>
      </w:r>
      <w:r>
        <w:rPr>
          <w:sz w:val="24"/>
          <w:szCs w:val="24"/>
        </w:rPr>
        <w:t>тепловых сетей с.п. Верхнеказымский приведены в таблицах 60-61.</w:t>
      </w:r>
    </w:p>
    <w:p w14:paraId="7541F762">
      <w:pPr>
        <w:spacing w:after="0" w:line="240" w:lineRule="auto"/>
        <w:contextualSpacing/>
        <w:jc w:val="both"/>
        <w:rPr>
          <w:sz w:val="24"/>
          <w:szCs w:val="24"/>
        </w:rPr>
      </w:pPr>
    </w:p>
    <w:p w14:paraId="6E17AE15">
      <w:pPr>
        <w:pStyle w:val="2"/>
        <w:keepLines w:val="0"/>
        <w:pageBreakBefore/>
        <w:widowControl w:val="0"/>
        <w:spacing w:before="0" w:line="240" w:lineRule="auto"/>
        <w:ind w:left="0" w:firstLine="709"/>
        <w:contextualSpacing/>
        <w:rPr>
          <w:rFonts w:cs="Times New Roman"/>
          <w:b w:val="0"/>
          <w:sz w:val="24"/>
          <w:szCs w:val="24"/>
        </w:rPr>
      </w:pPr>
      <w:bookmarkStart w:id="599" w:name="_Toc524614875"/>
      <w:bookmarkStart w:id="600" w:name="_Toc524615091"/>
      <w:bookmarkStart w:id="601" w:name="_Toc182814031"/>
      <w:r>
        <w:rPr>
          <w:rFonts w:cs="Times New Roman"/>
          <w:b w:val="0"/>
          <w:sz w:val="24"/>
          <w:szCs w:val="24"/>
        </w:rPr>
        <w:t xml:space="preserve">Глава 9. Предложения </w:t>
      </w:r>
      <w:bookmarkEnd w:id="599"/>
      <w:bookmarkEnd w:id="600"/>
      <w:r>
        <w:rPr>
          <w:rFonts w:cs="Times New Roman"/>
          <w:b w:val="0"/>
          <w:sz w:val="24"/>
          <w:szCs w:val="24"/>
        </w:rPr>
        <w:t>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01"/>
    </w:p>
    <w:p w14:paraId="1567C071">
      <w:pPr>
        <w:pStyle w:val="3"/>
        <w:spacing w:before="0" w:line="240" w:lineRule="auto"/>
        <w:ind w:left="0" w:firstLine="709"/>
        <w:contextualSpacing/>
        <w:rPr>
          <w:rFonts w:cs="Times New Roman"/>
          <w:b w:val="0"/>
          <w:sz w:val="24"/>
          <w:szCs w:val="24"/>
        </w:rPr>
      </w:pPr>
      <w:bookmarkStart w:id="602" w:name="_Toc182814032"/>
      <w:r>
        <w:rPr>
          <w:rFonts w:cs="Times New Roman"/>
          <w:b w:val="0"/>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02"/>
    </w:p>
    <w:p w14:paraId="490B33FD">
      <w:pPr>
        <w:spacing w:after="0" w:line="240" w:lineRule="auto"/>
        <w:contextualSpacing/>
        <w:jc w:val="both"/>
        <w:rPr>
          <w:sz w:val="24"/>
          <w:szCs w:val="24"/>
        </w:rPr>
      </w:pPr>
      <w:bookmarkStart w:id="603" w:name="_Hlk9970576"/>
      <w:r>
        <w:rPr>
          <w:sz w:val="24"/>
          <w:szCs w:val="24"/>
        </w:rPr>
        <w:t>В соответствии с СП 124.13330.2012 «Тепловые сети», система теплоснабжения в с.п. Верхнеказымский – закрытая, подключение потребителей осуществляется по зависимой схеме без смешения.</w:t>
      </w:r>
    </w:p>
    <w:p w14:paraId="0468BB57">
      <w:pPr>
        <w:spacing w:after="0" w:line="240" w:lineRule="auto"/>
        <w:contextualSpacing/>
        <w:jc w:val="both"/>
        <w:rPr>
          <w:sz w:val="24"/>
          <w:szCs w:val="24"/>
        </w:rPr>
      </w:pPr>
      <w:r>
        <w:rPr>
          <w:sz w:val="24"/>
          <w:szCs w:val="24"/>
        </w:rPr>
        <w:t>Горячая вода для ГВС готовится в котельной 2БВК.</w:t>
      </w:r>
    </w:p>
    <w:p w14:paraId="3229DB33">
      <w:pPr>
        <w:spacing w:after="0" w:line="240" w:lineRule="auto"/>
        <w:contextualSpacing/>
        <w:jc w:val="both"/>
        <w:rPr>
          <w:sz w:val="24"/>
          <w:szCs w:val="24"/>
        </w:rPr>
      </w:pPr>
      <w:r>
        <w:rPr>
          <w:sz w:val="24"/>
          <w:szCs w:val="24"/>
        </w:rPr>
        <w:t>От котельных №2, «Вирбекс» и теплоутилизационных установок КС «Верхнеказымская» осуществляется централизованное качественное регулирование отпуска тепла в тепловые сети. 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0BEE1C19">
      <w:pPr>
        <w:spacing w:after="0" w:line="240" w:lineRule="auto"/>
        <w:contextualSpacing/>
        <w:jc w:val="both"/>
        <w:rPr>
          <w:sz w:val="24"/>
          <w:szCs w:val="24"/>
        </w:rPr>
      </w:pPr>
      <w:r>
        <w:rPr>
          <w:sz w:val="24"/>
          <w:szCs w:val="24"/>
        </w:rPr>
        <w:t>Изменение температуры теплоносителя производится в автоматическом режиме отпуска тепла на нужды отопления обратная сетевая вода от потребителей поступает в котельную, сетевыми насосами подаётся в котлы, где подогревается и подаётся обратно потребителям.</w:t>
      </w:r>
    </w:p>
    <w:p w14:paraId="1B63F0CA">
      <w:pPr>
        <w:spacing w:after="0" w:line="240" w:lineRule="auto"/>
        <w:contextualSpacing/>
        <w:jc w:val="both"/>
        <w:rPr>
          <w:sz w:val="24"/>
          <w:szCs w:val="24"/>
        </w:rPr>
      </w:pPr>
      <w:r>
        <w:rPr>
          <w:sz w:val="24"/>
          <w:szCs w:val="24"/>
        </w:rPr>
        <w:t>Температурный график отпуска тепла в системы отопления составляет 95/70 °С и 65/55°С.</w:t>
      </w:r>
    </w:p>
    <w:p w14:paraId="32881804">
      <w:pPr>
        <w:spacing w:after="0" w:line="240" w:lineRule="auto"/>
        <w:contextualSpacing/>
        <w:jc w:val="both"/>
        <w:rPr>
          <w:sz w:val="24"/>
          <w:szCs w:val="24"/>
        </w:rPr>
      </w:pPr>
      <w:r>
        <w:rPr>
          <w:sz w:val="24"/>
          <w:szCs w:val="24"/>
        </w:rPr>
        <w:t>Технико-экономическое обоснование предложений по переводу системы горячего водоснабжения в закрытую – не требуются.</w:t>
      </w:r>
    </w:p>
    <w:p w14:paraId="01E00C9A">
      <w:pPr>
        <w:spacing w:after="0" w:line="240" w:lineRule="auto"/>
        <w:contextualSpacing/>
        <w:jc w:val="both"/>
        <w:rPr>
          <w:sz w:val="24"/>
          <w:szCs w:val="24"/>
        </w:rPr>
      </w:pPr>
    </w:p>
    <w:bookmarkEnd w:id="603"/>
    <w:p w14:paraId="5A32E286">
      <w:pPr>
        <w:pStyle w:val="3"/>
        <w:spacing w:before="0" w:line="240" w:lineRule="auto"/>
        <w:ind w:left="0" w:firstLine="709"/>
        <w:contextualSpacing/>
        <w:rPr>
          <w:rFonts w:cs="Times New Roman"/>
          <w:b w:val="0"/>
          <w:sz w:val="24"/>
          <w:szCs w:val="24"/>
        </w:rPr>
      </w:pPr>
      <w:bookmarkStart w:id="604" w:name="_Toc182814033"/>
      <w:r>
        <w:rPr>
          <w:rFonts w:cs="Times New Roman"/>
          <w:b w:val="0"/>
          <w:sz w:val="24"/>
          <w:szCs w:val="24"/>
        </w:rPr>
        <w:t>Обоснование и пересмотр графика температур теплоносителя и его расхода в открытой системе теплоснабжения (горячего водоснабжения)</w:t>
      </w:r>
      <w:bookmarkEnd w:id="604"/>
    </w:p>
    <w:p w14:paraId="5133DC7D">
      <w:pPr>
        <w:spacing w:after="0" w:line="240" w:lineRule="auto"/>
        <w:contextualSpacing/>
        <w:jc w:val="both"/>
        <w:rPr>
          <w:sz w:val="24"/>
          <w:szCs w:val="24"/>
        </w:rPr>
      </w:pPr>
      <w:r>
        <w:rPr>
          <w:sz w:val="24"/>
          <w:szCs w:val="24"/>
        </w:rPr>
        <w:t>В соответствии с СП 124.13330.2012 «Тепловые сети», система теплоснабжения в с.п. Верхнеказымский – закрытая, подключение потребителей осуществляется по зависимой схеме без смешения.</w:t>
      </w:r>
    </w:p>
    <w:p w14:paraId="6DCEBD0D">
      <w:pPr>
        <w:spacing w:after="0" w:line="240" w:lineRule="auto"/>
        <w:contextualSpacing/>
        <w:jc w:val="both"/>
        <w:rPr>
          <w:sz w:val="24"/>
          <w:szCs w:val="24"/>
        </w:rPr>
      </w:pPr>
      <w:r>
        <w:rPr>
          <w:sz w:val="24"/>
          <w:szCs w:val="24"/>
        </w:rPr>
        <w:t>Горячая вода для ГВС готовится в котельной 2БВК.</w:t>
      </w:r>
    </w:p>
    <w:p w14:paraId="2453856B">
      <w:pPr>
        <w:spacing w:after="0" w:line="240" w:lineRule="auto"/>
        <w:contextualSpacing/>
        <w:jc w:val="both"/>
        <w:rPr>
          <w:sz w:val="24"/>
          <w:szCs w:val="24"/>
        </w:rPr>
      </w:pPr>
      <w:r>
        <w:rPr>
          <w:sz w:val="24"/>
          <w:szCs w:val="24"/>
        </w:rPr>
        <w:t>От котельных №2, «Вирбекс» и теплоутилизационных установок КС «Верхнеказымская» осуществляется централизованное качественное регулирование отпуска тепла в тепловые сети. 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40C0C804">
      <w:pPr>
        <w:spacing w:after="0" w:line="240" w:lineRule="auto"/>
        <w:contextualSpacing/>
        <w:jc w:val="both"/>
        <w:rPr>
          <w:sz w:val="24"/>
          <w:szCs w:val="24"/>
        </w:rPr>
      </w:pPr>
      <w:r>
        <w:rPr>
          <w:sz w:val="24"/>
          <w:szCs w:val="24"/>
        </w:rPr>
        <w:t>Изменение температуры теплоносителя производится в автоматическом режиме отпуска тепла на нужды отопления обратная сетевая вода от потребителей поступает в котельную, сетевыми насосами подаётся в котлы, где подогревается и подаётся обратно потребителям.</w:t>
      </w:r>
    </w:p>
    <w:p w14:paraId="0172205D">
      <w:pPr>
        <w:spacing w:after="0" w:line="240" w:lineRule="auto"/>
        <w:contextualSpacing/>
        <w:jc w:val="both"/>
        <w:rPr>
          <w:sz w:val="24"/>
          <w:szCs w:val="24"/>
        </w:rPr>
      </w:pPr>
      <w:r>
        <w:rPr>
          <w:sz w:val="24"/>
          <w:szCs w:val="24"/>
        </w:rPr>
        <w:t>Температурный график отпуска тепла в системы отопления составляет 95/70 °С и 65/55°С.</w:t>
      </w:r>
    </w:p>
    <w:p w14:paraId="6124C091">
      <w:pPr>
        <w:spacing w:after="0" w:line="240" w:lineRule="auto"/>
        <w:contextualSpacing/>
        <w:jc w:val="both"/>
        <w:rPr>
          <w:sz w:val="24"/>
          <w:szCs w:val="24"/>
        </w:rPr>
      </w:pPr>
    </w:p>
    <w:p w14:paraId="2200E310">
      <w:pPr>
        <w:pStyle w:val="3"/>
        <w:spacing w:before="0" w:line="240" w:lineRule="auto"/>
        <w:ind w:left="0" w:firstLine="709"/>
        <w:contextualSpacing/>
        <w:rPr>
          <w:rFonts w:cs="Times New Roman"/>
          <w:b w:val="0"/>
          <w:sz w:val="24"/>
          <w:szCs w:val="24"/>
        </w:rPr>
      </w:pPr>
      <w:bookmarkStart w:id="605" w:name="_Toc182814034"/>
      <w:r>
        <w:rPr>
          <w:rFonts w:cs="Times New Roman"/>
          <w:b w:val="0"/>
          <w:sz w:val="24"/>
          <w:szCs w:val="24"/>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05"/>
    </w:p>
    <w:p w14:paraId="1564467C">
      <w:pPr>
        <w:spacing w:after="0" w:line="240" w:lineRule="auto"/>
        <w:contextualSpacing/>
        <w:jc w:val="both"/>
        <w:rPr>
          <w:sz w:val="24"/>
          <w:szCs w:val="24"/>
        </w:rPr>
      </w:pPr>
      <w:r>
        <w:rPr>
          <w:sz w:val="24"/>
          <w:szCs w:val="24"/>
        </w:rPr>
        <w:t>Мероприятия не требуются.</w:t>
      </w:r>
    </w:p>
    <w:p w14:paraId="144C8B7B">
      <w:pPr>
        <w:spacing w:after="0" w:line="240" w:lineRule="auto"/>
        <w:contextualSpacing/>
        <w:jc w:val="both"/>
        <w:rPr>
          <w:sz w:val="24"/>
          <w:szCs w:val="24"/>
        </w:rPr>
      </w:pPr>
    </w:p>
    <w:p w14:paraId="3695880F">
      <w:pPr>
        <w:pStyle w:val="3"/>
        <w:keepNext/>
        <w:spacing w:before="0" w:line="240" w:lineRule="auto"/>
        <w:ind w:left="0" w:firstLine="709"/>
        <w:contextualSpacing/>
        <w:rPr>
          <w:rFonts w:cs="Times New Roman"/>
          <w:b w:val="0"/>
          <w:sz w:val="24"/>
          <w:szCs w:val="24"/>
        </w:rPr>
      </w:pPr>
      <w:bookmarkStart w:id="606" w:name="_Toc182814035"/>
      <w:r>
        <w:rPr>
          <w:rFonts w:cs="Times New Roman"/>
          <w:b w:val="0"/>
          <w:sz w:val="24"/>
          <w:szCs w:val="24"/>
        </w:rPr>
        <w:t>Расчет потребности инвестиций для перевода открытой системы теплоснабжения (горячего водоснабжения) отдельных участков таких систем на закрытые системы горячего водоснабжения</w:t>
      </w:r>
      <w:bookmarkEnd w:id="606"/>
    </w:p>
    <w:p w14:paraId="6CA10CED">
      <w:pPr>
        <w:spacing w:after="0" w:line="240" w:lineRule="auto"/>
        <w:contextualSpacing/>
        <w:jc w:val="both"/>
        <w:rPr>
          <w:sz w:val="24"/>
          <w:szCs w:val="24"/>
        </w:rPr>
      </w:pPr>
      <w:r>
        <w:rPr>
          <w:sz w:val="24"/>
          <w:szCs w:val="24"/>
        </w:rPr>
        <w:t>Инвестиции для реконструкции системы для перевода с открытой системы теплоснабжения к закрытой не требуются.</w:t>
      </w:r>
    </w:p>
    <w:p w14:paraId="7411CBE8">
      <w:pPr>
        <w:spacing w:after="0" w:line="240" w:lineRule="auto"/>
        <w:contextualSpacing/>
        <w:jc w:val="both"/>
        <w:rPr>
          <w:sz w:val="24"/>
          <w:szCs w:val="24"/>
        </w:rPr>
      </w:pPr>
    </w:p>
    <w:p w14:paraId="4ABDDFF6">
      <w:pPr>
        <w:pStyle w:val="3"/>
        <w:spacing w:before="0" w:line="240" w:lineRule="auto"/>
        <w:ind w:left="0" w:firstLine="709"/>
        <w:contextualSpacing/>
        <w:rPr>
          <w:rFonts w:cs="Times New Roman"/>
          <w:b w:val="0"/>
          <w:sz w:val="24"/>
          <w:szCs w:val="24"/>
        </w:rPr>
      </w:pPr>
      <w:bookmarkStart w:id="607" w:name="_Toc182814036"/>
      <w:r>
        <w:rPr>
          <w:rFonts w:cs="Times New Roman"/>
          <w:b w:val="0"/>
          <w:sz w:val="24"/>
          <w:szCs w:val="24"/>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07"/>
    </w:p>
    <w:p w14:paraId="33EF7DE6">
      <w:pPr>
        <w:spacing w:after="0" w:line="240" w:lineRule="auto"/>
        <w:contextualSpacing/>
        <w:jc w:val="both"/>
        <w:rPr>
          <w:sz w:val="24"/>
          <w:szCs w:val="24"/>
        </w:rPr>
      </w:pPr>
      <w:r>
        <w:rPr>
          <w:sz w:val="24"/>
          <w:szCs w:val="24"/>
        </w:rPr>
        <w:t>Показатели эффективности и качества теплоснабжения определены в соответствии с Постановлением правительства РФ от 16.05.2014 N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453ACD20">
      <w:pPr>
        <w:spacing w:after="0" w:line="240" w:lineRule="auto"/>
        <w:contextualSpacing/>
        <w:jc w:val="both"/>
        <w:rPr>
          <w:sz w:val="24"/>
          <w:szCs w:val="24"/>
        </w:rPr>
      </w:pPr>
      <w:r>
        <w:rPr>
          <w:sz w:val="24"/>
          <w:szCs w:val="24"/>
        </w:rPr>
        <w:t>Показатели энергетической эффективности и качества объектов централизованных систем представлены в Главе 13 настоящей схемы.</w:t>
      </w:r>
    </w:p>
    <w:p w14:paraId="42959A67">
      <w:pPr>
        <w:spacing w:after="0" w:line="240" w:lineRule="auto"/>
        <w:contextualSpacing/>
        <w:jc w:val="both"/>
        <w:rPr>
          <w:sz w:val="24"/>
          <w:szCs w:val="24"/>
        </w:rPr>
      </w:pPr>
    </w:p>
    <w:p w14:paraId="5381F5B1">
      <w:pPr>
        <w:pStyle w:val="3"/>
        <w:spacing w:before="0" w:line="240" w:lineRule="auto"/>
        <w:ind w:left="0" w:firstLine="709"/>
        <w:contextualSpacing/>
        <w:rPr>
          <w:rFonts w:cs="Times New Roman"/>
          <w:b w:val="0"/>
          <w:sz w:val="24"/>
          <w:szCs w:val="24"/>
        </w:rPr>
      </w:pPr>
      <w:bookmarkStart w:id="608" w:name="_Toc182814037"/>
      <w:r>
        <w:rPr>
          <w:rFonts w:cs="Times New Roman"/>
          <w:b w:val="0"/>
          <w:sz w:val="24"/>
          <w:szCs w:val="24"/>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08"/>
    </w:p>
    <w:p w14:paraId="2892B22C">
      <w:pPr>
        <w:spacing w:after="0" w:line="240" w:lineRule="auto"/>
        <w:contextualSpacing/>
        <w:jc w:val="both"/>
        <w:rPr>
          <w:sz w:val="24"/>
          <w:szCs w:val="24"/>
        </w:rPr>
      </w:pPr>
      <w:r>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в Схеме теплоснабжения не предусмотрены.</w:t>
      </w:r>
    </w:p>
    <w:p w14:paraId="681965E1">
      <w:pPr>
        <w:spacing w:after="0" w:line="240" w:lineRule="auto"/>
        <w:contextualSpacing/>
        <w:jc w:val="both"/>
        <w:rPr>
          <w:sz w:val="24"/>
          <w:szCs w:val="24"/>
        </w:rPr>
      </w:pPr>
      <w:r>
        <w:rPr>
          <w:sz w:val="24"/>
          <w:szCs w:val="24"/>
        </w:rPr>
        <w:t>Расчеты ценовых (тарифных) последствий не приводятся.</w:t>
      </w:r>
    </w:p>
    <w:p w14:paraId="3D635CFC">
      <w:pPr>
        <w:spacing w:after="0" w:line="240" w:lineRule="auto"/>
        <w:contextualSpacing/>
        <w:jc w:val="both"/>
        <w:rPr>
          <w:sz w:val="24"/>
          <w:szCs w:val="24"/>
        </w:rPr>
      </w:pPr>
    </w:p>
    <w:p w14:paraId="267FDE6B">
      <w:pPr>
        <w:pStyle w:val="3"/>
        <w:spacing w:before="0" w:line="240" w:lineRule="auto"/>
        <w:ind w:left="0" w:firstLine="709"/>
        <w:contextualSpacing/>
        <w:rPr>
          <w:rFonts w:cs="Times New Roman"/>
          <w:b w:val="0"/>
          <w:sz w:val="24"/>
          <w:szCs w:val="24"/>
        </w:rPr>
      </w:pPr>
      <w:bookmarkStart w:id="609" w:name="_Toc182814038"/>
      <w:bookmarkStart w:id="610" w:name="_Hlk43280441"/>
      <w:r>
        <w:rPr>
          <w:rFonts w:cs="Times New Roman"/>
          <w:b w:val="0"/>
          <w:sz w:val="24"/>
          <w:szCs w:val="24"/>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09"/>
    </w:p>
    <w:bookmarkEnd w:id="610"/>
    <w:p w14:paraId="5B065B20">
      <w:pPr>
        <w:spacing w:after="0" w:line="240" w:lineRule="auto"/>
        <w:contextualSpacing/>
        <w:jc w:val="both"/>
        <w:rPr>
          <w:sz w:val="24"/>
          <w:szCs w:val="24"/>
        </w:rPr>
      </w:pPr>
      <w:r>
        <w:rPr>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16474A42">
      <w:pPr>
        <w:spacing w:after="0" w:line="240" w:lineRule="auto"/>
        <w:contextualSpacing/>
        <w:jc w:val="both"/>
        <w:rPr>
          <w:sz w:val="24"/>
          <w:szCs w:val="24"/>
        </w:rPr>
      </w:pPr>
    </w:p>
    <w:p w14:paraId="3A9837D8">
      <w:pPr>
        <w:spacing w:after="0" w:line="240" w:lineRule="auto"/>
        <w:contextualSpacing/>
        <w:jc w:val="both"/>
        <w:rPr>
          <w:sz w:val="24"/>
          <w:szCs w:val="24"/>
        </w:rPr>
      </w:pPr>
    </w:p>
    <w:p w14:paraId="331CA813">
      <w:pPr>
        <w:spacing w:after="0" w:line="240" w:lineRule="auto"/>
        <w:contextualSpacing/>
        <w:jc w:val="both"/>
        <w:rPr>
          <w:sz w:val="24"/>
          <w:szCs w:val="24"/>
        </w:rPr>
      </w:pPr>
    </w:p>
    <w:p w14:paraId="56A3DDB6">
      <w:pPr>
        <w:pStyle w:val="2"/>
        <w:keepNext/>
        <w:pageBreakBefore/>
        <w:widowControl w:val="0"/>
        <w:spacing w:before="0" w:line="240" w:lineRule="auto"/>
        <w:ind w:left="0" w:firstLine="709"/>
        <w:contextualSpacing/>
        <w:rPr>
          <w:rFonts w:cs="Times New Roman"/>
          <w:b w:val="0"/>
          <w:sz w:val="24"/>
          <w:szCs w:val="24"/>
        </w:rPr>
      </w:pPr>
      <w:bookmarkStart w:id="611" w:name="_Toc182814039"/>
      <w:bookmarkStart w:id="612" w:name="_Toc524614882"/>
      <w:bookmarkStart w:id="613" w:name="_Toc524615098"/>
      <w:r>
        <w:rPr>
          <w:rFonts w:cs="Times New Roman"/>
          <w:b w:val="0"/>
          <w:sz w:val="24"/>
          <w:szCs w:val="24"/>
        </w:rPr>
        <w:t>Глава 10. Перспективные топливные балансы</w:t>
      </w:r>
      <w:bookmarkEnd w:id="611"/>
      <w:bookmarkEnd w:id="612"/>
      <w:bookmarkEnd w:id="613"/>
    </w:p>
    <w:p w14:paraId="6013EE45">
      <w:pPr>
        <w:pStyle w:val="3"/>
        <w:keepNext/>
        <w:widowControl w:val="0"/>
        <w:spacing w:before="0" w:line="240" w:lineRule="auto"/>
        <w:ind w:left="0" w:firstLine="709"/>
        <w:contextualSpacing/>
        <w:rPr>
          <w:rFonts w:cs="Times New Roman"/>
          <w:b w:val="0"/>
          <w:sz w:val="24"/>
          <w:szCs w:val="24"/>
        </w:rPr>
      </w:pPr>
      <w:bookmarkStart w:id="614" w:name="_Toc524614883"/>
      <w:bookmarkStart w:id="615" w:name="_Toc524615099"/>
      <w:bookmarkStart w:id="616" w:name="_Toc182814040"/>
      <w:r>
        <w:rPr>
          <w:rFonts w:cs="Times New Roman"/>
          <w:b w:val="0"/>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614"/>
      <w:bookmarkEnd w:id="615"/>
      <w:r>
        <w:rPr>
          <w:rFonts w:cs="Times New Roman"/>
          <w:b w:val="0"/>
          <w:sz w:val="24"/>
          <w:szCs w:val="24"/>
        </w:rPr>
        <w:t>с.п. Верхнеказымский</w:t>
      </w:r>
      <w:bookmarkEnd w:id="616"/>
    </w:p>
    <w:p w14:paraId="420377F5">
      <w:pPr>
        <w:spacing w:after="0" w:line="240" w:lineRule="auto"/>
        <w:jc w:val="both"/>
        <w:rPr>
          <w:sz w:val="24"/>
          <w:szCs w:val="24"/>
        </w:rPr>
      </w:pPr>
      <w:r>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14:paraId="043C6AB6">
      <w:pPr>
        <w:spacing w:after="0" w:line="240" w:lineRule="auto"/>
        <w:jc w:val="both"/>
        <w:rPr>
          <w:sz w:val="24"/>
          <w:szCs w:val="24"/>
        </w:rPr>
      </w:pPr>
      <w:r>
        <w:rPr>
          <w:sz w:val="24"/>
          <w:szCs w:val="24"/>
        </w:rPr>
        <w:t>Калорийный эквивалент принят на основании анализа паспортов газа за 2023 год, для территории с.п. Верхнеказымский:</w:t>
      </w:r>
    </w:p>
    <w:p w14:paraId="63AA4037">
      <w:pPr>
        <w:spacing w:after="0" w:line="240" w:lineRule="auto"/>
        <w:jc w:val="both"/>
        <w:rPr>
          <w:sz w:val="24"/>
          <w:szCs w:val="24"/>
        </w:rPr>
      </w:pPr>
      <w:r>
        <w:rPr>
          <w:sz w:val="24"/>
          <w:szCs w:val="24"/>
        </w:rPr>
        <w:t>Э=8479/7000=1,211.</w:t>
      </w:r>
    </w:p>
    <w:p w14:paraId="78B528D0">
      <w:pPr>
        <w:spacing w:after="0" w:line="240" w:lineRule="auto"/>
        <w:jc w:val="both"/>
        <w:rPr>
          <w:sz w:val="24"/>
          <w:szCs w:val="24"/>
        </w:rPr>
      </w:pPr>
      <w:r>
        <w:rPr>
          <w:sz w:val="24"/>
          <w:szCs w:val="24"/>
        </w:rPr>
        <w:t>Общее потребление природного газа источниками тепловой энергии ООО «Газпром трансгаз Югорск» Верхнеказымское ЛПУ МГ за 2023 год составило 386,53 тыс. м</w:t>
      </w:r>
      <w:r>
        <w:rPr>
          <w:sz w:val="24"/>
          <w:szCs w:val="24"/>
          <w:vertAlign w:val="superscript"/>
        </w:rPr>
        <w:t>3</w:t>
      </w:r>
      <w:r>
        <w:rPr>
          <w:sz w:val="24"/>
          <w:szCs w:val="24"/>
        </w:rPr>
        <w:t>, фактический удельный расход условного топлива при производстве тепловой энергии источниками тепловой энергии – 35,37 кг у.т./Гкал.</w:t>
      </w:r>
    </w:p>
    <w:p w14:paraId="18B36502">
      <w:pPr>
        <w:spacing w:after="0" w:line="240" w:lineRule="auto"/>
        <w:jc w:val="both"/>
        <w:rPr>
          <w:sz w:val="24"/>
          <w:szCs w:val="24"/>
        </w:rPr>
      </w:pPr>
      <w:r>
        <w:rPr>
          <w:sz w:val="24"/>
          <w:szCs w:val="24"/>
        </w:rPr>
        <w:t>Общее потребление природного газа источником тепловой энергии МУП «БКС» за 2023 год составило 441,791 тыс. м</w:t>
      </w:r>
      <w:r>
        <w:rPr>
          <w:sz w:val="24"/>
          <w:szCs w:val="24"/>
          <w:vertAlign w:val="superscript"/>
        </w:rPr>
        <w:t>3</w:t>
      </w:r>
      <w:r>
        <w:rPr>
          <w:sz w:val="24"/>
          <w:szCs w:val="24"/>
        </w:rPr>
        <w:t>, фактический удельный расход условного топлива при производстве тепловой энергии источниками тепловой энергии – 169,813 кг у.т./Гкал.</w:t>
      </w:r>
    </w:p>
    <w:p w14:paraId="56D4D0F3">
      <w:pPr>
        <w:spacing w:after="0" w:line="240" w:lineRule="auto"/>
        <w:jc w:val="both"/>
        <w:rPr>
          <w:sz w:val="24"/>
          <w:szCs w:val="24"/>
        </w:rPr>
      </w:pPr>
      <w:r>
        <w:rPr>
          <w:sz w:val="24"/>
          <w:szCs w:val="24"/>
        </w:rPr>
        <w:t>Резервное топливо на источниках не предусмотрено, так как система газопроводов поселка выполнена таким образом, что для источников теплоснабжения не предусмотрена возможность резервного газоснабжения.</w:t>
      </w:r>
    </w:p>
    <w:p w14:paraId="580A047B">
      <w:pPr>
        <w:spacing w:after="0" w:line="240" w:lineRule="auto"/>
        <w:contextualSpacing/>
        <w:jc w:val="both"/>
        <w:rPr>
          <w:sz w:val="24"/>
          <w:szCs w:val="24"/>
        </w:rPr>
      </w:pPr>
      <w:r>
        <w:rPr>
          <w:sz w:val="24"/>
          <w:szCs w:val="24"/>
        </w:rPr>
        <w:t>В таблице 62 приведены значения перспективного потребления топлива источниками тепловой энергии в с.п. Верхнеказымский.</w:t>
      </w:r>
    </w:p>
    <w:p w14:paraId="470B3884">
      <w:pPr>
        <w:spacing w:after="0" w:line="240" w:lineRule="auto"/>
        <w:contextualSpacing/>
        <w:jc w:val="both"/>
        <w:rPr>
          <w:sz w:val="24"/>
          <w:szCs w:val="24"/>
        </w:rPr>
      </w:pPr>
    </w:p>
    <w:p w14:paraId="454F8B68">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62</w:t>
      </w:r>
      <w:r>
        <w:rPr>
          <w:sz w:val="24"/>
          <w:szCs w:val="24"/>
        </w:rPr>
        <w:fldChar w:fldCharType="end"/>
      </w:r>
      <w:r>
        <w:rPr>
          <w:sz w:val="24"/>
          <w:szCs w:val="24"/>
        </w:rPr>
        <w:t xml:space="preserve"> – Значения перспективного потребления топлива источниками тепловой энергии в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990"/>
        <w:gridCol w:w="979"/>
        <w:gridCol w:w="840"/>
        <w:gridCol w:w="840"/>
        <w:gridCol w:w="841"/>
        <w:gridCol w:w="841"/>
        <w:gridCol w:w="841"/>
        <w:gridCol w:w="845"/>
      </w:tblGrid>
      <w:tr w14:paraId="28D5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380" w:type="pct"/>
            <w:shd w:val="clear" w:color="auto" w:fill="auto"/>
            <w:tcMar>
              <w:left w:w="28" w:type="dxa"/>
              <w:right w:w="28" w:type="dxa"/>
            </w:tcMar>
            <w:vAlign w:val="center"/>
          </w:tcPr>
          <w:p w14:paraId="396EA4B4">
            <w:pPr>
              <w:spacing w:after="0" w:line="240" w:lineRule="auto"/>
              <w:ind w:firstLine="0"/>
              <w:jc w:val="center"/>
              <w:rPr>
                <w:color w:val="000000"/>
                <w:sz w:val="20"/>
                <w:szCs w:val="20"/>
              </w:rPr>
            </w:pPr>
            <w:bookmarkStart w:id="617" w:name="_Hlk183079986"/>
            <w:r>
              <w:rPr>
                <w:color w:val="000000"/>
                <w:sz w:val="20"/>
                <w:szCs w:val="20"/>
              </w:rPr>
              <w:t>Наименование показателя</w:t>
            </w:r>
          </w:p>
        </w:tc>
        <w:tc>
          <w:tcPr>
            <w:tcW w:w="510" w:type="pct"/>
            <w:shd w:val="clear" w:color="auto" w:fill="auto"/>
            <w:tcMar>
              <w:left w:w="28" w:type="dxa"/>
              <w:right w:w="28" w:type="dxa"/>
            </w:tcMar>
            <w:vAlign w:val="center"/>
          </w:tcPr>
          <w:p w14:paraId="6BDDAC25">
            <w:pPr>
              <w:spacing w:after="0" w:line="240" w:lineRule="auto"/>
              <w:ind w:firstLine="0"/>
              <w:jc w:val="center"/>
              <w:rPr>
                <w:color w:val="000000"/>
                <w:sz w:val="20"/>
                <w:szCs w:val="20"/>
              </w:rPr>
            </w:pPr>
            <w:r>
              <w:rPr>
                <w:color w:val="000000"/>
                <w:sz w:val="20"/>
                <w:szCs w:val="20"/>
              </w:rPr>
              <w:t>Единица измерения</w:t>
            </w:r>
          </w:p>
        </w:tc>
        <w:tc>
          <w:tcPr>
            <w:tcW w:w="505" w:type="pct"/>
            <w:shd w:val="clear" w:color="auto" w:fill="auto"/>
            <w:tcMar>
              <w:left w:w="28" w:type="dxa"/>
              <w:right w:w="28" w:type="dxa"/>
            </w:tcMar>
            <w:vAlign w:val="center"/>
          </w:tcPr>
          <w:p w14:paraId="5CBB190D">
            <w:pPr>
              <w:spacing w:after="0" w:line="240" w:lineRule="auto"/>
              <w:ind w:firstLine="0"/>
              <w:jc w:val="center"/>
              <w:rPr>
                <w:color w:val="000000"/>
                <w:sz w:val="20"/>
                <w:szCs w:val="20"/>
              </w:rPr>
            </w:pPr>
            <w:r>
              <w:rPr>
                <w:color w:val="000000"/>
                <w:sz w:val="20"/>
                <w:szCs w:val="20"/>
              </w:rPr>
              <w:t>2023</w:t>
            </w:r>
          </w:p>
        </w:tc>
        <w:tc>
          <w:tcPr>
            <w:tcW w:w="433" w:type="pct"/>
            <w:shd w:val="clear" w:color="auto" w:fill="auto"/>
            <w:tcMar>
              <w:left w:w="28" w:type="dxa"/>
              <w:right w:w="28" w:type="dxa"/>
            </w:tcMar>
            <w:vAlign w:val="center"/>
          </w:tcPr>
          <w:p w14:paraId="2B85699C">
            <w:pPr>
              <w:spacing w:after="0" w:line="240" w:lineRule="auto"/>
              <w:ind w:firstLine="0"/>
              <w:jc w:val="center"/>
              <w:rPr>
                <w:color w:val="000000"/>
                <w:sz w:val="20"/>
                <w:szCs w:val="20"/>
              </w:rPr>
            </w:pPr>
            <w:r>
              <w:rPr>
                <w:color w:val="000000"/>
                <w:sz w:val="20"/>
                <w:szCs w:val="20"/>
              </w:rPr>
              <w:t>2024</w:t>
            </w:r>
          </w:p>
        </w:tc>
        <w:tc>
          <w:tcPr>
            <w:tcW w:w="433" w:type="pct"/>
            <w:shd w:val="clear" w:color="auto" w:fill="auto"/>
            <w:tcMar>
              <w:left w:w="28" w:type="dxa"/>
              <w:right w:w="28" w:type="dxa"/>
            </w:tcMar>
            <w:vAlign w:val="center"/>
          </w:tcPr>
          <w:p w14:paraId="774E594E">
            <w:pPr>
              <w:spacing w:after="0" w:line="240" w:lineRule="auto"/>
              <w:ind w:firstLine="0"/>
              <w:jc w:val="center"/>
              <w:rPr>
                <w:color w:val="000000"/>
                <w:sz w:val="20"/>
                <w:szCs w:val="20"/>
              </w:rPr>
            </w:pPr>
            <w:r>
              <w:rPr>
                <w:color w:val="000000"/>
                <w:sz w:val="20"/>
                <w:szCs w:val="20"/>
              </w:rPr>
              <w:t>2025</w:t>
            </w:r>
          </w:p>
        </w:tc>
        <w:tc>
          <w:tcPr>
            <w:tcW w:w="434" w:type="pct"/>
            <w:shd w:val="clear" w:color="auto" w:fill="auto"/>
            <w:tcMar>
              <w:left w:w="28" w:type="dxa"/>
              <w:right w:w="28" w:type="dxa"/>
            </w:tcMar>
            <w:vAlign w:val="center"/>
          </w:tcPr>
          <w:p w14:paraId="45141EDB">
            <w:pPr>
              <w:spacing w:after="0" w:line="240" w:lineRule="auto"/>
              <w:ind w:firstLine="0"/>
              <w:jc w:val="center"/>
              <w:rPr>
                <w:color w:val="000000"/>
                <w:sz w:val="20"/>
                <w:szCs w:val="20"/>
              </w:rPr>
            </w:pPr>
            <w:r>
              <w:rPr>
                <w:color w:val="000000"/>
                <w:sz w:val="20"/>
                <w:szCs w:val="20"/>
              </w:rPr>
              <w:t>2026</w:t>
            </w:r>
          </w:p>
        </w:tc>
        <w:tc>
          <w:tcPr>
            <w:tcW w:w="434" w:type="pct"/>
            <w:shd w:val="clear" w:color="auto" w:fill="auto"/>
            <w:tcMar>
              <w:left w:w="28" w:type="dxa"/>
              <w:right w:w="28" w:type="dxa"/>
            </w:tcMar>
            <w:vAlign w:val="center"/>
          </w:tcPr>
          <w:p w14:paraId="1DA6A9B1">
            <w:pPr>
              <w:spacing w:after="0" w:line="240" w:lineRule="auto"/>
              <w:ind w:firstLine="0"/>
              <w:jc w:val="center"/>
              <w:rPr>
                <w:color w:val="000000"/>
                <w:sz w:val="20"/>
                <w:szCs w:val="20"/>
              </w:rPr>
            </w:pPr>
            <w:r>
              <w:rPr>
                <w:color w:val="000000"/>
                <w:sz w:val="20"/>
                <w:szCs w:val="20"/>
              </w:rPr>
              <w:t>2027</w:t>
            </w:r>
          </w:p>
        </w:tc>
        <w:tc>
          <w:tcPr>
            <w:tcW w:w="434" w:type="pct"/>
            <w:shd w:val="clear" w:color="auto" w:fill="auto"/>
            <w:tcMar>
              <w:left w:w="28" w:type="dxa"/>
              <w:right w:w="28" w:type="dxa"/>
            </w:tcMar>
            <w:vAlign w:val="center"/>
          </w:tcPr>
          <w:p w14:paraId="44112A4B">
            <w:pPr>
              <w:spacing w:after="0" w:line="240" w:lineRule="auto"/>
              <w:ind w:firstLine="0"/>
              <w:jc w:val="center"/>
              <w:rPr>
                <w:color w:val="000000"/>
                <w:sz w:val="20"/>
                <w:szCs w:val="20"/>
              </w:rPr>
            </w:pPr>
            <w:r>
              <w:rPr>
                <w:color w:val="000000"/>
                <w:sz w:val="20"/>
                <w:szCs w:val="20"/>
              </w:rPr>
              <w:t>2028</w:t>
            </w:r>
          </w:p>
        </w:tc>
        <w:tc>
          <w:tcPr>
            <w:tcW w:w="436" w:type="pct"/>
            <w:shd w:val="clear" w:color="auto" w:fill="auto"/>
            <w:tcMar>
              <w:left w:w="28" w:type="dxa"/>
              <w:right w:w="28" w:type="dxa"/>
            </w:tcMar>
            <w:vAlign w:val="center"/>
          </w:tcPr>
          <w:p w14:paraId="12A627C0">
            <w:pPr>
              <w:spacing w:after="0" w:line="240" w:lineRule="auto"/>
              <w:ind w:firstLine="0"/>
              <w:jc w:val="center"/>
              <w:rPr>
                <w:color w:val="000000"/>
                <w:sz w:val="20"/>
                <w:szCs w:val="20"/>
              </w:rPr>
            </w:pPr>
            <w:r>
              <w:rPr>
                <w:color w:val="000000"/>
                <w:sz w:val="20"/>
                <w:szCs w:val="20"/>
              </w:rPr>
              <w:t>2029</w:t>
            </w:r>
          </w:p>
        </w:tc>
      </w:tr>
      <w:tr w14:paraId="6BC2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7CA2D2A8">
            <w:pPr>
              <w:spacing w:after="0" w:line="240" w:lineRule="auto"/>
              <w:ind w:firstLine="0"/>
              <w:jc w:val="center"/>
              <w:rPr>
                <w:color w:val="000000"/>
                <w:sz w:val="20"/>
                <w:szCs w:val="20"/>
              </w:rPr>
            </w:pPr>
            <w:r>
              <w:rPr>
                <w:color w:val="000000"/>
                <w:sz w:val="20"/>
                <w:szCs w:val="20"/>
              </w:rPr>
              <w:t>Котельная №2 МУП «БКС»</w:t>
            </w:r>
          </w:p>
        </w:tc>
        <w:tc>
          <w:tcPr>
            <w:tcW w:w="510" w:type="pct"/>
            <w:shd w:val="clear" w:color="auto" w:fill="auto"/>
            <w:noWrap/>
            <w:tcMar>
              <w:left w:w="28" w:type="dxa"/>
              <w:right w:w="28" w:type="dxa"/>
            </w:tcMar>
            <w:vAlign w:val="center"/>
          </w:tcPr>
          <w:p w14:paraId="0F71DDBD">
            <w:pPr>
              <w:spacing w:after="0" w:line="240" w:lineRule="auto"/>
              <w:ind w:firstLine="0"/>
              <w:jc w:val="center"/>
              <w:rPr>
                <w:color w:val="000000"/>
                <w:sz w:val="20"/>
                <w:szCs w:val="20"/>
              </w:rPr>
            </w:pPr>
            <w:r>
              <w:rPr>
                <w:color w:val="000000"/>
                <w:sz w:val="20"/>
                <w:szCs w:val="20"/>
              </w:rPr>
              <w:t> </w:t>
            </w:r>
          </w:p>
        </w:tc>
        <w:tc>
          <w:tcPr>
            <w:tcW w:w="505" w:type="pct"/>
            <w:shd w:val="clear" w:color="auto" w:fill="auto"/>
            <w:noWrap/>
            <w:tcMar>
              <w:left w:w="28" w:type="dxa"/>
              <w:right w:w="28" w:type="dxa"/>
            </w:tcMar>
            <w:vAlign w:val="center"/>
          </w:tcPr>
          <w:p w14:paraId="551F08D0">
            <w:pPr>
              <w:spacing w:after="0" w:line="240" w:lineRule="auto"/>
              <w:ind w:firstLine="0"/>
              <w:jc w:val="center"/>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264CEC09">
            <w:pPr>
              <w:spacing w:after="0" w:line="240" w:lineRule="auto"/>
              <w:ind w:firstLine="0"/>
              <w:jc w:val="center"/>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6F32A765">
            <w:pPr>
              <w:spacing w:after="0" w:line="240" w:lineRule="auto"/>
              <w:ind w:firstLine="0"/>
              <w:jc w:val="center"/>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1216FC82">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5F65AAD4">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409232D0">
            <w:pPr>
              <w:spacing w:after="0" w:line="240" w:lineRule="auto"/>
              <w:ind w:firstLine="0"/>
              <w:rPr>
                <w:color w:val="000000"/>
                <w:sz w:val="20"/>
                <w:szCs w:val="20"/>
              </w:rPr>
            </w:pPr>
            <w:r>
              <w:rPr>
                <w:color w:val="000000"/>
                <w:sz w:val="20"/>
                <w:szCs w:val="20"/>
              </w:rPr>
              <w:t> </w:t>
            </w:r>
          </w:p>
        </w:tc>
        <w:tc>
          <w:tcPr>
            <w:tcW w:w="436" w:type="pct"/>
            <w:shd w:val="clear" w:color="auto" w:fill="auto"/>
            <w:noWrap/>
            <w:tcMar>
              <w:left w:w="28" w:type="dxa"/>
              <w:right w:w="28" w:type="dxa"/>
            </w:tcMar>
            <w:vAlign w:val="center"/>
          </w:tcPr>
          <w:p w14:paraId="11D8A83E">
            <w:pPr>
              <w:spacing w:after="0" w:line="240" w:lineRule="auto"/>
              <w:ind w:firstLine="0"/>
              <w:rPr>
                <w:color w:val="000000"/>
                <w:sz w:val="20"/>
                <w:szCs w:val="20"/>
              </w:rPr>
            </w:pPr>
            <w:r>
              <w:rPr>
                <w:color w:val="000000"/>
                <w:sz w:val="20"/>
                <w:szCs w:val="20"/>
              </w:rPr>
              <w:t> </w:t>
            </w:r>
          </w:p>
        </w:tc>
      </w:tr>
      <w:tr w14:paraId="582C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03E1C529">
            <w:pPr>
              <w:spacing w:after="0" w:line="240" w:lineRule="auto"/>
              <w:ind w:firstLine="0"/>
              <w:jc w:val="center"/>
              <w:rPr>
                <w:color w:val="000000"/>
                <w:sz w:val="20"/>
                <w:szCs w:val="20"/>
              </w:rPr>
            </w:pPr>
            <w:r>
              <w:rPr>
                <w:color w:val="000000"/>
                <w:sz w:val="20"/>
                <w:szCs w:val="20"/>
              </w:rPr>
              <w:t>Выработано тепловой энергии:</w:t>
            </w:r>
          </w:p>
        </w:tc>
        <w:tc>
          <w:tcPr>
            <w:tcW w:w="510" w:type="pct"/>
            <w:shd w:val="clear" w:color="auto" w:fill="auto"/>
            <w:tcMar>
              <w:left w:w="28" w:type="dxa"/>
              <w:right w:w="28" w:type="dxa"/>
            </w:tcMar>
            <w:vAlign w:val="center"/>
          </w:tcPr>
          <w:p w14:paraId="109AB227">
            <w:pPr>
              <w:spacing w:after="0" w:line="240" w:lineRule="auto"/>
              <w:ind w:firstLine="0"/>
              <w:jc w:val="center"/>
              <w:rPr>
                <w:color w:val="000000"/>
                <w:sz w:val="20"/>
                <w:szCs w:val="20"/>
              </w:rPr>
            </w:pPr>
            <w:r>
              <w:rPr>
                <w:color w:val="000000"/>
                <w:sz w:val="20"/>
                <w:szCs w:val="20"/>
              </w:rPr>
              <w:t>Гкал</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left w:w="28" w:type="dxa"/>
              <w:right w:w="28" w:type="dxa"/>
            </w:tcMar>
            <w:vAlign w:val="center"/>
          </w:tcPr>
          <w:p w14:paraId="682CFAF7">
            <w:pPr>
              <w:spacing w:after="0" w:line="240" w:lineRule="auto"/>
              <w:ind w:firstLine="0"/>
              <w:jc w:val="center"/>
              <w:rPr>
                <w:color w:val="000000"/>
                <w:sz w:val="20"/>
                <w:szCs w:val="20"/>
                <w:highlight w:val="yellow"/>
              </w:rPr>
            </w:pPr>
            <w:r>
              <w:rPr>
                <w:bCs/>
                <w:color w:val="000000"/>
                <w:sz w:val="20"/>
                <w:szCs w:val="20"/>
              </w:rPr>
              <w:t>3217,822</w:t>
            </w:r>
          </w:p>
        </w:tc>
        <w:tc>
          <w:tcPr>
            <w:tcW w:w="433"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407D61AF">
            <w:pPr>
              <w:spacing w:after="0" w:line="240" w:lineRule="auto"/>
              <w:ind w:firstLine="0"/>
              <w:jc w:val="center"/>
              <w:rPr>
                <w:color w:val="000000"/>
                <w:sz w:val="20"/>
                <w:szCs w:val="20"/>
                <w:highlight w:val="yellow"/>
              </w:rPr>
            </w:pPr>
            <w:r>
              <w:rPr>
                <w:bCs/>
                <w:color w:val="000000"/>
                <w:sz w:val="20"/>
                <w:szCs w:val="20"/>
              </w:rPr>
              <w:t>3265,805</w:t>
            </w:r>
          </w:p>
        </w:tc>
        <w:tc>
          <w:tcPr>
            <w:tcW w:w="433"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026824D9">
            <w:pPr>
              <w:spacing w:after="0" w:line="240" w:lineRule="auto"/>
              <w:ind w:firstLine="0"/>
              <w:jc w:val="center"/>
              <w:rPr>
                <w:color w:val="000000"/>
                <w:sz w:val="20"/>
                <w:szCs w:val="20"/>
                <w:highlight w:val="yellow"/>
              </w:rPr>
            </w:pPr>
            <w:r>
              <w:rPr>
                <w:bCs/>
                <w:color w:val="000000"/>
                <w:sz w:val="20"/>
                <w:szCs w:val="20"/>
              </w:rPr>
              <w:t>3265,805</w:t>
            </w:r>
          </w:p>
        </w:tc>
        <w:tc>
          <w:tcPr>
            <w:tcW w:w="434"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64F7D869">
            <w:pPr>
              <w:spacing w:after="0" w:line="240" w:lineRule="auto"/>
              <w:ind w:firstLine="0"/>
              <w:jc w:val="center"/>
              <w:rPr>
                <w:color w:val="000000"/>
                <w:sz w:val="20"/>
                <w:szCs w:val="20"/>
                <w:highlight w:val="yellow"/>
              </w:rPr>
            </w:pPr>
            <w:r>
              <w:rPr>
                <w:bCs/>
                <w:color w:val="000000"/>
                <w:sz w:val="20"/>
                <w:szCs w:val="20"/>
              </w:rPr>
              <w:t>3265,805</w:t>
            </w:r>
          </w:p>
        </w:tc>
        <w:tc>
          <w:tcPr>
            <w:tcW w:w="434"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33E4300E">
            <w:pPr>
              <w:spacing w:after="0" w:line="240" w:lineRule="auto"/>
              <w:ind w:firstLine="0"/>
              <w:jc w:val="center"/>
              <w:rPr>
                <w:color w:val="000000"/>
                <w:sz w:val="20"/>
                <w:szCs w:val="20"/>
                <w:highlight w:val="yellow"/>
              </w:rPr>
            </w:pPr>
            <w:r>
              <w:rPr>
                <w:bCs/>
                <w:color w:val="000000"/>
                <w:sz w:val="20"/>
                <w:szCs w:val="20"/>
              </w:rPr>
              <w:t>3265,805</w:t>
            </w:r>
          </w:p>
        </w:tc>
        <w:tc>
          <w:tcPr>
            <w:tcW w:w="434"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75DF3EA8">
            <w:pPr>
              <w:spacing w:after="0" w:line="240" w:lineRule="auto"/>
              <w:ind w:firstLine="0"/>
              <w:jc w:val="center"/>
              <w:rPr>
                <w:color w:val="000000"/>
                <w:sz w:val="20"/>
                <w:szCs w:val="20"/>
                <w:highlight w:val="yellow"/>
              </w:rPr>
            </w:pPr>
            <w:r>
              <w:rPr>
                <w:bCs/>
                <w:color w:val="000000"/>
                <w:sz w:val="20"/>
                <w:szCs w:val="20"/>
              </w:rPr>
              <w:t>3265,805</w:t>
            </w:r>
          </w:p>
        </w:tc>
        <w:tc>
          <w:tcPr>
            <w:tcW w:w="436" w:type="pct"/>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14:paraId="2FF79BAB">
            <w:pPr>
              <w:spacing w:after="0" w:line="240" w:lineRule="auto"/>
              <w:ind w:firstLine="0"/>
              <w:jc w:val="center"/>
              <w:rPr>
                <w:color w:val="000000"/>
                <w:sz w:val="20"/>
                <w:szCs w:val="20"/>
                <w:highlight w:val="yellow"/>
              </w:rPr>
            </w:pPr>
            <w:r>
              <w:rPr>
                <w:bCs/>
                <w:color w:val="000000"/>
                <w:sz w:val="20"/>
                <w:szCs w:val="20"/>
              </w:rPr>
              <w:t>3265,805</w:t>
            </w:r>
          </w:p>
        </w:tc>
      </w:tr>
      <w:tr w14:paraId="32D4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3182A7F5">
            <w:pPr>
              <w:spacing w:after="0" w:line="240" w:lineRule="auto"/>
              <w:ind w:firstLine="0"/>
              <w:jc w:val="center"/>
              <w:rPr>
                <w:color w:val="000000"/>
                <w:sz w:val="20"/>
                <w:szCs w:val="20"/>
              </w:rPr>
            </w:pPr>
            <w:r>
              <w:rPr>
                <w:color w:val="000000"/>
                <w:sz w:val="20"/>
                <w:szCs w:val="20"/>
              </w:rPr>
              <w:t>Удельный расход условного топлива на выработку тепловой энергии</w:t>
            </w:r>
          </w:p>
        </w:tc>
        <w:tc>
          <w:tcPr>
            <w:tcW w:w="510" w:type="pct"/>
            <w:shd w:val="clear" w:color="auto" w:fill="auto"/>
            <w:tcMar>
              <w:left w:w="28" w:type="dxa"/>
              <w:right w:w="28" w:type="dxa"/>
            </w:tcMar>
            <w:vAlign w:val="center"/>
          </w:tcPr>
          <w:p w14:paraId="699E3667">
            <w:pPr>
              <w:spacing w:after="0" w:line="240" w:lineRule="auto"/>
              <w:ind w:firstLine="0"/>
              <w:jc w:val="center"/>
              <w:rPr>
                <w:color w:val="000000"/>
                <w:sz w:val="20"/>
                <w:szCs w:val="20"/>
              </w:rPr>
            </w:pPr>
            <w:r>
              <w:rPr>
                <w:color w:val="000000"/>
                <w:sz w:val="20"/>
                <w:szCs w:val="20"/>
              </w:rPr>
              <w:t>кг у. т./Гкал</w:t>
            </w:r>
          </w:p>
        </w:tc>
        <w:tc>
          <w:tcPr>
            <w:tcW w:w="50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0BE4EE96">
            <w:pPr>
              <w:spacing w:after="0" w:line="240" w:lineRule="auto"/>
              <w:ind w:firstLine="0"/>
              <w:jc w:val="center"/>
              <w:rPr>
                <w:color w:val="000000"/>
                <w:sz w:val="20"/>
                <w:szCs w:val="20"/>
                <w:highlight w:val="yellow"/>
              </w:rPr>
            </w:pPr>
            <w:r>
              <w:rPr>
                <w:color w:val="000000"/>
                <w:sz w:val="20"/>
                <w:szCs w:val="20"/>
              </w:rPr>
              <w:t>169,813</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83AFFCB">
            <w:pPr>
              <w:spacing w:after="0" w:line="240" w:lineRule="auto"/>
              <w:ind w:firstLine="0"/>
              <w:jc w:val="center"/>
              <w:rPr>
                <w:color w:val="000000"/>
                <w:sz w:val="20"/>
                <w:szCs w:val="20"/>
                <w:highlight w:val="yellow"/>
              </w:rPr>
            </w:pPr>
            <w:r>
              <w:rPr>
                <w:color w:val="000000"/>
                <w:sz w:val="20"/>
                <w:szCs w:val="20"/>
              </w:rPr>
              <w:t>172,35</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E79AB2D">
            <w:pPr>
              <w:spacing w:after="0" w:line="240" w:lineRule="auto"/>
              <w:ind w:firstLine="0"/>
              <w:jc w:val="center"/>
              <w:rPr>
                <w:color w:val="000000"/>
                <w:sz w:val="20"/>
                <w:szCs w:val="20"/>
                <w:highlight w:val="yellow"/>
              </w:rPr>
            </w:pPr>
            <w:r>
              <w:rPr>
                <w:color w:val="000000"/>
                <w:sz w:val="20"/>
                <w:szCs w:val="20"/>
              </w:rPr>
              <w:t>172,35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23423B7">
            <w:pPr>
              <w:spacing w:after="0" w:line="240" w:lineRule="auto"/>
              <w:ind w:firstLine="0"/>
              <w:jc w:val="center"/>
              <w:rPr>
                <w:color w:val="000000"/>
                <w:sz w:val="20"/>
                <w:szCs w:val="20"/>
                <w:highlight w:val="yellow"/>
              </w:rPr>
            </w:pPr>
            <w:r>
              <w:rPr>
                <w:color w:val="000000"/>
                <w:sz w:val="20"/>
                <w:szCs w:val="20"/>
              </w:rPr>
              <w:t>172,35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3F21AD4">
            <w:pPr>
              <w:spacing w:after="0" w:line="240" w:lineRule="auto"/>
              <w:ind w:firstLine="0"/>
              <w:jc w:val="center"/>
              <w:rPr>
                <w:color w:val="000000"/>
                <w:sz w:val="20"/>
                <w:szCs w:val="20"/>
                <w:highlight w:val="yellow"/>
              </w:rPr>
            </w:pPr>
            <w:r>
              <w:rPr>
                <w:color w:val="000000"/>
                <w:sz w:val="20"/>
                <w:szCs w:val="20"/>
              </w:rPr>
              <w:t>172,35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17C2084">
            <w:pPr>
              <w:spacing w:after="0" w:line="240" w:lineRule="auto"/>
              <w:ind w:firstLine="0"/>
              <w:jc w:val="center"/>
              <w:rPr>
                <w:color w:val="000000"/>
                <w:sz w:val="20"/>
                <w:szCs w:val="20"/>
                <w:highlight w:val="yellow"/>
              </w:rPr>
            </w:pPr>
            <w:r>
              <w:rPr>
                <w:color w:val="000000"/>
                <w:sz w:val="20"/>
                <w:szCs w:val="20"/>
              </w:rPr>
              <w:t>172,35</w:t>
            </w:r>
          </w:p>
        </w:tc>
        <w:tc>
          <w:tcPr>
            <w:tcW w:w="436"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48C68BD">
            <w:pPr>
              <w:spacing w:after="0" w:line="240" w:lineRule="auto"/>
              <w:ind w:firstLine="0"/>
              <w:jc w:val="center"/>
              <w:rPr>
                <w:color w:val="000000"/>
                <w:sz w:val="20"/>
                <w:szCs w:val="20"/>
                <w:highlight w:val="yellow"/>
              </w:rPr>
            </w:pPr>
            <w:r>
              <w:rPr>
                <w:color w:val="000000"/>
                <w:sz w:val="20"/>
                <w:szCs w:val="20"/>
              </w:rPr>
              <w:t>172,35</w:t>
            </w:r>
          </w:p>
        </w:tc>
      </w:tr>
      <w:tr w14:paraId="2684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53BD66ED">
            <w:pPr>
              <w:spacing w:after="0" w:line="240" w:lineRule="auto"/>
              <w:ind w:firstLine="0"/>
              <w:jc w:val="center"/>
              <w:rPr>
                <w:color w:val="000000"/>
                <w:sz w:val="20"/>
                <w:szCs w:val="20"/>
              </w:rPr>
            </w:pPr>
            <w:r>
              <w:rPr>
                <w:color w:val="000000"/>
                <w:sz w:val="20"/>
                <w:szCs w:val="20"/>
              </w:rPr>
              <w:t>Удельный расход натурального топлива на выработку тепловой энергии</w:t>
            </w:r>
          </w:p>
        </w:tc>
        <w:tc>
          <w:tcPr>
            <w:tcW w:w="510" w:type="pct"/>
            <w:shd w:val="clear" w:color="auto" w:fill="auto"/>
            <w:tcMar>
              <w:left w:w="28" w:type="dxa"/>
              <w:right w:w="28" w:type="dxa"/>
            </w:tcMar>
            <w:vAlign w:val="center"/>
          </w:tcPr>
          <w:p w14:paraId="2782243E">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/Гкал</w:t>
            </w:r>
          </w:p>
        </w:tc>
        <w:tc>
          <w:tcPr>
            <w:tcW w:w="50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3F9C5321">
            <w:pPr>
              <w:spacing w:after="0" w:line="240" w:lineRule="auto"/>
              <w:ind w:firstLine="0"/>
              <w:jc w:val="center"/>
              <w:rPr>
                <w:color w:val="000000"/>
                <w:sz w:val="20"/>
                <w:szCs w:val="20"/>
                <w:highlight w:val="yellow"/>
              </w:rPr>
            </w:pPr>
            <w:r>
              <w:rPr>
                <w:color w:val="000000"/>
                <w:sz w:val="20"/>
                <w:szCs w:val="20"/>
              </w:rPr>
              <w:t>137,295</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EC4BE07">
            <w:pPr>
              <w:spacing w:after="0" w:line="240" w:lineRule="auto"/>
              <w:ind w:firstLine="0"/>
              <w:jc w:val="center"/>
              <w:rPr>
                <w:color w:val="000000"/>
                <w:sz w:val="20"/>
                <w:szCs w:val="20"/>
                <w:highlight w:val="yellow"/>
              </w:rPr>
            </w:pPr>
            <w:r>
              <w:rPr>
                <w:color w:val="000000"/>
                <w:sz w:val="20"/>
                <w:szCs w:val="20"/>
              </w:rPr>
              <w:t>142,49</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2F7F1254">
            <w:pPr>
              <w:spacing w:after="0" w:line="240" w:lineRule="auto"/>
              <w:ind w:firstLine="0"/>
              <w:jc w:val="center"/>
              <w:rPr>
                <w:color w:val="000000"/>
                <w:sz w:val="20"/>
                <w:szCs w:val="20"/>
                <w:highlight w:val="yellow"/>
              </w:rPr>
            </w:pPr>
            <w:r>
              <w:rPr>
                <w:color w:val="000000"/>
                <w:sz w:val="20"/>
                <w:szCs w:val="20"/>
              </w:rPr>
              <w:t>142,49</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95BC7E1">
            <w:pPr>
              <w:spacing w:after="0" w:line="240" w:lineRule="auto"/>
              <w:ind w:firstLine="0"/>
              <w:jc w:val="center"/>
              <w:rPr>
                <w:color w:val="000000"/>
                <w:sz w:val="20"/>
                <w:szCs w:val="20"/>
                <w:highlight w:val="yellow"/>
              </w:rPr>
            </w:pPr>
            <w:r>
              <w:rPr>
                <w:color w:val="000000"/>
                <w:sz w:val="20"/>
                <w:szCs w:val="20"/>
              </w:rPr>
              <w:t>142,49</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D2BA046">
            <w:pPr>
              <w:spacing w:after="0" w:line="240" w:lineRule="auto"/>
              <w:ind w:firstLine="0"/>
              <w:jc w:val="center"/>
              <w:rPr>
                <w:color w:val="000000"/>
                <w:sz w:val="20"/>
                <w:szCs w:val="20"/>
                <w:highlight w:val="yellow"/>
              </w:rPr>
            </w:pPr>
            <w:r>
              <w:rPr>
                <w:color w:val="000000"/>
                <w:sz w:val="20"/>
                <w:szCs w:val="20"/>
              </w:rPr>
              <w:t>142,49</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010CAD25">
            <w:pPr>
              <w:spacing w:after="0" w:line="240" w:lineRule="auto"/>
              <w:ind w:firstLine="0"/>
              <w:jc w:val="center"/>
              <w:rPr>
                <w:color w:val="000000"/>
                <w:sz w:val="20"/>
                <w:szCs w:val="20"/>
                <w:highlight w:val="yellow"/>
              </w:rPr>
            </w:pPr>
            <w:r>
              <w:rPr>
                <w:color w:val="000000"/>
                <w:sz w:val="20"/>
                <w:szCs w:val="20"/>
              </w:rPr>
              <w:t>142,49</w:t>
            </w:r>
          </w:p>
        </w:tc>
        <w:tc>
          <w:tcPr>
            <w:tcW w:w="436"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6CE907F">
            <w:pPr>
              <w:spacing w:after="0" w:line="240" w:lineRule="auto"/>
              <w:ind w:firstLine="0"/>
              <w:jc w:val="center"/>
              <w:rPr>
                <w:color w:val="000000"/>
                <w:sz w:val="20"/>
                <w:szCs w:val="20"/>
                <w:highlight w:val="yellow"/>
              </w:rPr>
            </w:pPr>
            <w:r>
              <w:rPr>
                <w:color w:val="000000"/>
                <w:sz w:val="20"/>
                <w:szCs w:val="20"/>
              </w:rPr>
              <w:t>142,49</w:t>
            </w:r>
          </w:p>
        </w:tc>
      </w:tr>
      <w:tr w14:paraId="22AB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1216870B">
            <w:pPr>
              <w:spacing w:after="0" w:line="240" w:lineRule="auto"/>
              <w:ind w:firstLine="0"/>
              <w:jc w:val="center"/>
              <w:rPr>
                <w:color w:val="000000"/>
                <w:sz w:val="20"/>
                <w:szCs w:val="20"/>
              </w:rPr>
            </w:pPr>
            <w:r>
              <w:rPr>
                <w:color w:val="000000"/>
                <w:sz w:val="20"/>
                <w:szCs w:val="20"/>
              </w:rPr>
              <w:t>Расход условного топлива</w:t>
            </w:r>
          </w:p>
        </w:tc>
        <w:tc>
          <w:tcPr>
            <w:tcW w:w="510" w:type="pct"/>
            <w:shd w:val="clear" w:color="auto" w:fill="auto"/>
            <w:tcMar>
              <w:left w:w="28" w:type="dxa"/>
              <w:right w:w="28" w:type="dxa"/>
            </w:tcMar>
            <w:vAlign w:val="center"/>
          </w:tcPr>
          <w:p w14:paraId="457AF5AA">
            <w:pPr>
              <w:spacing w:after="0" w:line="240" w:lineRule="auto"/>
              <w:ind w:firstLine="0"/>
              <w:jc w:val="center"/>
              <w:rPr>
                <w:color w:val="000000"/>
                <w:sz w:val="20"/>
                <w:szCs w:val="20"/>
              </w:rPr>
            </w:pPr>
            <w:r>
              <w:rPr>
                <w:color w:val="000000"/>
                <w:sz w:val="20"/>
                <w:szCs w:val="20"/>
              </w:rPr>
              <w:t>т у. т.</w:t>
            </w:r>
          </w:p>
        </w:tc>
        <w:tc>
          <w:tcPr>
            <w:tcW w:w="505"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F37FCCD">
            <w:pPr>
              <w:spacing w:after="0" w:line="240" w:lineRule="auto"/>
              <w:ind w:firstLine="0"/>
              <w:jc w:val="center"/>
              <w:rPr>
                <w:color w:val="000000"/>
                <w:sz w:val="20"/>
                <w:szCs w:val="20"/>
                <w:highlight w:val="yellow"/>
              </w:rPr>
            </w:pPr>
            <w:r>
              <w:rPr>
                <w:color w:val="000000"/>
                <w:sz w:val="20"/>
                <w:szCs w:val="20"/>
              </w:rPr>
              <w:t>546,428</w:t>
            </w:r>
          </w:p>
        </w:tc>
        <w:tc>
          <w:tcPr>
            <w:tcW w:w="433" w:type="pct"/>
            <w:tcBorders>
              <w:top w:val="nil"/>
              <w:left w:val="nil"/>
              <w:bottom w:val="single" w:color="auto" w:sz="4" w:space="0"/>
              <w:right w:val="single" w:color="auto" w:sz="4" w:space="0"/>
            </w:tcBorders>
            <w:shd w:val="clear" w:color="auto" w:fill="auto"/>
            <w:tcMar>
              <w:left w:w="28" w:type="dxa"/>
              <w:right w:w="28" w:type="dxa"/>
            </w:tcMar>
            <w:vAlign w:val="center"/>
          </w:tcPr>
          <w:p w14:paraId="7B170CE0">
            <w:pPr>
              <w:spacing w:after="0" w:line="240" w:lineRule="auto"/>
              <w:ind w:firstLine="0"/>
              <w:jc w:val="center"/>
              <w:rPr>
                <w:color w:val="000000"/>
                <w:sz w:val="20"/>
                <w:szCs w:val="20"/>
                <w:highlight w:val="yellow"/>
              </w:rPr>
            </w:pPr>
            <w:r>
              <w:rPr>
                <w:color w:val="000000"/>
                <w:sz w:val="20"/>
                <w:szCs w:val="20"/>
              </w:rPr>
              <w:t>562,861</w:t>
            </w:r>
          </w:p>
        </w:tc>
        <w:tc>
          <w:tcPr>
            <w:tcW w:w="433" w:type="pct"/>
            <w:tcBorders>
              <w:top w:val="nil"/>
              <w:left w:val="nil"/>
              <w:bottom w:val="single" w:color="auto" w:sz="4" w:space="0"/>
              <w:right w:val="single" w:color="auto" w:sz="4" w:space="0"/>
            </w:tcBorders>
            <w:shd w:val="clear" w:color="auto" w:fill="auto"/>
            <w:tcMar>
              <w:left w:w="28" w:type="dxa"/>
              <w:right w:w="28" w:type="dxa"/>
            </w:tcMar>
            <w:vAlign w:val="center"/>
          </w:tcPr>
          <w:p w14:paraId="6B2465A1">
            <w:pPr>
              <w:spacing w:after="0" w:line="240" w:lineRule="auto"/>
              <w:ind w:firstLine="0"/>
              <w:jc w:val="center"/>
              <w:rPr>
                <w:color w:val="000000"/>
                <w:sz w:val="20"/>
                <w:szCs w:val="20"/>
                <w:highlight w:val="yellow"/>
              </w:rPr>
            </w:pPr>
            <w:r>
              <w:rPr>
                <w:color w:val="000000"/>
                <w:sz w:val="20"/>
                <w:szCs w:val="20"/>
              </w:rPr>
              <w:t>562,861</w:t>
            </w:r>
          </w:p>
        </w:tc>
        <w:tc>
          <w:tcPr>
            <w:tcW w:w="434" w:type="pct"/>
            <w:tcBorders>
              <w:top w:val="nil"/>
              <w:left w:val="nil"/>
              <w:bottom w:val="single" w:color="auto" w:sz="4" w:space="0"/>
              <w:right w:val="single" w:color="auto" w:sz="4" w:space="0"/>
            </w:tcBorders>
            <w:shd w:val="clear" w:color="auto" w:fill="auto"/>
            <w:tcMar>
              <w:left w:w="28" w:type="dxa"/>
              <w:right w:w="28" w:type="dxa"/>
            </w:tcMar>
            <w:vAlign w:val="center"/>
          </w:tcPr>
          <w:p w14:paraId="32D20092">
            <w:pPr>
              <w:spacing w:after="0" w:line="240" w:lineRule="auto"/>
              <w:ind w:firstLine="0"/>
              <w:jc w:val="center"/>
              <w:rPr>
                <w:color w:val="000000"/>
                <w:sz w:val="20"/>
                <w:szCs w:val="20"/>
                <w:highlight w:val="yellow"/>
              </w:rPr>
            </w:pPr>
            <w:r>
              <w:rPr>
                <w:color w:val="000000"/>
                <w:sz w:val="20"/>
                <w:szCs w:val="20"/>
              </w:rPr>
              <w:t>562,861</w:t>
            </w:r>
          </w:p>
        </w:tc>
        <w:tc>
          <w:tcPr>
            <w:tcW w:w="434" w:type="pct"/>
            <w:tcBorders>
              <w:top w:val="nil"/>
              <w:left w:val="nil"/>
              <w:bottom w:val="single" w:color="auto" w:sz="4" w:space="0"/>
              <w:right w:val="single" w:color="auto" w:sz="4" w:space="0"/>
            </w:tcBorders>
            <w:shd w:val="clear" w:color="auto" w:fill="auto"/>
            <w:tcMar>
              <w:left w:w="28" w:type="dxa"/>
              <w:right w:w="28" w:type="dxa"/>
            </w:tcMar>
            <w:vAlign w:val="center"/>
          </w:tcPr>
          <w:p w14:paraId="26251B98">
            <w:pPr>
              <w:spacing w:after="0" w:line="240" w:lineRule="auto"/>
              <w:ind w:firstLine="0"/>
              <w:jc w:val="center"/>
              <w:rPr>
                <w:color w:val="000000"/>
                <w:sz w:val="20"/>
                <w:szCs w:val="20"/>
                <w:highlight w:val="yellow"/>
              </w:rPr>
            </w:pPr>
            <w:r>
              <w:rPr>
                <w:color w:val="000000"/>
                <w:sz w:val="20"/>
                <w:szCs w:val="20"/>
              </w:rPr>
              <w:t>562,861</w:t>
            </w:r>
          </w:p>
        </w:tc>
        <w:tc>
          <w:tcPr>
            <w:tcW w:w="434" w:type="pct"/>
            <w:tcBorders>
              <w:top w:val="nil"/>
              <w:left w:val="nil"/>
              <w:bottom w:val="single" w:color="auto" w:sz="4" w:space="0"/>
              <w:right w:val="single" w:color="auto" w:sz="4" w:space="0"/>
            </w:tcBorders>
            <w:shd w:val="clear" w:color="auto" w:fill="auto"/>
            <w:tcMar>
              <w:left w:w="28" w:type="dxa"/>
              <w:right w:w="28" w:type="dxa"/>
            </w:tcMar>
            <w:vAlign w:val="center"/>
          </w:tcPr>
          <w:p w14:paraId="378E6B30">
            <w:pPr>
              <w:spacing w:after="0" w:line="240" w:lineRule="auto"/>
              <w:ind w:firstLine="0"/>
              <w:jc w:val="center"/>
              <w:rPr>
                <w:color w:val="000000"/>
                <w:sz w:val="20"/>
                <w:szCs w:val="20"/>
                <w:highlight w:val="yellow"/>
              </w:rPr>
            </w:pPr>
            <w:r>
              <w:rPr>
                <w:color w:val="000000"/>
                <w:sz w:val="20"/>
                <w:szCs w:val="20"/>
              </w:rPr>
              <w:t>562,861</w:t>
            </w:r>
          </w:p>
        </w:tc>
        <w:tc>
          <w:tcPr>
            <w:tcW w:w="436" w:type="pct"/>
            <w:tcBorders>
              <w:top w:val="nil"/>
              <w:left w:val="nil"/>
              <w:bottom w:val="single" w:color="auto" w:sz="4" w:space="0"/>
              <w:right w:val="single" w:color="auto" w:sz="4" w:space="0"/>
            </w:tcBorders>
            <w:shd w:val="clear" w:color="auto" w:fill="auto"/>
            <w:tcMar>
              <w:left w:w="28" w:type="dxa"/>
              <w:right w:w="28" w:type="dxa"/>
            </w:tcMar>
            <w:vAlign w:val="center"/>
          </w:tcPr>
          <w:p w14:paraId="12824387">
            <w:pPr>
              <w:spacing w:after="0" w:line="240" w:lineRule="auto"/>
              <w:ind w:firstLine="0"/>
              <w:jc w:val="center"/>
              <w:rPr>
                <w:color w:val="000000"/>
                <w:sz w:val="20"/>
                <w:szCs w:val="20"/>
                <w:highlight w:val="yellow"/>
              </w:rPr>
            </w:pPr>
            <w:r>
              <w:rPr>
                <w:color w:val="000000"/>
                <w:sz w:val="20"/>
                <w:szCs w:val="20"/>
              </w:rPr>
              <w:t>562,861</w:t>
            </w:r>
          </w:p>
        </w:tc>
      </w:tr>
      <w:tr w14:paraId="40F3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65012381">
            <w:pPr>
              <w:spacing w:after="0" w:line="240" w:lineRule="auto"/>
              <w:ind w:firstLine="0"/>
              <w:jc w:val="center"/>
              <w:rPr>
                <w:color w:val="000000"/>
                <w:sz w:val="20"/>
                <w:szCs w:val="20"/>
              </w:rPr>
            </w:pPr>
            <w:r>
              <w:rPr>
                <w:color w:val="000000"/>
                <w:sz w:val="20"/>
                <w:szCs w:val="20"/>
              </w:rPr>
              <w:t>Расход натурального топлива</w:t>
            </w:r>
          </w:p>
        </w:tc>
        <w:tc>
          <w:tcPr>
            <w:tcW w:w="510" w:type="pct"/>
            <w:shd w:val="clear" w:color="auto" w:fill="auto"/>
            <w:tcMar>
              <w:left w:w="28" w:type="dxa"/>
              <w:right w:w="28" w:type="dxa"/>
            </w:tcMar>
            <w:vAlign w:val="center"/>
          </w:tcPr>
          <w:p w14:paraId="46BCF0A4">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p>
        </w:tc>
        <w:tc>
          <w:tcPr>
            <w:tcW w:w="50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14:paraId="6CF26434">
            <w:pPr>
              <w:spacing w:after="0" w:line="240" w:lineRule="auto"/>
              <w:ind w:firstLine="0"/>
              <w:jc w:val="center"/>
              <w:rPr>
                <w:color w:val="000000"/>
                <w:sz w:val="20"/>
                <w:szCs w:val="20"/>
                <w:highlight w:val="yellow"/>
              </w:rPr>
            </w:pPr>
            <w:r>
              <w:rPr>
                <w:color w:val="000000"/>
                <w:sz w:val="20"/>
                <w:szCs w:val="20"/>
              </w:rPr>
              <w:t>441,791</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5A18C2B">
            <w:pPr>
              <w:spacing w:after="0" w:line="240" w:lineRule="auto"/>
              <w:ind w:firstLine="0"/>
              <w:jc w:val="center"/>
              <w:rPr>
                <w:color w:val="000000"/>
                <w:sz w:val="20"/>
                <w:szCs w:val="20"/>
                <w:highlight w:val="yellow"/>
              </w:rPr>
            </w:pPr>
            <w:r>
              <w:rPr>
                <w:color w:val="000000"/>
                <w:sz w:val="20"/>
                <w:szCs w:val="20"/>
              </w:rPr>
              <w:t>465,345</w:t>
            </w:r>
          </w:p>
        </w:tc>
        <w:tc>
          <w:tcPr>
            <w:tcW w:w="433"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F7C93A2">
            <w:pPr>
              <w:spacing w:after="0" w:line="240" w:lineRule="auto"/>
              <w:ind w:firstLine="0"/>
              <w:jc w:val="center"/>
              <w:rPr>
                <w:color w:val="000000"/>
                <w:sz w:val="20"/>
                <w:szCs w:val="20"/>
                <w:highlight w:val="yellow"/>
              </w:rPr>
            </w:pPr>
            <w:r>
              <w:rPr>
                <w:color w:val="000000"/>
                <w:sz w:val="20"/>
                <w:szCs w:val="20"/>
              </w:rPr>
              <w:t>465,345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6DE52A22">
            <w:pPr>
              <w:spacing w:after="0" w:line="240" w:lineRule="auto"/>
              <w:ind w:firstLine="0"/>
              <w:jc w:val="center"/>
              <w:rPr>
                <w:color w:val="000000"/>
                <w:sz w:val="20"/>
                <w:szCs w:val="20"/>
                <w:highlight w:val="yellow"/>
              </w:rPr>
            </w:pPr>
            <w:r>
              <w:rPr>
                <w:color w:val="000000"/>
                <w:sz w:val="20"/>
                <w:szCs w:val="20"/>
              </w:rPr>
              <w:t>465,345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1CCC36CF">
            <w:pPr>
              <w:spacing w:after="0" w:line="240" w:lineRule="auto"/>
              <w:ind w:firstLine="0"/>
              <w:jc w:val="center"/>
              <w:rPr>
                <w:color w:val="000000"/>
                <w:sz w:val="20"/>
                <w:szCs w:val="20"/>
                <w:highlight w:val="yellow"/>
              </w:rPr>
            </w:pPr>
            <w:r>
              <w:rPr>
                <w:color w:val="000000"/>
                <w:sz w:val="20"/>
                <w:szCs w:val="20"/>
              </w:rPr>
              <w:t>465,345</w:t>
            </w:r>
          </w:p>
        </w:tc>
        <w:tc>
          <w:tcPr>
            <w:tcW w:w="434"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737A4093">
            <w:pPr>
              <w:spacing w:after="0" w:line="240" w:lineRule="auto"/>
              <w:ind w:firstLine="0"/>
              <w:jc w:val="center"/>
              <w:rPr>
                <w:color w:val="000000"/>
                <w:sz w:val="20"/>
                <w:szCs w:val="20"/>
                <w:highlight w:val="yellow"/>
              </w:rPr>
            </w:pPr>
            <w:r>
              <w:rPr>
                <w:color w:val="000000"/>
                <w:sz w:val="20"/>
                <w:szCs w:val="20"/>
              </w:rPr>
              <w:t>465,345</w:t>
            </w:r>
          </w:p>
        </w:tc>
        <w:tc>
          <w:tcPr>
            <w:tcW w:w="436" w:type="pct"/>
            <w:tcBorders>
              <w:top w:val="nil"/>
              <w:left w:val="nil"/>
              <w:bottom w:val="single" w:color="auto" w:sz="4" w:space="0"/>
              <w:right w:val="single" w:color="auto" w:sz="4" w:space="0"/>
            </w:tcBorders>
            <w:shd w:val="clear" w:color="auto" w:fill="auto"/>
            <w:noWrap/>
            <w:tcMar>
              <w:left w:w="28" w:type="dxa"/>
              <w:right w:w="28" w:type="dxa"/>
            </w:tcMar>
            <w:vAlign w:val="center"/>
          </w:tcPr>
          <w:p w14:paraId="56EA512B">
            <w:pPr>
              <w:spacing w:after="0" w:line="240" w:lineRule="auto"/>
              <w:ind w:firstLine="0"/>
              <w:jc w:val="center"/>
              <w:rPr>
                <w:color w:val="000000"/>
                <w:sz w:val="20"/>
                <w:szCs w:val="20"/>
                <w:highlight w:val="yellow"/>
              </w:rPr>
            </w:pPr>
            <w:r>
              <w:rPr>
                <w:color w:val="000000"/>
                <w:sz w:val="20"/>
                <w:szCs w:val="20"/>
              </w:rPr>
              <w:t>465,345</w:t>
            </w:r>
          </w:p>
        </w:tc>
      </w:tr>
      <w:tr w14:paraId="3BBA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387C15BB">
            <w:pPr>
              <w:spacing w:after="0" w:line="240" w:lineRule="auto"/>
              <w:ind w:firstLine="0"/>
              <w:jc w:val="center"/>
              <w:rPr>
                <w:color w:val="000000"/>
                <w:sz w:val="20"/>
                <w:szCs w:val="20"/>
              </w:rPr>
            </w:pPr>
            <w:r>
              <w:rPr>
                <w:color w:val="000000"/>
                <w:sz w:val="20"/>
                <w:szCs w:val="20"/>
              </w:rPr>
              <w:t>Котельные «Вирбекс», «2БВК»</w:t>
            </w:r>
          </w:p>
        </w:tc>
        <w:tc>
          <w:tcPr>
            <w:tcW w:w="510" w:type="pct"/>
            <w:shd w:val="clear" w:color="auto" w:fill="auto"/>
            <w:noWrap/>
            <w:tcMar>
              <w:left w:w="28" w:type="dxa"/>
              <w:right w:w="28" w:type="dxa"/>
            </w:tcMar>
            <w:vAlign w:val="center"/>
          </w:tcPr>
          <w:p w14:paraId="09091A31">
            <w:pPr>
              <w:spacing w:after="0" w:line="240" w:lineRule="auto"/>
              <w:ind w:firstLine="0"/>
              <w:rPr>
                <w:color w:val="000000"/>
                <w:sz w:val="20"/>
                <w:szCs w:val="20"/>
              </w:rPr>
            </w:pPr>
            <w:r>
              <w:rPr>
                <w:color w:val="000000"/>
                <w:sz w:val="20"/>
                <w:szCs w:val="20"/>
              </w:rPr>
              <w:t> </w:t>
            </w:r>
          </w:p>
        </w:tc>
        <w:tc>
          <w:tcPr>
            <w:tcW w:w="505" w:type="pct"/>
            <w:shd w:val="clear" w:color="auto" w:fill="auto"/>
            <w:noWrap/>
            <w:tcMar>
              <w:left w:w="28" w:type="dxa"/>
              <w:right w:w="28" w:type="dxa"/>
            </w:tcMar>
            <w:vAlign w:val="center"/>
          </w:tcPr>
          <w:p w14:paraId="278473C9">
            <w:pPr>
              <w:spacing w:after="0" w:line="240" w:lineRule="auto"/>
              <w:ind w:firstLine="0"/>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7B8C1FB1">
            <w:pPr>
              <w:spacing w:after="0" w:line="240" w:lineRule="auto"/>
              <w:ind w:firstLine="0"/>
              <w:rPr>
                <w:color w:val="000000"/>
                <w:sz w:val="20"/>
                <w:szCs w:val="20"/>
              </w:rPr>
            </w:pPr>
            <w:r>
              <w:rPr>
                <w:color w:val="000000"/>
                <w:sz w:val="20"/>
                <w:szCs w:val="20"/>
              </w:rPr>
              <w:t> </w:t>
            </w:r>
          </w:p>
        </w:tc>
        <w:tc>
          <w:tcPr>
            <w:tcW w:w="433" w:type="pct"/>
            <w:shd w:val="clear" w:color="auto" w:fill="auto"/>
            <w:noWrap/>
            <w:tcMar>
              <w:left w:w="28" w:type="dxa"/>
              <w:right w:w="28" w:type="dxa"/>
            </w:tcMar>
            <w:vAlign w:val="center"/>
          </w:tcPr>
          <w:p w14:paraId="2DD0FBF1">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79C3401B">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24711C2A">
            <w:pPr>
              <w:spacing w:after="0" w:line="240" w:lineRule="auto"/>
              <w:ind w:firstLine="0"/>
              <w:rPr>
                <w:color w:val="000000"/>
                <w:sz w:val="20"/>
                <w:szCs w:val="20"/>
              </w:rPr>
            </w:pPr>
            <w:r>
              <w:rPr>
                <w:color w:val="000000"/>
                <w:sz w:val="20"/>
                <w:szCs w:val="20"/>
              </w:rPr>
              <w:t> </w:t>
            </w:r>
          </w:p>
        </w:tc>
        <w:tc>
          <w:tcPr>
            <w:tcW w:w="434" w:type="pct"/>
            <w:shd w:val="clear" w:color="auto" w:fill="auto"/>
            <w:noWrap/>
            <w:tcMar>
              <w:left w:w="28" w:type="dxa"/>
              <w:right w:w="28" w:type="dxa"/>
            </w:tcMar>
            <w:vAlign w:val="center"/>
          </w:tcPr>
          <w:p w14:paraId="33BAD361">
            <w:pPr>
              <w:spacing w:after="0" w:line="240" w:lineRule="auto"/>
              <w:ind w:firstLine="0"/>
              <w:rPr>
                <w:color w:val="000000"/>
                <w:sz w:val="20"/>
                <w:szCs w:val="20"/>
              </w:rPr>
            </w:pPr>
            <w:r>
              <w:rPr>
                <w:color w:val="000000"/>
                <w:sz w:val="20"/>
                <w:szCs w:val="20"/>
              </w:rPr>
              <w:t> </w:t>
            </w:r>
          </w:p>
        </w:tc>
        <w:tc>
          <w:tcPr>
            <w:tcW w:w="436" w:type="pct"/>
            <w:shd w:val="clear" w:color="auto" w:fill="auto"/>
            <w:noWrap/>
            <w:tcMar>
              <w:left w:w="28" w:type="dxa"/>
              <w:right w:w="28" w:type="dxa"/>
            </w:tcMar>
            <w:vAlign w:val="center"/>
          </w:tcPr>
          <w:p w14:paraId="16987558">
            <w:pPr>
              <w:spacing w:after="0" w:line="240" w:lineRule="auto"/>
              <w:ind w:firstLine="0"/>
              <w:rPr>
                <w:color w:val="000000"/>
                <w:sz w:val="20"/>
                <w:szCs w:val="20"/>
              </w:rPr>
            </w:pPr>
            <w:r>
              <w:rPr>
                <w:color w:val="000000"/>
                <w:sz w:val="20"/>
                <w:szCs w:val="20"/>
              </w:rPr>
              <w:t> </w:t>
            </w:r>
          </w:p>
        </w:tc>
      </w:tr>
      <w:tr w14:paraId="2A1C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5F26DC5E">
            <w:pPr>
              <w:spacing w:after="0" w:line="240" w:lineRule="auto"/>
              <w:ind w:firstLine="0"/>
              <w:jc w:val="center"/>
              <w:rPr>
                <w:color w:val="000000"/>
                <w:sz w:val="20"/>
                <w:szCs w:val="20"/>
              </w:rPr>
            </w:pPr>
            <w:r>
              <w:rPr>
                <w:color w:val="000000"/>
                <w:sz w:val="20"/>
                <w:szCs w:val="20"/>
              </w:rPr>
              <w:t>Выработано тепловой энергии:</w:t>
            </w:r>
          </w:p>
        </w:tc>
        <w:tc>
          <w:tcPr>
            <w:tcW w:w="510" w:type="pct"/>
            <w:shd w:val="clear" w:color="auto" w:fill="auto"/>
            <w:noWrap/>
            <w:tcMar>
              <w:left w:w="28" w:type="dxa"/>
              <w:right w:w="28" w:type="dxa"/>
            </w:tcMar>
            <w:vAlign w:val="center"/>
          </w:tcPr>
          <w:p w14:paraId="294E3CAA">
            <w:pPr>
              <w:spacing w:after="0" w:line="240" w:lineRule="auto"/>
              <w:ind w:firstLine="0"/>
              <w:jc w:val="center"/>
              <w:rPr>
                <w:color w:val="000000"/>
                <w:sz w:val="20"/>
                <w:szCs w:val="20"/>
              </w:rPr>
            </w:pPr>
            <w:r>
              <w:rPr>
                <w:color w:val="000000"/>
                <w:sz w:val="20"/>
                <w:szCs w:val="20"/>
              </w:rPr>
              <w:t>Гкал</w:t>
            </w:r>
          </w:p>
        </w:tc>
        <w:tc>
          <w:tcPr>
            <w:tcW w:w="505" w:type="pct"/>
            <w:shd w:val="clear" w:color="auto" w:fill="auto"/>
            <w:noWrap/>
            <w:tcMar>
              <w:left w:w="28" w:type="dxa"/>
              <w:right w:w="28" w:type="dxa"/>
            </w:tcMar>
            <w:vAlign w:val="center"/>
          </w:tcPr>
          <w:p w14:paraId="470364F3">
            <w:pPr>
              <w:spacing w:after="0" w:line="240" w:lineRule="auto"/>
              <w:ind w:firstLine="0"/>
              <w:jc w:val="center"/>
              <w:rPr>
                <w:color w:val="000000"/>
                <w:sz w:val="20"/>
                <w:szCs w:val="20"/>
              </w:rPr>
            </w:pPr>
            <w:r>
              <w:rPr>
                <w:color w:val="000000"/>
                <w:sz w:val="20"/>
                <w:szCs w:val="20"/>
              </w:rPr>
              <w:t>18022,50</w:t>
            </w:r>
          </w:p>
        </w:tc>
        <w:tc>
          <w:tcPr>
            <w:tcW w:w="433" w:type="pct"/>
            <w:shd w:val="clear" w:color="auto" w:fill="auto"/>
            <w:noWrap/>
            <w:tcMar>
              <w:left w:w="28" w:type="dxa"/>
              <w:right w:w="28" w:type="dxa"/>
            </w:tcMar>
            <w:vAlign w:val="center"/>
          </w:tcPr>
          <w:p w14:paraId="307EC29D">
            <w:pPr>
              <w:spacing w:after="0" w:line="240" w:lineRule="auto"/>
              <w:ind w:firstLine="0"/>
              <w:jc w:val="center"/>
              <w:rPr>
                <w:color w:val="000000"/>
                <w:sz w:val="20"/>
                <w:szCs w:val="20"/>
              </w:rPr>
            </w:pPr>
            <w:r>
              <w:rPr>
                <w:color w:val="000000"/>
                <w:sz w:val="20"/>
                <w:szCs w:val="20"/>
              </w:rPr>
              <w:t>19431,37</w:t>
            </w:r>
          </w:p>
        </w:tc>
        <w:tc>
          <w:tcPr>
            <w:tcW w:w="433" w:type="pct"/>
            <w:shd w:val="clear" w:color="auto" w:fill="auto"/>
            <w:noWrap/>
            <w:tcMar>
              <w:left w:w="28" w:type="dxa"/>
              <w:right w:w="28" w:type="dxa"/>
            </w:tcMar>
            <w:vAlign w:val="center"/>
          </w:tcPr>
          <w:p w14:paraId="6AD38794">
            <w:pPr>
              <w:spacing w:after="0" w:line="240" w:lineRule="auto"/>
              <w:ind w:firstLine="0"/>
              <w:jc w:val="center"/>
              <w:rPr>
                <w:color w:val="000000"/>
                <w:sz w:val="20"/>
                <w:szCs w:val="20"/>
              </w:rPr>
            </w:pPr>
            <w:r>
              <w:rPr>
                <w:color w:val="000000"/>
                <w:sz w:val="20"/>
                <w:szCs w:val="20"/>
              </w:rPr>
              <w:t>20840,23</w:t>
            </w:r>
          </w:p>
        </w:tc>
        <w:tc>
          <w:tcPr>
            <w:tcW w:w="434" w:type="pct"/>
            <w:shd w:val="clear" w:color="auto" w:fill="auto"/>
            <w:noWrap/>
            <w:tcMar>
              <w:left w:w="28" w:type="dxa"/>
              <w:right w:w="28" w:type="dxa"/>
            </w:tcMar>
            <w:vAlign w:val="center"/>
          </w:tcPr>
          <w:p w14:paraId="2C3B3F2C">
            <w:pPr>
              <w:spacing w:after="0" w:line="240" w:lineRule="auto"/>
              <w:ind w:firstLine="0"/>
              <w:jc w:val="center"/>
              <w:rPr>
                <w:color w:val="000000"/>
                <w:sz w:val="20"/>
                <w:szCs w:val="20"/>
              </w:rPr>
            </w:pPr>
            <w:r>
              <w:rPr>
                <w:color w:val="000000"/>
                <w:sz w:val="20"/>
                <w:szCs w:val="20"/>
              </w:rPr>
              <w:t>22249,10</w:t>
            </w:r>
          </w:p>
        </w:tc>
        <w:tc>
          <w:tcPr>
            <w:tcW w:w="434" w:type="pct"/>
            <w:shd w:val="clear" w:color="auto" w:fill="auto"/>
            <w:noWrap/>
            <w:tcMar>
              <w:left w:w="28" w:type="dxa"/>
              <w:right w:w="28" w:type="dxa"/>
            </w:tcMar>
            <w:vAlign w:val="center"/>
          </w:tcPr>
          <w:p w14:paraId="4DD8F594">
            <w:pPr>
              <w:spacing w:after="0" w:line="240" w:lineRule="auto"/>
              <w:ind w:firstLine="0"/>
              <w:jc w:val="center"/>
              <w:rPr>
                <w:color w:val="000000"/>
                <w:sz w:val="20"/>
                <w:szCs w:val="20"/>
              </w:rPr>
            </w:pPr>
            <w:r>
              <w:rPr>
                <w:color w:val="000000"/>
                <w:sz w:val="20"/>
                <w:szCs w:val="20"/>
              </w:rPr>
              <w:t>23657,97</w:t>
            </w:r>
          </w:p>
        </w:tc>
        <w:tc>
          <w:tcPr>
            <w:tcW w:w="434" w:type="pct"/>
            <w:shd w:val="clear" w:color="auto" w:fill="auto"/>
            <w:noWrap/>
            <w:tcMar>
              <w:left w:w="28" w:type="dxa"/>
              <w:right w:w="28" w:type="dxa"/>
            </w:tcMar>
            <w:vAlign w:val="center"/>
          </w:tcPr>
          <w:p w14:paraId="4DF1ED66">
            <w:pPr>
              <w:spacing w:after="0" w:line="240" w:lineRule="auto"/>
              <w:ind w:firstLine="0"/>
              <w:jc w:val="center"/>
              <w:rPr>
                <w:color w:val="000000"/>
                <w:sz w:val="20"/>
                <w:szCs w:val="20"/>
              </w:rPr>
            </w:pPr>
            <w:r>
              <w:rPr>
                <w:color w:val="000000"/>
                <w:sz w:val="20"/>
                <w:szCs w:val="20"/>
              </w:rPr>
              <w:t>25066,83</w:t>
            </w:r>
          </w:p>
        </w:tc>
        <w:tc>
          <w:tcPr>
            <w:tcW w:w="436" w:type="pct"/>
            <w:shd w:val="clear" w:color="auto" w:fill="auto"/>
            <w:noWrap/>
            <w:tcMar>
              <w:left w:w="28" w:type="dxa"/>
              <w:right w:w="28" w:type="dxa"/>
            </w:tcMar>
            <w:vAlign w:val="center"/>
          </w:tcPr>
          <w:p w14:paraId="1C72A666">
            <w:pPr>
              <w:spacing w:after="0" w:line="240" w:lineRule="auto"/>
              <w:ind w:firstLine="0"/>
              <w:jc w:val="center"/>
              <w:rPr>
                <w:color w:val="000000"/>
                <w:sz w:val="20"/>
                <w:szCs w:val="20"/>
              </w:rPr>
            </w:pPr>
            <w:r>
              <w:rPr>
                <w:color w:val="000000"/>
                <w:sz w:val="20"/>
                <w:szCs w:val="20"/>
              </w:rPr>
              <w:t>26475,70</w:t>
            </w:r>
          </w:p>
        </w:tc>
      </w:tr>
      <w:tr w14:paraId="003B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1CA9AC7D">
            <w:pPr>
              <w:spacing w:after="0" w:line="240" w:lineRule="auto"/>
              <w:ind w:firstLine="0"/>
              <w:jc w:val="center"/>
              <w:rPr>
                <w:color w:val="000000"/>
                <w:sz w:val="20"/>
                <w:szCs w:val="20"/>
              </w:rPr>
            </w:pPr>
            <w:r>
              <w:rPr>
                <w:color w:val="000000"/>
                <w:sz w:val="20"/>
                <w:szCs w:val="20"/>
              </w:rPr>
              <w:t>Удельный расход условного топлива на выработку тепловой энергии</w:t>
            </w:r>
          </w:p>
        </w:tc>
        <w:tc>
          <w:tcPr>
            <w:tcW w:w="510" w:type="pct"/>
            <w:shd w:val="clear" w:color="auto" w:fill="auto"/>
            <w:tcMar>
              <w:left w:w="28" w:type="dxa"/>
              <w:right w:w="28" w:type="dxa"/>
            </w:tcMar>
            <w:vAlign w:val="center"/>
          </w:tcPr>
          <w:p w14:paraId="1726C9DB">
            <w:pPr>
              <w:spacing w:after="0" w:line="240" w:lineRule="auto"/>
              <w:ind w:firstLine="0"/>
              <w:jc w:val="center"/>
              <w:rPr>
                <w:color w:val="000000"/>
                <w:sz w:val="20"/>
                <w:szCs w:val="20"/>
              </w:rPr>
            </w:pPr>
            <w:r>
              <w:rPr>
                <w:color w:val="000000"/>
                <w:sz w:val="20"/>
                <w:szCs w:val="20"/>
              </w:rPr>
              <w:t>кг у. т./Гкал</w:t>
            </w:r>
          </w:p>
        </w:tc>
        <w:tc>
          <w:tcPr>
            <w:tcW w:w="505" w:type="pct"/>
            <w:shd w:val="clear" w:color="auto" w:fill="auto"/>
            <w:noWrap/>
            <w:tcMar>
              <w:left w:w="28" w:type="dxa"/>
              <w:right w:w="28" w:type="dxa"/>
            </w:tcMar>
            <w:vAlign w:val="center"/>
          </w:tcPr>
          <w:p w14:paraId="556C9532">
            <w:pPr>
              <w:spacing w:after="0" w:line="240" w:lineRule="auto"/>
              <w:ind w:firstLine="0"/>
              <w:jc w:val="center"/>
              <w:rPr>
                <w:color w:val="000000"/>
                <w:sz w:val="20"/>
                <w:szCs w:val="20"/>
              </w:rPr>
            </w:pPr>
            <w:r>
              <w:rPr>
                <w:color w:val="000000"/>
                <w:sz w:val="20"/>
                <w:szCs w:val="20"/>
              </w:rPr>
              <w:t>35,37</w:t>
            </w:r>
          </w:p>
        </w:tc>
        <w:tc>
          <w:tcPr>
            <w:tcW w:w="433" w:type="pct"/>
            <w:shd w:val="clear" w:color="auto" w:fill="auto"/>
            <w:noWrap/>
            <w:tcMar>
              <w:left w:w="28" w:type="dxa"/>
              <w:right w:w="28" w:type="dxa"/>
            </w:tcMar>
            <w:vAlign w:val="center"/>
          </w:tcPr>
          <w:p w14:paraId="76511C84">
            <w:pPr>
              <w:spacing w:after="0" w:line="240" w:lineRule="auto"/>
              <w:ind w:firstLine="0"/>
              <w:jc w:val="center"/>
              <w:rPr>
                <w:color w:val="000000"/>
                <w:sz w:val="20"/>
                <w:szCs w:val="20"/>
              </w:rPr>
            </w:pPr>
            <w:r>
              <w:rPr>
                <w:color w:val="000000"/>
                <w:sz w:val="20"/>
                <w:szCs w:val="20"/>
              </w:rPr>
              <w:t>35,37</w:t>
            </w:r>
          </w:p>
        </w:tc>
        <w:tc>
          <w:tcPr>
            <w:tcW w:w="433" w:type="pct"/>
            <w:shd w:val="clear" w:color="auto" w:fill="auto"/>
            <w:noWrap/>
            <w:tcMar>
              <w:left w:w="28" w:type="dxa"/>
              <w:right w:w="28" w:type="dxa"/>
            </w:tcMar>
            <w:vAlign w:val="center"/>
          </w:tcPr>
          <w:p w14:paraId="5B2DB699">
            <w:pPr>
              <w:spacing w:after="0" w:line="240" w:lineRule="auto"/>
              <w:ind w:firstLine="0"/>
              <w:jc w:val="center"/>
              <w:rPr>
                <w:color w:val="000000"/>
                <w:sz w:val="20"/>
                <w:szCs w:val="20"/>
              </w:rPr>
            </w:pPr>
            <w:r>
              <w:rPr>
                <w:color w:val="000000"/>
                <w:sz w:val="20"/>
                <w:szCs w:val="20"/>
              </w:rPr>
              <w:t>35,37</w:t>
            </w:r>
          </w:p>
        </w:tc>
        <w:tc>
          <w:tcPr>
            <w:tcW w:w="434" w:type="pct"/>
            <w:shd w:val="clear" w:color="auto" w:fill="auto"/>
            <w:noWrap/>
            <w:tcMar>
              <w:left w:w="28" w:type="dxa"/>
              <w:right w:w="28" w:type="dxa"/>
            </w:tcMar>
            <w:vAlign w:val="center"/>
          </w:tcPr>
          <w:p w14:paraId="1EFAFE44">
            <w:pPr>
              <w:spacing w:after="0" w:line="240" w:lineRule="auto"/>
              <w:ind w:firstLine="0"/>
              <w:jc w:val="center"/>
              <w:rPr>
                <w:color w:val="000000"/>
                <w:sz w:val="20"/>
                <w:szCs w:val="20"/>
              </w:rPr>
            </w:pPr>
            <w:r>
              <w:rPr>
                <w:color w:val="000000"/>
                <w:sz w:val="20"/>
                <w:szCs w:val="20"/>
              </w:rPr>
              <w:t>35,37</w:t>
            </w:r>
          </w:p>
        </w:tc>
        <w:tc>
          <w:tcPr>
            <w:tcW w:w="434" w:type="pct"/>
            <w:shd w:val="clear" w:color="auto" w:fill="auto"/>
            <w:noWrap/>
            <w:tcMar>
              <w:left w:w="28" w:type="dxa"/>
              <w:right w:w="28" w:type="dxa"/>
            </w:tcMar>
            <w:vAlign w:val="center"/>
          </w:tcPr>
          <w:p w14:paraId="3BDA6931">
            <w:pPr>
              <w:spacing w:after="0" w:line="240" w:lineRule="auto"/>
              <w:ind w:firstLine="0"/>
              <w:jc w:val="center"/>
              <w:rPr>
                <w:color w:val="000000"/>
                <w:sz w:val="20"/>
                <w:szCs w:val="20"/>
              </w:rPr>
            </w:pPr>
            <w:r>
              <w:rPr>
                <w:color w:val="000000"/>
                <w:sz w:val="20"/>
                <w:szCs w:val="20"/>
              </w:rPr>
              <w:t>35,37</w:t>
            </w:r>
          </w:p>
        </w:tc>
        <w:tc>
          <w:tcPr>
            <w:tcW w:w="434" w:type="pct"/>
            <w:shd w:val="clear" w:color="auto" w:fill="auto"/>
            <w:noWrap/>
            <w:tcMar>
              <w:left w:w="28" w:type="dxa"/>
              <w:right w:w="28" w:type="dxa"/>
            </w:tcMar>
            <w:vAlign w:val="center"/>
          </w:tcPr>
          <w:p w14:paraId="27A3E08D">
            <w:pPr>
              <w:spacing w:after="0" w:line="240" w:lineRule="auto"/>
              <w:ind w:firstLine="0"/>
              <w:jc w:val="center"/>
              <w:rPr>
                <w:color w:val="000000"/>
                <w:sz w:val="20"/>
                <w:szCs w:val="20"/>
              </w:rPr>
            </w:pPr>
            <w:r>
              <w:rPr>
                <w:color w:val="000000"/>
                <w:sz w:val="20"/>
                <w:szCs w:val="20"/>
              </w:rPr>
              <w:t>35,37</w:t>
            </w:r>
          </w:p>
        </w:tc>
        <w:tc>
          <w:tcPr>
            <w:tcW w:w="436" w:type="pct"/>
            <w:shd w:val="clear" w:color="auto" w:fill="auto"/>
            <w:noWrap/>
            <w:tcMar>
              <w:left w:w="28" w:type="dxa"/>
              <w:right w:w="28" w:type="dxa"/>
            </w:tcMar>
            <w:vAlign w:val="center"/>
          </w:tcPr>
          <w:p w14:paraId="482DC3E8">
            <w:pPr>
              <w:spacing w:after="0" w:line="240" w:lineRule="auto"/>
              <w:ind w:firstLine="0"/>
              <w:jc w:val="center"/>
              <w:rPr>
                <w:color w:val="000000"/>
                <w:sz w:val="20"/>
                <w:szCs w:val="20"/>
              </w:rPr>
            </w:pPr>
            <w:r>
              <w:rPr>
                <w:color w:val="000000"/>
                <w:sz w:val="20"/>
                <w:szCs w:val="20"/>
              </w:rPr>
              <w:t>35,37</w:t>
            </w:r>
          </w:p>
        </w:tc>
      </w:tr>
      <w:tr w14:paraId="6DA6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7AA9DFAC">
            <w:pPr>
              <w:spacing w:after="0" w:line="240" w:lineRule="auto"/>
              <w:ind w:firstLine="0"/>
              <w:jc w:val="center"/>
              <w:rPr>
                <w:color w:val="000000"/>
                <w:sz w:val="20"/>
                <w:szCs w:val="20"/>
              </w:rPr>
            </w:pPr>
            <w:r>
              <w:rPr>
                <w:color w:val="000000"/>
                <w:sz w:val="20"/>
                <w:szCs w:val="20"/>
              </w:rPr>
              <w:t>Удельный расход натурального топлива на выработку тепловой энергии</w:t>
            </w:r>
          </w:p>
        </w:tc>
        <w:tc>
          <w:tcPr>
            <w:tcW w:w="510" w:type="pct"/>
            <w:shd w:val="clear" w:color="auto" w:fill="auto"/>
            <w:tcMar>
              <w:left w:w="28" w:type="dxa"/>
              <w:right w:w="28" w:type="dxa"/>
            </w:tcMar>
            <w:vAlign w:val="center"/>
          </w:tcPr>
          <w:p w14:paraId="74656C84">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/Гкал</w:t>
            </w:r>
          </w:p>
        </w:tc>
        <w:tc>
          <w:tcPr>
            <w:tcW w:w="505" w:type="pct"/>
            <w:shd w:val="clear" w:color="auto" w:fill="auto"/>
            <w:noWrap/>
            <w:tcMar>
              <w:left w:w="28" w:type="dxa"/>
              <w:right w:w="28" w:type="dxa"/>
            </w:tcMar>
            <w:vAlign w:val="center"/>
          </w:tcPr>
          <w:p w14:paraId="5492D48E">
            <w:pPr>
              <w:spacing w:after="0" w:line="240" w:lineRule="auto"/>
              <w:ind w:firstLine="0"/>
              <w:jc w:val="center"/>
              <w:rPr>
                <w:color w:val="000000"/>
                <w:sz w:val="20"/>
                <w:szCs w:val="20"/>
              </w:rPr>
            </w:pPr>
            <w:r>
              <w:rPr>
                <w:color w:val="000000"/>
                <w:sz w:val="20"/>
                <w:szCs w:val="20"/>
              </w:rPr>
              <w:t>21,45</w:t>
            </w:r>
          </w:p>
        </w:tc>
        <w:tc>
          <w:tcPr>
            <w:tcW w:w="433" w:type="pct"/>
            <w:shd w:val="clear" w:color="auto" w:fill="auto"/>
            <w:noWrap/>
            <w:tcMar>
              <w:left w:w="28" w:type="dxa"/>
              <w:right w:w="28" w:type="dxa"/>
            </w:tcMar>
            <w:vAlign w:val="center"/>
          </w:tcPr>
          <w:p w14:paraId="0F4D6771">
            <w:pPr>
              <w:spacing w:after="0" w:line="240" w:lineRule="auto"/>
              <w:ind w:firstLine="0"/>
              <w:jc w:val="center"/>
              <w:rPr>
                <w:color w:val="000000"/>
                <w:sz w:val="20"/>
                <w:szCs w:val="20"/>
              </w:rPr>
            </w:pPr>
            <w:r>
              <w:rPr>
                <w:color w:val="000000"/>
                <w:sz w:val="20"/>
                <w:szCs w:val="20"/>
              </w:rPr>
              <w:t>19,89</w:t>
            </w:r>
          </w:p>
        </w:tc>
        <w:tc>
          <w:tcPr>
            <w:tcW w:w="433" w:type="pct"/>
            <w:shd w:val="clear" w:color="auto" w:fill="auto"/>
            <w:noWrap/>
            <w:tcMar>
              <w:left w:w="28" w:type="dxa"/>
              <w:right w:w="28" w:type="dxa"/>
            </w:tcMar>
            <w:vAlign w:val="center"/>
          </w:tcPr>
          <w:p w14:paraId="69691ED0">
            <w:pPr>
              <w:spacing w:after="0" w:line="240" w:lineRule="auto"/>
              <w:ind w:firstLine="0"/>
              <w:jc w:val="center"/>
              <w:rPr>
                <w:color w:val="000000"/>
                <w:sz w:val="20"/>
                <w:szCs w:val="20"/>
              </w:rPr>
            </w:pPr>
            <w:r>
              <w:rPr>
                <w:color w:val="000000"/>
                <w:sz w:val="20"/>
                <w:szCs w:val="20"/>
              </w:rPr>
              <w:t>18,55</w:t>
            </w:r>
          </w:p>
        </w:tc>
        <w:tc>
          <w:tcPr>
            <w:tcW w:w="434" w:type="pct"/>
            <w:shd w:val="clear" w:color="auto" w:fill="auto"/>
            <w:noWrap/>
            <w:tcMar>
              <w:left w:w="28" w:type="dxa"/>
              <w:right w:w="28" w:type="dxa"/>
            </w:tcMar>
            <w:vAlign w:val="center"/>
          </w:tcPr>
          <w:p w14:paraId="24BA0C07">
            <w:pPr>
              <w:spacing w:after="0" w:line="240" w:lineRule="auto"/>
              <w:ind w:firstLine="0"/>
              <w:jc w:val="center"/>
              <w:rPr>
                <w:color w:val="000000"/>
                <w:sz w:val="20"/>
                <w:szCs w:val="20"/>
              </w:rPr>
            </w:pPr>
            <w:r>
              <w:rPr>
                <w:color w:val="000000"/>
                <w:sz w:val="20"/>
                <w:szCs w:val="20"/>
              </w:rPr>
              <w:t>17,37</w:t>
            </w:r>
          </w:p>
        </w:tc>
        <w:tc>
          <w:tcPr>
            <w:tcW w:w="434" w:type="pct"/>
            <w:shd w:val="clear" w:color="auto" w:fill="auto"/>
            <w:noWrap/>
            <w:tcMar>
              <w:left w:w="28" w:type="dxa"/>
              <w:right w:w="28" w:type="dxa"/>
            </w:tcMar>
            <w:vAlign w:val="center"/>
          </w:tcPr>
          <w:p w14:paraId="519BDE6D">
            <w:pPr>
              <w:spacing w:after="0" w:line="240" w:lineRule="auto"/>
              <w:ind w:firstLine="0"/>
              <w:jc w:val="center"/>
              <w:rPr>
                <w:color w:val="000000"/>
                <w:sz w:val="20"/>
                <w:szCs w:val="20"/>
              </w:rPr>
            </w:pPr>
            <w:r>
              <w:rPr>
                <w:color w:val="000000"/>
                <w:sz w:val="20"/>
                <w:szCs w:val="20"/>
              </w:rPr>
              <w:t>16,34</w:t>
            </w:r>
          </w:p>
        </w:tc>
        <w:tc>
          <w:tcPr>
            <w:tcW w:w="434" w:type="pct"/>
            <w:shd w:val="clear" w:color="auto" w:fill="auto"/>
            <w:noWrap/>
            <w:tcMar>
              <w:left w:w="28" w:type="dxa"/>
              <w:right w:w="28" w:type="dxa"/>
            </w:tcMar>
            <w:vAlign w:val="center"/>
          </w:tcPr>
          <w:p w14:paraId="6BA2B046">
            <w:pPr>
              <w:spacing w:after="0" w:line="240" w:lineRule="auto"/>
              <w:ind w:firstLine="0"/>
              <w:jc w:val="center"/>
              <w:rPr>
                <w:color w:val="000000"/>
                <w:sz w:val="20"/>
                <w:szCs w:val="20"/>
              </w:rPr>
            </w:pPr>
            <w:r>
              <w:rPr>
                <w:color w:val="000000"/>
                <w:sz w:val="20"/>
                <w:szCs w:val="20"/>
              </w:rPr>
              <w:t>15,42</w:t>
            </w:r>
          </w:p>
        </w:tc>
        <w:tc>
          <w:tcPr>
            <w:tcW w:w="436" w:type="pct"/>
            <w:shd w:val="clear" w:color="auto" w:fill="auto"/>
            <w:noWrap/>
            <w:tcMar>
              <w:left w:w="28" w:type="dxa"/>
              <w:right w:w="28" w:type="dxa"/>
            </w:tcMar>
            <w:vAlign w:val="center"/>
          </w:tcPr>
          <w:p w14:paraId="59D3D6B4">
            <w:pPr>
              <w:spacing w:after="0" w:line="240" w:lineRule="auto"/>
              <w:ind w:firstLine="0"/>
              <w:jc w:val="center"/>
              <w:rPr>
                <w:color w:val="000000"/>
                <w:sz w:val="20"/>
                <w:szCs w:val="20"/>
              </w:rPr>
            </w:pPr>
            <w:r>
              <w:rPr>
                <w:color w:val="000000"/>
                <w:sz w:val="20"/>
                <w:szCs w:val="20"/>
              </w:rPr>
              <w:t>14,60</w:t>
            </w:r>
          </w:p>
        </w:tc>
      </w:tr>
      <w:tr w14:paraId="4951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124500BE">
            <w:pPr>
              <w:spacing w:after="0" w:line="240" w:lineRule="auto"/>
              <w:ind w:firstLine="0"/>
              <w:jc w:val="center"/>
              <w:rPr>
                <w:color w:val="000000"/>
                <w:sz w:val="20"/>
                <w:szCs w:val="20"/>
              </w:rPr>
            </w:pPr>
            <w:r>
              <w:rPr>
                <w:color w:val="000000"/>
                <w:sz w:val="20"/>
                <w:szCs w:val="20"/>
              </w:rPr>
              <w:t>Расход условного топлива</w:t>
            </w:r>
          </w:p>
        </w:tc>
        <w:tc>
          <w:tcPr>
            <w:tcW w:w="510" w:type="pct"/>
            <w:shd w:val="clear" w:color="auto" w:fill="auto"/>
            <w:tcMar>
              <w:left w:w="28" w:type="dxa"/>
              <w:right w:w="28" w:type="dxa"/>
            </w:tcMar>
            <w:vAlign w:val="center"/>
          </w:tcPr>
          <w:p w14:paraId="156CEB9F">
            <w:pPr>
              <w:spacing w:after="0" w:line="240" w:lineRule="auto"/>
              <w:ind w:firstLine="0"/>
              <w:jc w:val="center"/>
              <w:rPr>
                <w:color w:val="000000"/>
                <w:sz w:val="20"/>
                <w:szCs w:val="20"/>
              </w:rPr>
            </w:pPr>
            <w:r>
              <w:rPr>
                <w:color w:val="000000"/>
                <w:sz w:val="20"/>
                <w:szCs w:val="20"/>
              </w:rPr>
              <w:t>т у. т.</w:t>
            </w:r>
          </w:p>
        </w:tc>
        <w:tc>
          <w:tcPr>
            <w:tcW w:w="505" w:type="pct"/>
            <w:shd w:val="clear" w:color="auto" w:fill="auto"/>
            <w:noWrap/>
            <w:tcMar>
              <w:left w:w="28" w:type="dxa"/>
              <w:right w:w="28" w:type="dxa"/>
            </w:tcMar>
            <w:vAlign w:val="center"/>
          </w:tcPr>
          <w:p w14:paraId="7394AE50">
            <w:pPr>
              <w:spacing w:after="0" w:line="240" w:lineRule="auto"/>
              <w:ind w:firstLine="0"/>
              <w:jc w:val="center"/>
              <w:rPr>
                <w:color w:val="000000"/>
                <w:sz w:val="20"/>
                <w:szCs w:val="20"/>
              </w:rPr>
            </w:pPr>
            <w:r>
              <w:rPr>
                <w:color w:val="000000"/>
                <w:sz w:val="20"/>
                <w:szCs w:val="20"/>
              </w:rPr>
              <w:t>637,54</w:t>
            </w:r>
          </w:p>
        </w:tc>
        <w:tc>
          <w:tcPr>
            <w:tcW w:w="433" w:type="pct"/>
            <w:shd w:val="clear" w:color="auto" w:fill="auto"/>
            <w:noWrap/>
            <w:tcMar>
              <w:left w:w="28" w:type="dxa"/>
              <w:right w:w="28" w:type="dxa"/>
            </w:tcMar>
            <w:vAlign w:val="center"/>
          </w:tcPr>
          <w:p w14:paraId="27532522">
            <w:pPr>
              <w:spacing w:after="0" w:line="240" w:lineRule="auto"/>
              <w:ind w:firstLine="0"/>
              <w:jc w:val="center"/>
              <w:rPr>
                <w:color w:val="000000"/>
                <w:sz w:val="20"/>
                <w:szCs w:val="20"/>
              </w:rPr>
            </w:pPr>
            <w:r>
              <w:rPr>
                <w:color w:val="000000"/>
                <w:sz w:val="20"/>
                <w:szCs w:val="20"/>
              </w:rPr>
              <w:t>687,38</w:t>
            </w:r>
          </w:p>
        </w:tc>
        <w:tc>
          <w:tcPr>
            <w:tcW w:w="433" w:type="pct"/>
            <w:shd w:val="clear" w:color="auto" w:fill="auto"/>
            <w:noWrap/>
            <w:tcMar>
              <w:left w:w="28" w:type="dxa"/>
              <w:right w:w="28" w:type="dxa"/>
            </w:tcMar>
            <w:vAlign w:val="center"/>
          </w:tcPr>
          <w:p w14:paraId="53405811">
            <w:pPr>
              <w:spacing w:after="0" w:line="240" w:lineRule="auto"/>
              <w:ind w:firstLine="0"/>
              <w:jc w:val="center"/>
              <w:rPr>
                <w:color w:val="000000"/>
                <w:sz w:val="20"/>
                <w:szCs w:val="20"/>
              </w:rPr>
            </w:pPr>
            <w:r>
              <w:rPr>
                <w:color w:val="000000"/>
                <w:sz w:val="20"/>
                <w:szCs w:val="20"/>
              </w:rPr>
              <w:t>737,22</w:t>
            </w:r>
          </w:p>
        </w:tc>
        <w:tc>
          <w:tcPr>
            <w:tcW w:w="434" w:type="pct"/>
            <w:shd w:val="clear" w:color="auto" w:fill="auto"/>
            <w:noWrap/>
            <w:tcMar>
              <w:left w:w="28" w:type="dxa"/>
              <w:right w:w="28" w:type="dxa"/>
            </w:tcMar>
            <w:vAlign w:val="center"/>
          </w:tcPr>
          <w:p w14:paraId="626085BA">
            <w:pPr>
              <w:spacing w:after="0" w:line="240" w:lineRule="auto"/>
              <w:ind w:firstLine="0"/>
              <w:jc w:val="center"/>
              <w:rPr>
                <w:color w:val="000000"/>
                <w:sz w:val="20"/>
                <w:szCs w:val="20"/>
              </w:rPr>
            </w:pPr>
            <w:r>
              <w:rPr>
                <w:color w:val="000000"/>
                <w:sz w:val="20"/>
                <w:szCs w:val="20"/>
              </w:rPr>
              <w:t>787,06</w:t>
            </w:r>
          </w:p>
        </w:tc>
        <w:tc>
          <w:tcPr>
            <w:tcW w:w="434" w:type="pct"/>
            <w:shd w:val="clear" w:color="auto" w:fill="auto"/>
            <w:noWrap/>
            <w:tcMar>
              <w:left w:w="28" w:type="dxa"/>
              <w:right w:w="28" w:type="dxa"/>
            </w:tcMar>
            <w:vAlign w:val="center"/>
          </w:tcPr>
          <w:p w14:paraId="412C9F34">
            <w:pPr>
              <w:spacing w:after="0" w:line="240" w:lineRule="auto"/>
              <w:ind w:firstLine="0"/>
              <w:jc w:val="center"/>
              <w:rPr>
                <w:color w:val="000000"/>
                <w:sz w:val="20"/>
                <w:szCs w:val="20"/>
              </w:rPr>
            </w:pPr>
            <w:r>
              <w:rPr>
                <w:color w:val="000000"/>
                <w:sz w:val="20"/>
                <w:szCs w:val="20"/>
              </w:rPr>
              <w:t>836,90</w:t>
            </w:r>
          </w:p>
        </w:tc>
        <w:tc>
          <w:tcPr>
            <w:tcW w:w="434" w:type="pct"/>
            <w:shd w:val="clear" w:color="auto" w:fill="auto"/>
            <w:noWrap/>
            <w:tcMar>
              <w:left w:w="28" w:type="dxa"/>
              <w:right w:w="28" w:type="dxa"/>
            </w:tcMar>
            <w:vAlign w:val="center"/>
          </w:tcPr>
          <w:p w14:paraId="19AA06EC">
            <w:pPr>
              <w:spacing w:after="0" w:line="240" w:lineRule="auto"/>
              <w:ind w:firstLine="0"/>
              <w:jc w:val="center"/>
              <w:rPr>
                <w:color w:val="000000"/>
                <w:sz w:val="20"/>
                <w:szCs w:val="20"/>
              </w:rPr>
            </w:pPr>
            <w:r>
              <w:rPr>
                <w:color w:val="000000"/>
                <w:sz w:val="20"/>
                <w:szCs w:val="20"/>
              </w:rPr>
              <w:t>886,74</w:t>
            </w:r>
          </w:p>
        </w:tc>
        <w:tc>
          <w:tcPr>
            <w:tcW w:w="436" w:type="pct"/>
            <w:shd w:val="clear" w:color="auto" w:fill="auto"/>
            <w:noWrap/>
            <w:tcMar>
              <w:left w:w="28" w:type="dxa"/>
              <w:right w:w="28" w:type="dxa"/>
            </w:tcMar>
            <w:vAlign w:val="center"/>
          </w:tcPr>
          <w:p w14:paraId="1E7EAB3C">
            <w:pPr>
              <w:spacing w:after="0" w:line="240" w:lineRule="auto"/>
              <w:ind w:firstLine="0"/>
              <w:jc w:val="center"/>
              <w:rPr>
                <w:color w:val="000000"/>
                <w:sz w:val="20"/>
                <w:szCs w:val="20"/>
              </w:rPr>
            </w:pPr>
            <w:r>
              <w:rPr>
                <w:color w:val="000000"/>
                <w:sz w:val="20"/>
                <w:szCs w:val="20"/>
              </w:rPr>
              <w:t>936,58</w:t>
            </w:r>
          </w:p>
        </w:tc>
      </w:tr>
      <w:tr w14:paraId="3A4D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0" w:type="pct"/>
            <w:shd w:val="clear" w:color="auto" w:fill="auto"/>
            <w:tcMar>
              <w:left w:w="28" w:type="dxa"/>
              <w:right w:w="28" w:type="dxa"/>
            </w:tcMar>
            <w:vAlign w:val="center"/>
          </w:tcPr>
          <w:p w14:paraId="178D41DC">
            <w:pPr>
              <w:spacing w:after="0" w:line="240" w:lineRule="auto"/>
              <w:ind w:firstLine="0"/>
              <w:jc w:val="center"/>
              <w:rPr>
                <w:color w:val="000000"/>
                <w:sz w:val="20"/>
                <w:szCs w:val="20"/>
              </w:rPr>
            </w:pPr>
            <w:r>
              <w:rPr>
                <w:color w:val="000000"/>
                <w:sz w:val="20"/>
                <w:szCs w:val="20"/>
              </w:rPr>
              <w:t>Расход натурального топлива</w:t>
            </w:r>
          </w:p>
        </w:tc>
        <w:tc>
          <w:tcPr>
            <w:tcW w:w="510" w:type="pct"/>
            <w:shd w:val="clear" w:color="auto" w:fill="auto"/>
            <w:tcMar>
              <w:left w:w="28" w:type="dxa"/>
              <w:right w:w="28" w:type="dxa"/>
            </w:tcMar>
            <w:vAlign w:val="center"/>
          </w:tcPr>
          <w:p w14:paraId="30C49A92">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p>
        </w:tc>
        <w:tc>
          <w:tcPr>
            <w:tcW w:w="505" w:type="pct"/>
            <w:shd w:val="clear" w:color="auto" w:fill="auto"/>
            <w:noWrap/>
            <w:tcMar>
              <w:left w:w="28" w:type="dxa"/>
              <w:right w:w="28" w:type="dxa"/>
            </w:tcMar>
            <w:vAlign w:val="center"/>
          </w:tcPr>
          <w:p w14:paraId="3B144118">
            <w:pPr>
              <w:spacing w:after="0" w:line="240" w:lineRule="auto"/>
              <w:ind w:firstLine="0"/>
              <w:jc w:val="center"/>
              <w:rPr>
                <w:color w:val="000000"/>
                <w:sz w:val="20"/>
                <w:szCs w:val="20"/>
              </w:rPr>
            </w:pPr>
            <w:r>
              <w:rPr>
                <w:color w:val="000000"/>
                <w:sz w:val="20"/>
                <w:szCs w:val="20"/>
              </w:rPr>
              <w:t>386,53</w:t>
            </w:r>
          </w:p>
        </w:tc>
        <w:tc>
          <w:tcPr>
            <w:tcW w:w="433" w:type="pct"/>
            <w:shd w:val="clear" w:color="auto" w:fill="auto"/>
            <w:noWrap/>
            <w:tcMar>
              <w:left w:w="28" w:type="dxa"/>
              <w:right w:w="28" w:type="dxa"/>
            </w:tcMar>
            <w:vAlign w:val="center"/>
          </w:tcPr>
          <w:p w14:paraId="6E3D2904">
            <w:pPr>
              <w:spacing w:after="0" w:line="240" w:lineRule="auto"/>
              <w:ind w:firstLine="0"/>
              <w:jc w:val="center"/>
              <w:rPr>
                <w:color w:val="000000"/>
                <w:sz w:val="20"/>
                <w:szCs w:val="20"/>
              </w:rPr>
            </w:pPr>
            <w:r>
              <w:rPr>
                <w:color w:val="000000"/>
                <w:sz w:val="20"/>
                <w:szCs w:val="20"/>
              </w:rPr>
              <w:t>386,53</w:t>
            </w:r>
          </w:p>
        </w:tc>
        <w:tc>
          <w:tcPr>
            <w:tcW w:w="433" w:type="pct"/>
            <w:shd w:val="clear" w:color="auto" w:fill="auto"/>
            <w:noWrap/>
            <w:tcMar>
              <w:left w:w="28" w:type="dxa"/>
              <w:right w:w="28" w:type="dxa"/>
            </w:tcMar>
            <w:vAlign w:val="center"/>
          </w:tcPr>
          <w:p w14:paraId="1EE241CB">
            <w:pPr>
              <w:spacing w:after="0" w:line="240" w:lineRule="auto"/>
              <w:ind w:firstLine="0"/>
              <w:jc w:val="center"/>
              <w:rPr>
                <w:color w:val="000000"/>
                <w:sz w:val="20"/>
                <w:szCs w:val="20"/>
              </w:rPr>
            </w:pPr>
            <w:r>
              <w:rPr>
                <w:color w:val="000000"/>
                <w:sz w:val="20"/>
                <w:szCs w:val="20"/>
              </w:rPr>
              <w:t>386,53</w:t>
            </w:r>
          </w:p>
        </w:tc>
        <w:tc>
          <w:tcPr>
            <w:tcW w:w="434" w:type="pct"/>
            <w:shd w:val="clear" w:color="auto" w:fill="auto"/>
            <w:noWrap/>
            <w:tcMar>
              <w:left w:w="28" w:type="dxa"/>
              <w:right w:w="28" w:type="dxa"/>
            </w:tcMar>
            <w:vAlign w:val="center"/>
          </w:tcPr>
          <w:p w14:paraId="1E2FC63D">
            <w:pPr>
              <w:spacing w:after="0" w:line="240" w:lineRule="auto"/>
              <w:ind w:firstLine="0"/>
              <w:jc w:val="center"/>
              <w:rPr>
                <w:color w:val="000000"/>
                <w:sz w:val="20"/>
                <w:szCs w:val="20"/>
              </w:rPr>
            </w:pPr>
            <w:r>
              <w:rPr>
                <w:color w:val="000000"/>
                <w:sz w:val="20"/>
                <w:szCs w:val="20"/>
              </w:rPr>
              <w:t>386,53</w:t>
            </w:r>
          </w:p>
        </w:tc>
        <w:tc>
          <w:tcPr>
            <w:tcW w:w="434" w:type="pct"/>
            <w:shd w:val="clear" w:color="auto" w:fill="auto"/>
            <w:noWrap/>
            <w:tcMar>
              <w:left w:w="28" w:type="dxa"/>
              <w:right w:w="28" w:type="dxa"/>
            </w:tcMar>
            <w:vAlign w:val="center"/>
          </w:tcPr>
          <w:p w14:paraId="40FA749D">
            <w:pPr>
              <w:spacing w:after="0" w:line="240" w:lineRule="auto"/>
              <w:ind w:firstLine="0"/>
              <w:jc w:val="center"/>
              <w:rPr>
                <w:color w:val="000000"/>
                <w:sz w:val="20"/>
                <w:szCs w:val="20"/>
              </w:rPr>
            </w:pPr>
            <w:r>
              <w:rPr>
                <w:color w:val="000000"/>
                <w:sz w:val="20"/>
                <w:szCs w:val="20"/>
              </w:rPr>
              <w:t>386,53</w:t>
            </w:r>
          </w:p>
        </w:tc>
        <w:tc>
          <w:tcPr>
            <w:tcW w:w="434" w:type="pct"/>
            <w:shd w:val="clear" w:color="auto" w:fill="auto"/>
            <w:noWrap/>
            <w:tcMar>
              <w:left w:w="28" w:type="dxa"/>
              <w:right w:w="28" w:type="dxa"/>
            </w:tcMar>
            <w:vAlign w:val="center"/>
          </w:tcPr>
          <w:p w14:paraId="03D3B6CC">
            <w:pPr>
              <w:spacing w:after="0" w:line="240" w:lineRule="auto"/>
              <w:ind w:firstLine="0"/>
              <w:jc w:val="center"/>
              <w:rPr>
                <w:color w:val="000000"/>
                <w:sz w:val="20"/>
                <w:szCs w:val="20"/>
              </w:rPr>
            </w:pPr>
            <w:r>
              <w:rPr>
                <w:color w:val="000000"/>
                <w:sz w:val="20"/>
                <w:szCs w:val="20"/>
              </w:rPr>
              <w:t>386,53</w:t>
            </w:r>
          </w:p>
        </w:tc>
        <w:tc>
          <w:tcPr>
            <w:tcW w:w="436" w:type="pct"/>
            <w:shd w:val="clear" w:color="auto" w:fill="auto"/>
            <w:noWrap/>
            <w:tcMar>
              <w:left w:w="28" w:type="dxa"/>
              <w:right w:w="28" w:type="dxa"/>
            </w:tcMar>
            <w:vAlign w:val="center"/>
          </w:tcPr>
          <w:p w14:paraId="502053C7">
            <w:pPr>
              <w:spacing w:after="0" w:line="240" w:lineRule="auto"/>
              <w:ind w:firstLine="0"/>
              <w:jc w:val="center"/>
              <w:rPr>
                <w:color w:val="000000"/>
                <w:sz w:val="20"/>
                <w:szCs w:val="20"/>
              </w:rPr>
            </w:pPr>
            <w:r>
              <w:rPr>
                <w:color w:val="000000"/>
                <w:sz w:val="20"/>
                <w:szCs w:val="20"/>
              </w:rPr>
              <w:t>386,53</w:t>
            </w:r>
          </w:p>
        </w:tc>
      </w:tr>
      <w:bookmarkEnd w:id="617"/>
    </w:tbl>
    <w:p w14:paraId="3E4F0960">
      <w:pPr>
        <w:spacing w:after="0" w:line="240" w:lineRule="auto"/>
        <w:ind w:firstLine="0"/>
        <w:contextualSpacing/>
        <w:jc w:val="both"/>
        <w:rPr>
          <w:sz w:val="24"/>
          <w:szCs w:val="24"/>
        </w:rPr>
      </w:pPr>
    </w:p>
    <w:p w14:paraId="048B31FA">
      <w:pPr>
        <w:pStyle w:val="3"/>
        <w:keepNext/>
        <w:spacing w:before="0" w:line="240" w:lineRule="auto"/>
        <w:ind w:left="0" w:firstLine="709"/>
        <w:contextualSpacing/>
        <w:rPr>
          <w:rFonts w:cs="Times New Roman"/>
          <w:b w:val="0"/>
          <w:sz w:val="24"/>
          <w:szCs w:val="24"/>
        </w:rPr>
      </w:pPr>
      <w:bookmarkStart w:id="618" w:name="_Toc182814041"/>
      <w:bookmarkStart w:id="619" w:name="_Toc524615100"/>
      <w:bookmarkStart w:id="620" w:name="_Toc524614884"/>
      <w:r>
        <w:rPr>
          <w:rFonts w:cs="Times New Roman"/>
          <w:b w:val="0"/>
          <w:sz w:val="24"/>
          <w:szCs w:val="24"/>
        </w:rPr>
        <w:t>Результаты расчетов по каждому источнику тепловой энергии нормативных запасов топлива</w:t>
      </w:r>
      <w:bookmarkEnd w:id="618"/>
      <w:bookmarkEnd w:id="619"/>
      <w:bookmarkEnd w:id="620"/>
    </w:p>
    <w:p w14:paraId="521E28A9">
      <w:pPr>
        <w:spacing w:after="0" w:line="240" w:lineRule="auto"/>
        <w:contextualSpacing/>
        <w:jc w:val="both"/>
        <w:rPr>
          <w:sz w:val="24"/>
          <w:szCs w:val="24"/>
        </w:rPr>
      </w:pPr>
      <w:r>
        <w:rPr>
          <w:sz w:val="24"/>
          <w:szCs w:val="24"/>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2B849E83">
      <w:pPr>
        <w:spacing w:after="0" w:line="240" w:lineRule="auto"/>
        <w:contextualSpacing/>
        <w:jc w:val="both"/>
        <w:rPr>
          <w:sz w:val="24"/>
          <w:szCs w:val="24"/>
        </w:rPr>
      </w:pPr>
      <w:r>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5CF0F0B8">
      <w:pPr>
        <w:spacing w:after="0" w:line="240" w:lineRule="auto"/>
        <w:contextualSpacing/>
        <w:jc w:val="both"/>
        <w:rPr>
          <w:sz w:val="24"/>
          <w:szCs w:val="24"/>
        </w:rPr>
      </w:pPr>
      <w:r>
        <w:rPr>
          <w:sz w:val="24"/>
          <w:szCs w:val="24"/>
        </w:rPr>
        <w:t>ННЗТ создается на электростанциях организаций электроэнергетических систем России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22F1079B">
      <w:pPr>
        <w:spacing w:after="0" w:line="240" w:lineRule="auto"/>
        <w:contextualSpacing/>
        <w:jc w:val="both"/>
        <w:rPr>
          <w:sz w:val="24"/>
          <w:szCs w:val="24"/>
        </w:rPr>
      </w:pPr>
      <w:r>
        <w:rPr>
          <w:sz w:val="24"/>
          <w:szCs w:val="24"/>
        </w:rPr>
        <w:t>НЭЗТ необходим для надежной и стабильной работы электростанций и обеспечивает плановую выработку электрической и (или) тепловой энергии.</w:t>
      </w:r>
    </w:p>
    <w:p w14:paraId="684DAD0A">
      <w:pPr>
        <w:spacing w:after="0" w:line="240" w:lineRule="auto"/>
        <w:contextualSpacing/>
        <w:jc w:val="both"/>
        <w:rPr>
          <w:sz w:val="24"/>
          <w:szCs w:val="24"/>
        </w:rPr>
      </w:pPr>
      <w:r>
        <w:rPr>
          <w:sz w:val="24"/>
          <w:szCs w:val="24"/>
        </w:rPr>
        <w:t>МУП «БКС» и Верхнеказымское ЛПУ МГ в с.п. Верхнеказымский в настоящее время не проводят работы по утверждению нормативов создания запасов топлива на собственных котельных.</w:t>
      </w:r>
    </w:p>
    <w:p w14:paraId="3847A462">
      <w:pPr>
        <w:spacing w:after="0" w:line="240" w:lineRule="auto"/>
        <w:contextualSpacing/>
        <w:jc w:val="both"/>
        <w:rPr>
          <w:sz w:val="24"/>
          <w:szCs w:val="24"/>
        </w:rPr>
      </w:pPr>
    </w:p>
    <w:p w14:paraId="3AD4A5DA">
      <w:pPr>
        <w:pStyle w:val="3"/>
        <w:keepNext/>
        <w:spacing w:before="0" w:line="240" w:lineRule="auto"/>
        <w:ind w:left="0" w:firstLine="697"/>
        <w:contextualSpacing/>
        <w:rPr>
          <w:rFonts w:cs="Times New Roman"/>
          <w:b w:val="0"/>
          <w:sz w:val="24"/>
          <w:szCs w:val="24"/>
        </w:rPr>
      </w:pPr>
      <w:bookmarkStart w:id="621" w:name="_Toc524615101"/>
      <w:bookmarkStart w:id="622" w:name="_Toc182814042"/>
      <w:bookmarkStart w:id="623" w:name="_Toc524614885"/>
      <w:r>
        <w:rPr>
          <w:rFonts w:cs="Times New Roman"/>
          <w:b w:val="0"/>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21"/>
      <w:bookmarkEnd w:id="622"/>
      <w:bookmarkEnd w:id="623"/>
    </w:p>
    <w:p w14:paraId="13E2E248">
      <w:pPr>
        <w:spacing w:after="0" w:line="240" w:lineRule="auto"/>
        <w:ind w:firstLine="695"/>
        <w:contextualSpacing/>
        <w:jc w:val="both"/>
        <w:rPr>
          <w:sz w:val="24"/>
          <w:szCs w:val="24"/>
        </w:rPr>
      </w:pPr>
      <w:bookmarkStart w:id="624" w:name="_Hlk22218539"/>
      <w:r>
        <w:rPr>
          <w:sz w:val="24"/>
          <w:szCs w:val="24"/>
        </w:rPr>
        <w:t>Основным топливом для котельных с.п. Верхнеказымский является природный газ.</w:t>
      </w:r>
    </w:p>
    <w:p w14:paraId="3BB661F2">
      <w:pPr>
        <w:spacing w:after="0" w:line="240" w:lineRule="auto"/>
        <w:ind w:firstLine="695"/>
        <w:contextualSpacing/>
        <w:jc w:val="both"/>
        <w:rPr>
          <w:sz w:val="24"/>
          <w:szCs w:val="24"/>
        </w:rPr>
      </w:pPr>
    </w:p>
    <w:bookmarkEnd w:id="624"/>
    <w:p w14:paraId="7DE83554">
      <w:pPr>
        <w:pStyle w:val="3"/>
        <w:spacing w:before="0" w:line="240" w:lineRule="auto"/>
        <w:ind w:left="0" w:firstLine="695"/>
        <w:contextualSpacing/>
        <w:rPr>
          <w:rFonts w:cs="Times New Roman"/>
          <w:b w:val="0"/>
          <w:sz w:val="24"/>
          <w:szCs w:val="24"/>
        </w:rPr>
      </w:pPr>
      <w:bookmarkStart w:id="625" w:name="_Toc182814043"/>
      <w:bookmarkStart w:id="626" w:name="_Toc15640945"/>
      <w:bookmarkStart w:id="627" w:name="_Hlk43280474"/>
      <w:bookmarkStart w:id="628" w:name="_Hlk15651741"/>
      <w:r>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25"/>
      <w:bookmarkEnd w:id="626"/>
    </w:p>
    <w:bookmarkEnd w:id="627"/>
    <w:p w14:paraId="4B6DF838">
      <w:pPr>
        <w:spacing w:after="0" w:line="240" w:lineRule="auto"/>
        <w:ind w:firstLine="695"/>
        <w:contextualSpacing/>
        <w:jc w:val="both"/>
        <w:rPr>
          <w:sz w:val="24"/>
          <w:szCs w:val="24"/>
        </w:rPr>
      </w:pPr>
      <w:bookmarkStart w:id="629" w:name="_Hlk22218557"/>
      <w:r>
        <w:rPr>
          <w:sz w:val="24"/>
          <w:szCs w:val="24"/>
        </w:rPr>
        <w:t>Основным топливом для котельных с.п. Верхнеказымский является природный газ.</w:t>
      </w:r>
    </w:p>
    <w:p w14:paraId="40426A98">
      <w:pPr>
        <w:spacing w:after="0" w:line="240" w:lineRule="auto"/>
        <w:ind w:firstLine="695"/>
        <w:contextualSpacing/>
        <w:jc w:val="both"/>
        <w:rPr>
          <w:sz w:val="24"/>
          <w:szCs w:val="24"/>
        </w:rPr>
      </w:pPr>
    </w:p>
    <w:bookmarkEnd w:id="629"/>
    <w:p w14:paraId="089177FE">
      <w:pPr>
        <w:pStyle w:val="3"/>
        <w:spacing w:before="0" w:line="240" w:lineRule="auto"/>
        <w:ind w:left="0" w:firstLine="695"/>
        <w:contextualSpacing/>
        <w:rPr>
          <w:rFonts w:cs="Times New Roman"/>
          <w:b w:val="0"/>
          <w:sz w:val="24"/>
          <w:szCs w:val="24"/>
        </w:rPr>
      </w:pPr>
      <w:bookmarkStart w:id="630" w:name="_Toc15640946"/>
      <w:bookmarkStart w:id="631" w:name="_Toc182814044"/>
      <w:bookmarkStart w:id="632" w:name="_Hlk43280480"/>
      <w:r>
        <w:rPr>
          <w:rFonts w:cs="Times New Roman"/>
          <w:b w:val="0"/>
          <w:sz w:val="24"/>
          <w:szCs w:val="24"/>
        </w:rPr>
        <w:t xml:space="preserve">Преобладающий на территории с.п. Верхнеказымский вид топлива, определяемый по совокупности всех систем теплоснабжения, находящихся </w:t>
      </w:r>
      <w:bookmarkEnd w:id="630"/>
      <w:r>
        <w:rPr>
          <w:rFonts w:cs="Times New Roman"/>
          <w:b w:val="0"/>
          <w:sz w:val="24"/>
          <w:szCs w:val="24"/>
        </w:rPr>
        <w:t>на территории с.п. Верхнеказымский</w:t>
      </w:r>
      <w:bookmarkEnd w:id="631"/>
    </w:p>
    <w:bookmarkEnd w:id="632"/>
    <w:p w14:paraId="5B5CEC2C">
      <w:pPr>
        <w:spacing w:after="0" w:line="240" w:lineRule="auto"/>
        <w:ind w:firstLine="695"/>
        <w:contextualSpacing/>
        <w:jc w:val="both"/>
        <w:rPr>
          <w:sz w:val="24"/>
          <w:szCs w:val="24"/>
        </w:rPr>
      </w:pPr>
      <w:r>
        <w:rPr>
          <w:sz w:val="24"/>
          <w:szCs w:val="24"/>
        </w:rPr>
        <w:t>Основным топливом для котельных с.п. Верхнеказымский является природный газ.</w:t>
      </w:r>
    </w:p>
    <w:p w14:paraId="009E8A3E">
      <w:pPr>
        <w:spacing w:after="0" w:line="240" w:lineRule="auto"/>
        <w:ind w:firstLine="695"/>
        <w:contextualSpacing/>
        <w:jc w:val="both"/>
        <w:rPr>
          <w:sz w:val="24"/>
          <w:szCs w:val="24"/>
        </w:rPr>
      </w:pPr>
    </w:p>
    <w:p w14:paraId="6EC42123">
      <w:pPr>
        <w:pStyle w:val="3"/>
        <w:spacing w:before="0" w:line="240" w:lineRule="auto"/>
        <w:ind w:left="0" w:firstLine="695"/>
        <w:contextualSpacing/>
        <w:rPr>
          <w:rFonts w:cs="Times New Roman"/>
          <w:b w:val="0"/>
          <w:sz w:val="24"/>
          <w:szCs w:val="24"/>
        </w:rPr>
      </w:pPr>
      <w:bookmarkStart w:id="633" w:name="_Toc15640947"/>
      <w:bookmarkStart w:id="634" w:name="_Toc182814045"/>
      <w:bookmarkStart w:id="635" w:name="_Hlk43280483"/>
      <w:r>
        <w:rPr>
          <w:rFonts w:cs="Times New Roman"/>
          <w:b w:val="0"/>
          <w:sz w:val="24"/>
          <w:szCs w:val="24"/>
        </w:rPr>
        <w:t xml:space="preserve">Приоритетное направление развития топливного баланса </w:t>
      </w:r>
      <w:bookmarkEnd w:id="633"/>
      <w:r>
        <w:rPr>
          <w:rFonts w:cs="Times New Roman"/>
          <w:b w:val="0"/>
          <w:sz w:val="24"/>
          <w:szCs w:val="24"/>
        </w:rPr>
        <w:t>на территории с.п. Верхнеказымский</w:t>
      </w:r>
      <w:bookmarkEnd w:id="634"/>
    </w:p>
    <w:bookmarkEnd w:id="635"/>
    <w:p w14:paraId="6B182738">
      <w:pPr>
        <w:spacing w:after="0" w:line="240" w:lineRule="auto"/>
        <w:ind w:firstLine="695"/>
        <w:contextualSpacing/>
        <w:jc w:val="both"/>
        <w:rPr>
          <w:sz w:val="24"/>
          <w:szCs w:val="24"/>
        </w:rPr>
      </w:pPr>
      <w:r>
        <w:rPr>
          <w:sz w:val="24"/>
          <w:szCs w:val="24"/>
        </w:rPr>
        <w:t>Приоритетным направлением развития топливного баланса в с.п. Верхнеказымский является применение природного газа. В таблице 62 приведены расчётные значения потребления природного газа в качестве топлива для котельных в с.п. Верхнеказымский.</w:t>
      </w:r>
    </w:p>
    <w:p w14:paraId="6A4B834C">
      <w:pPr>
        <w:spacing w:after="0" w:line="240" w:lineRule="auto"/>
        <w:ind w:firstLine="695"/>
        <w:contextualSpacing/>
        <w:jc w:val="both"/>
        <w:rPr>
          <w:sz w:val="24"/>
          <w:szCs w:val="24"/>
        </w:rPr>
      </w:pPr>
    </w:p>
    <w:p w14:paraId="70215C94">
      <w:pPr>
        <w:pStyle w:val="3"/>
        <w:spacing w:before="0" w:line="240" w:lineRule="auto"/>
        <w:ind w:left="0" w:firstLine="695"/>
        <w:contextualSpacing/>
        <w:rPr>
          <w:rFonts w:cs="Times New Roman"/>
          <w:b w:val="0"/>
          <w:sz w:val="24"/>
          <w:szCs w:val="24"/>
        </w:rPr>
      </w:pPr>
      <w:bookmarkStart w:id="636" w:name="_Toc182814046"/>
      <w:r>
        <w:rPr>
          <w:rFonts w:cs="Times New Roman"/>
          <w:b w:val="0"/>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36"/>
    </w:p>
    <w:p w14:paraId="4B6FA915">
      <w:pPr>
        <w:spacing w:after="0" w:line="240" w:lineRule="auto"/>
        <w:contextualSpacing/>
        <w:jc w:val="both"/>
        <w:rPr>
          <w:sz w:val="24"/>
          <w:szCs w:val="24"/>
        </w:rPr>
      </w:pPr>
      <w:bookmarkStart w:id="637" w:name="_Hlk528164554"/>
      <w:r>
        <w:rPr>
          <w:sz w:val="24"/>
          <w:szCs w:val="24"/>
        </w:rPr>
        <w:t>Расчёт существующих и перспективных топливных балансов по котельным представлен в п. 10.1.</w:t>
      </w:r>
    </w:p>
    <w:p w14:paraId="21419D6E">
      <w:pPr>
        <w:spacing w:after="0" w:line="240" w:lineRule="auto"/>
        <w:contextualSpacing/>
        <w:jc w:val="both"/>
        <w:rPr>
          <w:sz w:val="24"/>
          <w:szCs w:val="24"/>
        </w:rPr>
      </w:pPr>
    </w:p>
    <w:bookmarkEnd w:id="628"/>
    <w:bookmarkEnd w:id="637"/>
    <w:p w14:paraId="57B8E2F3">
      <w:pPr>
        <w:pStyle w:val="2"/>
        <w:keepLines w:val="0"/>
        <w:pageBreakBefore/>
        <w:widowControl w:val="0"/>
        <w:spacing w:before="0" w:line="240" w:lineRule="auto"/>
        <w:ind w:left="0" w:firstLine="709"/>
        <w:contextualSpacing/>
        <w:rPr>
          <w:rFonts w:cs="Times New Roman"/>
          <w:b w:val="0"/>
          <w:sz w:val="24"/>
          <w:szCs w:val="24"/>
        </w:rPr>
      </w:pPr>
      <w:bookmarkStart w:id="638" w:name="_Toc524615104"/>
      <w:bookmarkStart w:id="639" w:name="_Toc524614888"/>
      <w:bookmarkStart w:id="640" w:name="_Toc182814047"/>
      <w:r>
        <w:rPr>
          <w:rFonts w:cs="Times New Roman"/>
          <w:b w:val="0"/>
          <w:sz w:val="24"/>
          <w:szCs w:val="24"/>
        </w:rPr>
        <w:t>Глава 11. Оценка надежности теплоснабжения</w:t>
      </w:r>
      <w:bookmarkEnd w:id="638"/>
      <w:bookmarkEnd w:id="639"/>
      <w:bookmarkEnd w:id="640"/>
    </w:p>
    <w:p w14:paraId="074CD56F">
      <w:pPr>
        <w:pStyle w:val="3"/>
        <w:keepLines w:val="0"/>
        <w:widowControl w:val="0"/>
        <w:spacing w:before="0" w:line="240" w:lineRule="auto"/>
        <w:ind w:left="0" w:firstLine="709"/>
        <w:contextualSpacing/>
        <w:rPr>
          <w:rFonts w:cs="Times New Roman"/>
          <w:b w:val="0"/>
          <w:sz w:val="24"/>
          <w:szCs w:val="24"/>
        </w:rPr>
      </w:pPr>
      <w:bookmarkStart w:id="641" w:name="_Toc524614889"/>
      <w:bookmarkStart w:id="642" w:name="_Toc182814048"/>
      <w:bookmarkStart w:id="643" w:name="_Toc524615105"/>
      <w:r>
        <w:rPr>
          <w:rFonts w:cs="Times New Roman"/>
          <w:b w:val="0"/>
          <w:sz w:val="24"/>
          <w:szCs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41"/>
      <w:bookmarkEnd w:id="642"/>
      <w:bookmarkEnd w:id="643"/>
    </w:p>
    <w:p w14:paraId="47955CD5">
      <w:pPr>
        <w:widowControl w:val="0"/>
        <w:spacing w:after="0" w:line="240" w:lineRule="auto"/>
        <w:contextualSpacing/>
        <w:jc w:val="both"/>
        <w:rPr>
          <w:sz w:val="24"/>
          <w:szCs w:val="24"/>
        </w:rPr>
      </w:pPr>
      <w:r>
        <w:rPr>
          <w:sz w:val="24"/>
          <w:szCs w:val="24"/>
        </w:rPr>
        <w:t>Для оценки надежности теплоснабжения, с точки зрения численности отказов на участках тепловых сетей, применяется количественный метод анализа. Данный метод направлен на выявление динамики изменения частота отказов (аварий) на составных элементах тепловой сети.</w:t>
      </w:r>
    </w:p>
    <w:p w14:paraId="22915343">
      <w:pPr>
        <w:widowControl w:val="0"/>
        <w:spacing w:after="0" w:line="240" w:lineRule="auto"/>
        <w:contextualSpacing/>
        <w:jc w:val="both"/>
        <w:rPr>
          <w:sz w:val="24"/>
          <w:szCs w:val="24"/>
        </w:rPr>
      </w:pPr>
      <w:r>
        <w:rPr>
          <w:sz w:val="24"/>
          <w:szCs w:val="24"/>
        </w:rPr>
        <w:t>Результаты по отказам и частоты отказов участков тепловых сетей определены расчетом надежности в ПРК ZuluThermo 2021 и представлены в электронной модели систем теплоснабжения, являющихся неотъемлемой частью настоящей схемы.</w:t>
      </w:r>
    </w:p>
    <w:p w14:paraId="79800336">
      <w:pPr>
        <w:widowControl w:val="0"/>
        <w:spacing w:after="0" w:line="240" w:lineRule="auto"/>
        <w:contextualSpacing/>
        <w:jc w:val="both"/>
        <w:rPr>
          <w:sz w:val="24"/>
          <w:szCs w:val="24"/>
        </w:rPr>
      </w:pPr>
    </w:p>
    <w:p w14:paraId="71AFAED5">
      <w:pPr>
        <w:pStyle w:val="3"/>
        <w:spacing w:before="0" w:line="240" w:lineRule="auto"/>
        <w:ind w:left="0" w:firstLine="709"/>
        <w:contextualSpacing/>
        <w:rPr>
          <w:rFonts w:cs="Times New Roman"/>
          <w:b w:val="0"/>
          <w:sz w:val="24"/>
          <w:szCs w:val="24"/>
        </w:rPr>
      </w:pPr>
      <w:bookmarkStart w:id="644" w:name="_Toc524614890"/>
      <w:bookmarkStart w:id="645" w:name="_Toc524615106"/>
      <w:bookmarkStart w:id="646" w:name="_Toc182814049"/>
      <w:r>
        <w:rPr>
          <w:rFonts w:cs="Times New Roman"/>
          <w:b w:val="0"/>
          <w:sz w:val="24"/>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44"/>
      <w:bookmarkEnd w:id="645"/>
      <w:bookmarkEnd w:id="646"/>
    </w:p>
    <w:p w14:paraId="4B551212">
      <w:pPr>
        <w:spacing w:after="0" w:line="240" w:lineRule="auto"/>
        <w:contextualSpacing/>
        <w:jc w:val="both"/>
        <w:rPr>
          <w:sz w:val="24"/>
          <w:szCs w:val="24"/>
        </w:rPr>
      </w:pPr>
      <w:r>
        <w:rPr>
          <w:sz w:val="24"/>
          <w:szCs w:val="24"/>
        </w:rPr>
        <w:t>Для анализа восстановлений применяется количественный метод анализа.</w:t>
      </w:r>
    </w:p>
    <w:p w14:paraId="5822665A">
      <w:pPr>
        <w:spacing w:after="0" w:line="240" w:lineRule="auto"/>
        <w:contextualSpacing/>
        <w:jc w:val="both"/>
        <w:rPr>
          <w:sz w:val="24"/>
          <w:szCs w:val="24"/>
        </w:rPr>
      </w:pPr>
      <w:r>
        <w:rPr>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67AC0639">
      <w:pPr>
        <w:spacing w:after="0" w:line="240" w:lineRule="auto"/>
        <w:contextualSpacing/>
        <w:jc w:val="both"/>
        <w:rPr>
          <w:sz w:val="24"/>
          <w:szCs w:val="24"/>
        </w:rPr>
      </w:pPr>
      <w:r>
        <w:rPr>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1E43901A">
      <w:pPr>
        <w:spacing w:after="0" w:line="240" w:lineRule="auto"/>
        <w:contextualSpacing/>
        <w:jc w:val="both"/>
        <w:rPr>
          <w:sz w:val="24"/>
          <w:szCs w:val="24"/>
        </w:rPr>
      </w:pPr>
      <w:r>
        <w:rPr>
          <w:sz w:val="24"/>
          <w:szCs w:val="24"/>
        </w:rPr>
        <w:t>Результаты времени восстановления теплоснабжения потребителей после отключений определены расчётом надёжности в ПРК ZuluThermo 2021 и представлены в электронной модели систем теплоснабжения, являющихся неотъемлемой частью настоящей схемы.</w:t>
      </w:r>
    </w:p>
    <w:p w14:paraId="1ADF359C">
      <w:pPr>
        <w:spacing w:after="0" w:line="240" w:lineRule="auto"/>
        <w:contextualSpacing/>
        <w:jc w:val="both"/>
        <w:rPr>
          <w:sz w:val="24"/>
          <w:szCs w:val="24"/>
        </w:rPr>
      </w:pPr>
    </w:p>
    <w:p w14:paraId="1469DEE5">
      <w:pPr>
        <w:pStyle w:val="3"/>
        <w:spacing w:before="0" w:line="240" w:lineRule="auto"/>
        <w:ind w:left="0" w:firstLine="709"/>
        <w:contextualSpacing/>
        <w:rPr>
          <w:rFonts w:cs="Times New Roman"/>
          <w:b w:val="0"/>
          <w:sz w:val="24"/>
          <w:szCs w:val="24"/>
        </w:rPr>
      </w:pPr>
      <w:bookmarkStart w:id="647" w:name="_Toc524614891"/>
      <w:bookmarkStart w:id="648" w:name="_Toc182814050"/>
      <w:bookmarkStart w:id="649" w:name="_Toc524615107"/>
      <w:r>
        <w:rPr>
          <w:rFonts w:cs="Times New Roman"/>
          <w:b w:val="0"/>
          <w:sz w:val="24"/>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47"/>
      <w:bookmarkEnd w:id="648"/>
      <w:bookmarkEnd w:id="649"/>
    </w:p>
    <w:p w14:paraId="51803A52">
      <w:pPr>
        <w:spacing w:after="0" w:line="240" w:lineRule="auto"/>
        <w:contextualSpacing/>
        <w:jc w:val="both"/>
        <w:rPr>
          <w:sz w:val="24"/>
          <w:szCs w:val="24"/>
        </w:rPr>
      </w:pPr>
      <w:r>
        <w:rPr>
          <w:sz w:val="24"/>
          <w:szCs w:val="24"/>
        </w:rPr>
        <w:t>Результаты вероятности отказов работы системы теплоснабжения представлены в электронной модели, являющихся неотъемлемой частью настоящей схемы.</w:t>
      </w:r>
    </w:p>
    <w:p w14:paraId="52EC7A52">
      <w:pPr>
        <w:spacing w:after="0" w:line="240" w:lineRule="auto"/>
        <w:contextualSpacing/>
        <w:jc w:val="both"/>
        <w:rPr>
          <w:sz w:val="24"/>
          <w:szCs w:val="24"/>
        </w:rPr>
      </w:pPr>
    </w:p>
    <w:p w14:paraId="209D3322">
      <w:pPr>
        <w:pStyle w:val="3"/>
        <w:spacing w:before="0" w:line="240" w:lineRule="auto"/>
        <w:ind w:left="0" w:firstLine="709"/>
        <w:contextualSpacing/>
        <w:rPr>
          <w:rFonts w:cs="Times New Roman"/>
          <w:b w:val="0"/>
          <w:sz w:val="24"/>
          <w:szCs w:val="24"/>
        </w:rPr>
      </w:pPr>
      <w:bookmarkStart w:id="650" w:name="_Toc524614892"/>
      <w:bookmarkStart w:id="651" w:name="_Toc524615108"/>
      <w:bookmarkStart w:id="652" w:name="_Toc182814051"/>
      <w:r>
        <w:rPr>
          <w:rFonts w:cs="Times New Roman"/>
          <w:b w:val="0"/>
          <w:sz w:val="24"/>
          <w:szCs w:val="24"/>
        </w:rPr>
        <w:t>Результаты оценки коэффициентов готовности теплопроводов к несению тепловой нагрузки</w:t>
      </w:r>
      <w:bookmarkEnd w:id="650"/>
      <w:bookmarkEnd w:id="651"/>
      <w:bookmarkEnd w:id="652"/>
    </w:p>
    <w:p w14:paraId="349BC1DF">
      <w:pPr>
        <w:spacing w:after="0" w:line="240" w:lineRule="auto"/>
        <w:jc w:val="both"/>
        <w:rPr>
          <w:sz w:val="24"/>
          <w:szCs w:val="24"/>
        </w:rPr>
      </w:pPr>
      <w:r>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нерасчётных температур наружного воздуха в данной местности.</w:t>
      </w:r>
    </w:p>
    <w:p w14:paraId="3D00917B">
      <w:pPr>
        <w:spacing w:after="0" w:line="240" w:lineRule="auto"/>
        <w:jc w:val="both"/>
        <w:rPr>
          <w:sz w:val="24"/>
          <w:szCs w:val="24"/>
        </w:rPr>
      </w:pPr>
      <w:r>
        <w:rPr>
          <w:sz w:val="24"/>
          <w:szCs w:val="24"/>
        </w:rPr>
        <w:t>Минимально допустимый показатель готовности системы централизованного теплоснабжения к исправной работе принимается равным 0,97 (СП 124.13330.2012 «Тепловые сети»).</w:t>
      </w:r>
    </w:p>
    <w:p w14:paraId="1DB679DB">
      <w:pPr>
        <w:spacing w:after="0" w:line="240" w:lineRule="auto"/>
        <w:jc w:val="both"/>
        <w:rPr>
          <w:sz w:val="24"/>
          <w:szCs w:val="24"/>
        </w:rPr>
      </w:pPr>
      <w:r>
        <w:rPr>
          <w:sz w:val="24"/>
          <w:szCs w:val="24"/>
        </w:rPr>
        <w:t>Нормативные показатели готовности систем теплоснабжения обеспечиваются следующими мероприятиями:</w:t>
      </w:r>
    </w:p>
    <w:p w14:paraId="07C0D304">
      <w:pPr>
        <w:pStyle w:val="153"/>
        <w:numPr>
          <w:ilvl w:val="0"/>
          <w:numId w:val="46"/>
        </w:numPr>
        <w:tabs>
          <w:tab w:val="left" w:pos="993"/>
        </w:tabs>
        <w:ind w:left="0" w:firstLine="709"/>
        <w:rPr>
          <w:sz w:val="24"/>
          <w:szCs w:val="24"/>
        </w:rPr>
      </w:pPr>
      <w:r>
        <w:rPr>
          <w:sz w:val="24"/>
          <w:szCs w:val="24"/>
        </w:rPr>
        <w:t>готовностью систем централизованного теплоснабжения к отопительному сезону;</w:t>
      </w:r>
    </w:p>
    <w:p w14:paraId="350F14E5">
      <w:pPr>
        <w:pStyle w:val="153"/>
        <w:numPr>
          <w:ilvl w:val="0"/>
          <w:numId w:val="46"/>
        </w:numPr>
        <w:tabs>
          <w:tab w:val="left" w:pos="993"/>
        </w:tabs>
        <w:ind w:left="0" w:firstLine="709"/>
        <w:rPr>
          <w:sz w:val="24"/>
          <w:szCs w:val="24"/>
        </w:rPr>
      </w:pPr>
      <w:r>
        <w:rPr>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нерасчётных похолоданиях;</w:t>
      </w:r>
    </w:p>
    <w:p w14:paraId="34DD85DD">
      <w:pPr>
        <w:pStyle w:val="153"/>
        <w:numPr>
          <w:ilvl w:val="0"/>
          <w:numId w:val="46"/>
        </w:numPr>
        <w:tabs>
          <w:tab w:val="left" w:pos="993"/>
        </w:tabs>
        <w:ind w:left="0" w:firstLine="709"/>
        <w:rPr>
          <w:sz w:val="24"/>
          <w:szCs w:val="24"/>
        </w:rPr>
      </w:pPr>
      <w:r>
        <w:rPr>
          <w:sz w:val="24"/>
          <w:szCs w:val="24"/>
        </w:rPr>
        <w:t>способностью тепловых сетей обеспечить исправное функционирование системы централизованного теплоснабжения при нерасчётных похолоданиях;</w:t>
      </w:r>
    </w:p>
    <w:p w14:paraId="1E8715F6">
      <w:pPr>
        <w:pStyle w:val="153"/>
        <w:numPr>
          <w:ilvl w:val="0"/>
          <w:numId w:val="46"/>
        </w:numPr>
        <w:tabs>
          <w:tab w:val="left" w:pos="993"/>
        </w:tabs>
        <w:ind w:left="0" w:firstLine="709"/>
        <w:rPr>
          <w:sz w:val="24"/>
          <w:szCs w:val="24"/>
        </w:rPr>
      </w:pPr>
      <w:r>
        <w:rPr>
          <w:sz w:val="24"/>
          <w:szCs w:val="24"/>
        </w:rPr>
        <w:t xml:space="preserve">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255C8910">
      <w:pPr>
        <w:numPr>
          <w:ilvl w:val="0"/>
          <w:numId w:val="46"/>
        </w:numPr>
        <w:tabs>
          <w:tab w:val="left" w:pos="993"/>
        </w:tabs>
        <w:spacing w:after="0" w:line="240" w:lineRule="auto"/>
        <w:ind w:left="0" w:firstLine="709"/>
        <w:jc w:val="both"/>
        <w:rPr>
          <w:sz w:val="24"/>
          <w:szCs w:val="24"/>
        </w:rPr>
      </w:pPr>
      <w:r>
        <w:rPr>
          <w:sz w:val="24"/>
          <w:szCs w:val="24"/>
        </w:rPr>
        <w:t>максимально допустимым числом часов готовности для источника теплоты.</w:t>
      </w:r>
    </w:p>
    <w:p w14:paraId="0BF48E56">
      <w:pPr>
        <w:tabs>
          <w:tab w:val="left" w:pos="1134"/>
          <w:tab w:val="left" w:pos="1276"/>
        </w:tabs>
        <w:spacing w:after="0" w:line="240" w:lineRule="auto"/>
        <w:contextualSpacing/>
        <w:jc w:val="both"/>
        <w:rPr>
          <w:sz w:val="24"/>
          <w:szCs w:val="24"/>
        </w:rPr>
      </w:pPr>
    </w:p>
    <w:p w14:paraId="612EFF1A">
      <w:pPr>
        <w:pStyle w:val="3"/>
        <w:spacing w:before="0" w:line="240" w:lineRule="auto"/>
        <w:ind w:left="0" w:firstLine="709"/>
        <w:contextualSpacing/>
        <w:rPr>
          <w:rFonts w:cs="Times New Roman"/>
          <w:b w:val="0"/>
          <w:sz w:val="24"/>
          <w:szCs w:val="24"/>
        </w:rPr>
      </w:pPr>
      <w:bookmarkStart w:id="653" w:name="_Toc524615109"/>
      <w:bookmarkStart w:id="654" w:name="_Toc182814052"/>
      <w:bookmarkStart w:id="655" w:name="_Toc524614893"/>
      <w:r>
        <w:rPr>
          <w:rFonts w:cs="Times New Roman"/>
          <w:b w:val="0"/>
          <w:sz w:val="24"/>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653"/>
      <w:bookmarkEnd w:id="654"/>
      <w:bookmarkEnd w:id="655"/>
    </w:p>
    <w:p w14:paraId="14C01F3B">
      <w:pPr>
        <w:spacing w:after="0" w:line="240" w:lineRule="auto"/>
        <w:contextualSpacing/>
        <w:jc w:val="both"/>
        <w:rPr>
          <w:sz w:val="24"/>
          <w:szCs w:val="24"/>
        </w:rPr>
      </w:pPr>
      <w:r>
        <w:rPr>
          <w:sz w:val="24"/>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 представлены в электронной модели, являющихся неотъемлемой частью настоящей схемы.</w:t>
      </w:r>
    </w:p>
    <w:p w14:paraId="39185CF4">
      <w:pPr>
        <w:spacing w:after="0" w:line="240" w:lineRule="auto"/>
        <w:contextualSpacing/>
        <w:jc w:val="both"/>
        <w:rPr>
          <w:sz w:val="24"/>
          <w:szCs w:val="24"/>
        </w:rPr>
      </w:pPr>
    </w:p>
    <w:p w14:paraId="22B62B9F">
      <w:pPr>
        <w:pStyle w:val="3"/>
        <w:spacing w:before="0" w:line="240" w:lineRule="auto"/>
        <w:ind w:left="0" w:firstLine="709"/>
        <w:contextualSpacing/>
        <w:rPr>
          <w:rFonts w:cs="Times New Roman"/>
          <w:b w:val="0"/>
          <w:sz w:val="24"/>
          <w:szCs w:val="24"/>
        </w:rPr>
      </w:pPr>
      <w:bookmarkStart w:id="656" w:name="_Toc182814053"/>
      <w:r>
        <w:rPr>
          <w:rFonts w:cs="Times New Roman"/>
          <w:b w:val="0"/>
          <w:sz w:val="24"/>
          <w:szCs w:val="24"/>
        </w:rPr>
        <w:t>Предложения, обеспечивающие надёжность систем теплоснабжения</w:t>
      </w:r>
      <w:bookmarkEnd w:id="656"/>
    </w:p>
    <w:p w14:paraId="278B7D05">
      <w:pPr>
        <w:spacing w:after="0" w:line="240" w:lineRule="auto"/>
        <w:contextualSpacing/>
        <w:jc w:val="both"/>
        <w:rPr>
          <w:sz w:val="24"/>
          <w:szCs w:val="24"/>
        </w:rPr>
      </w:pPr>
      <w:r>
        <w:rPr>
          <w:sz w:val="24"/>
          <w:szCs w:val="24"/>
        </w:rPr>
        <w:t>В данном пункте отображена информация о выявленных потенциальных угрозах в системах теплоснабжения, в том числе наличие мероприятий по нивелированию выявленных угрозах. Потребность в финансовых ресурсах на мероприятия по нивелированию выявленных угроз представлена в Главе 8, а именно - реконструкция и модернизация тепловых сетей для повышения надёжности системы теплоснабжения, включающая:</w:t>
      </w:r>
    </w:p>
    <w:p w14:paraId="39FCD051">
      <w:pPr>
        <w:spacing w:after="0" w:line="240" w:lineRule="auto"/>
        <w:contextualSpacing/>
        <w:jc w:val="both"/>
        <w:rPr>
          <w:sz w:val="24"/>
          <w:szCs w:val="24"/>
        </w:rPr>
      </w:pPr>
      <w:r>
        <w:rPr>
          <w:sz w:val="24"/>
          <w:szCs w:val="24"/>
        </w:rPr>
        <w:t>- замену тепловых сетей, выработавших нормативных срок эксплуатации;</w:t>
      </w:r>
    </w:p>
    <w:p w14:paraId="407EBA91">
      <w:pPr>
        <w:spacing w:after="0" w:line="240" w:lineRule="auto"/>
        <w:contextualSpacing/>
        <w:jc w:val="both"/>
        <w:rPr>
          <w:sz w:val="24"/>
          <w:szCs w:val="24"/>
        </w:rPr>
      </w:pPr>
      <w:r>
        <w:rPr>
          <w:sz w:val="24"/>
          <w:szCs w:val="24"/>
        </w:rPr>
        <w:t>- замену тепловых сетей с большой интенсивностью отказов;</w:t>
      </w:r>
    </w:p>
    <w:p w14:paraId="68830B17">
      <w:pPr>
        <w:spacing w:after="0" w:line="240" w:lineRule="auto"/>
        <w:contextualSpacing/>
        <w:jc w:val="both"/>
        <w:rPr>
          <w:sz w:val="24"/>
          <w:szCs w:val="24"/>
        </w:rPr>
      </w:pPr>
      <w:r>
        <w:rPr>
          <w:sz w:val="24"/>
          <w:szCs w:val="24"/>
        </w:rPr>
        <w:t>- замену тепловых сетей, не обеспечивающих нормативную надёжность и качественное предоставление услуги централизованного теплоснабжения.</w:t>
      </w:r>
    </w:p>
    <w:p w14:paraId="3BC93DC8">
      <w:pPr>
        <w:spacing w:after="0" w:line="240" w:lineRule="auto"/>
        <w:contextualSpacing/>
        <w:jc w:val="both"/>
        <w:rPr>
          <w:sz w:val="24"/>
          <w:szCs w:val="24"/>
        </w:rPr>
      </w:pPr>
    </w:p>
    <w:p w14:paraId="799EB8A0">
      <w:pPr>
        <w:spacing w:after="0" w:line="240" w:lineRule="auto"/>
        <w:contextualSpacing/>
        <w:jc w:val="both"/>
        <w:rPr>
          <w:sz w:val="24"/>
          <w:szCs w:val="24"/>
        </w:rPr>
      </w:pPr>
      <w:r>
        <w:rPr>
          <w:sz w:val="24"/>
          <w:szCs w:val="24"/>
        </w:rPr>
        <w:t>Нивелирование угроз и порядок устранения последствий аварийных ситуаций представлен в Плане действий по ликвидации последствий аварийных ситуаций с применением электронного моделирования системы теплоснабжения с.п. Верхнеказымский (Приложение 1), являющимся неотъемлемой частью Схемы теплоснабжения на территории с.п. Верхнеказымский.</w:t>
      </w:r>
    </w:p>
    <w:p w14:paraId="4D48EE6A">
      <w:pPr>
        <w:spacing w:after="0" w:line="240" w:lineRule="auto"/>
        <w:contextualSpacing/>
        <w:jc w:val="both"/>
        <w:rPr>
          <w:sz w:val="24"/>
          <w:szCs w:val="24"/>
        </w:rPr>
      </w:pPr>
    </w:p>
    <w:p w14:paraId="68F1DC3E">
      <w:pPr>
        <w:pStyle w:val="4"/>
        <w:spacing w:before="0" w:line="240" w:lineRule="auto"/>
        <w:ind w:left="0" w:firstLine="709"/>
        <w:contextualSpacing/>
        <w:rPr>
          <w:rFonts w:cs="Times New Roman"/>
          <w:b w:val="0"/>
          <w:sz w:val="24"/>
        </w:rPr>
      </w:pPr>
      <w:bookmarkStart w:id="657" w:name="_Toc524615110"/>
      <w:bookmarkStart w:id="658" w:name="_Toc182814054"/>
      <w:bookmarkStart w:id="659" w:name="_Toc524614894"/>
      <w:r>
        <w:rPr>
          <w:rFonts w:cs="Times New Roman"/>
          <w:b w:val="0"/>
          <w:sz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657"/>
      <w:bookmarkEnd w:id="658"/>
      <w:bookmarkEnd w:id="659"/>
    </w:p>
    <w:p w14:paraId="5409538A">
      <w:pPr>
        <w:spacing w:after="0" w:line="240" w:lineRule="auto"/>
        <w:contextualSpacing/>
        <w:jc w:val="both"/>
        <w:rPr>
          <w:sz w:val="24"/>
          <w:szCs w:val="24"/>
        </w:rPr>
      </w:pPr>
      <w:r>
        <w:rPr>
          <w:sz w:val="24"/>
          <w:szCs w:val="24"/>
        </w:rPr>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w:t>
      </w:r>
    </w:p>
    <w:p w14:paraId="6380FE71">
      <w:pPr>
        <w:spacing w:after="0" w:line="240" w:lineRule="auto"/>
        <w:contextualSpacing/>
        <w:jc w:val="both"/>
        <w:rPr>
          <w:sz w:val="24"/>
          <w:szCs w:val="24"/>
        </w:rPr>
      </w:pPr>
      <w:r>
        <w:rPr>
          <w:sz w:val="24"/>
          <w:szCs w:val="24"/>
        </w:rPr>
        <w:t>На момент актуализации Схемы в с.п. Верхнеказымский источники тепловой энергии с комбинированным производством тепловой и электрической энергии отсутствуют.</w:t>
      </w:r>
    </w:p>
    <w:p w14:paraId="47985F71">
      <w:pPr>
        <w:spacing w:after="0" w:line="240" w:lineRule="auto"/>
        <w:contextualSpacing/>
        <w:jc w:val="both"/>
        <w:rPr>
          <w:sz w:val="24"/>
          <w:szCs w:val="24"/>
        </w:rPr>
      </w:pPr>
      <w:r>
        <w:rPr>
          <w:sz w:val="24"/>
          <w:szCs w:val="24"/>
        </w:rPr>
        <w:t>Учитывая отсутствие дефицита электрической мощности в районе размещения с.п. Верхнеказымский, строительство нового источника комбинированной выработки электрической и тепловой энергии не предусматривается.</w:t>
      </w:r>
    </w:p>
    <w:p w14:paraId="0EC19AD6">
      <w:pPr>
        <w:spacing w:after="0" w:line="240" w:lineRule="auto"/>
        <w:contextualSpacing/>
        <w:jc w:val="both"/>
        <w:rPr>
          <w:sz w:val="24"/>
          <w:szCs w:val="24"/>
        </w:rPr>
      </w:pPr>
    </w:p>
    <w:p w14:paraId="53E7B3E7">
      <w:pPr>
        <w:pStyle w:val="4"/>
        <w:spacing w:before="0" w:line="240" w:lineRule="auto"/>
        <w:ind w:left="0" w:firstLine="709"/>
        <w:contextualSpacing/>
        <w:rPr>
          <w:rFonts w:cs="Times New Roman"/>
          <w:b w:val="0"/>
          <w:sz w:val="24"/>
        </w:rPr>
      </w:pPr>
      <w:bookmarkStart w:id="660" w:name="_Toc524614895"/>
      <w:bookmarkStart w:id="661" w:name="_Toc182814055"/>
      <w:bookmarkStart w:id="662" w:name="_Toc524615111"/>
      <w:r>
        <w:rPr>
          <w:rFonts w:cs="Times New Roman"/>
          <w:b w:val="0"/>
          <w:sz w:val="24"/>
        </w:rPr>
        <w:t>Установка резервного оборудования</w:t>
      </w:r>
      <w:bookmarkEnd w:id="660"/>
      <w:bookmarkEnd w:id="661"/>
      <w:bookmarkEnd w:id="662"/>
    </w:p>
    <w:p w14:paraId="058131B0">
      <w:pPr>
        <w:spacing w:after="0" w:line="240" w:lineRule="auto"/>
        <w:contextualSpacing/>
        <w:jc w:val="both"/>
        <w:rPr>
          <w:sz w:val="24"/>
          <w:szCs w:val="24"/>
        </w:rPr>
      </w:pPr>
      <w:r>
        <w:rPr>
          <w:sz w:val="24"/>
          <w:szCs w:val="24"/>
        </w:rPr>
        <w:t>Установка резервного оборудования не планируется.</w:t>
      </w:r>
    </w:p>
    <w:p w14:paraId="48C39E9E">
      <w:pPr>
        <w:pStyle w:val="4"/>
        <w:spacing w:before="0" w:line="240" w:lineRule="auto"/>
        <w:ind w:left="0" w:firstLine="709"/>
        <w:contextualSpacing/>
        <w:rPr>
          <w:rFonts w:cs="Times New Roman"/>
          <w:b w:val="0"/>
          <w:sz w:val="24"/>
        </w:rPr>
      </w:pPr>
      <w:bookmarkStart w:id="663" w:name="_Toc524614896"/>
      <w:bookmarkStart w:id="664" w:name="_Toc182814056"/>
      <w:bookmarkStart w:id="665" w:name="_Toc524615112"/>
      <w:r>
        <w:rPr>
          <w:rFonts w:cs="Times New Roman"/>
          <w:b w:val="0"/>
          <w:sz w:val="24"/>
        </w:rPr>
        <w:t>Организация совместной работы нескольких источников тепловой энергии на единую тепловую сеть</w:t>
      </w:r>
      <w:bookmarkEnd w:id="663"/>
      <w:bookmarkEnd w:id="664"/>
      <w:bookmarkEnd w:id="665"/>
    </w:p>
    <w:p w14:paraId="1741C02B">
      <w:pPr>
        <w:spacing w:after="0" w:line="240" w:lineRule="auto"/>
        <w:contextualSpacing/>
        <w:jc w:val="both"/>
        <w:rPr>
          <w:sz w:val="24"/>
          <w:szCs w:val="24"/>
        </w:rPr>
      </w:pPr>
      <w:r>
        <w:rPr>
          <w:sz w:val="24"/>
          <w:szCs w:val="24"/>
        </w:rPr>
        <w:t>В перспективе организация совместной работы нескольких источников тепловой энергии не планируется.</w:t>
      </w:r>
    </w:p>
    <w:p w14:paraId="18340E79">
      <w:pPr>
        <w:spacing w:after="0" w:line="240" w:lineRule="auto"/>
        <w:contextualSpacing/>
        <w:jc w:val="both"/>
        <w:rPr>
          <w:sz w:val="24"/>
          <w:szCs w:val="24"/>
        </w:rPr>
      </w:pPr>
    </w:p>
    <w:p w14:paraId="03358D2E">
      <w:pPr>
        <w:pStyle w:val="4"/>
        <w:spacing w:before="0" w:line="240" w:lineRule="auto"/>
        <w:ind w:left="0" w:firstLine="709"/>
        <w:contextualSpacing/>
        <w:rPr>
          <w:rFonts w:cs="Times New Roman"/>
          <w:b w:val="0"/>
          <w:sz w:val="24"/>
        </w:rPr>
      </w:pPr>
      <w:bookmarkStart w:id="666" w:name="_Toc524614897"/>
      <w:bookmarkStart w:id="667" w:name="_Toc524615113"/>
      <w:bookmarkStart w:id="668" w:name="_Toc182814057"/>
      <w:r>
        <w:rPr>
          <w:rFonts w:cs="Times New Roman"/>
          <w:b w:val="0"/>
          <w:sz w:val="24"/>
        </w:rPr>
        <w:t xml:space="preserve">Резервирование тепловых сетей смежных районов </w:t>
      </w:r>
      <w:bookmarkEnd w:id="666"/>
      <w:bookmarkEnd w:id="667"/>
      <w:r>
        <w:rPr>
          <w:rFonts w:cs="Times New Roman"/>
          <w:b w:val="0"/>
          <w:sz w:val="24"/>
        </w:rPr>
        <w:t>муниципального образования</w:t>
      </w:r>
      <w:bookmarkEnd w:id="668"/>
    </w:p>
    <w:p w14:paraId="378E30FE">
      <w:pPr>
        <w:spacing w:after="0" w:line="240" w:lineRule="auto"/>
        <w:contextualSpacing/>
        <w:jc w:val="both"/>
        <w:rPr>
          <w:sz w:val="24"/>
          <w:szCs w:val="24"/>
        </w:rPr>
      </w:pPr>
      <w:r>
        <w:rPr>
          <w:sz w:val="24"/>
          <w:szCs w:val="24"/>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1F4EA2A3">
      <w:pPr>
        <w:spacing w:after="0" w:line="240" w:lineRule="auto"/>
        <w:contextualSpacing/>
        <w:jc w:val="both"/>
        <w:rPr>
          <w:sz w:val="24"/>
          <w:szCs w:val="24"/>
        </w:rPr>
      </w:pPr>
      <w:r>
        <w:rPr>
          <w:sz w:val="24"/>
          <w:szCs w:val="24"/>
        </w:rPr>
        <w:t>В таблице 63 представлено допустимое снижение подачи теплоты в аварийных режимах.</w:t>
      </w:r>
    </w:p>
    <w:p w14:paraId="5DD6BD8A">
      <w:pPr>
        <w:spacing w:after="0" w:line="240" w:lineRule="auto"/>
        <w:contextualSpacing/>
        <w:rPr>
          <w:sz w:val="24"/>
          <w:szCs w:val="24"/>
        </w:rPr>
      </w:pPr>
    </w:p>
    <w:p w14:paraId="6E4A9AE3">
      <w:pPr>
        <w:pStyle w:val="43"/>
        <w:keepNext/>
        <w:keepLines/>
        <w:spacing w:before="0" w:after="0" w:line="240" w:lineRule="auto"/>
        <w:ind w:firstLine="0"/>
        <w:contextualSpacing/>
        <w:rPr>
          <w:rFonts w:cs="Times New Roman"/>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63</w:t>
      </w:r>
      <w:r>
        <w:rPr>
          <w:rFonts w:cs="Times New Roman"/>
          <w:b w:val="0"/>
          <w:sz w:val="24"/>
          <w:szCs w:val="24"/>
        </w:rPr>
        <w:fldChar w:fldCharType="end"/>
      </w:r>
      <w:r>
        <w:rPr>
          <w:rFonts w:cs="Times New Roman"/>
          <w:b w:val="0"/>
          <w:sz w:val="24"/>
          <w:szCs w:val="24"/>
        </w:rPr>
        <w:t xml:space="preserve"> – Допустимое снижение подачи теплоты в аварийных режимах</w:t>
      </w:r>
    </w:p>
    <w:tbl>
      <w:tblPr>
        <w:tblStyle w:val="730"/>
        <w:tblW w:w="5000" w:type="pct"/>
        <w:jc w:val="center"/>
        <w:tblLayout w:type="autofit"/>
        <w:tblCellMar>
          <w:top w:w="0" w:type="dxa"/>
          <w:left w:w="0" w:type="dxa"/>
          <w:bottom w:w="0" w:type="dxa"/>
          <w:right w:w="0" w:type="dxa"/>
        </w:tblCellMar>
      </w:tblPr>
      <w:tblGrid>
        <w:gridCol w:w="4841"/>
        <w:gridCol w:w="961"/>
        <w:gridCol w:w="961"/>
        <w:gridCol w:w="961"/>
        <w:gridCol w:w="961"/>
        <w:gridCol w:w="963"/>
      </w:tblGrid>
      <w:tr w14:paraId="628FEB36">
        <w:tblPrEx>
          <w:tblCellMar>
            <w:top w:w="0" w:type="dxa"/>
            <w:left w:w="0" w:type="dxa"/>
            <w:bottom w:w="0" w:type="dxa"/>
            <w:right w:w="0" w:type="dxa"/>
          </w:tblCellMar>
        </w:tblPrEx>
        <w:trPr>
          <w:trHeight w:val="227" w:hRule="atLeast"/>
          <w:jc w:val="center"/>
        </w:trPr>
        <w:tc>
          <w:tcPr>
            <w:tcW w:w="2509" w:type="pct"/>
            <w:vMerge w:val="restart"/>
            <w:tcBorders>
              <w:top w:val="single" w:color="000000" w:sz="4" w:space="0"/>
              <w:left w:val="single" w:color="000000" w:sz="4" w:space="0"/>
              <w:right w:val="single" w:color="000000" w:sz="4" w:space="0"/>
            </w:tcBorders>
            <w:vAlign w:val="center"/>
          </w:tcPr>
          <w:p w14:paraId="1D8F4BC7">
            <w:pPr>
              <w:keepNext/>
              <w:keepLines/>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Показатель</w:t>
            </w:r>
          </w:p>
        </w:tc>
        <w:tc>
          <w:tcPr>
            <w:tcW w:w="2491" w:type="pct"/>
            <w:gridSpan w:val="5"/>
            <w:tcBorders>
              <w:top w:val="single" w:color="000000" w:sz="4" w:space="0"/>
              <w:left w:val="single" w:color="000000" w:sz="4" w:space="0"/>
              <w:bottom w:val="single" w:color="000000" w:sz="4" w:space="0"/>
              <w:right w:val="single" w:color="000000" w:sz="4" w:space="0"/>
            </w:tcBorders>
            <w:vAlign w:val="center"/>
          </w:tcPr>
          <w:p w14:paraId="2C3D125D">
            <w:pPr>
              <w:keepNext/>
              <w:keepLines/>
              <w:widowControl w:val="0"/>
              <w:autoSpaceDE w:val="0"/>
              <w:autoSpaceDN w:val="0"/>
              <w:spacing w:after="0" w:line="240" w:lineRule="auto"/>
              <w:ind w:firstLine="0"/>
              <w:contextualSpacing/>
              <w:jc w:val="center"/>
              <w:rPr>
                <w:rFonts w:eastAsia="Arial"/>
                <w:spacing w:val="24"/>
                <w:w w:val="99"/>
                <w:sz w:val="20"/>
                <w:szCs w:val="20"/>
                <w:lang w:val="ru-RU"/>
              </w:rPr>
            </w:pPr>
            <w:r>
              <w:rPr>
                <w:rFonts w:eastAsia="Arial"/>
                <w:sz w:val="20"/>
                <w:szCs w:val="20"/>
                <w:lang w:val="ru-RU"/>
              </w:rPr>
              <w:t>Расчётная</w:t>
            </w:r>
            <w:r>
              <w:rPr>
                <w:rFonts w:eastAsia="Arial"/>
                <w:spacing w:val="-14"/>
                <w:sz w:val="20"/>
                <w:szCs w:val="20"/>
                <w:lang w:val="ru-RU"/>
              </w:rPr>
              <w:t xml:space="preserve"> </w:t>
            </w:r>
            <w:r>
              <w:rPr>
                <w:rFonts w:eastAsia="Arial"/>
                <w:sz w:val="20"/>
                <w:szCs w:val="20"/>
                <w:lang w:val="ru-RU"/>
              </w:rPr>
              <w:t>температура</w:t>
            </w:r>
            <w:r>
              <w:rPr>
                <w:rFonts w:eastAsia="Arial"/>
                <w:spacing w:val="-14"/>
                <w:sz w:val="20"/>
                <w:szCs w:val="20"/>
                <w:lang w:val="ru-RU"/>
              </w:rPr>
              <w:t xml:space="preserve"> </w:t>
            </w:r>
            <w:r>
              <w:rPr>
                <w:rFonts w:eastAsia="Arial"/>
                <w:sz w:val="20"/>
                <w:szCs w:val="20"/>
                <w:lang w:val="ru-RU"/>
              </w:rPr>
              <w:t>наружного</w:t>
            </w:r>
            <w:r>
              <w:rPr>
                <w:rFonts w:eastAsia="Arial"/>
                <w:spacing w:val="-12"/>
                <w:sz w:val="20"/>
                <w:szCs w:val="20"/>
                <w:lang w:val="ru-RU"/>
              </w:rPr>
              <w:t xml:space="preserve"> </w:t>
            </w:r>
            <w:r>
              <w:rPr>
                <w:rFonts w:eastAsia="Arial"/>
                <w:sz w:val="20"/>
                <w:szCs w:val="20"/>
                <w:lang w:val="ru-RU"/>
              </w:rPr>
              <w:t>воздуха</w:t>
            </w:r>
            <w:r>
              <w:rPr>
                <w:rFonts w:eastAsia="Arial"/>
                <w:spacing w:val="24"/>
                <w:w w:val="99"/>
                <w:sz w:val="20"/>
                <w:szCs w:val="20"/>
                <w:lang w:val="ru-RU"/>
              </w:rPr>
              <w:t xml:space="preserve"> </w:t>
            </w:r>
          </w:p>
          <w:p w14:paraId="564B8C7F">
            <w:pPr>
              <w:keepNext/>
              <w:keepLines/>
              <w:widowControl w:val="0"/>
              <w:autoSpaceDE w:val="0"/>
              <w:autoSpaceDN w:val="0"/>
              <w:spacing w:after="0" w:line="240" w:lineRule="auto"/>
              <w:ind w:firstLine="0"/>
              <w:contextualSpacing/>
              <w:jc w:val="center"/>
              <w:rPr>
                <w:rFonts w:eastAsia="Arial"/>
                <w:sz w:val="20"/>
                <w:szCs w:val="20"/>
                <w:lang w:val="ru-RU"/>
              </w:rPr>
            </w:pPr>
            <w:r>
              <w:rPr>
                <w:rFonts w:eastAsia="Arial"/>
                <w:spacing w:val="-1"/>
                <w:sz w:val="20"/>
                <w:szCs w:val="20"/>
                <w:lang w:val="ru-RU"/>
              </w:rPr>
              <w:t>для</w:t>
            </w:r>
            <w:r>
              <w:rPr>
                <w:rFonts w:eastAsia="Arial"/>
                <w:spacing w:val="-9"/>
                <w:sz w:val="20"/>
                <w:szCs w:val="20"/>
                <w:lang w:val="ru-RU"/>
              </w:rPr>
              <w:t xml:space="preserve"> </w:t>
            </w:r>
            <w:r>
              <w:rPr>
                <w:rFonts w:eastAsia="Arial"/>
                <w:sz w:val="20"/>
                <w:szCs w:val="20"/>
                <w:lang w:val="ru-RU"/>
              </w:rPr>
              <w:t>проектирования</w:t>
            </w:r>
            <w:r>
              <w:rPr>
                <w:rFonts w:eastAsia="Arial"/>
                <w:spacing w:val="-11"/>
                <w:sz w:val="20"/>
                <w:szCs w:val="20"/>
                <w:lang w:val="ru-RU"/>
              </w:rPr>
              <w:t xml:space="preserve"> </w:t>
            </w:r>
            <w:r>
              <w:rPr>
                <w:rFonts w:eastAsia="Arial"/>
                <w:sz w:val="20"/>
                <w:szCs w:val="20"/>
                <w:lang w:val="ru-RU"/>
              </w:rPr>
              <w:t>отопления,</w:t>
            </w:r>
            <w:r>
              <w:rPr>
                <w:rFonts w:eastAsia="Arial"/>
                <w:spacing w:val="-12"/>
                <w:sz w:val="20"/>
                <w:szCs w:val="20"/>
                <w:lang w:val="ru-RU"/>
              </w:rPr>
              <w:t xml:space="preserve"> </w:t>
            </w:r>
            <w:r>
              <w:rPr>
                <w:rFonts w:eastAsia="Arial"/>
                <w:sz w:val="20"/>
                <w:szCs w:val="20"/>
                <w:lang w:val="ru-RU"/>
              </w:rPr>
              <w:t>°С</w:t>
            </w:r>
          </w:p>
        </w:tc>
      </w:tr>
      <w:tr w14:paraId="5BE1838F">
        <w:tblPrEx>
          <w:tblCellMar>
            <w:top w:w="0" w:type="dxa"/>
            <w:left w:w="0" w:type="dxa"/>
            <w:bottom w:w="0" w:type="dxa"/>
            <w:right w:w="0" w:type="dxa"/>
          </w:tblCellMar>
        </w:tblPrEx>
        <w:trPr>
          <w:trHeight w:val="227" w:hRule="atLeast"/>
          <w:jc w:val="center"/>
        </w:trPr>
        <w:tc>
          <w:tcPr>
            <w:tcW w:w="2509" w:type="pct"/>
            <w:vMerge w:val="continue"/>
            <w:tcBorders>
              <w:left w:val="single" w:color="000000" w:sz="4" w:space="0"/>
              <w:bottom w:val="single" w:color="000000" w:sz="4" w:space="0"/>
              <w:right w:val="single" w:color="000000" w:sz="4" w:space="0"/>
            </w:tcBorders>
            <w:vAlign w:val="center"/>
          </w:tcPr>
          <w:p w14:paraId="233C5D82">
            <w:pPr>
              <w:keepNext/>
              <w:keepLines/>
              <w:widowControl w:val="0"/>
              <w:autoSpaceDE w:val="0"/>
              <w:autoSpaceDN w:val="0"/>
              <w:spacing w:after="0" w:line="240" w:lineRule="auto"/>
              <w:ind w:firstLine="0"/>
              <w:contextualSpacing/>
              <w:jc w:val="center"/>
              <w:rPr>
                <w:sz w:val="20"/>
                <w:szCs w:val="20"/>
                <w:lang w:val="ru-RU"/>
              </w:rPr>
            </w:pPr>
          </w:p>
        </w:tc>
        <w:tc>
          <w:tcPr>
            <w:tcW w:w="498" w:type="pct"/>
            <w:tcBorders>
              <w:top w:val="single" w:color="000000" w:sz="4" w:space="0"/>
              <w:left w:val="single" w:color="000000" w:sz="4" w:space="0"/>
              <w:bottom w:val="single" w:color="000000" w:sz="4" w:space="0"/>
              <w:right w:val="single" w:color="000000" w:sz="4" w:space="0"/>
            </w:tcBorders>
            <w:vAlign w:val="center"/>
          </w:tcPr>
          <w:p w14:paraId="5E1CA031">
            <w:pPr>
              <w:keepNext/>
              <w:keepLines/>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-10</w:t>
            </w:r>
          </w:p>
        </w:tc>
        <w:tc>
          <w:tcPr>
            <w:tcW w:w="498" w:type="pct"/>
            <w:tcBorders>
              <w:top w:val="single" w:color="000000" w:sz="4" w:space="0"/>
              <w:left w:val="single" w:color="000000" w:sz="4" w:space="0"/>
              <w:bottom w:val="single" w:color="000000" w:sz="4" w:space="0"/>
              <w:right w:val="single" w:color="000000" w:sz="4" w:space="0"/>
            </w:tcBorders>
            <w:vAlign w:val="center"/>
          </w:tcPr>
          <w:p w14:paraId="481CE1D8">
            <w:pPr>
              <w:keepNext/>
              <w:keepLines/>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-20</w:t>
            </w:r>
          </w:p>
        </w:tc>
        <w:tc>
          <w:tcPr>
            <w:tcW w:w="498" w:type="pct"/>
            <w:tcBorders>
              <w:top w:val="single" w:color="000000" w:sz="4" w:space="0"/>
              <w:left w:val="single" w:color="000000" w:sz="4" w:space="0"/>
              <w:bottom w:val="single" w:color="000000" w:sz="4" w:space="0"/>
              <w:right w:val="single" w:color="000000" w:sz="4" w:space="0"/>
            </w:tcBorders>
            <w:vAlign w:val="center"/>
          </w:tcPr>
          <w:p w14:paraId="2E60EE00">
            <w:pPr>
              <w:keepNext/>
              <w:keepLines/>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-30</w:t>
            </w:r>
          </w:p>
        </w:tc>
        <w:tc>
          <w:tcPr>
            <w:tcW w:w="498" w:type="pct"/>
            <w:tcBorders>
              <w:top w:val="single" w:color="000000" w:sz="4" w:space="0"/>
              <w:left w:val="single" w:color="000000" w:sz="4" w:space="0"/>
              <w:bottom w:val="single" w:color="000000" w:sz="4" w:space="0"/>
              <w:right w:val="single" w:color="000000" w:sz="4" w:space="0"/>
            </w:tcBorders>
            <w:vAlign w:val="center"/>
          </w:tcPr>
          <w:p w14:paraId="79FC3FBB">
            <w:pPr>
              <w:keepNext/>
              <w:keepLines/>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-40</w:t>
            </w:r>
          </w:p>
        </w:tc>
        <w:tc>
          <w:tcPr>
            <w:tcW w:w="498" w:type="pct"/>
            <w:tcBorders>
              <w:top w:val="single" w:color="000000" w:sz="4" w:space="0"/>
              <w:left w:val="single" w:color="000000" w:sz="4" w:space="0"/>
              <w:bottom w:val="single" w:color="000000" w:sz="4" w:space="0"/>
              <w:right w:val="single" w:color="000000" w:sz="4" w:space="0"/>
            </w:tcBorders>
            <w:vAlign w:val="center"/>
          </w:tcPr>
          <w:p w14:paraId="4BB6C167">
            <w:pPr>
              <w:keepNext/>
              <w:keepLines/>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-50</w:t>
            </w:r>
          </w:p>
        </w:tc>
      </w:tr>
      <w:tr w14:paraId="5718D37E">
        <w:tblPrEx>
          <w:tblCellMar>
            <w:top w:w="0" w:type="dxa"/>
            <w:left w:w="0" w:type="dxa"/>
            <w:bottom w:w="0" w:type="dxa"/>
            <w:right w:w="0" w:type="dxa"/>
          </w:tblCellMar>
        </w:tblPrEx>
        <w:trPr>
          <w:trHeight w:val="227" w:hRule="atLeast"/>
          <w:jc w:val="center"/>
        </w:trPr>
        <w:tc>
          <w:tcPr>
            <w:tcW w:w="2509" w:type="pct"/>
            <w:tcBorders>
              <w:top w:val="single" w:color="000000" w:sz="4" w:space="0"/>
              <w:left w:val="single" w:color="000000" w:sz="4" w:space="0"/>
              <w:bottom w:val="single" w:color="000000" w:sz="4" w:space="0"/>
              <w:right w:val="single" w:color="000000" w:sz="4" w:space="0"/>
            </w:tcBorders>
            <w:vAlign w:val="center"/>
          </w:tcPr>
          <w:p w14:paraId="39C134C7">
            <w:pPr>
              <w:widowControl w:val="0"/>
              <w:autoSpaceDE w:val="0"/>
              <w:autoSpaceDN w:val="0"/>
              <w:spacing w:after="0" w:line="240" w:lineRule="auto"/>
              <w:ind w:firstLine="0"/>
              <w:contextualSpacing/>
              <w:jc w:val="center"/>
              <w:rPr>
                <w:rFonts w:eastAsia="Arial"/>
                <w:sz w:val="20"/>
                <w:szCs w:val="20"/>
                <w:lang w:val="ru-RU"/>
              </w:rPr>
            </w:pPr>
            <w:r>
              <w:rPr>
                <w:sz w:val="20"/>
                <w:szCs w:val="20"/>
                <w:lang w:val="ru-RU"/>
              </w:rPr>
              <w:t>Допустимое</w:t>
            </w:r>
            <w:r>
              <w:rPr>
                <w:spacing w:val="-9"/>
                <w:sz w:val="20"/>
                <w:szCs w:val="20"/>
                <w:lang w:val="ru-RU"/>
              </w:rPr>
              <w:t xml:space="preserve"> </w:t>
            </w:r>
            <w:r>
              <w:rPr>
                <w:sz w:val="20"/>
                <w:szCs w:val="20"/>
                <w:lang w:val="ru-RU"/>
              </w:rPr>
              <w:t>снижение</w:t>
            </w:r>
            <w:r>
              <w:rPr>
                <w:spacing w:val="-7"/>
                <w:sz w:val="20"/>
                <w:szCs w:val="20"/>
                <w:lang w:val="ru-RU"/>
              </w:rPr>
              <w:t xml:space="preserve"> </w:t>
            </w:r>
            <w:r>
              <w:rPr>
                <w:sz w:val="20"/>
                <w:szCs w:val="20"/>
                <w:lang w:val="ru-RU"/>
              </w:rPr>
              <w:t>подачи</w:t>
            </w:r>
            <w:r>
              <w:rPr>
                <w:spacing w:val="-10"/>
                <w:sz w:val="20"/>
                <w:szCs w:val="20"/>
                <w:lang w:val="ru-RU"/>
              </w:rPr>
              <w:t xml:space="preserve"> </w:t>
            </w:r>
            <w:r>
              <w:rPr>
                <w:sz w:val="20"/>
                <w:szCs w:val="20"/>
                <w:lang w:val="ru-RU"/>
              </w:rPr>
              <w:t>теплоты,</w:t>
            </w:r>
            <w:r>
              <w:rPr>
                <w:spacing w:val="-9"/>
                <w:sz w:val="20"/>
                <w:szCs w:val="20"/>
                <w:lang w:val="ru-RU"/>
              </w:rPr>
              <w:t xml:space="preserve"> </w:t>
            </w:r>
            <w:r>
              <w:rPr>
                <w:sz w:val="20"/>
                <w:szCs w:val="20"/>
                <w:lang w:val="ru-RU"/>
              </w:rPr>
              <w:t>%,</w:t>
            </w:r>
            <w:r>
              <w:rPr>
                <w:spacing w:val="-6"/>
                <w:sz w:val="20"/>
                <w:szCs w:val="20"/>
                <w:lang w:val="ru-RU"/>
              </w:rPr>
              <w:t xml:space="preserve"> </w:t>
            </w:r>
            <w:r>
              <w:rPr>
                <w:sz w:val="20"/>
                <w:szCs w:val="20"/>
                <w:lang w:val="ru-RU"/>
              </w:rPr>
              <w:t>до</w:t>
            </w:r>
          </w:p>
        </w:tc>
        <w:tc>
          <w:tcPr>
            <w:tcW w:w="498" w:type="pct"/>
            <w:tcBorders>
              <w:top w:val="single" w:color="000000" w:sz="4" w:space="0"/>
              <w:left w:val="single" w:color="000000" w:sz="4" w:space="0"/>
              <w:bottom w:val="single" w:color="000000" w:sz="4" w:space="0"/>
              <w:right w:val="single" w:color="000000" w:sz="4" w:space="0"/>
            </w:tcBorders>
            <w:vAlign w:val="center"/>
          </w:tcPr>
          <w:p w14:paraId="3F68643E">
            <w:pPr>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78</w:t>
            </w:r>
          </w:p>
        </w:tc>
        <w:tc>
          <w:tcPr>
            <w:tcW w:w="498" w:type="pct"/>
            <w:tcBorders>
              <w:top w:val="single" w:color="000000" w:sz="4" w:space="0"/>
              <w:left w:val="single" w:color="000000" w:sz="4" w:space="0"/>
              <w:bottom w:val="single" w:color="000000" w:sz="4" w:space="0"/>
              <w:right w:val="single" w:color="000000" w:sz="4" w:space="0"/>
            </w:tcBorders>
            <w:vAlign w:val="center"/>
          </w:tcPr>
          <w:p w14:paraId="081190DB">
            <w:pPr>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84</w:t>
            </w:r>
          </w:p>
        </w:tc>
        <w:tc>
          <w:tcPr>
            <w:tcW w:w="498" w:type="pct"/>
            <w:tcBorders>
              <w:top w:val="single" w:color="000000" w:sz="4" w:space="0"/>
              <w:left w:val="single" w:color="000000" w:sz="4" w:space="0"/>
              <w:bottom w:val="single" w:color="000000" w:sz="4" w:space="0"/>
              <w:right w:val="single" w:color="000000" w:sz="4" w:space="0"/>
            </w:tcBorders>
            <w:vAlign w:val="center"/>
          </w:tcPr>
          <w:p w14:paraId="5A21F2DB">
            <w:pPr>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87</w:t>
            </w:r>
          </w:p>
        </w:tc>
        <w:tc>
          <w:tcPr>
            <w:tcW w:w="498" w:type="pct"/>
            <w:tcBorders>
              <w:top w:val="single" w:color="000000" w:sz="4" w:space="0"/>
              <w:left w:val="single" w:color="000000" w:sz="4" w:space="0"/>
              <w:bottom w:val="single" w:color="000000" w:sz="4" w:space="0"/>
              <w:right w:val="single" w:color="000000" w:sz="4" w:space="0"/>
            </w:tcBorders>
            <w:vAlign w:val="center"/>
          </w:tcPr>
          <w:p w14:paraId="46F763DC">
            <w:pPr>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89</w:t>
            </w:r>
          </w:p>
        </w:tc>
        <w:tc>
          <w:tcPr>
            <w:tcW w:w="498" w:type="pct"/>
            <w:tcBorders>
              <w:top w:val="single" w:color="000000" w:sz="4" w:space="0"/>
              <w:left w:val="single" w:color="000000" w:sz="4" w:space="0"/>
              <w:bottom w:val="single" w:color="000000" w:sz="4" w:space="0"/>
              <w:right w:val="single" w:color="000000" w:sz="4" w:space="0"/>
            </w:tcBorders>
            <w:vAlign w:val="center"/>
          </w:tcPr>
          <w:p w14:paraId="5F6D4DD4">
            <w:pPr>
              <w:widowControl w:val="0"/>
              <w:autoSpaceDE w:val="0"/>
              <w:autoSpaceDN w:val="0"/>
              <w:spacing w:after="0" w:line="240" w:lineRule="auto"/>
              <w:ind w:firstLine="0"/>
              <w:contextualSpacing/>
              <w:jc w:val="center"/>
              <w:rPr>
                <w:rFonts w:eastAsia="Arial"/>
                <w:sz w:val="20"/>
                <w:szCs w:val="20"/>
                <w:lang w:val="en-US"/>
              </w:rPr>
            </w:pPr>
            <w:r>
              <w:rPr>
                <w:spacing w:val="-1"/>
                <w:sz w:val="20"/>
                <w:szCs w:val="20"/>
                <w:lang w:val="en-US"/>
              </w:rPr>
              <w:t>91</w:t>
            </w:r>
          </w:p>
        </w:tc>
      </w:tr>
    </w:tbl>
    <w:p w14:paraId="370DEF88">
      <w:pPr>
        <w:tabs>
          <w:tab w:val="left" w:pos="1276"/>
        </w:tabs>
        <w:spacing w:after="0" w:line="240" w:lineRule="auto"/>
        <w:contextualSpacing/>
        <w:jc w:val="both"/>
        <w:rPr>
          <w:sz w:val="24"/>
          <w:szCs w:val="24"/>
        </w:rPr>
      </w:pPr>
    </w:p>
    <w:p w14:paraId="621BA348">
      <w:pPr>
        <w:spacing w:after="0" w:line="240" w:lineRule="auto"/>
        <w:contextualSpacing/>
        <w:jc w:val="both"/>
        <w:rPr>
          <w:sz w:val="24"/>
          <w:szCs w:val="24"/>
        </w:rPr>
      </w:pPr>
      <w:r>
        <w:rPr>
          <w:sz w:val="24"/>
          <w:szCs w:val="24"/>
        </w:rPr>
        <w:t>При обеспечении безотказности тепловых сетей определяются:</w:t>
      </w:r>
    </w:p>
    <w:p w14:paraId="38AE39CE">
      <w:pPr>
        <w:numPr>
          <w:ilvl w:val="0"/>
          <w:numId w:val="47"/>
        </w:numPr>
        <w:tabs>
          <w:tab w:val="left" w:pos="993"/>
        </w:tabs>
        <w:spacing w:after="0" w:line="240" w:lineRule="auto"/>
        <w:ind w:left="0" w:firstLine="709"/>
        <w:contextualSpacing/>
        <w:jc w:val="both"/>
        <w:rPr>
          <w:sz w:val="24"/>
          <w:szCs w:val="24"/>
        </w:rPr>
      </w:pPr>
      <w:r>
        <w:rPr>
          <w:sz w:val="24"/>
          <w:szCs w:val="24"/>
        </w:rPr>
        <w:t>предельно допустимые длины нерезервированных участков теплопроводов (тупиковых, радиальных, транзитных) до каждого потребителя или теплового пункта;</w:t>
      </w:r>
    </w:p>
    <w:p w14:paraId="69938BD6">
      <w:pPr>
        <w:numPr>
          <w:ilvl w:val="0"/>
          <w:numId w:val="47"/>
        </w:numPr>
        <w:tabs>
          <w:tab w:val="left" w:pos="993"/>
        </w:tabs>
        <w:spacing w:after="0" w:line="240" w:lineRule="auto"/>
        <w:ind w:left="0" w:firstLine="709"/>
        <w:contextualSpacing/>
        <w:jc w:val="both"/>
        <w:rPr>
          <w:sz w:val="24"/>
          <w:szCs w:val="24"/>
        </w:rPr>
      </w:pPr>
      <w:r>
        <w:rPr>
          <w:sz w:val="24"/>
          <w:szCs w:val="24"/>
        </w:rPr>
        <w:t xml:space="preserve">места размещения резервных трубопроводных связей между радиальными теплопроводами; </w:t>
      </w:r>
    </w:p>
    <w:p w14:paraId="584DE5F9">
      <w:pPr>
        <w:numPr>
          <w:ilvl w:val="0"/>
          <w:numId w:val="47"/>
        </w:numPr>
        <w:tabs>
          <w:tab w:val="left" w:pos="993"/>
        </w:tabs>
        <w:spacing w:after="0" w:line="240" w:lineRule="auto"/>
        <w:ind w:left="0" w:firstLine="709"/>
        <w:contextualSpacing/>
        <w:jc w:val="both"/>
        <w:rPr>
          <w:sz w:val="24"/>
          <w:szCs w:val="24"/>
        </w:rPr>
      </w:pPr>
      <w:r>
        <w:rPr>
          <w:sz w:val="24"/>
          <w:szCs w:val="24"/>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31B2650B">
      <w:pPr>
        <w:spacing w:after="0" w:line="240" w:lineRule="auto"/>
        <w:contextualSpacing/>
        <w:jc w:val="both"/>
        <w:rPr>
          <w:sz w:val="24"/>
          <w:szCs w:val="24"/>
        </w:rPr>
      </w:pPr>
    </w:p>
    <w:p w14:paraId="7822F0BB">
      <w:pPr>
        <w:spacing w:after="0" w:line="240" w:lineRule="auto"/>
        <w:contextualSpacing/>
        <w:jc w:val="both"/>
        <w:rPr>
          <w:sz w:val="24"/>
          <w:szCs w:val="24"/>
        </w:rPr>
      </w:pPr>
      <w:r>
        <w:rPr>
          <w:sz w:val="24"/>
          <w:szCs w:val="24"/>
        </w:rPr>
        <w:t>Наличие автоматизированных тепловых пунктов, подключённых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w:t>
      </w:r>
    </w:p>
    <w:p w14:paraId="5487AFB1">
      <w:pPr>
        <w:spacing w:after="0" w:line="240" w:lineRule="auto"/>
        <w:contextualSpacing/>
        <w:jc w:val="both"/>
        <w:rPr>
          <w:sz w:val="24"/>
          <w:szCs w:val="24"/>
        </w:rPr>
      </w:pPr>
      <w:r>
        <w:rPr>
          <w:sz w:val="24"/>
          <w:szCs w:val="24"/>
        </w:rPr>
        <w:t xml:space="preserve">Структурное резервирование разветвлённых тупиковых тепловых сетей осуществляется делением последовательно соединённых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её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отключённым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14:paraId="27F1BE29">
      <w:pPr>
        <w:spacing w:after="0" w:line="240" w:lineRule="auto"/>
        <w:contextualSpacing/>
        <w:jc w:val="both"/>
        <w:rPr>
          <w:sz w:val="24"/>
          <w:szCs w:val="24"/>
        </w:rPr>
      </w:pPr>
      <w:r>
        <w:rPr>
          <w:sz w:val="24"/>
          <w:szCs w:val="24"/>
        </w:rPr>
        <w:t>В соответствии с СП 124.13330.2012 «Тепловые сети. Актуализированная редакция СНиП 41-02-2003» следует предусматривать следующие способы резервирования:</w:t>
      </w:r>
    </w:p>
    <w:p w14:paraId="41E881A5">
      <w:pPr>
        <w:numPr>
          <w:ilvl w:val="0"/>
          <w:numId w:val="47"/>
        </w:numPr>
        <w:tabs>
          <w:tab w:val="left" w:pos="993"/>
        </w:tabs>
        <w:spacing w:after="0" w:line="240" w:lineRule="auto"/>
        <w:ind w:left="0" w:firstLine="709"/>
        <w:contextualSpacing/>
        <w:jc w:val="both"/>
        <w:rPr>
          <w:sz w:val="24"/>
          <w:szCs w:val="24"/>
        </w:rPr>
      </w:pPr>
      <w:r>
        <w:rPr>
          <w:sz w:val="24"/>
          <w:szCs w:val="24"/>
        </w:rPr>
        <w:t>применение на источниках теплоты рациональных тепловых схем, обеспечивающих заданный уровень готовности энергетического оборудования;</w:t>
      </w:r>
    </w:p>
    <w:p w14:paraId="37854001">
      <w:pPr>
        <w:numPr>
          <w:ilvl w:val="0"/>
          <w:numId w:val="47"/>
        </w:numPr>
        <w:tabs>
          <w:tab w:val="left" w:pos="993"/>
        </w:tabs>
        <w:spacing w:after="0" w:line="240" w:lineRule="auto"/>
        <w:ind w:left="0" w:firstLine="709"/>
        <w:contextualSpacing/>
        <w:jc w:val="both"/>
        <w:rPr>
          <w:sz w:val="24"/>
          <w:szCs w:val="24"/>
        </w:rPr>
      </w:pPr>
      <w:r>
        <w:rPr>
          <w:sz w:val="24"/>
          <w:szCs w:val="24"/>
        </w:rPr>
        <w:t>установку на источнике теплоты необходимого резервного оборудования;</w:t>
      </w:r>
    </w:p>
    <w:p w14:paraId="20DBA0FB">
      <w:pPr>
        <w:numPr>
          <w:ilvl w:val="0"/>
          <w:numId w:val="47"/>
        </w:numPr>
        <w:tabs>
          <w:tab w:val="left" w:pos="993"/>
        </w:tabs>
        <w:spacing w:after="0" w:line="240" w:lineRule="auto"/>
        <w:ind w:left="0" w:firstLine="709"/>
        <w:contextualSpacing/>
        <w:jc w:val="both"/>
        <w:rPr>
          <w:sz w:val="24"/>
          <w:szCs w:val="24"/>
        </w:rPr>
      </w:pPr>
      <w:r>
        <w:rPr>
          <w:sz w:val="24"/>
          <w:szCs w:val="24"/>
        </w:rPr>
        <w:t>организацию совместной работы нескольких источников теплоты на единую систему транспортирования теплоты;</w:t>
      </w:r>
    </w:p>
    <w:p w14:paraId="6DF515C5">
      <w:pPr>
        <w:numPr>
          <w:ilvl w:val="0"/>
          <w:numId w:val="47"/>
        </w:numPr>
        <w:tabs>
          <w:tab w:val="left" w:pos="993"/>
        </w:tabs>
        <w:spacing w:after="0" w:line="240" w:lineRule="auto"/>
        <w:ind w:left="0" w:firstLine="709"/>
        <w:contextualSpacing/>
        <w:jc w:val="both"/>
        <w:rPr>
          <w:sz w:val="24"/>
          <w:szCs w:val="24"/>
        </w:rPr>
      </w:pPr>
      <w:r>
        <w:rPr>
          <w:sz w:val="24"/>
          <w:szCs w:val="24"/>
        </w:rPr>
        <w:t>резервирование тепловых сетей смежных районов;</w:t>
      </w:r>
    </w:p>
    <w:p w14:paraId="2608869F">
      <w:pPr>
        <w:numPr>
          <w:ilvl w:val="0"/>
          <w:numId w:val="47"/>
        </w:numPr>
        <w:tabs>
          <w:tab w:val="left" w:pos="993"/>
        </w:tabs>
        <w:spacing w:after="0" w:line="240" w:lineRule="auto"/>
        <w:ind w:left="0" w:firstLine="709"/>
        <w:contextualSpacing/>
        <w:jc w:val="both"/>
        <w:rPr>
          <w:sz w:val="24"/>
          <w:szCs w:val="24"/>
        </w:rPr>
      </w:pPr>
      <w:r>
        <w:rPr>
          <w:sz w:val="24"/>
          <w:szCs w:val="24"/>
        </w:rPr>
        <w:t>устройство резервных насосных и трубопроводных связей;</w:t>
      </w:r>
    </w:p>
    <w:p w14:paraId="1DE3CFF4">
      <w:pPr>
        <w:numPr>
          <w:ilvl w:val="0"/>
          <w:numId w:val="47"/>
        </w:numPr>
        <w:tabs>
          <w:tab w:val="left" w:pos="993"/>
        </w:tabs>
        <w:spacing w:after="0" w:line="240" w:lineRule="auto"/>
        <w:ind w:left="0" w:firstLine="709"/>
        <w:contextualSpacing/>
        <w:jc w:val="both"/>
        <w:rPr>
          <w:sz w:val="24"/>
          <w:szCs w:val="24"/>
        </w:rPr>
      </w:pPr>
      <w:r>
        <w:rPr>
          <w:sz w:val="24"/>
          <w:szCs w:val="24"/>
        </w:rPr>
        <w:t>установку баков-аккумуляторов.</w:t>
      </w:r>
    </w:p>
    <w:p w14:paraId="07BE8414">
      <w:pPr>
        <w:spacing w:after="0" w:line="240" w:lineRule="auto"/>
        <w:contextualSpacing/>
        <w:jc w:val="both"/>
        <w:rPr>
          <w:sz w:val="24"/>
          <w:szCs w:val="24"/>
        </w:rPr>
      </w:pPr>
    </w:p>
    <w:p w14:paraId="1B5B71B9">
      <w:pPr>
        <w:spacing w:after="0" w:line="240" w:lineRule="auto"/>
        <w:contextualSpacing/>
        <w:jc w:val="both"/>
        <w:rPr>
          <w:sz w:val="24"/>
          <w:szCs w:val="24"/>
        </w:rPr>
      </w:pPr>
      <w:r>
        <w:rPr>
          <w:sz w:val="24"/>
          <w:szCs w:val="24"/>
        </w:rPr>
        <w:t>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 °С. Резервирование подачи теплоты по тепловым сетям, прокладываемым в тоннелях и проходных каналах, допускается не предусматривать.</w:t>
      </w:r>
    </w:p>
    <w:p w14:paraId="52C00047">
      <w:pPr>
        <w:spacing w:after="0" w:line="240" w:lineRule="auto"/>
        <w:contextualSpacing/>
        <w:jc w:val="both"/>
        <w:rPr>
          <w:sz w:val="24"/>
          <w:szCs w:val="24"/>
        </w:rPr>
      </w:pPr>
      <w:r>
        <w:rPr>
          <w:sz w:val="24"/>
          <w:szCs w:val="24"/>
        </w:rPr>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100 %-ную подачу теплоты от других тепловых сетей.</w:t>
      </w:r>
    </w:p>
    <w:p w14:paraId="2D501980">
      <w:pPr>
        <w:spacing w:after="0" w:line="240" w:lineRule="auto"/>
        <w:contextualSpacing/>
        <w:jc w:val="both"/>
        <w:rPr>
          <w:sz w:val="24"/>
          <w:szCs w:val="24"/>
        </w:rPr>
      </w:pPr>
      <w:r>
        <w:rPr>
          <w:sz w:val="24"/>
          <w:szCs w:val="24"/>
        </w:rPr>
        <w:t>При возникновении аварии перекрываются задвижки на аварийном участке, и открываются задвижки на перемычках и проводится моделирование на обеспечение нужного расхода теплоносителя.</w:t>
      </w:r>
    </w:p>
    <w:p w14:paraId="3009295A">
      <w:pPr>
        <w:tabs>
          <w:tab w:val="left" w:pos="1276"/>
        </w:tabs>
        <w:spacing w:after="0" w:line="240" w:lineRule="auto"/>
        <w:contextualSpacing/>
        <w:jc w:val="both"/>
        <w:rPr>
          <w:sz w:val="24"/>
          <w:szCs w:val="24"/>
        </w:rPr>
      </w:pPr>
    </w:p>
    <w:p w14:paraId="19F23726">
      <w:pPr>
        <w:pStyle w:val="4"/>
        <w:spacing w:before="0" w:line="240" w:lineRule="auto"/>
        <w:ind w:left="0" w:firstLine="709"/>
        <w:contextualSpacing/>
        <w:rPr>
          <w:rFonts w:cs="Times New Roman"/>
          <w:b w:val="0"/>
          <w:sz w:val="24"/>
        </w:rPr>
      </w:pPr>
      <w:bookmarkStart w:id="669" w:name="_Toc524614898"/>
      <w:bookmarkStart w:id="670" w:name="_Toc182814058"/>
      <w:bookmarkStart w:id="671" w:name="_Toc524615114"/>
      <w:r>
        <w:rPr>
          <w:rFonts w:cs="Times New Roman"/>
          <w:b w:val="0"/>
          <w:sz w:val="24"/>
        </w:rPr>
        <w:t>Устройство резервных насосных станций</w:t>
      </w:r>
      <w:bookmarkEnd w:id="669"/>
      <w:bookmarkEnd w:id="670"/>
      <w:bookmarkEnd w:id="671"/>
    </w:p>
    <w:p w14:paraId="0ED6A13F">
      <w:pPr>
        <w:spacing w:after="0" w:line="240" w:lineRule="auto"/>
        <w:contextualSpacing/>
        <w:jc w:val="both"/>
        <w:rPr>
          <w:sz w:val="24"/>
          <w:szCs w:val="24"/>
        </w:rPr>
      </w:pPr>
      <w:r>
        <w:rPr>
          <w:sz w:val="24"/>
          <w:szCs w:val="24"/>
        </w:rPr>
        <w:t>Установка резервных насосных станций не требуется.</w:t>
      </w:r>
    </w:p>
    <w:p w14:paraId="415E99E5">
      <w:pPr>
        <w:spacing w:after="0" w:line="240" w:lineRule="auto"/>
        <w:contextualSpacing/>
        <w:jc w:val="both"/>
        <w:rPr>
          <w:sz w:val="24"/>
          <w:szCs w:val="24"/>
        </w:rPr>
      </w:pPr>
    </w:p>
    <w:p w14:paraId="656B1D6F">
      <w:pPr>
        <w:pStyle w:val="4"/>
        <w:spacing w:before="0" w:line="240" w:lineRule="auto"/>
        <w:ind w:left="0" w:firstLine="709"/>
        <w:contextualSpacing/>
        <w:rPr>
          <w:rFonts w:cs="Times New Roman"/>
          <w:b w:val="0"/>
          <w:sz w:val="24"/>
        </w:rPr>
      </w:pPr>
      <w:bookmarkStart w:id="672" w:name="_Toc524614899"/>
      <w:bookmarkStart w:id="673" w:name="_Toc524615115"/>
      <w:bookmarkStart w:id="674" w:name="_Toc182814059"/>
      <w:r>
        <w:rPr>
          <w:rFonts w:cs="Times New Roman"/>
          <w:b w:val="0"/>
          <w:sz w:val="24"/>
        </w:rPr>
        <w:t>Установка баков-аккумуляторов</w:t>
      </w:r>
      <w:bookmarkEnd w:id="672"/>
      <w:bookmarkEnd w:id="673"/>
      <w:bookmarkEnd w:id="674"/>
    </w:p>
    <w:p w14:paraId="12173F09">
      <w:pPr>
        <w:spacing w:after="0" w:line="240" w:lineRule="auto"/>
        <w:contextualSpacing/>
        <w:jc w:val="both"/>
        <w:rPr>
          <w:sz w:val="24"/>
          <w:szCs w:val="24"/>
        </w:rPr>
      </w:pPr>
      <w:r>
        <w:rPr>
          <w:sz w:val="24"/>
          <w:szCs w:val="24"/>
        </w:rPr>
        <w:t>Повышению надёжности функционирования систем теплоснабжения в определённой мере способствует применение теплогидроаккумулирующих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 - методические рекомендации по подготовке к проведению отопительного периода и повышению надёжности систем коммунального теплоснабжения в городах и населённых пунктах РФ».</w:t>
      </w:r>
    </w:p>
    <w:p w14:paraId="75D9A07E">
      <w:pPr>
        <w:spacing w:after="0" w:line="240" w:lineRule="auto"/>
        <w:contextualSpacing/>
        <w:jc w:val="both"/>
        <w:rPr>
          <w:sz w:val="24"/>
          <w:szCs w:val="24"/>
        </w:rPr>
      </w:pPr>
      <w:r>
        <w:rPr>
          <w:sz w:val="24"/>
          <w:szCs w:val="24"/>
        </w:rPr>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расчётной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7373DD48">
      <w:pPr>
        <w:spacing w:after="0" w:line="240" w:lineRule="auto"/>
        <w:contextualSpacing/>
        <w:jc w:val="both"/>
        <w:rPr>
          <w:sz w:val="24"/>
          <w:szCs w:val="24"/>
        </w:rPr>
      </w:pPr>
      <w:r>
        <w:rPr>
          <w:sz w:val="24"/>
          <w:szCs w:val="24"/>
        </w:rPr>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объёма воды в системе теплоснабжения, при этом обеспечивается обновление воды в баках.</w:t>
      </w:r>
    </w:p>
    <w:p w14:paraId="4401C4B9">
      <w:pPr>
        <w:spacing w:after="0" w:line="240" w:lineRule="auto"/>
        <w:contextualSpacing/>
        <w:jc w:val="both"/>
        <w:rPr>
          <w:sz w:val="24"/>
          <w:szCs w:val="24"/>
        </w:rPr>
      </w:pPr>
      <w:r>
        <w:rPr>
          <w:sz w:val="24"/>
          <w:szCs w:val="24"/>
        </w:rPr>
        <w:t>Число баков независимо от системы теплоснабжения принимается не менее двух по 50 % рабочего объёма.</w:t>
      </w:r>
    </w:p>
    <w:p w14:paraId="17BD2D2E">
      <w:pPr>
        <w:spacing w:after="0" w:line="240" w:lineRule="auto"/>
        <w:contextualSpacing/>
        <w:jc w:val="both"/>
        <w:rPr>
          <w:sz w:val="24"/>
          <w:szCs w:val="24"/>
        </w:rPr>
      </w:pPr>
      <w:r>
        <w:rPr>
          <w:sz w:val="24"/>
          <w:szCs w:val="24"/>
        </w:rPr>
        <w:t>В системах центрального теплоснабжения (СЦТ) с теплопроводами любой протяжённости от источника теплоты до районов теплопотребления допускается использование теплопроводов в качестве аккумулирующих ёмкостей.</w:t>
      </w:r>
    </w:p>
    <w:p w14:paraId="37FC8857">
      <w:pPr>
        <w:spacing w:after="0" w:line="240" w:lineRule="auto"/>
        <w:contextualSpacing/>
        <w:jc w:val="both"/>
        <w:rPr>
          <w:sz w:val="24"/>
          <w:szCs w:val="24"/>
        </w:rPr>
      </w:pPr>
      <w:r>
        <w:rPr>
          <w:sz w:val="24"/>
          <w:szCs w:val="24"/>
        </w:rPr>
        <w:t>Таким образом, структура систем теплоснабжения должна соответствовать их масштабности и сложности. Если надёжность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«ненадёжной» структурой тепловых сетей и требованиями к их надёжности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6B2FF405">
      <w:pPr>
        <w:spacing w:after="0" w:line="240" w:lineRule="auto"/>
        <w:contextualSpacing/>
        <w:jc w:val="both"/>
        <w:rPr>
          <w:sz w:val="24"/>
          <w:szCs w:val="24"/>
        </w:rPr>
      </w:pPr>
      <w:r>
        <w:rPr>
          <w:sz w:val="24"/>
          <w:szCs w:val="24"/>
        </w:rPr>
        <w:t>С целью повышения надёжности теплоснабжения необходимо предусмотреть резервные ёмкости подпиточной воды. Данные ёмкости применяются для компенсации дефицита подпиточной воды в случае возникновения аварии на водопроводе.</w:t>
      </w:r>
    </w:p>
    <w:p w14:paraId="23D29411">
      <w:pPr>
        <w:spacing w:after="0" w:line="240" w:lineRule="auto"/>
        <w:contextualSpacing/>
        <w:jc w:val="both"/>
        <w:rPr>
          <w:sz w:val="24"/>
          <w:szCs w:val="24"/>
        </w:rPr>
      </w:pPr>
    </w:p>
    <w:p w14:paraId="7EA5DECE">
      <w:pPr>
        <w:keepLines/>
        <w:numPr>
          <w:ilvl w:val="1"/>
          <w:numId w:val="48"/>
        </w:numPr>
        <w:spacing w:after="0" w:line="240" w:lineRule="auto"/>
        <w:ind w:left="0" w:firstLine="709"/>
        <w:contextualSpacing/>
        <w:jc w:val="both"/>
        <w:outlineLvl w:val="1"/>
        <w:rPr>
          <w:color w:val="000000"/>
          <w:sz w:val="24"/>
          <w:szCs w:val="24"/>
        </w:rPr>
      </w:pPr>
      <w:bookmarkStart w:id="675" w:name="_Toc133512827"/>
      <w:bookmarkStart w:id="676" w:name="_Toc182814060"/>
      <w:r>
        <w:rPr>
          <w:color w:val="000000"/>
          <w:sz w:val="24"/>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75"/>
      <w:bookmarkEnd w:id="676"/>
    </w:p>
    <w:p w14:paraId="474193FB">
      <w:pPr>
        <w:spacing w:after="0" w:line="240" w:lineRule="auto"/>
        <w:contextualSpacing/>
        <w:jc w:val="both"/>
        <w:rPr>
          <w:sz w:val="24"/>
          <w:szCs w:val="24"/>
        </w:rPr>
      </w:pPr>
      <w:r>
        <w:rPr>
          <w:sz w:val="24"/>
          <w:szCs w:val="24"/>
        </w:rPr>
        <w:t>Изменения в показателях надежности теплоснабжения за период, предшествующий схемы теплоснабжения, отсутствуют.</w:t>
      </w:r>
    </w:p>
    <w:p w14:paraId="648F97E1">
      <w:pPr>
        <w:spacing w:after="0" w:line="240" w:lineRule="auto"/>
        <w:contextualSpacing/>
        <w:jc w:val="both"/>
        <w:rPr>
          <w:sz w:val="24"/>
          <w:szCs w:val="24"/>
        </w:rPr>
      </w:pPr>
    </w:p>
    <w:p w14:paraId="6B5BC4B9">
      <w:pPr>
        <w:pStyle w:val="2"/>
        <w:keepLines w:val="0"/>
        <w:pageBreakBefore/>
        <w:widowControl w:val="0"/>
        <w:spacing w:before="0" w:line="240" w:lineRule="auto"/>
        <w:ind w:left="0" w:firstLine="709"/>
        <w:contextualSpacing/>
        <w:rPr>
          <w:rFonts w:cs="Times New Roman"/>
          <w:b w:val="0"/>
          <w:sz w:val="24"/>
          <w:szCs w:val="24"/>
        </w:rPr>
      </w:pPr>
      <w:bookmarkStart w:id="677" w:name="_Toc524615116"/>
      <w:bookmarkStart w:id="678" w:name="_Toc524614900"/>
      <w:bookmarkStart w:id="679" w:name="_Toc182814061"/>
      <w:r>
        <w:rPr>
          <w:rFonts w:cs="Times New Roman"/>
          <w:b w:val="0"/>
          <w:sz w:val="24"/>
          <w:szCs w:val="24"/>
        </w:rPr>
        <w:t xml:space="preserve">Глава 12. </w:t>
      </w:r>
      <w:bookmarkEnd w:id="677"/>
      <w:bookmarkEnd w:id="678"/>
      <w:bookmarkStart w:id="680" w:name="_Hlk15651774"/>
      <w:r>
        <w:rPr>
          <w:rFonts w:cs="Times New Roman"/>
          <w:b w:val="0"/>
          <w:sz w:val="24"/>
          <w:szCs w:val="24"/>
        </w:rPr>
        <w:t>Обоснование инвестиций в строительство, реконструкцию, техническое перевооружение и (или) модернизацию</w:t>
      </w:r>
      <w:bookmarkEnd w:id="679"/>
      <w:bookmarkEnd w:id="680"/>
    </w:p>
    <w:p w14:paraId="00BFA15C">
      <w:pPr>
        <w:pStyle w:val="3"/>
        <w:spacing w:before="0" w:line="240" w:lineRule="auto"/>
        <w:ind w:left="0" w:firstLine="709"/>
        <w:contextualSpacing/>
        <w:rPr>
          <w:rFonts w:cs="Times New Roman"/>
          <w:b w:val="0"/>
          <w:sz w:val="24"/>
          <w:szCs w:val="24"/>
        </w:rPr>
      </w:pPr>
      <w:bookmarkStart w:id="681" w:name="_Toc524615117"/>
      <w:bookmarkStart w:id="682" w:name="_Toc524614901"/>
      <w:bookmarkStart w:id="683" w:name="_Toc15640963"/>
      <w:bookmarkStart w:id="684" w:name="_Toc182814062"/>
      <w:bookmarkStart w:id="685" w:name="_Hlk15651781"/>
      <w:r>
        <w:rPr>
          <w:rFonts w:cs="Times New Roman"/>
          <w:b w:val="0"/>
          <w:sz w:val="24"/>
          <w:szCs w:val="24"/>
        </w:rPr>
        <w:t xml:space="preserve">Оценка </w:t>
      </w:r>
      <w:bookmarkEnd w:id="681"/>
      <w:bookmarkEnd w:id="682"/>
      <w:r>
        <w:rPr>
          <w:rFonts w:cs="Times New Roman"/>
          <w:b w:val="0"/>
          <w:sz w:val="24"/>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83"/>
      <w:bookmarkEnd w:id="684"/>
    </w:p>
    <w:bookmarkEnd w:id="685"/>
    <w:p w14:paraId="7A0DAA90">
      <w:pPr>
        <w:spacing w:after="0" w:line="240" w:lineRule="auto"/>
        <w:contextualSpacing/>
        <w:jc w:val="both"/>
        <w:rPr>
          <w:sz w:val="24"/>
          <w:szCs w:val="24"/>
        </w:rPr>
      </w:pPr>
      <w:bookmarkStart w:id="686" w:name="_Hlk26712238"/>
      <w:r>
        <w:rPr>
          <w:sz w:val="24"/>
          <w:szCs w:val="24"/>
        </w:rPr>
        <w:t xml:space="preserve">В соответствии с главами 7, 8 Обосновывающих материалов </w:t>
      </w:r>
      <w:bookmarkStart w:id="687" w:name="_Hlk37158648"/>
      <w:bookmarkStart w:id="688" w:name="_Hlk10420750"/>
      <w:r>
        <w:rPr>
          <w:sz w:val="24"/>
          <w:szCs w:val="24"/>
        </w:rPr>
        <w:t>в качестве основных мероприятий по развитию системы теплоснабжения с.п. Верхнеказымский предусматриваются:</w:t>
      </w:r>
    </w:p>
    <w:p w14:paraId="54606D15">
      <w:pPr>
        <w:spacing w:after="0" w:line="240" w:lineRule="auto"/>
        <w:contextualSpacing/>
        <w:jc w:val="both"/>
        <w:rPr>
          <w:sz w:val="24"/>
          <w:szCs w:val="24"/>
        </w:rPr>
      </w:pPr>
      <w:r>
        <w:rPr>
          <w:sz w:val="24"/>
          <w:szCs w:val="24"/>
        </w:rPr>
        <w:t>-</w:t>
      </w:r>
      <w:r>
        <w:rPr>
          <w:sz w:val="24"/>
          <w:szCs w:val="24"/>
        </w:rPr>
        <w:tab/>
      </w:r>
      <w:r>
        <w:rPr>
          <w:sz w:val="24"/>
          <w:szCs w:val="24"/>
        </w:rPr>
        <w:t>Реконструкция котельных с большим износом котлоагрегатов;</w:t>
      </w:r>
    </w:p>
    <w:p w14:paraId="1BB8DA61">
      <w:pPr>
        <w:spacing w:after="0" w:line="240" w:lineRule="auto"/>
        <w:contextualSpacing/>
        <w:jc w:val="both"/>
        <w:rPr>
          <w:sz w:val="24"/>
          <w:szCs w:val="24"/>
        </w:rPr>
      </w:pPr>
      <w:r>
        <w:rPr>
          <w:sz w:val="24"/>
          <w:szCs w:val="24"/>
        </w:rPr>
        <w:t>-</w:t>
      </w:r>
      <w:r>
        <w:rPr>
          <w:sz w:val="24"/>
          <w:szCs w:val="24"/>
        </w:rPr>
        <w:tab/>
      </w:r>
      <w:r>
        <w:rPr>
          <w:sz w:val="24"/>
          <w:szCs w:val="24"/>
        </w:rPr>
        <w:t>Реконструкция тепловых сетей;</w:t>
      </w:r>
    </w:p>
    <w:p w14:paraId="3CCA6E6F">
      <w:pPr>
        <w:spacing w:after="0" w:line="240" w:lineRule="auto"/>
        <w:contextualSpacing/>
        <w:jc w:val="both"/>
        <w:rPr>
          <w:sz w:val="24"/>
          <w:szCs w:val="24"/>
        </w:rPr>
      </w:pPr>
      <w:r>
        <w:rPr>
          <w:sz w:val="24"/>
          <w:szCs w:val="24"/>
        </w:rPr>
        <w:t>-</w:t>
      </w:r>
      <w:r>
        <w:rPr>
          <w:sz w:val="24"/>
          <w:szCs w:val="24"/>
        </w:rPr>
        <w:tab/>
      </w:r>
      <w:r>
        <w:rPr>
          <w:sz w:val="24"/>
          <w:szCs w:val="24"/>
        </w:rPr>
        <w:t>Строительство новых тепловых сетей для теплоснабжения перспективных застроек и сооружений на них.</w:t>
      </w:r>
      <w:bookmarkEnd w:id="686"/>
      <w:bookmarkEnd w:id="687"/>
      <w:bookmarkEnd w:id="688"/>
    </w:p>
    <w:p w14:paraId="2EB03D02">
      <w:pPr>
        <w:spacing w:after="0" w:line="240" w:lineRule="auto"/>
        <w:contextualSpacing/>
        <w:jc w:val="both"/>
        <w:rPr>
          <w:rFonts w:eastAsia="Calibri"/>
          <w:sz w:val="24"/>
          <w:szCs w:val="24"/>
          <w:lang w:eastAsia="en-US"/>
        </w:rPr>
      </w:pPr>
      <w:bookmarkStart w:id="689" w:name="_Hlk521695150"/>
    </w:p>
    <w:p w14:paraId="7D3C2C19">
      <w:pPr>
        <w:spacing w:after="0" w:line="240" w:lineRule="auto"/>
        <w:contextualSpacing/>
        <w:jc w:val="both"/>
        <w:rPr>
          <w:sz w:val="24"/>
          <w:szCs w:val="24"/>
        </w:rPr>
      </w:pPr>
      <w:r>
        <w:rPr>
          <w:sz w:val="24"/>
          <w:szCs w:val="24"/>
        </w:rPr>
        <w:t>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64.</w:t>
      </w:r>
    </w:p>
    <w:p w14:paraId="25749613">
      <w:pPr>
        <w:spacing w:after="0" w:line="240" w:lineRule="auto"/>
        <w:contextualSpacing/>
        <w:jc w:val="both"/>
        <w:rPr>
          <w:sz w:val="24"/>
          <w:szCs w:val="24"/>
        </w:rPr>
      </w:pPr>
      <w:r>
        <w:rPr>
          <w:sz w:val="24"/>
          <w:szCs w:val="24"/>
        </w:rPr>
        <w:t>Проекты по новому строительству и реконструкции тепловых сетей до 2029 года в с.п. Верхнеказымский представлены в таблице 65.</w:t>
      </w:r>
    </w:p>
    <w:p w14:paraId="6C1362B9">
      <w:pPr>
        <w:spacing w:after="0" w:line="240" w:lineRule="auto"/>
        <w:contextualSpacing/>
        <w:jc w:val="both"/>
        <w:rPr>
          <w:sz w:val="24"/>
          <w:szCs w:val="24"/>
        </w:rPr>
      </w:pPr>
      <w:r>
        <w:rPr>
          <w:sz w:val="24"/>
          <w:szCs w:val="24"/>
        </w:rPr>
        <w:t>Необходимые капитальные вложения в реализацию мероприятий в системе теплоснабжения составят 40501,67 тыс. руб. без учёта НДС.</w:t>
      </w:r>
    </w:p>
    <w:p w14:paraId="52BE97F3">
      <w:pPr>
        <w:spacing w:after="0" w:line="240" w:lineRule="auto"/>
        <w:contextualSpacing/>
        <w:jc w:val="both"/>
        <w:rPr>
          <w:sz w:val="24"/>
          <w:szCs w:val="24"/>
        </w:rPr>
      </w:pPr>
      <w:r>
        <w:rPr>
          <w:sz w:val="24"/>
          <w:szCs w:val="24"/>
        </w:rPr>
        <w:t>Ожидаемые эффекты: возможность присоединение новых потребителей, обеспечение доступности и удовлетворение спроса на тепловую энергию.</w:t>
      </w:r>
    </w:p>
    <w:p w14:paraId="3EBAA1C5">
      <w:pPr>
        <w:spacing w:after="0" w:line="240" w:lineRule="auto"/>
        <w:contextualSpacing/>
        <w:jc w:val="both"/>
        <w:rPr>
          <w:sz w:val="24"/>
          <w:szCs w:val="24"/>
        </w:rPr>
      </w:pPr>
    </w:p>
    <w:p w14:paraId="63F765DD">
      <w:pPr>
        <w:spacing w:after="0" w:line="240" w:lineRule="auto"/>
        <w:contextualSpacing/>
        <w:jc w:val="both"/>
        <w:rPr>
          <w:sz w:val="24"/>
          <w:szCs w:val="24"/>
        </w:rPr>
      </w:pPr>
    </w:p>
    <w:p w14:paraId="629A70C6">
      <w:pPr>
        <w:spacing w:after="0" w:line="240" w:lineRule="auto"/>
        <w:contextualSpacing/>
        <w:jc w:val="both"/>
        <w:rPr>
          <w:sz w:val="24"/>
          <w:szCs w:val="24"/>
        </w:rPr>
      </w:pPr>
    </w:p>
    <w:p w14:paraId="479D0C18">
      <w:pPr>
        <w:spacing w:after="0" w:line="240" w:lineRule="auto"/>
        <w:contextualSpacing/>
        <w:jc w:val="both"/>
        <w:rPr>
          <w:sz w:val="24"/>
          <w:szCs w:val="24"/>
        </w:rPr>
      </w:pPr>
    </w:p>
    <w:p w14:paraId="624C4A9A">
      <w:pPr>
        <w:spacing w:after="0" w:line="240" w:lineRule="auto"/>
        <w:contextualSpacing/>
        <w:jc w:val="both"/>
        <w:rPr>
          <w:sz w:val="24"/>
          <w:szCs w:val="24"/>
        </w:rPr>
      </w:pPr>
    </w:p>
    <w:p w14:paraId="112660EB">
      <w:pPr>
        <w:spacing w:after="0" w:line="240" w:lineRule="auto"/>
        <w:contextualSpacing/>
        <w:jc w:val="both"/>
        <w:rPr>
          <w:sz w:val="24"/>
          <w:szCs w:val="24"/>
        </w:rPr>
      </w:pPr>
    </w:p>
    <w:p w14:paraId="5039452E">
      <w:pPr>
        <w:spacing w:after="0" w:line="240" w:lineRule="auto"/>
        <w:contextualSpacing/>
        <w:jc w:val="both"/>
        <w:rPr>
          <w:sz w:val="24"/>
          <w:szCs w:val="24"/>
        </w:rPr>
      </w:pPr>
    </w:p>
    <w:p w14:paraId="60ACF568">
      <w:pPr>
        <w:spacing w:after="0" w:line="240" w:lineRule="auto"/>
        <w:contextualSpacing/>
        <w:jc w:val="both"/>
        <w:rPr>
          <w:sz w:val="24"/>
          <w:szCs w:val="24"/>
        </w:rPr>
        <w:sectPr>
          <w:pgSz w:w="11906" w:h="16838"/>
          <w:pgMar w:top="1134" w:right="567" w:bottom="1134" w:left="1701" w:header="708" w:footer="708" w:gutter="0"/>
          <w:cols w:space="708" w:num="1"/>
          <w:docGrid w:linePitch="360" w:charSpace="0"/>
        </w:sectPr>
      </w:pPr>
    </w:p>
    <w:p w14:paraId="732A33AC">
      <w:pPr>
        <w:spacing w:after="0" w:line="240" w:lineRule="auto"/>
        <w:ind w:firstLine="0"/>
        <w:contextualSpacing/>
        <w:jc w:val="both"/>
        <w:rPr>
          <w:rFonts w:eastAsiaTheme="minorHAnsi"/>
          <w:bCs/>
          <w:sz w:val="24"/>
          <w:szCs w:val="24"/>
          <w:lang w:eastAsia="en-US"/>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64</w:t>
      </w:r>
      <w:r>
        <w:rPr>
          <w:sz w:val="24"/>
          <w:szCs w:val="24"/>
        </w:rPr>
        <w:fldChar w:fldCharType="end"/>
      </w:r>
      <w:r>
        <w:rPr>
          <w:sz w:val="24"/>
          <w:szCs w:val="24"/>
        </w:rPr>
        <w:t xml:space="preserve"> – </w:t>
      </w:r>
      <w:r>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03"/>
        <w:gridCol w:w="728"/>
        <w:gridCol w:w="2074"/>
        <w:gridCol w:w="1884"/>
        <w:gridCol w:w="3156"/>
        <w:gridCol w:w="3548"/>
        <w:gridCol w:w="1633"/>
      </w:tblGrid>
      <w:tr w14:paraId="4912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548" w:type="pct"/>
            <w:vMerge w:val="restart"/>
            <w:shd w:val="clear" w:color="auto" w:fill="auto"/>
            <w:vAlign w:val="center"/>
          </w:tcPr>
          <w:p w14:paraId="1B2BBF96">
            <w:pPr>
              <w:pStyle w:val="404"/>
              <w:spacing w:line="240" w:lineRule="auto"/>
              <w:ind w:firstLine="0"/>
              <w:contextualSpacing/>
              <w:jc w:val="center"/>
              <w:rPr>
                <w:sz w:val="20"/>
                <w:szCs w:val="20"/>
              </w:rPr>
            </w:pPr>
            <w:bookmarkStart w:id="690" w:name="_Hlk182761045"/>
            <w:r>
              <w:rPr>
                <w:sz w:val="20"/>
                <w:szCs w:val="20"/>
              </w:rPr>
              <w:t>Наименование группы проектов</w:t>
            </w:r>
          </w:p>
        </w:tc>
        <w:tc>
          <w:tcPr>
            <w:tcW w:w="249" w:type="pct"/>
            <w:vMerge w:val="restart"/>
            <w:shd w:val="clear" w:color="auto" w:fill="auto"/>
            <w:vAlign w:val="center"/>
          </w:tcPr>
          <w:p w14:paraId="28D8AD61">
            <w:pPr>
              <w:pStyle w:val="404"/>
              <w:spacing w:line="240" w:lineRule="auto"/>
              <w:ind w:firstLine="0"/>
              <w:contextualSpacing/>
              <w:jc w:val="center"/>
              <w:rPr>
                <w:sz w:val="20"/>
                <w:szCs w:val="20"/>
              </w:rPr>
            </w:pPr>
            <w:r>
              <w:rPr>
                <w:sz w:val="20"/>
                <w:szCs w:val="20"/>
              </w:rPr>
              <w:t>№ проекта</w:t>
            </w:r>
          </w:p>
        </w:tc>
        <w:tc>
          <w:tcPr>
            <w:tcW w:w="709" w:type="pct"/>
            <w:vMerge w:val="restart"/>
            <w:shd w:val="clear" w:color="auto" w:fill="auto"/>
            <w:vAlign w:val="center"/>
          </w:tcPr>
          <w:p w14:paraId="7A59D111">
            <w:pPr>
              <w:pStyle w:val="404"/>
              <w:spacing w:line="240" w:lineRule="auto"/>
              <w:ind w:firstLine="0"/>
              <w:contextualSpacing/>
              <w:jc w:val="center"/>
              <w:rPr>
                <w:sz w:val="20"/>
                <w:szCs w:val="20"/>
              </w:rPr>
            </w:pPr>
            <w:r>
              <w:rPr>
                <w:sz w:val="20"/>
                <w:szCs w:val="20"/>
              </w:rPr>
              <w:t>Краткое описание, технические параметры проекта</w:t>
            </w:r>
          </w:p>
        </w:tc>
        <w:tc>
          <w:tcPr>
            <w:tcW w:w="644" w:type="pct"/>
            <w:vMerge w:val="restart"/>
            <w:shd w:val="clear" w:color="auto" w:fill="auto"/>
            <w:vAlign w:val="center"/>
          </w:tcPr>
          <w:p w14:paraId="7B5D3553">
            <w:pPr>
              <w:pStyle w:val="404"/>
              <w:spacing w:line="240" w:lineRule="auto"/>
              <w:ind w:firstLine="0"/>
              <w:contextualSpacing/>
              <w:jc w:val="center"/>
              <w:rPr>
                <w:sz w:val="20"/>
                <w:szCs w:val="20"/>
              </w:rPr>
            </w:pPr>
            <w:r>
              <w:rPr>
                <w:sz w:val="20"/>
                <w:szCs w:val="20"/>
              </w:rPr>
              <w:t>Цель проекта</w:t>
            </w:r>
          </w:p>
        </w:tc>
        <w:tc>
          <w:tcPr>
            <w:tcW w:w="1079" w:type="pct"/>
            <w:vMerge w:val="restart"/>
            <w:shd w:val="clear" w:color="auto" w:fill="auto"/>
            <w:noWrap/>
            <w:vAlign w:val="center"/>
          </w:tcPr>
          <w:p w14:paraId="5A3AB7F6">
            <w:pPr>
              <w:pStyle w:val="404"/>
              <w:spacing w:line="240" w:lineRule="auto"/>
              <w:ind w:firstLine="0"/>
              <w:contextualSpacing/>
              <w:jc w:val="center"/>
              <w:rPr>
                <w:sz w:val="20"/>
                <w:szCs w:val="20"/>
              </w:rPr>
            </w:pPr>
            <w:r>
              <w:rPr>
                <w:sz w:val="20"/>
                <w:szCs w:val="20"/>
              </w:rPr>
              <w:t>Необходимые капитальные</w:t>
            </w:r>
          </w:p>
          <w:p w14:paraId="7CF527D8">
            <w:pPr>
              <w:pStyle w:val="404"/>
              <w:spacing w:line="240" w:lineRule="auto"/>
              <w:ind w:firstLine="0"/>
              <w:contextualSpacing/>
              <w:jc w:val="center"/>
              <w:rPr>
                <w:sz w:val="20"/>
                <w:szCs w:val="20"/>
              </w:rPr>
            </w:pPr>
            <w:r>
              <w:rPr>
                <w:sz w:val="20"/>
                <w:szCs w:val="20"/>
              </w:rPr>
              <w:t>затраты в ценах 2024 года, тыс. руб.</w:t>
            </w:r>
          </w:p>
        </w:tc>
        <w:tc>
          <w:tcPr>
            <w:tcW w:w="1213" w:type="pct"/>
            <w:shd w:val="clear" w:color="auto" w:fill="auto"/>
            <w:noWrap/>
            <w:vAlign w:val="center"/>
          </w:tcPr>
          <w:p w14:paraId="4CB6E2D7">
            <w:pPr>
              <w:pStyle w:val="404"/>
              <w:spacing w:line="240" w:lineRule="auto"/>
              <w:ind w:firstLine="0"/>
              <w:contextualSpacing/>
              <w:jc w:val="center"/>
              <w:rPr>
                <w:sz w:val="20"/>
                <w:szCs w:val="20"/>
              </w:rPr>
            </w:pPr>
            <w:r>
              <w:rPr>
                <w:sz w:val="20"/>
                <w:szCs w:val="20"/>
              </w:rPr>
              <w:t>Объемы инвестиций и сроки реализации</w:t>
            </w:r>
          </w:p>
        </w:tc>
        <w:tc>
          <w:tcPr>
            <w:tcW w:w="558" w:type="pct"/>
            <w:vMerge w:val="restart"/>
            <w:shd w:val="clear" w:color="auto" w:fill="auto"/>
            <w:vAlign w:val="center"/>
          </w:tcPr>
          <w:p w14:paraId="320F858F">
            <w:pPr>
              <w:pStyle w:val="404"/>
              <w:spacing w:line="240" w:lineRule="auto"/>
              <w:ind w:firstLine="0"/>
              <w:contextualSpacing/>
              <w:jc w:val="center"/>
              <w:rPr>
                <w:sz w:val="20"/>
                <w:szCs w:val="20"/>
              </w:rPr>
            </w:pPr>
            <w:r>
              <w:rPr>
                <w:sz w:val="20"/>
                <w:szCs w:val="20"/>
              </w:rPr>
              <w:t>Ожидаемые эффекты</w:t>
            </w:r>
          </w:p>
        </w:tc>
      </w:tr>
      <w:tr w14:paraId="073D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548" w:type="pct"/>
            <w:vMerge w:val="continue"/>
            <w:shd w:val="clear" w:color="auto" w:fill="auto"/>
            <w:vAlign w:val="center"/>
          </w:tcPr>
          <w:p w14:paraId="112C5C36">
            <w:pPr>
              <w:pStyle w:val="404"/>
              <w:spacing w:line="240" w:lineRule="auto"/>
              <w:ind w:firstLine="0"/>
              <w:contextualSpacing/>
              <w:jc w:val="center"/>
              <w:rPr>
                <w:sz w:val="20"/>
                <w:szCs w:val="20"/>
              </w:rPr>
            </w:pPr>
          </w:p>
        </w:tc>
        <w:tc>
          <w:tcPr>
            <w:tcW w:w="249" w:type="pct"/>
            <w:vMerge w:val="continue"/>
            <w:shd w:val="clear" w:color="auto" w:fill="auto"/>
            <w:vAlign w:val="center"/>
          </w:tcPr>
          <w:p w14:paraId="323C6E01">
            <w:pPr>
              <w:pStyle w:val="404"/>
              <w:spacing w:line="240" w:lineRule="auto"/>
              <w:ind w:firstLine="0"/>
              <w:contextualSpacing/>
              <w:jc w:val="center"/>
              <w:rPr>
                <w:sz w:val="20"/>
                <w:szCs w:val="20"/>
              </w:rPr>
            </w:pPr>
          </w:p>
        </w:tc>
        <w:tc>
          <w:tcPr>
            <w:tcW w:w="709" w:type="pct"/>
            <w:vMerge w:val="continue"/>
            <w:shd w:val="clear" w:color="auto" w:fill="auto"/>
            <w:vAlign w:val="center"/>
          </w:tcPr>
          <w:p w14:paraId="34D457C6">
            <w:pPr>
              <w:pStyle w:val="404"/>
              <w:spacing w:line="240" w:lineRule="auto"/>
              <w:ind w:firstLine="0"/>
              <w:contextualSpacing/>
              <w:jc w:val="center"/>
              <w:rPr>
                <w:sz w:val="20"/>
                <w:szCs w:val="20"/>
              </w:rPr>
            </w:pPr>
          </w:p>
        </w:tc>
        <w:tc>
          <w:tcPr>
            <w:tcW w:w="644" w:type="pct"/>
            <w:vMerge w:val="continue"/>
            <w:shd w:val="clear" w:color="auto" w:fill="auto"/>
            <w:vAlign w:val="center"/>
          </w:tcPr>
          <w:p w14:paraId="41390BA9">
            <w:pPr>
              <w:pStyle w:val="404"/>
              <w:spacing w:line="240" w:lineRule="auto"/>
              <w:ind w:firstLine="0"/>
              <w:contextualSpacing/>
              <w:jc w:val="center"/>
              <w:rPr>
                <w:sz w:val="20"/>
                <w:szCs w:val="20"/>
              </w:rPr>
            </w:pPr>
          </w:p>
        </w:tc>
        <w:tc>
          <w:tcPr>
            <w:tcW w:w="1079" w:type="pct"/>
            <w:vMerge w:val="continue"/>
            <w:shd w:val="clear" w:color="auto" w:fill="auto"/>
            <w:noWrap/>
            <w:vAlign w:val="center"/>
          </w:tcPr>
          <w:p w14:paraId="7F5C793B">
            <w:pPr>
              <w:pStyle w:val="404"/>
              <w:spacing w:line="240" w:lineRule="auto"/>
              <w:ind w:firstLine="0"/>
              <w:contextualSpacing/>
              <w:jc w:val="center"/>
              <w:rPr>
                <w:sz w:val="20"/>
                <w:szCs w:val="20"/>
              </w:rPr>
            </w:pPr>
          </w:p>
        </w:tc>
        <w:tc>
          <w:tcPr>
            <w:tcW w:w="1213" w:type="pct"/>
            <w:shd w:val="clear" w:color="auto" w:fill="auto"/>
            <w:noWrap/>
            <w:vAlign w:val="center"/>
          </w:tcPr>
          <w:p w14:paraId="4F02C743">
            <w:pPr>
              <w:pStyle w:val="404"/>
              <w:spacing w:line="240" w:lineRule="auto"/>
              <w:ind w:firstLine="0"/>
              <w:contextualSpacing/>
              <w:jc w:val="center"/>
              <w:rPr>
                <w:sz w:val="20"/>
                <w:szCs w:val="20"/>
              </w:rPr>
            </w:pPr>
            <w:r>
              <w:rPr>
                <w:sz w:val="20"/>
                <w:szCs w:val="20"/>
              </w:rPr>
              <w:t>2024-2029</w:t>
            </w:r>
          </w:p>
        </w:tc>
        <w:tc>
          <w:tcPr>
            <w:tcW w:w="558" w:type="pct"/>
            <w:vMerge w:val="continue"/>
            <w:shd w:val="clear" w:color="auto" w:fill="auto"/>
            <w:vAlign w:val="center"/>
          </w:tcPr>
          <w:p w14:paraId="30B5F000">
            <w:pPr>
              <w:pStyle w:val="404"/>
              <w:spacing w:line="240" w:lineRule="auto"/>
              <w:ind w:firstLine="0"/>
              <w:contextualSpacing/>
              <w:jc w:val="center"/>
              <w:rPr>
                <w:sz w:val="20"/>
                <w:szCs w:val="20"/>
              </w:rPr>
            </w:pPr>
          </w:p>
        </w:tc>
      </w:tr>
      <w:tr w14:paraId="5949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2150" w:type="pct"/>
            <w:gridSpan w:val="4"/>
            <w:shd w:val="clear" w:color="auto" w:fill="auto"/>
            <w:vAlign w:val="center"/>
          </w:tcPr>
          <w:p w14:paraId="08ADB08E">
            <w:pPr>
              <w:pStyle w:val="404"/>
              <w:spacing w:line="240" w:lineRule="auto"/>
              <w:ind w:firstLine="0"/>
              <w:contextualSpacing/>
              <w:jc w:val="center"/>
              <w:rPr>
                <w:sz w:val="20"/>
                <w:szCs w:val="20"/>
              </w:rPr>
            </w:pPr>
            <w:r>
              <w:rPr>
                <w:sz w:val="20"/>
                <w:szCs w:val="20"/>
              </w:rPr>
              <w:t>Всего по проектам схемы теплоснабжения, в том числе:</w:t>
            </w:r>
          </w:p>
        </w:tc>
        <w:tc>
          <w:tcPr>
            <w:tcW w:w="1079" w:type="pct"/>
            <w:shd w:val="clear" w:color="auto" w:fill="auto"/>
            <w:noWrap/>
            <w:vAlign w:val="center"/>
          </w:tcPr>
          <w:p w14:paraId="19933D0D">
            <w:pPr>
              <w:pStyle w:val="404"/>
              <w:spacing w:line="240" w:lineRule="auto"/>
              <w:ind w:firstLine="0"/>
              <w:contextualSpacing/>
              <w:jc w:val="center"/>
              <w:rPr>
                <w:sz w:val="20"/>
                <w:szCs w:val="20"/>
              </w:rPr>
            </w:pPr>
            <w:r>
              <w:rPr>
                <w:sz w:val="20"/>
                <w:szCs w:val="20"/>
              </w:rPr>
              <w:t>40501,67</w:t>
            </w:r>
          </w:p>
        </w:tc>
        <w:tc>
          <w:tcPr>
            <w:tcW w:w="1213" w:type="pct"/>
            <w:shd w:val="clear" w:color="auto" w:fill="auto"/>
            <w:noWrap/>
            <w:vAlign w:val="center"/>
          </w:tcPr>
          <w:p w14:paraId="6B238111">
            <w:pPr>
              <w:pStyle w:val="404"/>
              <w:spacing w:line="240" w:lineRule="auto"/>
              <w:ind w:firstLine="0"/>
              <w:contextualSpacing/>
              <w:jc w:val="center"/>
              <w:rPr>
                <w:sz w:val="20"/>
                <w:szCs w:val="20"/>
              </w:rPr>
            </w:pPr>
            <w:r>
              <w:rPr>
                <w:sz w:val="20"/>
                <w:szCs w:val="20"/>
              </w:rPr>
              <w:t>40501,67</w:t>
            </w:r>
          </w:p>
        </w:tc>
        <w:tc>
          <w:tcPr>
            <w:tcW w:w="558" w:type="pct"/>
            <w:shd w:val="clear" w:color="auto" w:fill="auto"/>
            <w:vAlign w:val="center"/>
          </w:tcPr>
          <w:p w14:paraId="10D8994D">
            <w:pPr>
              <w:pStyle w:val="404"/>
              <w:spacing w:line="240" w:lineRule="auto"/>
              <w:ind w:firstLine="0"/>
              <w:contextualSpacing/>
              <w:jc w:val="center"/>
              <w:rPr>
                <w:sz w:val="20"/>
                <w:szCs w:val="20"/>
              </w:rPr>
            </w:pPr>
          </w:p>
        </w:tc>
      </w:tr>
      <w:tr w14:paraId="7568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 w:hRule="atLeast"/>
          <w:jc w:val="center"/>
        </w:trPr>
        <w:tc>
          <w:tcPr>
            <w:tcW w:w="5000" w:type="pct"/>
            <w:gridSpan w:val="7"/>
            <w:shd w:val="clear" w:color="auto" w:fill="auto"/>
            <w:noWrap/>
            <w:vAlign w:val="center"/>
          </w:tcPr>
          <w:p w14:paraId="1205E18F">
            <w:pPr>
              <w:pStyle w:val="404"/>
              <w:spacing w:line="240" w:lineRule="auto"/>
              <w:ind w:firstLine="0"/>
              <w:contextualSpacing/>
              <w:jc w:val="center"/>
              <w:rPr>
                <w:sz w:val="20"/>
                <w:szCs w:val="20"/>
              </w:rPr>
            </w:pPr>
            <w:r>
              <w:rPr>
                <w:sz w:val="20"/>
                <w:szCs w:val="20"/>
              </w:rPr>
              <w:t>1. Проекты по новому строительству и реконструкции тепловых сетей</w:t>
            </w:r>
          </w:p>
        </w:tc>
      </w:tr>
      <w:tr w14:paraId="38CD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48" w:type="pct"/>
            <w:shd w:val="clear" w:color="auto" w:fill="auto"/>
            <w:vAlign w:val="center"/>
          </w:tcPr>
          <w:p w14:paraId="55F25CD3">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49" w:type="pct"/>
            <w:shd w:val="clear" w:color="auto" w:fill="auto"/>
            <w:vAlign w:val="center"/>
          </w:tcPr>
          <w:p w14:paraId="2A84C1AA">
            <w:pPr>
              <w:pStyle w:val="404"/>
              <w:spacing w:line="240" w:lineRule="auto"/>
              <w:ind w:firstLine="0"/>
              <w:contextualSpacing/>
              <w:jc w:val="center"/>
              <w:rPr>
                <w:sz w:val="20"/>
                <w:szCs w:val="20"/>
              </w:rPr>
            </w:pPr>
            <w:r>
              <w:rPr>
                <w:sz w:val="20"/>
                <w:szCs w:val="20"/>
              </w:rPr>
              <w:t>1.1.</w:t>
            </w:r>
          </w:p>
        </w:tc>
        <w:tc>
          <w:tcPr>
            <w:tcW w:w="709" w:type="pct"/>
            <w:shd w:val="clear" w:color="auto" w:fill="auto"/>
            <w:vAlign w:val="center"/>
          </w:tcPr>
          <w:p w14:paraId="145E5E5A">
            <w:pPr>
              <w:pStyle w:val="404"/>
              <w:spacing w:line="240" w:lineRule="auto"/>
              <w:ind w:firstLine="0"/>
              <w:contextualSpacing/>
              <w:jc w:val="center"/>
              <w:rPr>
                <w:sz w:val="20"/>
                <w:szCs w:val="20"/>
              </w:rPr>
            </w:pPr>
            <w:r>
              <w:rPr>
                <w:sz w:val="20"/>
                <w:szCs w:val="20"/>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644" w:type="pct"/>
            <w:shd w:val="clear" w:color="auto" w:fill="auto"/>
            <w:vAlign w:val="center"/>
          </w:tcPr>
          <w:p w14:paraId="5CF99AD3">
            <w:pPr>
              <w:pStyle w:val="404"/>
              <w:spacing w:line="240" w:lineRule="auto"/>
              <w:ind w:firstLine="0"/>
              <w:contextualSpacing/>
              <w:jc w:val="center"/>
              <w:rPr>
                <w:sz w:val="20"/>
                <w:szCs w:val="20"/>
              </w:rPr>
            </w:pPr>
            <w:r>
              <w:rPr>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1079" w:type="pct"/>
            <w:shd w:val="clear" w:color="auto" w:fill="auto"/>
            <w:noWrap/>
            <w:vAlign w:val="center"/>
          </w:tcPr>
          <w:p w14:paraId="5617E833">
            <w:pPr>
              <w:pStyle w:val="404"/>
              <w:spacing w:line="240" w:lineRule="auto"/>
              <w:ind w:firstLine="0"/>
              <w:contextualSpacing/>
              <w:jc w:val="center"/>
              <w:rPr>
                <w:sz w:val="20"/>
                <w:szCs w:val="20"/>
              </w:rPr>
            </w:pPr>
            <w:r>
              <w:rPr>
                <w:sz w:val="20"/>
                <w:szCs w:val="20"/>
              </w:rPr>
              <w:t>40501,67</w:t>
            </w:r>
          </w:p>
        </w:tc>
        <w:tc>
          <w:tcPr>
            <w:tcW w:w="1213" w:type="pct"/>
            <w:shd w:val="clear" w:color="auto" w:fill="auto"/>
            <w:noWrap/>
            <w:vAlign w:val="center"/>
          </w:tcPr>
          <w:p w14:paraId="19442DEB">
            <w:pPr>
              <w:pStyle w:val="404"/>
              <w:spacing w:line="240" w:lineRule="auto"/>
              <w:ind w:firstLine="0"/>
              <w:contextualSpacing/>
              <w:jc w:val="center"/>
              <w:rPr>
                <w:sz w:val="20"/>
                <w:szCs w:val="20"/>
              </w:rPr>
            </w:pPr>
            <w:r>
              <w:rPr>
                <w:sz w:val="20"/>
                <w:szCs w:val="20"/>
              </w:rPr>
              <w:t>40501,67</w:t>
            </w:r>
          </w:p>
        </w:tc>
        <w:tc>
          <w:tcPr>
            <w:tcW w:w="558" w:type="pct"/>
            <w:shd w:val="clear" w:color="auto" w:fill="auto"/>
            <w:vAlign w:val="center"/>
          </w:tcPr>
          <w:p w14:paraId="2B17BA1A">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14:paraId="0A5B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000" w:type="pct"/>
            <w:gridSpan w:val="7"/>
            <w:shd w:val="clear" w:color="auto" w:fill="auto"/>
            <w:vAlign w:val="center"/>
          </w:tcPr>
          <w:p w14:paraId="0226EB92">
            <w:pPr>
              <w:pStyle w:val="404"/>
              <w:spacing w:line="240" w:lineRule="auto"/>
              <w:ind w:firstLine="0"/>
              <w:contextualSpacing/>
              <w:jc w:val="center"/>
              <w:rPr>
                <w:sz w:val="20"/>
                <w:szCs w:val="20"/>
              </w:rPr>
            </w:pPr>
            <w:r>
              <w:rPr>
                <w:sz w:val="20"/>
                <w:szCs w:val="20"/>
              </w:rPr>
              <w:t>2. Проекты по реконструкции источников теплоснабжения</w:t>
            </w:r>
          </w:p>
        </w:tc>
      </w:tr>
      <w:tr w14:paraId="6765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48" w:type="pct"/>
            <w:shd w:val="clear" w:color="auto" w:fill="auto"/>
            <w:vAlign w:val="center"/>
          </w:tcPr>
          <w:p w14:paraId="5552042D">
            <w:pPr>
              <w:pStyle w:val="404"/>
              <w:spacing w:line="240" w:lineRule="auto"/>
              <w:ind w:firstLine="0"/>
              <w:contextualSpacing/>
              <w:jc w:val="center"/>
              <w:rPr>
                <w:sz w:val="20"/>
                <w:szCs w:val="20"/>
              </w:rPr>
            </w:pPr>
            <w:r>
              <w:rPr>
                <w:sz w:val="20"/>
                <w:szCs w:val="20"/>
              </w:rPr>
              <w:t>Проекты нового строительства и реконструкции источников теплоснабжения</w:t>
            </w:r>
          </w:p>
        </w:tc>
        <w:tc>
          <w:tcPr>
            <w:tcW w:w="249" w:type="pct"/>
            <w:shd w:val="clear" w:color="auto" w:fill="auto"/>
            <w:vAlign w:val="center"/>
          </w:tcPr>
          <w:p w14:paraId="63E2D399">
            <w:pPr>
              <w:pStyle w:val="404"/>
              <w:spacing w:line="240" w:lineRule="auto"/>
              <w:ind w:firstLine="0"/>
              <w:contextualSpacing/>
              <w:jc w:val="center"/>
              <w:rPr>
                <w:sz w:val="20"/>
                <w:szCs w:val="20"/>
              </w:rPr>
            </w:pPr>
            <w:r>
              <w:rPr>
                <w:sz w:val="20"/>
                <w:szCs w:val="20"/>
              </w:rPr>
              <w:t>2.1</w:t>
            </w:r>
          </w:p>
        </w:tc>
        <w:tc>
          <w:tcPr>
            <w:tcW w:w="709" w:type="pct"/>
            <w:shd w:val="clear" w:color="auto" w:fill="auto"/>
            <w:vAlign w:val="center"/>
          </w:tcPr>
          <w:p w14:paraId="2585D801">
            <w:pPr>
              <w:pStyle w:val="404"/>
              <w:spacing w:line="240" w:lineRule="auto"/>
              <w:ind w:firstLine="0"/>
              <w:contextualSpacing/>
              <w:jc w:val="center"/>
              <w:rPr>
                <w:sz w:val="20"/>
                <w:szCs w:val="20"/>
              </w:rPr>
            </w:pPr>
            <w:r>
              <w:rPr>
                <w:sz w:val="20"/>
                <w:szCs w:val="20"/>
              </w:rPr>
              <w:t>Реконструкция котельных с большим износом котлоагрегатов</w:t>
            </w:r>
          </w:p>
        </w:tc>
        <w:tc>
          <w:tcPr>
            <w:tcW w:w="644" w:type="pct"/>
            <w:shd w:val="clear" w:color="auto" w:fill="auto"/>
            <w:vAlign w:val="center"/>
          </w:tcPr>
          <w:p w14:paraId="1C37E044">
            <w:pPr>
              <w:pStyle w:val="404"/>
              <w:spacing w:line="240" w:lineRule="auto"/>
              <w:ind w:firstLine="0"/>
              <w:contextualSpacing/>
              <w:jc w:val="center"/>
              <w:rPr>
                <w:sz w:val="20"/>
                <w:szCs w:val="20"/>
              </w:rPr>
            </w:pPr>
            <w:r>
              <w:rPr>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1079" w:type="pct"/>
            <w:shd w:val="clear" w:color="auto" w:fill="auto"/>
            <w:noWrap/>
            <w:vAlign w:val="center"/>
          </w:tcPr>
          <w:p w14:paraId="5564C24F">
            <w:pPr>
              <w:pStyle w:val="404"/>
              <w:spacing w:line="240" w:lineRule="auto"/>
              <w:ind w:firstLine="0"/>
              <w:contextualSpacing/>
              <w:jc w:val="center"/>
              <w:rPr>
                <w:sz w:val="20"/>
                <w:szCs w:val="20"/>
              </w:rPr>
            </w:pPr>
            <w:r>
              <w:rPr>
                <w:sz w:val="20"/>
                <w:szCs w:val="20"/>
              </w:rPr>
              <w:t>н/д</w:t>
            </w:r>
          </w:p>
        </w:tc>
        <w:tc>
          <w:tcPr>
            <w:tcW w:w="1213" w:type="pct"/>
            <w:shd w:val="clear" w:color="auto" w:fill="auto"/>
            <w:noWrap/>
            <w:vAlign w:val="center"/>
          </w:tcPr>
          <w:p w14:paraId="5AF44145">
            <w:pPr>
              <w:pStyle w:val="404"/>
              <w:spacing w:line="240" w:lineRule="auto"/>
              <w:ind w:firstLine="0"/>
              <w:contextualSpacing/>
              <w:jc w:val="center"/>
              <w:rPr>
                <w:sz w:val="20"/>
                <w:szCs w:val="20"/>
              </w:rPr>
            </w:pPr>
            <w:r>
              <w:rPr>
                <w:sz w:val="20"/>
                <w:szCs w:val="20"/>
              </w:rPr>
              <w:t>н/д</w:t>
            </w:r>
          </w:p>
        </w:tc>
        <w:tc>
          <w:tcPr>
            <w:tcW w:w="558" w:type="pct"/>
            <w:shd w:val="clear" w:color="auto" w:fill="auto"/>
            <w:vAlign w:val="center"/>
          </w:tcPr>
          <w:p w14:paraId="5FD8CCA3">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bookmarkEnd w:id="690"/>
    </w:tbl>
    <w:p w14:paraId="09679E7D">
      <w:pPr>
        <w:spacing w:after="0" w:line="240" w:lineRule="auto"/>
        <w:ind w:firstLine="0"/>
        <w:contextualSpacing/>
        <w:rPr>
          <w:rFonts w:eastAsiaTheme="minorHAnsi"/>
          <w:bCs/>
          <w:sz w:val="24"/>
          <w:szCs w:val="24"/>
          <w:lang w:eastAsia="en-US"/>
        </w:rPr>
      </w:pPr>
    </w:p>
    <w:p w14:paraId="1B047A47">
      <w:pPr>
        <w:pStyle w:val="43"/>
        <w:keepNext/>
        <w:keepLines/>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67</w:t>
      </w:r>
      <w:r>
        <w:rPr>
          <w:rFonts w:cs="Times New Roman"/>
          <w:b w:val="0"/>
          <w:sz w:val="24"/>
          <w:szCs w:val="24"/>
        </w:rPr>
        <w:fldChar w:fldCharType="end"/>
      </w:r>
      <w:r>
        <w:rPr>
          <w:rFonts w:cs="Times New Roman"/>
          <w:b w:val="0"/>
          <w:sz w:val="24"/>
          <w:szCs w:val="24"/>
        </w:rPr>
        <w:t xml:space="preserve"> – Проекты по новому строительству и реконструкции тепловых сетей до 2029 года в с.п. Верхнеказымский</w:t>
      </w:r>
    </w:p>
    <w:tbl>
      <w:tblPr>
        <w:tblStyle w:val="12"/>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90"/>
        <w:gridCol w:w="841"/>
        <w:gridCol w:w="1668"/>
        <w:gridCol w:w="5112"/>
        <w:gridCol w:w="6"/>
        <w:gridCol w:w="1952"/>
        <w:gridCol w:w="6"/>
        <w:gridCol w:w="1518"/>
        <w:gridCol w:w="6"/>
        <w:gridCol w:w="1550"/>
        <w:gridCol w:w="6"/>
      </w:tblGrid>
      <w:tr w14:paraId="75A1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167" w:hRule="atLeast"/>
          <w:tblHeader/>
        </w:trPr>
        <w:tc>
          <w:tcPr>
            <w:tcW w:w="679" w:type="pct"/>
            <w:vMerge w:val="restart"/>
            <w:shd w:val="clear" w:color="auto" w:fill="auto"/>
            <w:vAlign w:val="center"/>
          </w:tcPr>
          <w:p w14:paraId="505579BF">
            <w:pPr>
              <w:pStyle w:val="404"/>
              <w:spacing w:line="240" w:lineRule="auto"/>
              <w:ind w:firstLine="0"/>
              <w:contextualSpacing/>
              <w:jc w:val="center"/>
              <w:rPr>
                <w:sz w:val="20"/>
                <w:szCs w:val="20"/>
              </w:rPr>
            </w:pPr>
            <w:r>
              <w:rPr>
                <w:sz w:val="20"/>
                <w:szCs w:val="20"/>
              </w:rPr>
              <w:t>Наименование группы проектов</w:t>
            </w:r>
          </w:p>
        </w:tc>
        <w:tc>
          <w:tcPr>
            <w:tcW w:w="287" w:type="pct"/>
            <w:vMerge w:val="restart"/>
            <w:shd w:val="clear" w:color="auto" w:fill="auto"/>
            <w:vAlign w:val="center"/>
          </w:tcPr>
          <w:p w14:paraId="4D90AC58">
            <w:pPr>
              <w:pStyle w:val="404"/>
              <w:spacing w:line="240" w:lineRule="auto"/>
              <w:ind w:firstLine="0"/>
              <w:contextualSpacing/>
              <w:jc w:val="center"/>
              <w:rPr>
                <w:sz w:val="20"/>
                <w:szCs w:val="20"/>
              </w:rPr>
            </w:pPr>
            <w:r>
              <w:rPr>
                <w:sz w:val="20"/>
                <w:szCs w:val="20"/>
              </w:rPr>
              <w:t>№ проекта</w:t>
            </w:r>
          </w:p>
        </w:tc>
        <w:tc>
          <w:tcPr>
            <w:tcW w:w="569" w:type="pct"/>
            <w:vMerge w:val="restart"/>
            <w:shd w:val="clear" w:color="auto" w:fill="auto"/>
            <w:vAlign w:val="center"/>
          </w:tcPr>
          <w:p w14:paraId="4E0403C2">
            <w:pPr>
              <w:pStyle w:val="404"/>
              <w:spacing w:line="240" w:lineRule="auto"/>
              <w:ind w:firstLine="0"/>
              <w:contextualSpacing/>
              <w:jc w:val="center"/>
              <w:rPr>
                <w:sz w:val="20"/>
                <w:szCs w:val="20"/>
              </w:rPr>
            </w:pPr>
            <w:r>
              <w:rPr>
                <w:sz w:val="20"/>
                <w:szCs w:val="20"/>
              </w:rPr>
              <w:t>Наименование проекта</w:t>
            </w:r>
          </w:p>
        </w:tc>
        <w:tc>
          <w:tcPr>
            <w:tcW w:w="1744" w:type="pct"/>
            <w:vMerge w:val="restart"/>
            <w:shd w:val="clear" w:color="auto" w:fill="auto"/>
            <w:vAlign w:val="center"/>
          </w:tcPr>
          <w:p w14:paraId="1690A077">
            <w:pPr>
              <w:pStyle w:val="404"/>
              <w:spacing w:line="240" w:lineRule="auto"/>
              <w:ind w:firstLine="0"/>
              <w:contextualSpacing/>
              <w:jc w:val="center"/>
              <w:rPr>
                <w:sz w:val="20"/>
                <w:szCs w:val="20"/>
              </w:rPr>
            </w:pPr>
            <w:r>
              <w:rPr>
                <w:sz w:val="20"/>
                <w:szCs w:val="20"/>
              </w:rPr>
              <w:t>Краткое описание, технические параметры проекта</w:t>
            </w:r>
          </w:p>
        </w:tc>
        <w:tc>
          <w:tcPr>
            <w:tcW w:w="668" w:type="pct"/>
            <w:gridSpan w:val="2"/>
            <w:vMerge w:val="restart"/>
            <w:shd w:val="clear" w:color="auto" w:fill="auto"/>
            <w:noWrap/>
            <w:vAlign w:val="center"/>
          </w:tcPr>
          <w:p w14:paraId="2BAEC89C">
            <w:pPr>
              <w:pStyle w:val="404"/>
              <w:spacing w:line="240" w:lineRule="auto"/>
              <w:ind w:firstLine="0"/>
              <w:contextualSpacing/>
              <w:jc w:val="center"/>
              <w:rPr>
                <w:sz w:val="20"/>
                <w:szCs w:val="20"/>
              </w:rPr>
            </w:pPr>
            <w:r>
              <w:rPr>
                <w:sz w:val="20"/>
                <w:szCs w:val="20"/>
              </w:rPr>
              <w:t>Необходимые капитальные</w:t>
            </w:r>
          </w:p>
          <w:p w14:paraId="49B04BCE">
            <w:pPr>
              <w:pStyle w:val="404"/>
              <w:spacing w:line="240" w:lineRule="auto"/>
              <w:ind w:firstLine="0"/>
              <w:contextualSpacing/>
              <w:jc w:val="center"/>
              <w:rPr>
                <w:sz w:val="20"/>
                <w:szCs w:val="20"/>
              </w:rPr>
            </w:pPr>
            <w:r>
              <w:rPr>
                <w:sz w:val="20"/>
                <w:szCs w:val="20"/>
              </w:rPr>
              <w:t>затраты в ценах 2024 года, тыс. руб.</w:t>
            </w:r>
          </w:p>
        </w:tc>
        <w:tc>
          <w:tcPr>
            <w:tcW w:w="520" w:type="pct"/>
            <w:gridSpan w:val="2"/>
            <w:shd w:val="clear" w:color="auto" w:fill="auto"/>
            <w:noWrap/>
            <w:vAlign w:val="center"/>
          </w:tcPr>
          <w:p w14:paraId="65B96E0A">
            <w:pPr>
              <w:pStyle w:val="404"/>
              <w:spacing w:line="240" w:lineRule="auto"/>
              <w:ind w:firstLine="0"/>
              <w:contextualSpacing/>
              <w:jc w:val="center"/>
              <w:rPr>
                <w:sz w:val="20"/>
                <w:szCs w:val="20"/>
              </w:rPr>
            </w:pPr>
            <w:r>
              <w:rPr>
                <w:sz w:val="20"/>
                <w:szCs w:val="20"/>
              </w:rPr>
              <w:t>Объемы инвестиций и сроки реализации</w:t>
            </w:r>
          </w:p>
        </w:tc>
        <w:tc>
          <w:tcPr>
            <w:tcW w:w="531" w:type="pct"/>
            <w:gridSpan w:val="2"/>
            <w:vMerge w:val="restart"/>
            <w:shd w:val="clear" w:color="auto" w:fill="auto"/>
            <w:vAlign w:val="center"/>
          </w:tcPr>
          <w:p w14:paraId="186FDA80">
            <w:pPr>
              <w:pStyle w:val="404"/>
              <w:spacing w:line="240" w:lineRule="auto"/>
              <w:ind w:firstLine="0"/>
              <w:contextualSpacing/>
              <w:jc w:val="center"/>
              <w:rPr>
                <w:sz w:val="20"/>
                <w:szCs w:val="20"/>
              </w:rPr>
            </w:pPr>
            <w:r>
              <w:rPr>
                <w:sz w:val="20"/>
                <w:szCs w:val="20"/>
              </w:rPr>
              <w:t>Ожидаемые эффекты</w:t>
            </w:r>
          </w:p>
        </w:tc>
      </w:tr>
      <w:tr w14:paraId="6A5F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167" w:hRule="atLeast"/>
          <w:tblHeader/>
        </w:trPr>
        <w:tc>
          <w:tcPr>
            <w:tcW w:w="679" w:type="pct"/>
            <w:vMerge w:val="continue"/>
            <w:shd w:val="clear" w:color="auto" w:fill="auto"/>
            <w:vAlign w:val="center"/>
          </w:tcPr>
          <w:p w14:paraId="1A99338D">
            <w:pPr>
              <w:pStyle w:val="404"/>
              <w:spacing w:line="240" w:lineRule="auto"/>
              <w:ind w:firstLine="0"/>
              <w:contextualSpacing/>
              <w:jc w:val="center"/>
              <w:rPr>
                <w:sz w:val="20"/>
                <w:szCs w:val="20"/>
              </w:rPr>
            </w:pPr>
          </w:p>
        </w:tc>
        <w:tc>
          <w:tcPr>
            <w:tcW w:w="287" w:type="pct"/>
            <w:vMerge w:val="continue"/>
            <w:shd w:val="clear" w:color="auto" w:fill="auto"/>
            <w:vAlign w:val="center"/>
          </w:tcPr>
          <w:p w14:paraId="192F51FC">
            <w:pPr>
              <w:pStyle w:val="404"/>
              <w:spacing w:line="240" w:lineRule="auto"/>
              <w:ind w:firstLine="0"/>
              <w:contextualSpacing/>
              <w:jc w:val="center"/>
              <w:rPr>
                <w:sz w:val="20"/>
                <w:szCs w:val="20"/>
              </w:rPr>
            </w:pPr>
          </w:p>
        </w:tc>
        <w:tc>
          <w:tcPr>
            <w:tcW w:w="569" w:type="pct"/>
            <w:vMerge w:val="continue"/>
            <w:shd w:val="clear" w:color="auto" w:fill="auto"/>
            <w:vAlign w:val="center"/>
          </w:tcPr>
          <w:p w14:paraId="1BB7F47F">
            <w:pPr>
              <w:pStyle w:val="404"/>
              <w:spacing w:line="240" w:lineRule="auto"/>
              <w:ind w:firstLine="0"/>
              <w:contextualSpacing/>
              <w:jc w:val="center"/>
              <w:rPr>
                <w:sz w:val="20"/>
                <w:szCs w:val="20"/>
              </w:rPr>
            </w:pPr>
          </w:p>
        </w:tc>
        <w:tc>
          <w:tcPr>
            <w:tcW w:w="1744" w:type="pct"/>
            <w:vMerge w:val="continue"/>
            <w:shd w:val="clear" w:color="auto" w:fill="auto"/>
            <w:vAlign w:val="center"/>
          </w:tcPr>
          <w:p w14:paraId="2691CC93">
            <w:pPr>
              <w:pStyle w:val="404"/>
              <w:spacing w:line="240" w:lineRule="auto"/>
              <w:ind w:firstLine="0"/>
              <w:contextualSpacing/>
              <w:jc w:val="center"/>
              <w:rPr>
                <w:sz w:val="20"/>
                <w:szCs w:val="20"/>
              </w:rPr>
            </w:pPr>
          </w:p>
        </w:tc>
        <w:tc>
          <w:tcPr>
            <w:tcW w:w="668" w:type="pct"/>
            <w:gridSpan w:val="2"/>
            <w:vMerge w:val="continue"/>
            <w:shd w:val="clear" w:color="auto" w:fill="auto"/>
            <w:noWrap/>
            <w:vAlign w:val="center"/>
          </w:tcPr>
          <w:p w14:paraId="47FF4D14">
            <w:pPr>
              <w:pStyle w:val="404"/>
              <w:spacing w:line="240" w:lineRule="auto"/>
              <w:ind w:firstLine="0"/>
              <w:contextualSpacing/>
              <w:jc w:val="center"/>
              <w:rPr>
                <w:sz w:val="20"/>
                <w:szCs w:val="20"/>
              </w:rPr>
            </w:pPr>
          </w:p>
        </w:tc>
        <w:tc>
          <w:tcPr>
            <w:tcW w:w="520" w:type="pct"/>
            <w:gridSpan w:val="2"/>
            <w:shd w:val="clear" w:color="auto" w:fill="auto"/>
            <w:noWrap/>
            <w:vAlign w:val="center"/>
          </w:tcPr>
          <w:p w14:paraId="1B0763C3">
            <w:pPr>
              <w:pStyle w:val="404"/>
              <w:spacing w:line="240" w:lineRule="auto"/>
              <w:ind w:firstLine="0"/>
              <w:contextualSpacing/>
              <w:jc w:val="center"/>
              <w:rPr>
                <w:sz w:val="20"/>
                <w:szCs w:val="20"/>
              </w:rPr>
            </w:pPr>
            <w:r>
              <w:rPr>
                <w:sz w:val="20"/>
                <w:szCs w:val="20"/>
              </w:rPr>
              <w:t>2024-2029</w:t>
            </w:r>
          </w:p>
        </w:tc>
        <w:tc>
          <w:tcPr>
            <w:tcW w:w="531" w:type="pct"/>
            <w:gridSpan w:val="2"/>
            <w:vMerge w:val="continue"/>
            <w:shd w:val="clear" w:color="auto" w:fill="auto"/>
            <w:vAlign w:val="center"/>
          </w:tcPr>
          <w:p w14:paraId="7C6E303F">
            <w:pPr>
              <w:pStyle w:val="404"/>
              <w:spacing w:line="240" w:lineRule="auto"/>
              <w:ind w:firstLine="0"/>
              <w:contextualSpacing/>
              <w:jc w:val="center"/>
              <w:rPr>
                <w:sz w:val="20"/>
                <w:szCs w:val="20"/>
              </w:rPr>
            </w:pPr>
          </w:p>
        </w:tc>
      </w:tr>
      <w:tr w14:paraId="2853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trPr>
        <w:tc>
          <w:tcPr>
            <w:tcW w:w="3281" w:type="pct"/>
            <w:gridSpan w:val="5"/>
            <w:shd w:val="clear" w:color="auto" w:fill="auto"/>
            <w:vAlign w:val="center"/>
          </w:tcPr>
          <w:p w14:paraId="06990805">
            <w:pPr>
              <w:pStyle w:val="404"/>
              <w:spacing w:line="240" w:lineRule="auto"/>
              <w:ind w:firstLine="0"/>
              <w:contextualSpacing/>
              <w:jc w:val="center"/>
              <w:rPr>
                <w:sz w:val="20"/>
                <w:szCs w:val="20"/>
              </w:rPr>
            </w:pPr>
            <w:r>
              <w:rPr>
                <w:sz w:val="20"/>
                <w:szCs w:val="20"/>
              </w:rPr>
              <w:t>Всего по проектам схемы теплоснабжения, в том числе:</w:t>
            </w:r>
          </w:p>
        </w:tc>
        <w:tc>
          <w:tcPr>
            <w:tcW w:w="668" w:type="pct"/>
            <w:gridSpan w:val="2"/>
            <w:shd w:val="clear" w:color="auto" w:fill="auto"/>
            <w:noWrap/>
            <w:vAlign w:val="center"/>
          </w:tcPr>
          <w:p w14:paraId="214C40B3">
            <w:pPr>
              <w:pStyle w:val="404"/>
              <w:spacing w:line="240" w:lineRule="auto"/>
              <w:ind w:firstLine="0"/>
              <w:contextualSpacing/>
              <w:jc w:val="center"/>
              <w:rPr>
                <w:sz w:val="20"/>
                <w:szCs w:val="20"/>
              </w:rPr>
            </w:pPr>
            <w:r>
              <w:rPr>
                <w:sz w:val="20"/>
                <w:szCs w:val="20"/>
              </w:rPr>
              <w:t>40501,67</w:t>
            </w:r>
          </w:p>
        </w:tc>
        <w:tc>
          <w:tcPr>
            <w:tcW w:w="520" w:type="pct"/>
            <w:gridSpan w:val="2"/>
            <w:shd w:val="clear" w:color="auto" w:fill="auto"/>
            <w:noWrap/>
            <w:vAlign w:val="center"/>
          </w:tcPr>
          <w:p w14:paraId="478A9479">
            <w:pPr>
              <w:pStyle w:val="404"/>
              <w:spacing w:line="240" w:lineRule="auto"/>
              <w:ind w:firstLine="0"/>
              <w:contextualSpacing/>
              <w:jc w:val="center"/>
              <w:rPr>
                <w:sz w:val="20"/>
                <w:szCs w:val="20"/>
              </w:rPr>
            </w:pPr>
            <w:r>
              <w:rPr>
                <w:sz w:val="20"/>
                <w:szCs w:val="20"/>
              </w:rPr>
              <w:t>40501,67</w:t>
            </w:r>
          </w:p>
        </w:tc>
        <w:tc>
          <w:tcPr>
            <w:tcW w:w="531" w:type="pct"/>
            <w:gridSpan w:val="2"/>
            <w:shd w:val="clear" w:color="auto" w:fill="auto"/>
            <w:vAlign w:val="center"/>
          </w:tcPr>
          <w:p w14:paraId="5CFCC08D">
            <w:pPr>
              <w:pStyle w:val="404"/>
              <w:spacing w:line="240" w:lineRule="auto"/>
              <w:ind w:firstLine="0"/>
              <w:contextualSpacing/>
              <w:jc w:val="center"/>
              <w:rPr>
                <w:sz w:val="20"/>
                <w:szCs w:val="20"/>
              </w:rPr>
            </w:pPr>
          </w:p>
        </w:tc>
      </w:tr>
      <w:tr w14:paraId="019A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 w:hRule="atLeast"/>
        </w:trPr>
        <w:tc>
          <w:tcPr>
            <w:tcW w:w="5000" w:type="pct"/>
            <w:gridSpan w:val="11"/>
            <w:shd w:val="clear" w:color="auto" w:fill="auto"/>
            <w:noWrap/>
            <w:vAlign w:val="center"/>
          </w:tcPr>
          <w:p w14:paraId="0AE12102">
            <w:pPr>
              <w:pStyle w:val="404"/>
              <w:spacing w:line="240" w:lineRule="auto"/>
              <w:ind w:firstLine="0"/>
              <w:contextualSpacing/>
              <w:jc w:val="center"/>
              <w:rPr>
                <w:sz w:val="20"/>
                <w:szCs w:val="20"/>
              </w:rPr>
            </w:pPr>
            <w:r>
              <w:rPr>
                <w:sz w:val="20"/>
                <w:szCs w:val="20"/>
              </w:rPr>
              <w:t>1. Проекты по новому строительству и реконструкции тепловых сетей</w:t>
            </w:r>
          </w:p>
        </w:tc>
      </w:tr>
      <w:tr w14:paraId="2283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1549" w:hRule="atLeast"/>
        </w:trPr>
        <w:tc>
          <w:tcPr>
            <w:tcW w:w="679" w:type="pct"/>
            <w:shd w:val="clear" w:color="auto" w:fill="auto"/>
            <w:vAlign w:val="center"/>
          </w:tcPr>
          <w:p w14:paraId="277DC1A8">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87" w:type="pct"/>
            <w:shd w:val="clear" w:color="auto" w:fill="auto"/>
            <w:vAlign w:val="center"/>
          </w:tcPr>
          <w:p w14:paraId="7246D99F">
            <w:pPr>
              <w:pStyle w:val="404"/>
              <w:spacing w:line="240" w:lineRule="auto"/>
              <w:ind w:firstLine="0"/>
              <w:contextualSpacing/>
              <w:jc w:val="center"/>
              <w:rPr>
                <w:sz w:val="20"/>
                <w:szCs w:val="20"/>
              </w:rPr>
            </w:pPr>
            <w:r>
              <w:rPr>
                <w:sz w:val="20"/>
                <w:szCs w:val="20"/>
              </w:rPr>
              <w:t>1.1.</w:t>
            </w:r>
          </w:p>
        </w:tc>
        <w:tc>
          <w:tcPr>
            <w:tcW w:w="569" w:type="pct"/>
            <w:shd w:val="clear" w:color="auto" w:fill="auto"/>
            <w:vAlign w:val="center"/>
          </w:tcPr>
          <w:p w14:paraId="166317B5">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744" w:type="pct"/>
            <w:shd w:val="clear" w:color="auto" w:fill="auto"/>
            <w:vAlign w:val="center"/>
          </w:tcPr>
          <w:p w14:paraId="48A6967D">
            <w:pPr>
              <w:pStyle w:val="404"/>
              <w:spacing w:line="240" w:lineRule="auto"/>
              <w:ind w:firstLine="0"/>
              <w:contextualSpacing/>
              <w:jc w:val="center"/>
              <w:rPr>
                <w:sz w:val="20"/>
                <w:szCs w:val="20"/>
              </w:rPr>
            </w:pPr>
            <w:r>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3C89E5C3">
            <w:pPr>
              <w:pStyle w:val="404"/>
              <w:spacing w:line="240" w:lineRule="auto"/>
              <w:ind w:firstLine="0"/>
              <w:contextualSpacing/>
              <w:jc w:val="center"/>
              <w:rPr>
                <w:sz w:val="20"/>
                <w:szCs w:val="20"/>
              </w:rPr>
            </w:pPr>
            <w:r>
              <w:rPr>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668" w:type="pct"/>
            <w:gridSpan w:val="2"/>
            <w:shd w:val="clear" w:color="auto" w:fill="auto"/>
            <w:noWrap/>
            <w:vAlign w:val="center"/>
          </w:tcPr>
          <w:p w14:paraId="284F4F4E">
            <w:pPr>
              <w:pStyle w:val="404"/>
              <w:spacing w:line="240" w:lineRule="auto"/>
              <w:ind w:firstLine="0"/>
              <w:contextualSpacing/>
              <w:jc w:val="center"/>
              <w:rPr>
                <w:sz w:val="20"/>
                <w:szCs w:val="20"/>
              </w:rPr>
            </w:pPr>
            <w:r>
              <w:rPr>
                <w:sz w:val="20"/>
                <w:szCs w:val="20"/>
              </w:rPr>
              <w:t>40501,67</w:t>
            </w:r>
          </w:p>
        </w:tc>
        <w:tc>
          <w:tcPr>
            <w:tcW w:w="520" w:type="pct"/>
            <w:gridSpan w:val="2"/>
            <w:shd w:val="clear" w:color="auto" w:fill="auto"/>
            <w:noWrap/>
            <w:vAlign w:val="center"/>
          </w:tcPr>
          <w:p w14:paraId="0BA15C37">
            <w:pPr>
              <w:pStyle w:val="404"/>
              <w:spacing w:line="240" w:lineRule="auto"/>
              <w:ind w:firstLine="0"/>
              <w:contextualSpacing/>
              <w:jc w:val="center"/>
              <w:rPr>
                <w:sz w:val="20"/>
                <w:szCs w:val="20"/>
              </w:rPr>
            </w:pPr>
            <w:r>
              <w:rPr>
                <w:sz w:val="20"/>
                <w:szCs w:val="20"/>
              </w:rPr>
              <w:t>40501,67</w:t>
            </w:r>
          </w:p>
        </w:tc>
        <w:tc>
          <w:tcPr>
            <w:tcW w:w="531" w:type="pct"/>
            <w:gridSpan w:val="2"/>
            <w:shd w:val="clear" w:color="auto" w:fill="auto"/>
            <w:vAlign w:val="center"/>
          </w:tcPr>
          <w:p w14:paraId="24F2CF1C">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14:paraId="0767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5000" w:type="pct"/>
            <w:gridSpan w:val="11"/>
            <w:shd w:val="clear" w:color="auto" w:fill="auto"/>
            <w:vAlign w:val="center"/>
          </w:tcPr>
          <w:p w14:paraId="095D70BB">
            <w:pPr>
              <w:pStyle w:val="404"/>
              <w:spacing w:line="240" w:lineRule="auto"/>
              <w:ind w:firstLine="0"/>
              <w:contextualSpacing/>
              <w:jc w:val="left"/>
              <w:rPr>
                <w:sz w:val="20"/>
                <w:szCs w:val="20"/>
              </w:rPr>
            </w:pPr>
            <w:r>
              <w:rPr>
                <w:sz w:val="20"/>
                <w:szCs w:val="20"/>
              </w:rPr>
              <w:t>в том числе:</w:t>
            </w:r>
          </w:p>
        </w:tc>
      </w:tr>
      <w:tr w14:paraId="7509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85" w:hRule="atLeast"/>
        </w:trPr>
        <w:tc>
          <w:tcPr>
            <w:tcW w:w="679" w:type="pct"/>
            <w:shd w:val="clear" w:color="auto" w:fill="auto"/>
          </w:tcPr>
          <w:p w14:paraId="4F1DA951">
            <w:pPr>
              <w:pStyle w:val="404"/>
              <w:spacing w:line="240" w:lineRule="auto"/>
              <w:ind w:firstLine="0"/>
              <w:contextualSpacing/>
              <w:jc w:val="center"/>
              <w:rPr>
                <w:sz w:val="20"/>
                <w:szCs w:val="20"/>
              </w:rPr>
            </w:pPr>
            <w:r>
              <w:rPr>
                <w:sz w:val="20"/>
                <w:szCs w:val="20"/>
              </w:rPr>
              <w:t>Зона действия теплоутилизационных установок КС «Верхнеказымская», котельных «Вирбекс», «2БВК»</w:t>
            </w:r>
          </w:p>
        </w:tc>
        <w:tc>
          <w:tcPr>
            <w:tcW w:w="287" w:type="pct"/>
            <w:shd w:val="clear" w:color="auto" w:fill="auto"/>
            <w:vAlign w:val="center"/>
          </w:tcPr>
          <w:p w14:paraId="323A34D7">
            <w:pPr>
              <w:pStyle w:val="404"/>
              <w:spacing w:line="240" w:lineRule="auto"/>
              <w:ind w:firstLine="0"/>
              <w:contextualSpacing/>
              <w:jc w:val="center"/>
              <w:rPr>
                <w:sz w:val="20"/>
                <w:szCs w:val="20"/>
              </w:rPr>
            </w:pPr>
            <w:r>
              <w:rPr>
                <w:bCs/>
                <w:sz w:val="20"/>
                <w:szCs w:val="20"/>
              </w:rPr>
              <w:t>1.1.1</w:t>
            </w:r>
          </w:p>
        </w:tc>
        <w:tc>
          <w:tcPr>
            <w:tcW w:w="569" w:type="pct"/>
            <w:shd w:val="clear" w:color="auto" w:fill="auto"/>
          </w:tcPr>
          <w:p w14:paraId="2538AAF1">
            <w:pPr>
              <w:pStyle w:val="404"/>
              <w:spacing w:line="240" w:lineRule="auto"/>
              <w:ind w:firstLine="0"/>
              <w:contextualSpacing/>
              <w:jc w:val="center"/>
              <w:rPr>
                <w:sz w:val="20"/>
                <w:szCs w:val="20"/>
              </w:rPr>
            </w:pPr>
            <w:r>
              <w:rPr>
                <w:sz w:val="20"/>
                <w:szCs w:val="20"/>
              </w:rPr>
              <w:t>Строительство распределительных сетей теплоснабжения для обеспечения перспективных приростов тепловой нагрузки.</w:t>
            </w:r>
          </w:p>
        </w:tc>
        <w:tc>
          <w:tcPr>
            <w:tcW w:w="1744" w:type="pct"/>
            <w:shd w:val="clear" w:color="auto" w:fill="auto"/>
          </w:tcPr>
          <w:p w14:paraId="3CC40E79">
            <w:pPr>
              <w:pStyle w:val="404"/>
              <w:spacing w:line="240" w:lineRule="auto"/>
              <w:ind w:firstLine="0"/>
              <w:contextualSpacing/>
              <w:jc w:val="center"/>
              <w:rPr>
                <w:sz w:val="20"/>
                <w:szCs w:val="20"/>
              </w:rPr>
            </w:pPr>
            <w:r>
              <w:rPr>
                <w:sz w:val="20"/>
                <w:szCs w:val="20"/>
              </w:rPr>
              <w:t>Строительство теплотрассы к для подключения:</w:t>
            </w:r>
          </w:p>
          <w:p w14:paraId="5FE91503">
            <w:pPr>
              <w:pStyle w:val="404"/>
              <w:spacing w:line="240" w:lineRule="auto"/>
              <w:ind w:firstLine="0"/>
              <w:contextualSpacing/>
              <w:jc w:val="center"/>
              <w:rPr>
                <w:sz w:val="20"/>
                <w:szCs w:val="20"/>
              </w:rPr>
            </w:pPr>
            <w:r>
              <w:rPr>
                <w:sz w:val="20"/>
                <w:szCs w:val="20"/>
              </w:rPr>
              <w:t xml:space="preserve"> - перспективного здания ФОК Т1, Т2 = Ду 100, протяженностью 86 м;</w:t>
            </w:r>
          </w:p>
          <w:p w14:paraId="1F4FF8A6">
            <w:pPr>
              <w:pStyle w:val="404"/>
              <w:spacing w:line="240" w:lineRule="auto"/>
              <w:ind w:firstLine="0"/>
              <w:contextualSpacing/>
              <w:jc w:val="center"/>
              <w:rPr>
                <w:sz w:val="20"/>
                <w:szCs w:val="20"/>
              </w:rPr>
            </w:pPr>
            <w:r>
              <w:rPr>
                <w:sz w:val="20"/>
                <w:szCs w:val="20"/>
              </w:rPr>
              <w:t xml:space="preserve"> - 2-х перспективных многокв. ж. домов в 3 мкр -  ж.д.3-6/1 (20 квартир на месте 3-6), ж.д. 3-5/1 (24 квариры на месте 3-5) - Т1,Т2 = Ду 100 L=28 м, Т1,Т2 = Ду 50 L=6 м, Т1,Т2 = Ду 70 L=90 м;</w:t>
            </w:r>
            <w:r>
              <w:rPr>
                <w:sz w:val="20"/>
                <w:szCs w:val="20"/>
              </w:rPr>
              <w:br w:type="textWrapping"/>
            </w:r>
            <w:r>
              <w:rPr>
                <w:sz w:val="20"/>
                <w:szCs w:val="20"/>
              </w:rPr>
              <w:t xml:space="preserve"> - перспективного многокв. ж. дома в 3 мкр: ж.д.3-7/1 (42 квартиры на месте 3-7) - Т1,Т2 = Ду 70 L =30 м;</w:t>
            </w:r>
            <w:r>
              <w:rPr>
                <w:sz w:val="20"/>
                <w:szCs w:val="20"/>
              </w:rPr>
              <w:br w:type="textWrapping"/>
            </w:r>
            <w:r>
              <w:rPr>
                <w:sz w:val="20"/>
                <w:szCs w:val="20"/>
              </w:rPr>
              <w:t xml:space="preserve"> - перспективного многокв. ж. дома во 2 мкр: ж.д.2-15/1 (3-хэт. 24 кв. на месте 3-15) - Т1,Т2 = Ду 80 L =105 м;</w:t>
            </w:r>
            <w:r>
              <w:rPr>
                <w:sz w:val="20"/>
                <w:szCs w:val="20"/>
              </w:rPr>
              <w:br w:type="textWrapping"/>
            </w:r>
            <w:r>
              <w:rPr>
                <w:sz w:val="20"/>
                <w:szCs w:val="20"/>
              </w:rPr>
              <w:t xml:space="preserve"> - перспективного многокв. ж. дома во 2 мкр: ж.д.2-1/1 (3 эт 24 кв. на месте 2-1); и существующих зданий №№ 2-6, 2-6А, 2-6Б - Т1,Т2 = Ду 100 L =70 м, Т1,Т2 = Ду 80 L =40 м;</w:t>
            </w:r>
            <w:r>
              <w:rPr>
                <w:sz w:val="20"/>
                <w:szCs w:val="20"/>
              </w:rPr>
              <w:br w:type="textWrapping"/>
            </w:r>
            <w:r>
              <w:rPr>
                <w:sz w:val="20"/>
                <w:szCs w:val="20"/>
              </w:rPr>
              <w:t xml:space="preserve"> - 2-х перспективных многокв. ж. домов во 2 мкр -  ж.д.2-2/1 (24 кв. на месте 2-2), ж.д. 2-3/1 (24 кв. на месте 2-3) - Т1,Т2 = Ду 100 L =35 м, Т1,Т2 = Ду 80 L =80 м;</w:t>
            </w:r>
            <w:r>
              <w:rPr>
                <w:sz w:val="20"/>
                <w:szCs w:val="20"/>
              </w:rPr>
              <w:br w:type="textWrapping"/>
            </w:r>
            <w:r>
              <w:rPr>
                <w:sz w:val="20"/>
                <w:szCs w:val="20"/>
              </w:rPr>
              <w:t xml:space="preserve"> - перспективного многокв. ж. дома во 2 мкр: ж.д.2-11/1 (24 кв. на месте 2-11) - Т1,Т2 = Ду 150 L =30 м, Т1,Т2 = Ду 70 L =40 м;</w:t>
            </w:r>
            <w:r>
              <w:rPr>
                <w:sz w:val="20"/>
                <w:szCs w:val="20"/>
              </w:rPr>
              <w:br w:type="textWrapping"/>
            </w:r>
            <w:r>
              <w:rPr>
                <w:sz w:val="20"/>
                <w:szCs w:val="20"/>
              </w:rPr>
              <w:t xml:space="preserve"> - перспективного многокв. ж. дома во 2 мкр: ж.д.2-12/1 (24 кв. на месте 2-12) - Т1,Т2 = Ду 70 L =12 м;</w:t>
            </w:r>
            <w:r>
              <w:rPr>
                <w:sz w:val="20"/>
                <w:szCs w:val="20"/>
              </w:rPr>
              <w:br w:type="textWrapping"/>
            </w:r>
            <w:r>
              <w:rPr>
                <w:sz w:val="20"/>
                <w:szCs w:val="20"/>
              </w:rPr>
              <w:t xml:space="preserve"> - 2-х перспективных многокв. ж. домов во 2 мкр -  ж.д.2-13/1 (24 кв. на месте 2-13), ж.д. 2-14/1 (24 кв. на месте 2-14) - Т1,Т2 = Ду 100 L =35 м, Т1,Т2 = Ду 70 L =100 м.</w:t>
            </w:r>
          </w:p>
        </w:tc>
        <w:tc>
          <w:tcPr>
            <w:tcW w:w="668" w:type="pct"/>
            <w:gridSpan w:val="2"/>
            <w:shd w:val="clear" w:color="auto" w:fill="auto"/>
            <w:noWrap/>
            <w:vAlign w:val="center"/>
          </w:tcPr>
          <w:p w14:paraId="5E5EB0EC">
            <w:pPr>
              <w:pStyle w:val="404"/>
              <w:spacing w:line="240" w:lineRule="auto"/>
              <w:ind w:firstLine="0"/>
              <w:contextualSpacing/>
              <w:jc w:val="center"/>
              <w:rPr>
                <w:sz w:val="20"/>
                <w:szCs w:val="20"/>
              </w:rPr>
            </w:pPr>
            <w:r>
              <w:rPr>
                <w:sz w:val="20"/>
                <w:szCs w:val="20"/>
              </w:rPr>
              <w:t>10921,05</w:t>
            </w:r>
          </w:p>
        </w:tc>
        <w:tc>
          <w:tcPr>
            <w:tcW w:w="520" w:type="pct"/>
            <w:gridSpan w:val="2"/>
            <w:shd w:val="clear" w:color="auto" w:fill="auto"/>
            <w:noWrap/>
            <w:vAlign w:val="center"/>
          </w:tcPr>
          <w:p w14:paraId="5BDD39D5">
            <w:pPr>
              <w:pStyle w:val="404"/>
              <w:spacing w:line="240" w:lineRule="auto"/>
              <w:ind w:firstLine="0"/>
              <w:contextualSpacing/>
              <w:jc w:val="center"/>
              <w:rPr>
                <w:sz w:val="20"/>
                <w:szCs w:val="20"/>
              </w:rPr>
            </w:pPr>
            <w:r>
              <w:rPr>
                <w:sz w:val="20"/>
                <w:szCs w:val="20"/>
              </w:rPr>
              <w:t>10921,05</w:t>
            </w:r>
          </w:p>
        </w:tc>
        <w:tc>
          <w:tcPr>
            <w:tcW w:w="531" w:type="pct"/>
            <w:gridSpan w:val="2"/>
            <w:shd w:val="clear" w:color="auto" w:fill="auto"/>
            <w:vAlign w:val="center"/>
          </w:tcPr>
          <w:p w14:paraId="3CE57621">
            <w:pPr>
              <w:pStyle w:val="404"/>
              <w:spacing w:line="240" w:lineRule="auto"/>
              <w:ind w:firstLine="0"/>
              <w:contextualSpacing/>
              <w:jc w:val="center"/>
              <w:rPr>
                <w:sz w:val="20"/>
                <w:szCs w:val="20"/>
              </w:rPr>
            </w:pPr>
            <w:r>
              <w:rPr>
                <w:sz w:val="20"/>
                <w:szCs w:val="20"/>
              </w:rPr>
              <w:t>Качественное и надежное теплоснабжение перспективных потребителей</w:t>
            </w:r>
          </w:p>
        </w:tc>
      </w:tr>
      <w:tr w14:paraId="203B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85" w:hRule="atLeast"/>
        </w:trPr>
        <w:tc>
          <w:tcPr>
            <w:tcW w:w="679" w:type="pct"/>
            <w:shd w:val="clear" w:color="auto" w:fill="auto"/>
          </w:tcPr>
          <w:p w14:paraId="48EBC53B">
            <w:pPr>
              <w:pStyle w:val="404"/>
              <w:spacing w:line="240" w:lineRule="auto"/>
              <w:ind w:firstLine="0"/>
              <w:contextualSpacing/>
              <w:jc w:val="center"/>
              <w:rPr>
                <w:sz w:val="20"/>
                <w:szCs w:val="20"/>
              </w:rPr>
            </w:pPr>
            <w:r>
              <w:rPr>
                <w:sz w:val="20"/>
                <w:szCs w:val="20"/>
              </w:rPr>
              <w:t>Зона действия теплоутилизационных установок КС «Верхнеказымская», котельных «Вирбекс», «2БВК»</w:t>
            </w:r>
          </w:p>
        </w:tc>
        <w:tc>
          <w:tcPr>
            <w:tcW w:w="287" w:type="pct"/>
            <w:shd w:val="clear" w:color="auto" w:fill="auto"/>
          </w:tcPr>
          <w:p w14:paraId="192C4947">
            <w:pPr>
              <w:pStyle w:val="404"/>
              <w:spacing w:line="240" w:lineRule="auto"/>
              <w:ind w:firstLine="0"/>
              <w:contextualSpacing/>
              <w:jc w:val="center"/>
              <w:rPr>
                <w:sz w:val="20"/>
                <w:szCs w:val="20"/>
              </w:rPr>
            </w:pPr>
            <w:r>
              <w:rPr>
                <w:bCs/>
                <w:sz w:val="20"/>
                <w:szCs w:val="20"/>
              </w:rPr>
              <w:t>1.1.2</w:t>
            </w:r>
          </w:p>
        </w:tc>
        <w:tc>
          <w:tcPr>
            <w:tcW w:w="569" w:type="pct"/>
            <w:shd w:val="clear" w:color="auto" w:fill="auto"/>
          </w:tcPr>
          <w:p w14:paraId="2B210B07">
            <w:pPr>
              <w:pStyle w:val="404"/>
              <w:spacing w:line="240" w:lineRule="auto"/>
              <w:ind w:firstLine="0"/>
              <w:contextualSpacing/>
              <w:jc w:val="center"/>
              <w:rPr>
                <w:sz w:val="20"/>
                <w:szCs w:val="20"/>
              </w:rPr>
            </w:pPr>
            <w:r>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744" w:type="pct"/>
            <w:shd w:val="clear" w:color="auto" w:fill="auto"/>
          </w:tcPr>
          <w:p w14:paraId="0DF4286F">
            <w:pPr>
              <w:pStyle w:val="404"/>
              <w:spacing w:line="240" w:lineRule="auto"/>
              <w:ind w:firstLine="0"/>
              <w:contextualSpacing/>
              <w:jc w:val="center"/>
              <w:rPr>
                <w:sz w:val="20"/>
                <w:szCs w:val="20"/>
              </w:rPr>
            </w:pPr>
            <w:r>
              <w:rPr>
                <w:sz w:val="20"/>
                <w:szCs w:val="20"/>
              </w:rPr>
              <w:t>Реконструкция теплотрассы от ТК2 до ТК2а и от ТК2а до ТК50 (Т1, Т2 с Ду 100 на Ду 150 протяженностью 90 м; Т3, Т4 с Ду 80 на Ду 80 протяженностью 33 м).</w:t>
            </w:r>
            <w:r>
              <w:rPr>
                <w:sz w:val="20"/>
                <w:szCs w:val="20"/>
              </w:rPr>
              <w:br w:type="textWrapping"/>
            </w:r>
            <w:r>
              <w:rPr>
                <w:sz w:val="20"/>
                <w:szCs w:val="20"/>
              </w:rPr>
              <w:t>Реконструкция (вынос) и строительство,  теплосетей для подключения 2-х 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Pr>
                <w:sz w:val="20"/>
                <w:szCs w:val="20"/>
              </w:rPr>
              <w:br w:type="textWrapping"/>
            </w:r>
            <w:r>
              <w:rPr>
                <w:sz w:val="20"/>
                <w:szCs w:val="20"/>
              </w:rPr>
              <w:t>Реконструкция (вынос) и строительство,  теплосетей для подключения перспективного многокв. ж. дома во 2 мкр: ж.д.2-9/1 (24 кв. на месте 2-9) и существующих зданий №№ 2-23, 2-16, 2-17, 2-18, 2-19, 2-20, 2-21 - Т1,Т2 = Ду 150 L=30 м, Т1,Т2 = Ду 80 L=120 м,  Т3,Т4 = Ду 50 L=80 м.</w:t>
            </w:r>
          </w:p>
        </w:tc>
        <w:tc>
          <w:tcPr>
            <w:tcW w:w="668" w:type="pct"/>
            <w:gridSpan w:val="2"/>
            <w:shd w:val="clear" w:color="auto" w:fill="auto"/>
            <w:noWrap/>
            <w:vAlign w:val="center"/>
          </w:tcPr>
          <w:p w14:paraId="04040F1C">
            <w:pPr>
              <w:pStyle w:val="404"/>
              <w:spacing w:line="240" w:lineRule="auto"/>
              <w:ind w:firstLine="0"/>
              <w:contextualSpacing/>
              <w:jc w:val="center"/>
              <w:rPr>
                <w:sz w:val="20"/>
                <w:szCs w:val="20"/>
              </w:rPr>
            </w:pPr>
            <w:r>
              <w:rPr>
                <w:sz w:val="20"/>
                <w:szCs w:val="20"/>
              </w:rPr>
              <w:t>29580,62</w:t>
            </w:r>
          </w:p>
        </w:tc>
        <w:tc>
          <w:tcPr>
            <w:tcW w:w="520" w:type="pct"/>
            <w:gridSpan w:val="2"/>
            <w:shd w:val="clear" w:color="auto" w:fill="auto"/>
            <w:noWrap/>
            <w:vAlign w:val="center"/>
          </w:tcPr>
          <w:p w14:paraId="3396BD78">
            <w:pPr>
              <w:pStyle w:val="404"/>
              <w:spacing w:line="240" w:lineRule="auto"/>
              <w:ind w:firstLine="0"/>
              <w:contextualSpacing/>
              <w:jc w:val="center"/>
              <w:rPr>
                <w:sz w:val="20"/>
                <w:szCs w:val="20"/>
              </w:rPr>
            </w:pPr>
            <w:r>
              <w:rPr>
                <w:sz w:val="20"/>
                <w:szCs w:val="20"/>
              </w:rPr>
              <w:t>29580,62</w:t>
            </w:r>
          </w:p>
        </w:tc>
        <w:tc>
          <w:tcPr>
            <w:tcW w:w="531" w:type="pct"/>
            <w:gridSpan w:val="2"/>
            <w:shd w:val="clear" w:color="auto" w:fill="auto"/>
            <w:vAlign w:val="center"/>
          </w:tcPr>
          <w:p w14:paraId="48848E63">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w:t>
            </w:r>
          </w:p>
          <w:p w14:paraId="2029319D">
            <w:pPr>
              <w:pStyle w:val="404"/>
              <w:spacing w:line="240" w:lineRule="auto"/>
              <w:ind w:firstLine="0"/>
              <w:contextualSpacing/>
              <w:jc w:val="center"/>
              <w:rPr>
                <w:sz w:val="20"/>
                <w:szCs w:val="20"/>
              </w:rPr>
            </w:pPr>
            <w:r>
              <w:rPr>
                <w:sz w:val="20"/>
                <w:szCs w:val="20"/>
              </w:rPr>
              <w:t xml:space="preserve"> Оптимизация существующей системы теплоснабжения</w:t>
            </w:r>
          </w:p>
        </w:tc>
      </w:tr>
    </w:tbl>
    <w:p w14:paraId="36B3BF57">
      <w:pPr>
        <w:spacing w:after="0" w:line="240" w:lineRule="auto"/>
        <w:ind w:firstLine="0"/>
        <w:contextualSpacing/>
        <w:jc w:val="both"/>
        <w:rPr>
          <w:sz w:val="24"/>
          <w:szCs w:val="24"/>
        </w:rPr>
      </w:pPr>
    </w:p>
    <w:p w14:paraId="7EAB9D9A">
      <w:pPr>
        <w:spacing w:after="0" w:line="240" w:lineRule="auto"/>
        <w:ind w:firstLine="0"/>
        <w:contextualSpacing/>
        <w:jc w:val="both"/>
        <w:rPr>
          <w:sz w:val="24"/>
          <w:szCs w:val="24"/>
        </w:rPr>
      </w:pPr>
    </w:p>
    <w:p w14:paraId="4563B88D">
      <w:pPr>
        <w:spacing w:after="0" w:line="240" w:lineRule="auto"/>
        <w:ind w:firstLine="0"/>
        <w:contextualSpacing/>
        <w:jc w:val="both"/>
        <w:rPr>
          <w:sz w:val="24"/>
          <w:szCs w:val="24"/>
        </w:rPr>
      </w:pPr>
    </w:p>
    <w:p w14:paraId="0801D6F9">
      <w:pPr>
        <w:spacing w:after="0" w:line="240" w:lineRule="auto"/>
        <w:contextualSpacing/>
        <w:jc w:val="both"/>
        <w:rPr>
          <w:sz w:val="24"/>
          <w:szCs w:val="24"/>
        </w:rPr>
      </w:pPr>
    </w:p>
    <w:p w14:paraId="485F132C">
      <w:pPr>
        <w:spacing w:after="0" w:line="240" w:lineRule="auto"/>
        <w:contextualSpacing/>
        <w:jc w:val="both"/>
        <w:rPr>
          <w:sz w:val="24"/>
          <w:szCs w:val="24"/>
        </w:rPr>
        <w:sectPr>
          <w:pgSz w:w="16838" w:h="11906" w:orient="landscape"/>
          <w:pgMar w:top="1418" w:right="1134" w:bottom="567" w:left="1134" w:header="709" w:footer="709" w:gutter="0"/>
          <w:cols w:space="708" w:num="1"/>
          <w:docGrid w:linePitch="381" w:charSpace="0"/>
        </w:sectPr>
      </w:pPr>
    </w:p>
    <w:bookmarkEnd w:id="689"/>
    <w:p w14:paraId="2686E7FC">
      <w:pPr>
        <w:pStyle w:val="3"/>
        <w:tabs>
          <w:tab w:val="left" w:pos="0"/>
        </w:tabs>
        <w:spacing w:before="0" w:line="240" w:lineRule="auto"/>
        <w:ind w:left="0" w:firstLine="709"/>
        <w:contextualSpacing/>
        <w:rPr>
          <w:rFonts w:cs="Times New Roman"/>
          <w:b w:val="0"/>
          <w:sz w:val="24"/>
          <w:szCs w:val="24"/>
        </w:rPr>
      </w:pPr>
      <w:bookmarkStart w:id="691" w:name="_Toc524615118"/>
      <w:bookmarkStart w:id="692" w:name="_Toc524614902"/>
      <w:bookmarkStart w:id="693" w:name="_Toc15640964"/>
      <w:bookmarkStart w:id="694" w:name="_Toc182814063"/>
      <w:bookmarkStart w:id="695" w:name="_Hlk15651798"/>
      <w:r>
        <w:rPr>
          <w:rFonts w:cs="Times New Roman"/>
          <w:b w:val="0"/>
          <w:sz w:val="24"/>
          <w:szCs w:val="24"/>
        </w:rPr>
        <w:t xml:space="preserve">Обоснованные предложения по источникам инвестиций, </w:t>
      </w:r>
      <w:bookmarkEnd w:id="691"/>
      <w:bookmarkEnd w:id="692"/>
      <w:r>
        <w:rPr>
          <w:rFonts w:cs="Times New Roman"/>
          <w:b w:val="0"/>
          <w:sz w:val="24"/>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93"/>
      <w:bookmarkEnd w:id="694"/>
    </w:p>
    <w:bookmarkEnd w:id="695"/>
    <w:p w14:paraId="0F80ECEE">
      <w:pPr>
        <w:tabs>
          <w:tab w:val="left" w:pos="0"/>
        </w:tabs>
        <w:spacing w:after="0" w:line="240" w:lineRule="auto"/>
        <w:contextualSpacing/>
        <w:jc w:val="both"/>
        <w:rPr>
          <w:sz w:val="24"/>
          <w:szCs w:val="24"/>
        </w:rPr>
      </w:pPr>
      <w:r>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14:paraId="48C3AC61">
      <w:pPr>
        <w:tabs>
          <w:tab w:val="left" w:pos="0"/>
        </w:tabs>
        <w:spacing w:after="0" w:line="240" w:lineRule="auto"/>
        <w:contextualSpacing/>
        <w:jc w:val="both"/>
        <w:rPr>
          <w:sz w:val="24"/>
          <w:szCs w:val="24"/>
        </w:rPr>
      </w:pPr>
      <w:r>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298E0D22">
      <w:pPr>
        <w:tabs>
          <w:tab w:val="left" w:pos="0"/>
        </w:tabs>
        <w:spacing w:after="0" w:line="240" w:lineRule="auto"/>
        <w:contextualSpacing/>
        <w:jc w:val="both"/>
        <w:rPr>
          <w:sz w:val="24"/>
          <w:szCs w:val="24"/>
        </w:rPr>
      </w:pPr>
      <w:r>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62A25B9C">
      <w:pPr>
        <w:tabs>
          <w:tab w:val="left" w:pos="0"/>
        </w:tabs>
        <w:spacing w:after="0" w:line="240" w:lineRule="auto"/>
        <w:contextualSpacing/>
        <w:jc w:val="both"/>
        <w:rPr>
          <w:sz w:val="24"/>
          <w:szCs w:val="24"/>
        </w:rPr>
      </w:pPr>
      <w:r>
        <w:rPr>
          <w:sz w:val="24"/>
          <w:szCs w:val="24"/>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14:paraId="14718FCA">
      <w:pPr>
        <w:tabs>
          <w:tab w:val="left" w:pos="0"/>
        </w:tabs>
        <w:spacing w:after="0" w:line="240" w:lineRule="auto"/>
        <w:contextualSpacing/>
        <w:jc w:val="both"/>
        <w:rPr>
          <w:sz w:val="24"/>
          <w:szCs w:val="24"/>
        </w:rPr>
      </w:pPr>
      <w:r>
        <w:rPr>
          <w:sz w:val="24"/>
          <w:szCs w:val="24"/>
        </w:rPr>
        <w:t>В качестве источников финансирования мероприятий п. 12.1 Обосновывающих материалов предлагается использовать такие источники финансирования, как, собственные средства, частные инвестиции, средства местного и окружного бюджетов.</w:t>
      </w:r>
    </w:p>
    <w:p w14:paraId="27849DA1">
      <w:pPr>
        <w:tabs>
          <w:tab w:val="left" w:pos="0"/>
        </w:tabs>
        <w:spacing w:after="0" w:line="240" w:lineRule="auto"/>
        <w:contextualSpacing/>
        <w:jc w:val="both"/>
        <w:rPr>
          <w:sz w:val="24"/>
          <w:szCs w:val="24"/>
        </w:rPr>
      </w:pPr>
    </w:p>
    <w:p w14:paraId="2900C95C">
      <w:pPr>
        <w:pStyle w:val="3"/>
        <w:tabs>
          <w:tab w:val="left" w:pos="0"/>
        </w:tabs>
        <w:spacing w:before="0" w:line="240" w:lineRule="auto"/>
        <w:ind w:left="0" w:firstLine="709"/>
        <w:contextualSpacing/>
        <w:rPr>
          <w:rFonts w:cs="Times New Roman"/>
          <w:b w:val="0"/>
          <w:sz w:val="24"/>
          <w:szCs w:val="24"/>
        </w:rPr>
      </w:pPr>
      <w:bookmarkStart w:id="696" w:name="_Toc182814064"/>
      <w:bookmarkStart w:id="697" w:name="_Toc524614903"/>
      <w:bookmarkStart w:id="698" w:name="_Toc524615119"/>
      <w:r>
        <w:rPr>
          <w:rFonts w:cs="Times New Roman"/>
          <w:b w:val="0"/>
          <w:sz w:val="24"/>
          <w:szCs w:val="24"/>
        </w:rPr>
        <w:t>Расчеты экономической эффективности инвестиций</w:t>
      </w:r>
      <w:bookmarkEnd w:id="696"/>
      <w:bookmarkEnd w:id="697"/>
      <w:bookmarkEnd w:id="698"/>
    </w:p>
    <w:p w14:paraId="0AC2257D">
      <w:pPr>
        <w:tabs>
          <w:tab w:val="left" w:pos="1276"/>
        </w:tabs>
        <w:autoSpaceDE w:val="0"/>
        <w:autoSpaceDN w:val="0"/>
        <w:adjustRightInd w:val="0"/>
        <w:spacing w:after="0" w:line="240" w:lineRule="auto"/>
        <w:contextualSpacing/>
        <w:jc w:val="both"/>
        <w:rPr>
          <w:sz w:val="24"/>
          <w:szCs w:val="24"/>
        </w:rPr>
      </w:pPr>
      <w:bookmarkStart w:id="699" w:name="_Hlk528177414"/>
      <w:bookmarkStart w:id="700" w:name="_Hlk15651815"/>
      <w:r>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3B8C45DA">
      <w:pPr>
        <w:tabs>
          <w:tab w:val="left" w:pos="1276"/>
        </w:tabs>
        <w:autoSpaceDE w:val="0"/>
        <w:autoSpaceDN w:val="0"/>
        <w:adjustRightInd w:val="0"/>
        <w:spacing w:after="0" w:line="240" w:lineRule="auto"/>
        <w:contextualSpacing/>
        <w:jc w:val="both"/>
        <w:rPr>
          <w:sz w:val="24"/>
          <w:szCs w:val="24"/>
        </w:rPr>
      </w:pPr>
      <w:r>
        <w:rPr>
          <w:sz w:val="24"/>
          <w:szCs w:val="24"/>
        </w:rPr>
        <w:t>Финансовая модель проекта построена на 6-летний срок – с 2024 по 2029 год в ценах 2024 года и включает прогнозные отчётные формы – отчёт о прибылях и убытках, балансовый отчёт и отчёт о движении денежных средств.</w:t>
      </w:r>
    </w:p>
    <w:p w14:paraId="632E0200">
      <w:pPr>
        <w:tabs>
          <w:tab w:val="left" w:pos="1276"/>
        </w:tabs>
        <w:autoSpaceDE w:val="0"/>
        <w:autoSpaceDN w:val="0"/>
        <w:adjustRightInd w:val="0"/>
        <w:spacing w:after="0" w:line="240" w:lineRule="auto"/>
        <w:contextualSpacing/>
        <w:jc w:val="both"/>
        <w:rPr>
          <w:sz w:val="24"/>
          <w:szCs w:val="24"/>
        </w:rPr>
      </w:pPr>
      <w:r>
        <w:rPr>
          <w:sz w:val="24"/>
          <w:szCs w:val="24"/>
        </w:rPr>
        <w:t>При оценке эффективности инвестиционного проекта были использованы следующие материалы:</w:t>
      </w:r>
    </w:p>
    <w:p w14:paraId="19ED391E">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6E6A2697">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Государственные сметные нормативы, укрупнённые нормативы цены строительства НЦС 81-02-13-2024, Наружные тепловые сети, являющиеся приложением к Приказу Министерства строительства и жилищно-коммунального хозяйства Российской Федерации от 26 февраля 2024 года № 142/пр.;</w:t>
      </w:r>
    </w:p>
    <w:p w14:paraId="4BB52C96">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Прочие материалы, в том числе информационные ресурсы сети Интернет.</w:t>
      </w:r>
    </w:p>
    <w:p w14:paraId="48436AF5">
      <w:pPr>
        <w:tabs>
          <w:tab w:val="left" w:pos="1276"/>
        </w:tabs>
        <w:autoSpaceDE w:val="0"/>
        <w:autoSpaceDN w:val="0"/>
        <w:adjustRightInd w:val="0"/>
        <w:spacing w:after="0" w:line="240" w:lineRule="auto"/>
        <w:contextualSpacing/>
        <w:jc w:val="both"/>
        <w:rPr>
          <w:sz w:val="24"/>
          <w:szCs w:val="24"/>
        </w:rPr>
      </w:pPr>
    </w:p>
    <w:p w14:paraId="433DAA1C">
      <w:pPr>
        <w:tabs>
          <w:tab w:val="left" w:pos="1276"/>
        </w:tabs>
        <w:autoSpaceDE w:val="0"/>
        <w:autoSpaceDN w:val="0"/>
        <w:adjustRightInd w:val="0"/>
        <w:spacing w:after="0" w:line="240" w:lineRule="auto"/>
        <w:contextualSpacing/>
        <w:jc w:val="both"/>
        <w:rPr>
          <w:sz w:val="24"/>
          <w:szCs w:val="24"/>
        </w:rPr>
      </w:pPr>
      <w:r>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7D0EBED2">
      <w:pPr>
        <w:tabs>
          <w:tab w:val="left" w:pos="1276"/>
        </w:tabs>
        <w:autoSpaceDE w:val="0"/>
        <w:autoSpaceDN w:val="0"/>
        <w:adjustRightInd w:val="0"/>
        <w:spacing w:after="0" w:line="240" w:lineRule="auto"/>
        <w:contextualSpacing/>
        <w:jc w:val="both"/>
        <w:rPr>
          <w:sz w:val="24"/>
          <w:szCs w:val="24"/>
        </w:rPr>
      </w:pPr>
      <w:r>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066BA5AA">
      <w:pPr>
        <w:tabs>
          <w:tab w:val="left" w:pos="1276"/>
        </w:tabs>
        <w:autoSpaceDE w:val="0"/>
        <w:autoSpaceDN w:val="0"/>
        <w:adjustRightInd w:val="0"/>
        <w:spacing w:after="0" w:line="240" w:lineRule="auto"/>
        <w:contextualSpacing/>
        <w:jc w:val="both"/>
        <w:rPr>
          <w:sz w:val="24"/>
          <w:szCs w:val="24"/>
        </w:rPr>
      </w:pPr>
      <w:r>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6ED3DB10">
      <w:pPr>
        <w:tabs>
          <w:tab w:val="left" w:pos="1276"/>
        </w:tabs>
        <w:autoSpaceDE w:val="0"/>
        <w:autoSpaceDN w:val="0"/>
        <w:adjustRightInd w:val="0"/>
        <w:spacing w:after="0" w:line="240" w:lineRule="auto"/>
        <w:contextualSpacing/>
        <w:jc w:val="both"/>
        <w:rPr>
          <w:sz w:val="24"/>
          <w:szCs w:val="24"/>
        </w:rPr>
      </w:pPr>
      <w:r>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286677B9">
      <w:pPr>
        <w:pStyle w:val="153"/>
        <w:numPr>
          <w:ilvl w:val="0"/>
          <w:numId w:val="49"/>
        </w:numPr>
        <w:tabs>
          <w:tab w:val="left" w:pos="993"/>
        </w:tabs>
        <w:autoSpaceDE w:val="0"/>
        <w:autoSpaceDN w:val="0"/>
        <w:ind w:left="0" w:firstLine="709"/>
        <w:rPr>
          <w:sz w:val="24"/>
          <w:szCs w:val="24"/>
        </w:rPr>
      </w:pPr>
      <w:r>
        <w:rPr>
          <w:sz w:val="24"/>
          <w:szCs w:val="24"/>
        </w:rPr>
        <w:t>Финансовый план программ построен на основании данных управленческого учёта.</w:t>
      </w:r>
    </w:p>
    <w:p w14:paraId="6A23A901">
      <w:pPr>
        <w:pStyle w:val="153"/>
        <w:numPr>
          <w:ilvl w:val="0"/>
          <w:numId w:val="49"/>
        </w:numPr>
        <w:tabs>
          <w:tab w:val="left" w:pos="993"/>
        </w:tabs>
        <w:autoSpaceDE w:val="0"/>
        <w:autoSpaceDN w:val="0"/>
        <w:ind w:left="0" w:firstLine="709"/>
        <w:rPr>
          <w:sz w:val="24"/>
          <w:szCs w:val="24"/>
        </w:rPr>
      </w:pPr>
      <w:r>
        <w:rPr>
          <w:sz w:val="24"/>
          <w:szCs w:val="24"/>
        </w:rPr>
        <w:t>Все расчёты, представленные в финансовом плане, приведены в рублях, в текущих (прогнозных) ценах.</w:t>
      </w:r>
    </w:p>
    <w:p w14:paraId="4D141327">
      <w:pPr>
        <w:pStyle w:val="153"/>
        <w:numPr>
          <w:ilvl w:val="0"/>
          <w:numId w:val="49"/>
        </w:numPr>
        <w:tabs>
          <w:tab w:val="left" w:pos="993"/>
        </w:tabs>
        <w:autoSpaceDE w:val="0"/>
        <w:autoSpaceDN w:val="0"/>
        <w:ind w:left="0" w:firstLine="709"/>
        <w:rPr>
          <w:sz w:val="24"/>
          <w:szCs w:val="24"/>
        </w:rPr>
      </w:pPr>
      <w:r>
        <w:rPr>
          <w:sz w:val="24"/>
          <w:szCs w:val="24"/>
        </w:rPr>
        <w:t>Горизонт планирования, принятый для целей финансового плана, равен 6 годам (с 2024 до 2029 года включительно) с момента осуществления первых инвестиций. Интервал планирования равен 1 году.</w:t>
      </w:r>
    </w:p>
    <w:p w14:paraId="6DFF9978">
      <w:pPr>
        <w:pStyle w:val="153"/>
        <w:numPr>
          <w:ilvl w:val="0"/>
          <w:numId w:val="49"/>
        </w:numPr>
        <w:tabs>
          <w:tab w:val="left" w:pos="993"/>
        </w:tabs>
        <w:autoSpaceDE w:val="0"/>
        <w:autoSpaceDN w:val="0"/>
        <w:ind w:left="0" w:firstLine="709"/>
        <w:rPr>
          <w:sz w:val="24"/>
          <w:szCs w:val="24"/>
        </w:rPr>
      </w:pPr>
      <w:r>
        <w:rPr>
          <w:sz w:val="24"/>
          <w:szCs w:val="24"/>
        </w:rPr>
        <w:t>Расчёты построены на допущении о том, что все денежные потоки возникают в середине прогнозного года.</w:t>
      </w:r>
    </w:p>
    <w:p w14:paraId="4729FC30">
      <w:pPr>
        <w:pStyle w:val="153"/>
        <w:numPr>
          <w:ilvl w:val="0"/>
          <w:numId w:val="49"/>
        </w:numPr>
        <w:tabs>
          <w:tab w:val="left" w:pos="993"/>
        </w:tabs>
        <w:autoSpaceDE w:val="0"/>
        <w:autoSpaceDN w:val="0"/>
        <w:ind w:left="0" w:firstLine="709"/>
        <w:rPr>
          <w:sz w:val="24"/>
          <w:szCs w:val="24"/>
        </w:rPr>
      </w:pPr>
      <w:r>
        <w:rPr>
          <w:sz w:val="24"/>
          <w:szCs w:val="24"/>
        </w:rPr>
        <w:t>Расчёты предполагают наличие допустимых отклонений, связанных с округлением значений.</w:t>
      </w:r>
    </w:p>
    <w:p w14:paraId="18B42092">
      <w:pPr>
        <w:tabs>
          <w:tab w:val="left" w:pos="1276"/>
        </w:tabs>
        <w:autoSpaceDE w:val="0"/>
        <w:autoSpaceDN w:val="0"/>
        <w:adjustRightInd w:val="0"/>
        <w:spacing w:after="0" w:line="240" w:lineRule="auto"/>
        <w:contextualSpacing/>
        <w:jc w:val="both"/>
        <w:rPr>
          <w:sz w:val="24"/>
          <w:szCs w:val="24"/>
        </w:rPr>
      </w:pPr>
    </w:p>
    <w:p w14:paraId="61A3930C">
      <w:pPr>
        <w:tabs>
          <w:tab w:val="left" w:pos="1276"/>
        </w:tabs>
        <w:autoSpaceDE w:val="0"/>
        <w:autoSpaceDN w:val="0"/>
        <w:adjustRightInd w:val="0"/>
        <w:spacing w:after="0" w:line="240" w:lineRule="auto"/>
        <w:contextualSpacing/>
        <w:jc w:val="both"/>
        <w:rPr>
          <w:sz w:val="24"/>
          <w:szCs w:val="24"/>
        </w:rPr>
      </w:pPr>
      <w:r>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4FBCADAB">
      <w:pPr>
        <w:spacing w:after="0" w:line="240" w:lineRule="auto"/>
        <w:contextualSpacing/>
        <w:jc w:val="both"/>
        <w:rPr>
          <w:sz w:val="24"/>
          <w:szCs w:val="24"/>
        </w:rPr>
      </w:pPr>
    </w:p>
    <w:bookmarkEnd w:id="699"/>
    <w:bookmarkEnd w:id="700"/>
    <w:p w14:paraId="66206B57">
      <w:pPr>
        <w:pStyle w:val="3"/>
        <w:tabs>
          <w:tab w:val="left" w:pos="0"/>
        </w:tabs>
        <w:spacing w:before="0" w:line="240" w:lineRule="auto"/>
        <w:ind w:left="0" w:firstLine="709"/>
        <w:contextualSpacing/>
        <w:rPr>
          <w:rFonts w:cs="Times New Roman"/>
          <w:b w:val="0"/>
          <w:sz w:val="24"/>
          <w:szCs w:val="24"/>
        </w:rPr>
      </w:pPr>
      <w:bookmarkStart w:id="701" w:name="_Toc524614904"/>
      <w:bookmarkStart w:id="702" w:name="_Toc524615120"/>
      <w:bookmarkStart w:id="703" w:name="_Toc182814065"/>
      <w:bookmarkStart w:id="704" w:name="_Toc15640966"/>
      <w:bookmarkStart w:id="705" w:name="_Hlk15651827"/>
      <w:r>
        <w:rPr>
          <w:rFonts w:cs="Times New Roman"/>
          <w:b w:val="0"/>
          <w:sz w:val="24"/>
          <w:szCs w:val="24"/>
        </w:rPr>
        <w:t xml:space="preserve">Расчеты </w:t>
      </w:r>
      <w:bookmarkEnd w:id="701"/>
      <w:bookmarkEnd w:id="702"/>
      <w:r>
        <w:rPr>
          <w:rFonts w:cs="Times New Roman"/>
          <w:b w:val="0"/>
          <w:sz w:val="24"/>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03"/>
      <w:bookmarkEnd w:id="704"/>
    </w:p>
    <w:bookmarkEnd w:id="705"/>
    <w:p w14:paraId="247CD37B">
      <w:pPr>
        <w:tabs>
          <w:tab w:val="left" w:pos="1276"/>
        </w:tabs>
        <w:autoSpaceDE w:val="0"/>
        <w:autoSpaceDN w:val="0"/>
        <w:adjustRightInd w:val="0"/>
        <w:spacing w:after="0" w:line="240" w:lineRule="auto"/>
        <w:contextualSpacing/>
        <w:jc w:val="both"/>
        <w:rPr>
          <w:sz w:val="24"/>
          <w:szCs w:val="24"/>
        </w:rPr>
      </w:pPr>
      <w:bookmarkStart w:id="706" w:name="_Hlk15651835"/>
      <w:r>
        <w:rPr>
          <w:sz w:val="24"/>
          <w:szCs w:val="24"/>
        </w:rPr>
        <w:t>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w:t>
      </w:r>
    </w:p>
    <w:p w14:paraId="6FBAC04D">
      <w:pPr>
        <w:tabs>
          <w:tab w:val="left" w:pos="1276"/>
        </w:tabs>
        <w:autoSpaceDE w:val="0"/>
        <w:autoSpaceDN w:val="0"/>
        <w:adjustRightInd w:val="0"/>
        <w:spacing w:after="0" w:line="240" w:lineRule="auto"/>
        <w:contextualSpacing/>
        <w:jc w:val="both"/>
        <w:rPr>
          <w:sz w:val="24"/>
          <w:szCs w:val="24"/>
        </w:rPr>
      </w:pPr>
      <w:r>
        <w:rPr>
          <w:sz w:val="24"/>
          <w:szCs w:val="24"/>
        </w:rPr>
        <w:t>При расчёте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прибыль регулируемой организации. Тарифные сценарии по расчёту экономически обоснованных тарифов для реализации мероприятий Схемы разрабатывались путём прогноза расходов, формирующий действующие тарифы теплоснабжающей/теплосетевой организации, с учётом введения инвестиционных составляющих и включения расходов на капитальный ремонт тепловых сетей.</w:t>
      </w:r>
    </w:p>
    <w:p w14:paraId="6585A8E0">
      <w:pPr>
        <w:tabs>
          <w:tab w:val="left" w:pos="1276"/>
        </w:tabs>
        <w:autoSpaceDE w:val="0"/>
        <w:autoSpaceDN w:val="0"/>
        <w:adjustRightInd w:val="0"/>
        <w:spacing w:after="0" w:line="240" w:lineRule="auto"/>
        <w:contextualSpacing/>
        <w:jc w:val="both"/>
        <w:rPr>
          <w:sz w:val="24"/>
          <w:szCs w:val="24"/>
        </w:rPr>
      </w:pPr>
      <w:r>
        <w:rPr>
          <w:sz w:val="24"/>
          <w:szCs w:val="24"/>
        </w:rPr>
        <w:t>Для анализа влияния реализации мероприятий, предложенных в схеме теплоснабжения, на цену тепловой энергии, в данной работе разработаны прогнозный долгосрочный тарифный сценарий.</w:t>
      </w:r>
    </w:p>
    <w:p w14:paraId="2A8D4DE9">
      <w:pPr>
        <w:tabs>
          <w:tab w:val="left" w:pos="1276"/>
        </w:tabs>
        <w:autoSpaceDE w:val="0"/>
        <w:autoSpaceDN w:val="0"/>
        <w:adjustRightInd w:val="0"/>
        <w:spacing w:after="0" w:line="240" w:lineRule="auto"/>
        <w:contextualSpacing/>
        <w:jc w:val="both"/>
        <w:rPr>
          <w:sz w:val="24"/>
          <w:szCs w:val="24"/>
        </w:rPr>
      </w:pPr>
      <w:r>
        <w:rPr>
          <w:sz w:val="24"/>
          <w:szCs w:val="24"/>
        </w:rPr>
        <w:t>В тарифном сценарии учтены необходимые расходы на капитальный ремонт тепловых сетей и определены расходы на реализацию инвестиционных программ в тарифах и сроки их включения в тарифы, которые обеспечивают баланс интересов эксплуатирующих организаций и потребителей услуг теплоснабжения.</w:t>
      </w:r>
    </w:p>
    <w:p w14:paraId="367FE752">
      <w:pPr>
        <w:tabs>
          <w:tab w:val="left" w:pos="1276"/>
        </w:tabs>
        <w:autoSpaceDE w:val="0"/>
        <w:autoSpaceDN w:val="0"/>
        <w:adjustRightInd w:val="0"/>
        <w:spacing w:after="0" w:line="240" w:lineRule="auto"/>
        <w:contextualSpacing/>
        <w:jc w:val="both"/>
        <w:rPr>
          <w:sz w:val="24"/>
          <w:szCs w:val="24"/>
        </w:rPr>
      </w:pPr>
      <w:r>
        <w:rPr>
          <w:sz w:val="24"/>
          <w:szCs w:val="24"/>
        </w:rPr>
        <w:t>Показатели производственной программы, принятые в расчёт ценовых последствий реализации мероприятий, предложенных в схеме теплоснабжения, определены с учётом:</w:t>
      </w:r>
    </w:p>
    <w:p w14:paraId="0B8EA991">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плановых объёмов полезного отпуска тепловой энергии (мощности), с учётом изменения тепловых нагрузок потребителей тепловой энергии на перспективный период;</w:t>
      </w:r>
    </w:p>
    <w:p w14:paraId="64D4A49E">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выполнении капитальных ремонтов тепловых сетей и завершении реализации мероприятий схемы теплоснабжения к 2029 году.</w:t>
      </w:r>
    </w:p>
    <w:p w14:paraId="3FB462DB">
      <w:pPr>
        <w:tabs>
          <w:tab w:val="left" w:pos="1276"/>
        </w:tabs>
        <w:autoSpaceDE w:val="0"/>
        <w:autoSpaceDN w:val="0"/>
        <w:adjustRightInd w:val="0"/>
        <w:spacing w:after="0" w:line="240" w:lineRule="auto"/>
        <w:contextualSpacing/>
        <w:jc w:val="both"/>
        <w:rPr>
          <w:sz w:val="24"/>
          <w:szCs w:val="24"/>
        </w:rPr>
      </w:pPr>
    </w:p>
    <w:p w14:paraId="0DF817AC">
      <w:pPr>
        <w:tabs>
          <w:tab w:val="left" w:pos="1276"/>
        </w:tabs>
        <w:autoSpaceDE w:val="0"/>
        <w:autoSpaceDN w:val="0"/>
        <w:adjustRightInd w:val="0"/>
        <w:spacing w:after="0" w:line="240" w:lineRule="auto"/>
        <w:contextualSpacing/>
        <w:jc w:val="both"/>
        <w:rPr>
          <w:sz w:val="24"/>
          <w:szCs w:val="24"/>
        </w:rPr>
      </w:pPr>
      <w:r>
        <w:rPr>
          <w:sz w:val="24"/>
          <w:szCs w:val="24"/>
        </w:rPr>
        <w:t>В расчётах по теплоисточникам и по тепловым сетям приняты следующие основные производственные издержки:</w:t>
      </w:r>
    </w:p>
    <w:p w14:paraId="4027D4DE">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затраты на топливо;</w:t>
      </w:r>
    </w:p>
    <w:p w14:paraId="6C596F11">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затраты на покупную электроэнергию, воду и канализацию стоков;</w:t>
      </w:r>
    </w:p>
    <w:p w14:paraId="2E748284">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амортизационные отчисления;</w:t>
      </w:r>
    </w:p>
    <w:p w14:paraId="092EBF03">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затраты на оплату труда персонала, страховые отчисления, рассчитываемые исходя из фонда заработной платы;</w:t>
      </w:r>
    </w:p>
    <w:p w14:paraId="6AB088E0">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затраты на ремонт;</w:t>
      </w:r>
    </w:p>
    <w:p w14:paraId="2472BD09">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прочие затраты / цеховые расходы / общехозяйственные расходы / налоги, входящие в себестоимость.</w:t>
      </w:r>
    </w:p>
    <w:p w14:paraId="0316DE72">
      <w:pPr>
        <w:tabs>
          <w:tab w:val="left" w:pos="1276"/>
        </w:tabs>
        <w:autoSpaceDE w:val="0"/>
        <w:autoSpaceDN w:val="0"/>
        <w:adjustRightInd w:val="0"/>
        <w:spacing w:after="0" w:line="240" w:lineRule="auto"/>
        <w:contextualSpacing/>
        <w:jc w:val="both"/>
        <w:rPr>
          <w:sz w:val="24"/>
          <w:szCs w:val="24"/>
        </w:rPr>
      </w:pPr>
    </w:p>
    <w:p w14:paraId="70653883">
      <w:pPr>
        <w:tabs>
          <w:tab w:val="left" w:pos="1276"/>
        </w:tabs>
        <w:autoSpaceDE w:val="0"/>
        <w:autoSpaceDN w:val="0"/>
        <w:adjustRightInd w:val="0"/>
        <w:spacing w:after="0" w:line="240" w:lineRule="auto"/>
        <w:contextualSpacing/>
        <w:jc w:val="both"/>
        <w:rPr>
          <w:sz w:val="24"/>
          <w:szCs w:val="24"/>
        </w:rPr>
      </w:pPr>
      <w:r>
        <w:rPr>
          <w:sz w:val="24"/>
          <w:szCs w:val="24"/>
        </w:rPr>
        <w:t>Амортизация оборудования в части амортизации существующего оборудования принята без изменений.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теплоснабжения, определена линейным методом, исходя из стоимости объектов основных средств и срока их полезного использования, переделённого в соответствии с Постановлением Правительства РФ от 01.01.2002 № 1 «О классификации основных средств, включаемых в амортизационные группы».</w:t>
      </w:r>
    </w:p>
    <w:p w14:paraId="0B550EDE">
      <w:pPr>
        <w:tabs>
          <w:tab w:val="left" w:pos="1276"/>
        </w:tabs>
        <w:autoSpaceDE w:val="0"/>
        <w:autoSpaceDN w:val="0"/>
        <w:adjustRightInd w:val="0"/>
        <w:spacing w:after="0" w:line="240" w:lineRule="auto"/>
        <w:contextualSpacing/>
        <w:jc w:val="both"/>
        <w:rPr>
          <w:sz w:val="24"/>
          <w:szCs w:val="24"/>
        </w:rPr>
      </w:pPr>
      <w:r>
        <w:rPr>
          <w:sz w:val="24"/>
          <w:szCs w:val="24"/>
        </w:rPr>
        <w:t>Численность промышленно-производственного персонала тепловых источников и тепловых сетей определена на основании «Рекомендаций по нормированию труда работников энергетического хозяйства» Часть 1. Нормативы численности рабочих котельных установок и тепловых сетей (переизданные), утверждённых Приказом Госстроя России от 22.03.1999 № 65.</w:t>
      </w:r>
    </w:p>
    <w:p w14:paraId="5E8EB36B">
      <w:pPr>
        <w:tabs>
          <w:tab w:val="left" w:pos="1276"/>
        </w:tabs>
        <w:autoSpaceDE w:val="0"/>
        <w:autoSpaceDN w:val="0"/>
        <w:adjustRightInd w:val="0"/>
        <w:spacing w:after="0" w:line="240" w:lineRule="auto"/>
        <w:contextualSpacing/>
        <w:jc w:val="both"/>
        <w:rPr>
          <w:sz w:val="24"/>
          <w:szCs w:val="24"/>
        </w:rPr>
      </w:pPr>
      <w:r>
        <w:rPr>
          <w:sz w:val="24"/>
          <w:szCs w:val="24"/>
        </w:rPr>
        <w:t>При расчёте численности учтено, что при вводе объектов инвестирования в эксплуатацию у ТСО возникает потребность в дополнительном персонале. При этом в случае замены существующих тепловых источников на современные БМК либо при проведении мероприятий по автоматизации котельных предусмотрено сокращение численности персонала.</w:t>
      </w:r>
    </w:p>
    <w:p w14:paraId="540D0353">
      <w:pPr>
        <w:tabs>
          <w:tab w:val="left" w:pos="1276"/>
        </w:tabs>
        <w:autoSpaceDE w:val="0"/>
        <w:autoSpaceDN w:val="0"/>
        <w:adjustRightInd w:val="0"/>
        <w:spacing w:after="0" w:line="240" w:lineRule="auto"/>
        <w:contextualSpacing/>
        <w:jc w:val="both"/>
        <w:rPr>
          <w:sz w:val="24"/>
          <w:szCs w:val="24"/>
        </w:rPr>
      </w:pPr>
      <w:r>
        <w:rPr>
          <w:sz w:val="24"/>
          <w:szCs w:val="24"/>
        </w:rPr>
        <w:t>Прогноз отчислений на социальные нужды осуществлён исходя из следующих тарифов страховых взносов:</w:t>
      </w:r>
    </w:p>
    <w:p w14:paraId="375EC494">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в Пенсионный фонд РФ – 22 %;</w:t>
      </w:r>
    </w:p>
    <w:p w14:paraId="1CBD0285">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в Фонд социального страхования РФ – 2,9 %;</w:t>
      </w:r>
    </w:p>
    <w:p w14:paraId="5F03D9D3">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в Федеральный фонд обязательного медицинского страхования – 5,1 %;</w:t>
      </w:r>
    </w:p>
    <w:p w14:paraId="28D461BC">
      <w:pPr>
        <w:tabs>
          <w:tab w:val="left" w:pos="993"/>
        </w:tabs>
        <w:autoSpaceDE w:val="0"/>
        <w:autoSpaceDN w:val="0"/>
        <w:adjustRightInd w:val="0"/>
        <w:spacing w:after="0" w:line="240" w:lineRule="auto"/>
        <w:contextualSpacing/>
        <w:jc w:val="both"/>
        <w:rPr>
          <w:sz w:val="24"/>
          <w:szCs w:val="24"/>
        </w:rPr>
      </w:pPr>
      <w:r>
        <w:rPr>
          <w:sz w:val="24"/>
          <w:szCs w:val="24"/>
        </w:rPr>
        <w:t>–</w:t>
      </w:r>
      <w:r>
        <w:rPr>
          <w:sz w:val="24"/>
          <w:szCs w:val="24"/>
        </w:rPr>
        <w:tab/>
      </w:r>
      <w:r>
        <w:rPr>
          <w:sz w:val="24"/>
          <w:szCs w:val="24"/>
        </w:rPr>
        <w:t>на страхование от несчастных случаев на производстве и профессиональных заболеваний – 0,2 %.</w:t>
      </w:r>
    </w:p>
    <w:p w14:paraId="78FCD115">
      <w:pPr>
        <w:tabs>
          <w:tab w:val="left" w:pos="993"/>
        </w:tabs>
        <w:autoSpaceDE w:val="0"/>
        <w:autoSpaceDN w:val="0"/>
        <w:adjustRightInd w:val="0"/>
        <w:spacing w:after="0" w:line="240" w:lineRule="auto"/>
        <w:contextualSpacing/>
        <w:jc w:val="both"/>
        <w:rPr>
          <w:sz w:val="24"/>
          <w:szCs w:val="24"/>
        </w:rPr>
      </w:pPr>
    </w:p>
    <w:p w14:paraId="458792A2">
      <w:pPr>
        <w:tabs>
          <w:tab w:val="left" w:pos="993"/>
        </w:tabs>
        <w:autoSpaceDE w:val="0"/>
        <w:autoSpaceDN w:val="0"/>
        <w:adjustRightInd w:val="0"/>
        <w:spacing w:after="0" w:line="240" w:lineRule="auto"/>
        <w:contextualSpacing/>
        <w:jc w:val="both"/>
        <w:rPr>
          <w:sz w:val="24"/>
          <w:szCs w:val="24"/>
        </w:rPr>
      </w:pPr>
      <w:r>
        <w:rPr>
          <w:sz w:val="24"/>
          <w:szCs w:val="24"/>
        </w:rPr>
        <w:t>В таблице 66 представлены индексы-дефляторы, принятые для прогноза производственных расходов и тарифов на покупные энергоносители и воду.</w:t>
      </w:r>
    </w:p>
    <w:p w14:paraId="15C5FF1C">
      <w:pPr>
        <w:tabs>
          <w:tab w:val="left" w:pos="1276"/>
        </w:tabs>
        <w:spacing w:after="0" w:line="240" w:lineRule="auto"/>
        <w:ind w:firstLine="0"/>
        <w:contextualSpacing/>
        <w:jc w:val="both"/>
        <w:rPr>
          <w:bCs/>
          <w:sz w:val="24"/>
          <w:szCs w:val="24"/>
        </w:rPr>
      </w:pPr>
    </w:p>
    <w:p w14:paraId="644B5158">
      <w:pPr>
        <w:tabs>
          <w:tab w:val="left" w:pos="1276"/>
        </w:tabs>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66</w:t>
      </w:r>
      <w:r>
        <w:rPr>
          <w:sz w:val="24"/>
          <w:szCs w:val="24"/>
        </w:rPr>
        <w:fldChar w:fldCharType="end"/>
      </w:r>
      <w:r>
        <w:rPr>
          <w:bCs/>
          <w:sz w:val="24"/>
          <w:szCs w:val="24"/>
        </w:rPr>
        <w:t xml:space="preserve"> </w:t>
      </w:r>
      <w:r>
        <w:rPr>
          <w:sz w:val="24"/>
          <w:szCs w:val="24"/>
        </w:rPr>
        <w:t>– Прогноз индексов цен производителей и индексов-дефляторов по видам экономической деятельности на период до 2027 года, в % г/г (базовые показатели)</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7"/>
        <w:gridCol w:w="930"/>
        <w:gridCol w:w="930"/>
        <w:gridCol w:w="930"/>
        <w:gridCol w:w="930"/>
        <w:gridCol w:w="927"/>
      </w:tblGrid>
      <w:tr w14:paraId="2746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vMerge w:val="restart"/>
            <w:shd w:val="clear" w:color="auto" w:fill="auto"/>
            <w:noWrap/>
            <w:vAlign w:val="center"/>
          </w:tcPr>
          <w:p w14:paraId="7824C05B">
            <w:pPr>
              <w:spacing w:after="0" w:line="240" w:lineRule="auto"/>
              <w:ind w:firstLine="0"/>
              <w:contextualSpacing/>
              <w:jc w:val="center"/>
              <w:rPr>
                <w:sz w:val="20"/>
                <w:szCs w:val="20"/>
              </w:rPr>
            </w:pPr>
            <w:r>
              <w:rPr>
                <w:sz w:val="20"/>
                <w:szCs w:val="20"/>
              </w:rPr>
              <w:t>Показатель</w:t>
            </w:r>
          </w:p>
        </w:tc>
        <w:tc>
          <w:tcPr>
            <w:tcW w:w="472" w:type="pct"/>
            <w:shd w:val="clear" w:color="auto" w:fill="auto"/>
            <w:vAlign w:val="center"/>
          </w:tcPr>
          <w:p w14:paraId="1F56BD60">
            <w:pPr>
              <w:spacing w:after="0" w:line="240" w:lineRule="auto"/>
              <w:ind w:firstLine="0"/>
              <w:contextualSpacing/>
              <w:jc w:val="center"/>
              <w:rPr>
                <w:b/>
                <w:bCs/>
                <w:sz w:val="20"/>
                <w:szCs w:val="20"/>
              </w:rPr>
            </w:pPr>
            <w:r>
              <w:rPr>
                <w:b/>
                <w:bCs/>
                <w:sz w:val="20"/>
                <w:szCs w:val="20"/>
              </w:rPr>
              <w:t xml:space="preserve">2023 </w:t>
            </w:r>
          </w:p>
        </w:tc>
        <w:tc>
          <w:tcPr>
            <w:tcW w:w="472" w:type="pct"/>
            <w:shd w:val="clear" w:color="auto" w:fill="auto"/>
            <w:vAlign w:val="center"/>
          </w:tcPr>
          <w:p w14:paraId="316CF68B">
            <w:pPr>
              <w:spacing w:after="0" w:line="240" w:lineRule="auto"/>
              <w:ind w:firstLine="0"/>
              <w:contextualSpacing/>
              <w:jc w:val="center"/>
              <w:rPr>
                <w:b/>
                <w:bCs/>
                <w:sz w:val="20"/>
                <w:szCs w:val="20"/>
              </w:rPr>
            </w:pPr>
            <w:r>
              <w:rPr>
                <w:b/>
                <w:bCs/>
                <w:sz w:val="20"/>
                <w:szCs w:val="20"/>
              </w:rPr>
              <w:t xml:space="preserve">2024 </w:t>
            </w:r>
          </w:p>
        </w:tc>
        <w:tc>
          <w:tcPr>
            <w:tcW w:w="472" w:type="pct"/>
            <w:shd w:val="clear" w:color="auto" w:fill="auto"/>
            <w:vAlign w:val="center"/>
          </w:tcPr>
          <w:p w14:paraId="0D8791AA">
            <w:pPr>
              <w:spacing w:after="0" w:line="240" w:lineRule="auto"/>
              <w:ind w:firstLine="0"/>
              <w:contextualSpacing/>
              <w:jc w:val="center"/>
              <w:rPr>
                <w:b/>
                <w:bCs/>
                <w:sz w:val="20"/>
                <w:szCs w:val="20"/>
              </w:rPr>
            </w:pPr>
            <w:r>
              <w:rPr>
                <w:b/>
                <w:bCs/>
                <w:sz w:val="20"/>
                <w:szCs w:val="20"/>
              </w:rPr>
              <w:t xml:space="preserve">2025 </w:t>
            </w:r>
          </w:p>
        </w:tc>
        <w:tc>
          <w:tcPr>
            <w:tcW w:w="472" w:type="pct"/>
            <w:shd w:val="clear" w:color="auto" w:fill="auto"/>
            <w:vAlign w:val="center"/>
          </w:tcPr>
          <w:p w14:paraId="671D8BA8">
            <w:pPr>
              <w:spacing w:after="0" w:line="240" w:lineRule="auto"/>
              <w:ind w:firstLine="0"/>
              <w:contextualSpacing/>
              <w:jc w:val="center"/>
              <w:rPr>
                <w:b/>
                <w:bCs/>
                <w:sz w:val="20"/>
                <w:szCs w:val="20"/>
              </w:rPr>
            </w:pPr>
            <w:r>
              <w:rPr>
                <w:b/>
                <w:bCs/>
                <w:sz w:val="20"/>
                <w:szCs w:val="20"/>
              </w:rPr>
              <w:t xml:space="preserve">2026 </w:t>
            </w:r>
          </w:p>
        </w:tc>
        <w:tc>
          <w:tcPr>
            <w:tcW w:w="470" w:type="pct"/>
            <w:shd w:val="clear" w:color="auto" w:fill="auto"/>
            <w:vAlign w:val="center"/>
          </w:tcPr>
          <w:p w14:paraId="62573790">
            <w:pPr>
              <w:spacing w:after="0" w:line="240" w:lineRule="auto"/>
              <w:ind w:firstLine="0"/>
              <w:contextualSpacing/>
              <w:jc w:val="center"/>
              <w:rPr>
                <w:b/>
                <w:bCs/>
                <w:sz w:val="20"/>
                <w:szCs w:val="20"/>
              </w:rPr>
            </w:pPr>
            <w:r>
              <w:rPr>
                <w:b/>
                <w:bCs/>
                <w:sz w:val="20"/>
                <w:szCs w:val="20"/>
              </w:rPr>
              <w:t xml:space="preserve">2027 </w:t>
            </w:r>
          </w:p>
        </w:tc>
      </w:tr>
      <w:tr w14:paraId="52C4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vMerge w:val="continue"/>
            <w:shd w:val="clear" w:color="auto" w:fill="auto"/>
            <w:noWrap/>
            <w:vAlign w:val="center"/>
          </w:tcPr>
          <w:p w14:paraId="0A4E59D0">
            <w:pPr>
              <w:spacing w:after="0" w:line="240" w:lineRule="auto"/>
              <w:ind w:firstLine="0"/>
              <w:contextualSpacing/>
              <w:jc w:val="center"/>
              <w:rPr>
                <w:b/>
                <w:bCs/>
                <w:sz w:val="20"/>
                <w:szCs w:val="20"/>
              </w:rPr>
            </w:pPr>
          </w:p>
        </w:tc>
        <w:tc>
          <w:tcPr>
            <w:tcW w:w="472" w:type="pct"/>
            <w:shd w:val="clear" w:color="auto" w:fill="auto"/>
            <w:noWrap/>
            <w:vAlign w:val="bottom"/>
          </w:tcPr>
          <w:p w14:paraId="2DF98718">
            <w:pPr>
              <w:spacing w:after="0" w:line="240" w:lineRule="auto"/>
              <w:ind w:firstLine="0"/>
              <w:contextualSpacing/>
              <w:jc w:val="center"/>
              <w:rPr>
                <w:b/>
                <w:bCs/>
                <w:sz w:val="20"/>
                <w:szCs w:val="20"/>
              </w:rPr>
            </w:pPr>
            <w:r>
              <w:rPr>
                <w:b/>
                <w:bCs/>
                <w:sz w:val="20"/>
                <w:szCs w:val="20"/>
              </w:rPr>
              <w:t>отчет</w:t>
            </w:r>
          </w:p>
        </w:tc>
        <w:tc>
          <w:tcPr>
            <w:tcW w:w="472" w:type="pct"/>
            <w:shd w:val="clear" w:color="auto" w:fill="auto"/>
            <w:noWrap/>
            <w:vAlign w:val="bottom"/>
          </w:tcPr>
          <w:p w14:paraId="53D9D64D">
            <w:pPr>
              <w:spacing w:after="0" w:line="240" w:lineRule="auto"/>
              <w:ind w:firstLine="0"/>
              <w:contextualSpacing/>
              <w:jc w:val="center"/>
              <w:rPr>
                <w:b/>
                <w:bCs/>
                <w:sz w:val="20"/>
                <w:szCs w:val="20"/>
              </w:rPr>
            </w:pPr>
            <w:r>
              <w:rPr>
                <w:b/>
                <w:bCs/>
                <w:sz w:val="20"/>
                <w:szCs w:val="20"/>
              </w:rPr>
              <w:t>оценка</w:t>
            </w:r>
          </w:p>
        </w:tc>
        <w:tc>
          <w:tcPr>
            <w:tcW w:w="1414" w:type="pct"/>
            <w:gridSpan w:val="3"/>
            <w:shd w:val="clear" w:color="auto" w:fill="auto"/>
            <w:noWrap/>
            <w:vAlign w:val="bottom"/>
          </w:tcPr>
          <w:p w14:paraId="473BC651">
            <w:pPr>
              <w:spacing w:after="0" w:line="240" w:lineRule="auto"/>
              <w:ind w:firstLine="0"/>
              <w:contextualSpacing/>
              <w:jc w:val="center"/>
              <w:rPr>
                <w:b/>
                <w:bCs/>
                <w:sz w:val="20"/>
                <w:szCs w:val="20"/>
              </w:rPr>
            </w:pPr>
            <w:r>
              <w:rPr>
                <w:b/>
                <w:bCs/>
                <w:sz w:val="20"/>
                <w:szCs w:val="20"/>
              </w:rPr>
              <w:t>прогноз</w:t>
            </w:r>
          </w:p>
        </w:tc>
      </w:tr>
      <w:tr w14:paraId="15C6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6E9E727F">
            <w:pPr>
              <w:spacing w:after="0" w:line="240" w:lineRule="auto"/>
              <w:ind w:firstLine="0"/>
              <w:contextualSpacing/>
              <w:rPr>
                <w:b/>
                <w:bCs/>
                <w:sz w:val="20"/>
                <w:szCs w:val="20"/>
              </w:rPr>
            </w:pPr>
            <w:r>
              <w:rPr>
                <w:b/>
                <w:bCs/>
                <w:sz w:val="20"/>
                <w:szCs w:val="20"/>
              </w:rPr>
              <w:t>Промышленность</w:t>
            </w:r>
          </w:p>
        </w:tc>
        <w:tc>
          <w:tcPr>
            <w:tcW w:w="472" w:type="pct"/>
            <w:shd w:val="clear" w:color="auto" w:fill="auto"/>
            <w:noWrap/>
            <w:vAlign w:val="center"/>
          </w:tcPr>
          <w:p w14:paraId="3797F065">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77C4D267">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045B9B48">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08E7E5DF">
            <w:pPr>
              <w:spacing w:after="0" w:line="240" w:lineRule="auto"/>
              <w:ind w:firstLine="0"/>
              <w:contextualSpacing/>
              <w:jc w:val="center"/>
              <w:rPr>
                <w:sz w:val="20"/>
                <w:szCs w:val="20"/>
              </w:rPr>
            </w:pPr>
            <w:r>
              <w:rPr>
                <w:sz w:val="20"/>
                <w:szCs w:val="20"/>
              </w:rPr>
              <w:t> </w:t>
            </w:r>
          </w:p>
        </w:tc>
        <w:tc>
          <w:tcPr>
            <w:tcW w:w="470" w:type="pct"/>
            <w:shd w:val="clear" w:color="auto" w:fill="auto"/>
            <w:noWrap/>
            <w:vAlign w:val="bottom"/>
          </w:tcPr>
          <w:p w14:paraId="1CDFFC7B">
            <w:pPr>
              <w:spacing w:after="0" w:line="240" w:lineRule="auto"/>
              <w:ind w:firstLine="0"/>
              <w:contextualSpacing/>
              <w:rPr>
                <w:b/>
                <w:bCs/>
                <w:sz w:val="20"/>
                <w:szCs w:val="20"/>
              </w:rPr>
            </w:pPr>
            <w:r>
              <w:rPr>
                <w:b/>
                <w:bCs/>
                <w:sz w:val="20"/>
                <w:szCs w:val="20"/>
              </w:rPr>
              <w:t> </w:t>
            </w:r>
          </w:p>
        </w:tc>
      </w:tr>
      <w:tr w14:paraId="7EC3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4CC0CE89">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24341183">
            <w:pPr>
              <w:spacing w:after="0" w:line="240" w:lineRule="auto"/>
              <w:ind w:firstLine="0"/>
              <w:contextualSpacing/>
              <w:jc w:val="center"/>
              <w:rPr>
                <w:b/>
                <w:bCs/>
                <w:sz w:val="20"/>
                <w:szCs w:val="20"/>
              </w:rPr>
            </w:pPr>
            <w:r>
              <w:rPr>
                <w:b/>
                <w:bCs/>
                <w:sz w:val="20"/>
                <w:szCs w:val="20"/>
              </w:rPr>
              <w:t xml:space="preserve">105,5 </w:t>
            </w:r>
          </w:p>
        </w:tc>
        <w:tc>
          <w:tcPr>
            <w:tcW w:w="472" w:type="pct"/>
            <w:shd w:val="clear" w:color="auto" w:fill="auto"/>
            <w:noWrap/>
            <w:vAlign w:val="center"/>
          </w:tcPr>
          <w:p w14:paraId="51327C6F">
            <w:pPr>
              <w:spacing w:after="0" w:line="240" w:lineRule="auto"/>
              <w:ind w:firstLine="0"/>
              <w:contextualSpacing/>
              <w:jc w:val="center"/>
              <w:rPr>
                <w:b/>
                <w:bCs/>
                <w:sz w:val="20"/>
                <w:szCs w:val="20"/>
              </w:rPr>
            </w:pPr>
            <w:r>
              <w:rPr>
                <w:b/>
                <w:bCs/>
                <w:sz w:val="20"/>
                <w:szCs w:val="20"/>
              </w:rPr>
              <w:t xml:space="preserve">111,4 </w:t>
            </w:r>
          </w:p>
        </w:tc>
        <w:tc>
          <w:tcPr>
            <w:tcW w:w="472" w:type="pct"/>
            <w:shd w:val="clear" w:color="auto" w:fill="auto"/>
            <w:noWrap/>
            <w:vAlign w:val="center"/>
          </w:tcPr>
          <w:p w14:paraId="7C11E89D">
            <w:pPr>
              <w:spacing w:after="0" w:line="240" w:lineRule="auto"/>
              <w:ind w:firstLine="0"/>
              <w:contextualSpacing/>
              <w:jc w:val="center"/>
              <w:rPr>
                <w:b/>
                <w:bCs/>
                <w:sz w:val="20"/>
                <w:szCs w:val="20"/>
              </w:rPr>
            </w:pPr>
            <w:r>
              <w:rPr>
                <w:b/>
                <w:bCs/>
                <w:sz w:val="20"/>
                <w:szCs w:val="20"/>
              </w:rPr>
              <w:t xml:space="preserve">106,1 </w:t>
            </w:r>
          </w:p>
        </w:tc>
        <w:tc>
          <w:tcPr>
            <w:tcW w:w="472" w:type="pct"/>
            <w:shd w:val="clear" w:color="auto" w:fill="auto"/>
            <w:noWrap/>
            <w:vAlign w:val="center"/>
          </w:tcPr>
          <w:p w14:paraId="32875F8E">
            <w:pPr>
              <w:spacing w:after="0" w:line="240" w:lineRule="auto"/>
              <w:ind w:firstLine="0"/>
              <w:contextualSpacing/>
              <w:jc w:val="center"/>
              <w:rPr>
                <w:b/>
                <w:bCs/>
                <w:sz w:val="20"/>
                <w:szCs w:val="20"/>
              </w:rPr>
            </w:pPr>
            <w:r>
              <w:rPr>
                <w:b/>
                <w:bCs/>
                <w:sz w:val="20"/>
                <w:szCs w:val="20"/>
              </w:rPr>
              <w:t xml:space="preserve">103,3 </w:t>
            </w:r>
          </w:p>
        </w:tc>
        <w:tc>
          <w:tcPr>
            <w:tcW w:w="470" w:type="pct"/>
            <w:shd w:val="clear" w:color="auto" w:fill="auto"/>
            <w:noWrap/>
            <w:vAlign w:val="center"/>
          </w:tcPr>
          <w:p w14:paraId="393C1286">
            <w:pPr>
              <w:spacing w:after="0" w:line="240" w:lineRule="auto"/>
              <w:ind w:firstLine="0"/>
              <w:contextualSpacing/>
              <w:jc w:val="center"/>
              <w:rPr>
                <w:b/>
                <w:bCs/>
                <w:sz w:val="20"/>
                <w:szCs w:val="20"/>
              </w:rPr>
            </w:pPr>
            <w:r>
              <w:rPr>
                <w:b/>
                <w:bCs/>
                <w:sz w:val="20"/>
                <w:szCs w:val="20"/>
              </w:rPr>
              <w:t xml:space="preserve">103,3 </w:t>
            </w:r>
          </w:p>
        </w:tc>
      </w:tr>
      <w:tr w14:paraId="40CD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471C3F2D">
            <w:pPr>
              <w:spacing w:after="0" w:line="240" w:lineRule="auto"/>
              <w:ind w:firstLine="0"/>
              <w:contextualSpacing/>
              <w:rPr>
                <w:sz w:val="20"/>
                <w:szCs w:val="20"/>
              </w:rPr>
            </w:pPr>
            <w:r>
              <w:rPr>
                <w:sz w:val="20"/>
                <w:szCs w:val="20"/>
              </w:rPr>
              <w:t xml:space="preserve">  ИЦП</w:t>
            </w:r>
          </w:p>
        </w:tc>
        <w:tc>
          <w:tcPr>
            <w:tcW w:w="472" w:type="pct"/>
            <w:shd w:val="clear" w:color="auto" w:fill="auto"/>
            <w:noWrap/>
            <w:vAlign w:val="center"/>
          </w:tcPr>
          <w:p w14:paraId="0351D866">
            <w:pPr>
              <w:spacing w:after="0" w:line="240" w:lineRule="auto"/>
              <w:ind w:firstLine="0"/>
              <w:contextualSpacing/>
              <w:jc w:val="center"/>
              <w:rPr>
                <w:sz w:val="20"/>
                <w:szCs w:val="20"/>
              </w:rPr>
            </w:pPr>
            <w:r>
              <w:rPr>
                <w:sz w:val="20"/>
                <w:szCs w:val="20"/>
              </w:rPr>
              <w:t xml:space="preserve">104,0 </w:t>
            </w:r>
          </w:p>
        </w:tc>
        <w:tc>
          <w:tcPr>
            <w:tcW w:w="472" w:type="pct"/>
            <w:shd w:val="clear" w:color="auto" w:fill="auto"/>
            <w:noWrap/>
            <w:vAlign w:val="center"/>
          </w:tcPr>
          <w:p w14:paraId="64F8EFCB">
            <w:pPr>
              <w:spacing w:after="0" w:line="240" w:lineRule="auto"/>
              <w:ind w:firstLine="0"/>
              <w:contextualSpacing/>
              <w:jc w:val="center"/>
              <w:rPr>
                <w:sz w:val="20"/>
                <w:szCs w:val="20"/>
              </w:rPr>
            </w:pPr>
            <w:r>
              <w:rPr>
                <w:sz w:val="20"/>
                <w:szCs w:val="20"/>
              </w:rPr>
              <w:t xml:space="preserve">111,7 </w:t>
            </w:r>
          </w:p>
        </w:tc>
        <w:tc>
          <w:tcPr>
            <w:tcW w:w="472" w:type="pct"/>
            <w:shd w:val="clear" w:color="auto" w:fill="auto"/>
            <w:noWrap/>
            <w:vAlign w:val="center"/>
          </w:tcPr>
          <w:p w14:paraId="5CAAD996">
            <w:pPr>
              <w:spacing w:after="0" w:line="240" w:lineRule="auto"/>
              <w:ind w:firstLine="0"/>
              <w:contextualSpacing/>
              <w:jc w:val="center"/>
              <w:rPr>
                <w:sz w:val="20"/>
                <w:szCs w:val="20"/>
              </w:rPr>
            </w:pPr>
            <w:r>
              <w:rPr>
                <w:sz w:val="20"/>
                <w:szCs w:val="20"/>
              </w:rPr>
              <w:t xml:space="preserve">106,1 </w:t>
            </w:r>
          </w:p>
        </w:tc>
        <w:tc>
          <w:tcPr>
            <w:tcW w:w="472" w:type="pct"/>
            <w:shd w:val="clear" w:color="auto" w:fill="auto"/>
            <w:noWrap/>
            <w:vAlign w:val="center"/>
          </w:tcPr>
          <w:p w14:paraId="60211B0F">
            <w:pPr>
              <w:spacing w:after="0" w:line="240" w:lineRule="auto"/>
              <w:ind w:firstLine="0"/>
              <w:contextualSpacing/>
              <w:jc w:val="center"/>
              <w:rPr>
                <w:sz w:val="20"/>
                <w:szCs w:val="20"/>
              </w:rPr>
            </w:pPr>
            <w:r>
              <w:rPr>
                <w:sz w:val="20"/>
                <w:szCs w:val="20"/>
              </w:rPr>
              <w:t xml:space="preserve">103,6 </w:t>
            </w:r>
          </w:p>
        </w:tc>
        <w:tc>
          <w:tcPr>
            <w:tcW w:w="470" w:type="pct"/>
            <w:shd w:val="clear" w:color="auto" w:fill="auto"/>
            <w:noWrap/>
            <w:vAlign w:val="center"/>
          </w:tcPr>
          <w:p w14:paraId="0EBAF9AE">
            <w:pPr>
              <w:spacing w:after="0" w:line="240" w:lineRule="auto"/>
              <w:ind w:firstLine="0"/>
              <w:contextualSpacing/>
              <w:jc w:val="center"/>
              <w:rPr>
                <w:sz w:val="20"/>
                <w:szCs w:val="20"/>
              </w:rPr>
            </w:pPr>
            <w:r>
              <w:rPr>
                <w:sz w:val="20"/>
                <w:szCs w:val="20"/>
              </w:rPr>
              <w:t xml:space="preserve">103,5 </w:t>
            </w:r>
          </w:p>
        </w:tc>
      </w:tr>
      <w:tr w14:paraId="657B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7E033CD3">
            <w:pPr>
              <w:spacing w:after="0" w:line="240" w:lineRule="auto"/>
              <w:ind w:firstLine="0"/>
              <w:contextualSpacing/>
              <w:rPr>
                <w:i/>
                <w:iCs/>
                <w:sz w:val="20"/>
                <w:szCs w:val="20"/>
              </w:rPr>
            </w:pPr>
            <w:r>
              <w:rPr>
                <w:i/>
                <w:iCs/>
                <w:sz w:val="20"/>
                <w:szCs w:val="20"/>
              </w:rPr>
              <w:t xml:space="preserve">   в т. ч.  без продукции ТЭКа (нефть, нефтепродукты, уголь, газ, энергетика)</w:t>
            </w:r>
          </w:p>
        </w:tc>
        <w:tc>
          <w:tcPr>
            <w:tcW w:w="472" w:type="pct"/>
            <w:shd w:val="clear" w:color="auto" w:fill="auto"/>
            <w:noWrap/>
            <w:vAlign w:val="center"/>
          </w:tcPr>
          <w:p w14:paraId="454D017B">
            <w:pPr>
              <w:spacing w:after="0" w:line="240" w:lineRule="auto"/>
              <w:ind w:firstLine="0"/>
              <w:contextualSpacing/>
              <w:jc w:val="center"/>
              <w:rPr>
                <w:sz w:val="20"/>
                <w:szCs w:val="20"/>
              </w:rPr>
            </w:pPr>
            <w:r>
              <w:rPr>
                <w:sz w:val="20"/>
                <w:szCs w:val="20"/>
              </w:rPr>
              <w:t xml:space="preserve">103,3 </w:t>
            </w:r>
          </w:p>
        </w:tc>
        <w:tc>
          <w:tcPr>
            <w:tcW w:w="472" w:type="pct"/>
            <w:shd w:val="clear" w:color="auto" w:fill="auto"/>
            <w:noWrap/>
            <w:vAlign w:val="center"/>
          </w:tcPr>
          <w:p w14:paraId="39C357CF">
            <w:pPr>
              <w:spacing w:after="0" w:line="240" w:lineRule="auto"/>
              <w:ind w:firstLine="0"/>
              <w:contextualSpacing/>
              <w:jc w:val="center"/>
              <w:rPr>
                <w:sz w:val="20"/>
                <w:szCs w:val="20"/>
              </w:rPr>
            </w:pPr>
            <w:r>
              <w:rPr>
                <w:sz w:val="20"/>
                <w:szCs w:val="20"/>
              </w:rPr>
              <w:t xml:space="preserve">110,1 </w:t>
            </w:r>
          </w:p>
        </w:tc>
        <w:tc>
          <w:tcPr>
            <w:tcW w:w="472" w:type="pct"/>
            <w:shd w:val="clear" w:color="auto" w:fill="auto"/>
            <w:noWrap/>
            <w:vAlign w:val="center"/>
          </w:tcPr>
          <w:p w14:paraId="542240EE">
            <w:pPr>
              <w:spacing w:after="0" w:line="240" w:lineRule="auto"/>
              <w:ind w:firstLine="0"/>
              <w:contextualSpacing/>
              <w:jc w:val="center"/>
              <w:rPr>
                <w:sz w:val="20"/>
                <w:szCs w:val="20"/>
              </w:rPr>
            </w:pPr>
            <w:r>
              <w:rPr>
                <w:sz w:val="20"/>
                <w:szCs w:val="20"/>
              </w:rPr>
              <w:t xml:space="preserve">105,1 </w:t>
            </w:r>
          </w:p>
        </w:tc>
        <w:tc>
          <w:tcPr>
            <w:tcW w:w="472" w:type="pct"/>
            <w:shd w:val="clear" w:color="auto" w:fill="auto"/>
            <w:noWrap/>
            <w:vAlign w:val="center"/>
          </w:tcPr>
          <w:p w14:paraId="4CE7524D">
            <w:pPr>
              <w:spacing w:after="0" w:line="240" w:lineRule="auto"/>
              <w:ind w:firstLine="0"/>
              <w:contextualSpacing/>
              <w:jc w:val="center"/>
              <w:rPr>
                <w:sz w:val="20"/>
                <w:szCs w:val="20"/>
              </w:rPr>
            </w:pPr>
            <w:r>
              <w:rPr>
                <w:sz w:val="20"/>
                <w:szCs w:val="20"/>
              </w:rPr>
              <w:t xml:space="preserve">103,9 </w:t>
            </w:r>
          </w:p>
        </w:tc>
        <w:tc>
          <w:tcPr>
            <w:tcW w:w="470" w:type="pct"/>
            <w:shd w:val="clear" w:color="auto" w:fill="auto"/>
            <w:noWrap/>
            <w:vAlign w:val="center"/>
          </w:tcPr>
          <w:p w14:paraId="3679E8BD">
            <w:pPr>
              <w:spacing w:after="0" w:line="240" w:lineRule="auto"/>
              <w:ind w:firstLine="0"/>
              <w:contextualSpacing/>
              <w:jc w:val="center"/>
              <w:rPr>
                <w:sz w:val="20"/>
                <w:szCs w:val="20"/>
              </w:rPr>
            </w:pPr>
            <w:r>
              <w:rPr>
                <w:sz w:val="20"/>
                <w:szCs w:val="20"/>
              </w:rPr>
              <w:t xml:space="preserve">103,8 </w:t>
            </w:r>
          </w:p>
        </w:tc>
      </w:tr>
      <w:tr w14:paraId="5FE4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6975F607">
            <w:pPr>
              <w:spacing w:after="0" w:line="240" w:lineRule="auto"/>
              <w:ind w:firstLine="0"/>
              <w:contextualSpacing/>
              <w:rPr>
                <w:b/>
                <w:bCs/>
                <w:sz w:val="20"/>
                <w:szCs w:val="20"/>
              </w:rPr>
            </w:pPr>
            <w:r>
              <w:rPr>
                <w:b/>
                <w:bCs/>
                <w:sz w:val="20"/>
                <w:szCs w:val="20"/>
              </w:rPr>
              <w:t>Добыча полезных ископаемых</w:t>
            </w:r>
          </w:p>
        </w:tc>
        <w:tc>
          <w:tcPr>
            <w:tcW w:w="472" w:type="pct"/>
            <w:shd w:val="clear" w:color="auto" w:fill="auto"/>
            <w:noWrap/>
            <w:vAlign w:val="center"/>
          </w:tcPr>
          <w:p w14:paraId="456A4615">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529C9A14">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1AC821E6">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4A032F4A">
            <w:pPr>
              <w:spacing w:after="0" w:line="240" w:lineRule="auto"/>
              <w:ind w:firstLine="0"/>
              <w:contextualSpacing/>
              <w:jc w:val="center"/>
              <w:rPr>
                <w:sz w:val="20"/>
                <w:szCs w:val="20"/>
              </w:rPr>
            </w:pPr>
            <w:r>
              <w:rPr>
                <w:sz w:val="20"/>
                <w:szCs w:val="20"/>
              </w:rPr>
              <w:t> </w:t>
            </w:r>
          </w:p>
        </w:tc>
        <w:tc>
          <w:tcPr>
            <w:tcW w:w="470" w:type="pct"/>
            <w:shd w:val="clear" w:color="auto" w:fill="auto"/>
            <w:noWrap/>
            <w:vAlign w:val="bottom"/>
          </w:tcPr>
          <w:p w14:paraId="39E5F5E6">
            <w:pPr>
              <w:spacing w:after="0" w:line="240" w:lineRule="auto"/>
              <w:ind w:firstLine="0"/>
              <w:contextualSpacing/>
              <w:rPr>
                <w:b/>
                <w:bCs/>
                <w:sz w:val="20"/>
                <w:szCs w:val="20"/>
              </w:rPr>
            </w:pPr>
            <w:r>
              <w:rPr>
                <w:b/>
                <w:bCs/>
                <w:sz w:val="20"/>
                <w:szCs w:val="20"/>
              </w:rPr>
              <w:t> </w:t>
            </w:r>
          </w:p>
        </w:tc>
      </w:tr>
      <w:tr w14:paraId="5F12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078C428D">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1EF370EC">
            <w:pPr>
              <w:spacing w:after="0" w:line="240" w:lineRule="auto"/>
              <w:ind w:firstLine="0"/>
              <w:contextualSpacing/>
              <w:jc w:val="center"/>
              <w:rPr>
                <w:b/>
                <w:bCs/>
                <w:sz w:val="20"/>
                <w:szCs w:val="20"/>
              </w:rPr>
            </w:pPr>
            <w:r>
              <w:rPr>
                <w:b/>
                <w:bCs/>
                <w:sz w:val="20"/>
                <w:szCs w:val="20"/>
              </w:rPr>
              <w:t xml:space="preserve">104,5 </w:t>
            </w:r>
          </w:p>
        </w:tc>
        <w:tc>
          <w:tcPr>
            <w:tcW w:w="472" w:type="pct"/>
            <w:shd w:val="clear" w:color="auto" w:fill="auto"/>
            <w:noWrap/>
            <w:vAlign w:val="center"/>
          </w:tcPr>
          <w:p w14:paraId="3DF811C7">
            <w:pPr>
              <w:spacing w:after="0" w:line="240" w:lineRule="auto"/>
              <w:ind w:firstLine="0"/>
              <w:contextualSpacing/>
              <w:jc w:val="center"/>
              <w:rPr>
                <w:b/>
                <w:bCs/>
                <w:sz w:val="20"/>
                <w:szCs w:val="20"/>
              </w:rPr>
            </w:pPr>
            <w:r>
              <w:rPr>
                <w:b/>
                <w:bCs/>
                <w:sz w:val="20"/>
                <w:szCs w:val="20"/>
              </w:rPr>
              <w:t xml:space="preserve">118,9 </w:t>
            </w:r>
          </w:p>
        </w:tc>
        <w:tc>
          <w:tcPr>
            <w:tcW w:w="472" w:type="pct"/>
            <w:shd w:val="clear" w:color="auto" w:fill="auto"/>
            <w:noWrap/>
            <w:vAlign w:val="center"/>
          </w:tcPr>
          <w:p w14:paraId="20BFBCCE">
            <w:pPr>
              <w:spacing w:after="0" w:line="240" w:lineRule="auto"/>
              <w:ind w:firstLine="0"/>
              <w:contextualSpacing/>
              <w:jc w:val="center"/>
              <w:rPr>
                <w:b/>
                <w:bCs/>
                <w:sz w:val="20"/>
                <w:szCs w:val="20"/>
              </w:rPr>
            </w:pPr>
            <w:r>
              <w:rPr>
                <w:b/>
                <w:bCs/>
                <w:sz w:val="20"/>
                <w:szCs w:val="20"/>
              </w:rPr>
              <w:t xml:space="preserve">106,9 </w:t>
            </w:r>
          </w:p>
        </w:tc>
        <w:tc>
          <w:tcPr>
            <w:tcW w:w="472" w:type="pct"/>
            <w:shd w:val="clear" w:color="auto" w:fill="auto"/>
            <w:noWrap/>
            <w:vAlign w:val="center"/>
          </w:tcPr>
          <w:p w14:paraId="51616415">
            <w:pPr>
              <w:spacing w:after="0" w:line="240" w:lineRule="auto"/>
              <w:ind w:firstLine="0"/>
              <w:contextualSpacing/>
              <w:jc w:val="center"/>
              <w:rPr>
                <w:b/>
                <w:bCs/>
                <w:sz w:val="20"/>
                <w:szCs w:val="20"/>
              </w:rPr>
            </w:pPr>
            <w:r>
              <w:rPr>
                <w:b/>
                <w:bCs/>
                <w:sz w:val="20"/>
                <w:szCs w:val="20"/>
              </w:rPr>
              <w:t xml:space="preserve">101,8 </w:t>
            </w:r>
          </w:p>
        </w:tc>
        <w:tc>
          <w:tcPr>
            <w:tcW w:w="470" w:type="pct"/>
            <w:shd w:val="clear" w:color="auto" w:fill="auto"/>
            <w:noWrap/>
            <w:vAlign w:val="center"/>
          </w:tcPr>
          <w:p w14:paraId="7957A3CD">
            <w:pPr>
              <w:spacing w:after="0" w:line="240" w:lineRule="auto"/>
              <w:ind w:firstLine="0"/>
              <w:contextualSpacing/>
              <w:jc w:val="center"/>
              <w:rPr>
                <w:b/>
                <w:bCs/>
                <w:sz w:val="20"/>
                <w:szCs w:val="20"/>
              </w:rPr>
            </w:pPr>
            <w:r>
              <w:rPr>
                <w:b/>
                <w:bCs/>
                <w:sz w:val="20"/>
                <w:szCs w:val="20"/>
              </w:rPr>
              <w:t xml:space="preserve">102,1 </w:t>
            </w:r>
          </w:p>
        </w:tc>
      </w:tr>
      <w:tr w14:paraId="127D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6C129745">
            <w:pPr>
              <w:spacing w:after="0" w:line="240" w:lineRule="auto"/>
              <w:ind w:firstLine="0"/>
              <w:contextualSpacing/>
              <w:rPr>
                <w:sz w:val="20"/>
                <w:szCs w:val="20"/>
              </w:rPr>
            </w:pPr>
            <w:r>
              <w:rPr>
                <w:sz w:val="20"/>
                <w:szCs w:val="20"/>
              </w:rPr>
              <w:t xml:space="preserve">  ИЦП</w:t>
            </w:r>
          </w:p>
        </w:tc>
        <w:tc>
          <w:tcPr>
            <w:tcW w:w="472" w:type="pct"/>
            <w:shd w:val="clear" w:color="auto" w:fill="auto"/>
            <w:noWrap/>
            <w:vAlign w:val="center"/>
          </w:tcPr>
          <w:p w14:paraId="12A38778">
            <w:pPr>
              <w:spacing w:after="0" w:line="240" w:lineRule="auto"/>
              <w:ind w:firstLine="0"/>
              <w:contextualSpacing/>
              <w:jc w:val="center"/>
              <w:rPr>
                <w:sz w:val="20"/>
                <w:szCs w:val="20"/>
              </w:rPr>
            </w:pPr>
            <w:r>
              <w:rPr>
                <w:sz w:val="20"/>
                <w:szCs w:val="20"/>
              </w:rPr>
              <w:t xml:space="preserve">104,2 </w:t>
            </w:r>
          </w:p>
        </w:tc>
        <w:tc>
          <w:tcPr>
            <w:tcW w:w="472" w:type="pct"/>
            <w:shd w:val="clear" w:color="auto" w:fill="auto"/>
            <w:noWrap/>
            <w:vAlign w:val="center"/>
          </w:tcPr>
          <w:p w14:paraId="7A0B674E">
            <w:pPr>
              <w:spacing w:after="0" w:line="240" w:lineRule="auto"/>
              <w:ind w:firstLine="0"/>
              <w:contextualSpacing/>
              <w:jc w:val="center"/>
              <w:rPr>
                <w:sz w:val="20"/>
                <w:szCs w:val="20"/>
              </w:rPr>
            </w:pPr>
            <w:r>
              <w:rPr>
                <w:sz w:val="20"/>
                <w:szCs w:val="20"/>
              </w:rPr>
              <w:t xml:space="preserve">116,9 </w:t>
            </w:r>
          </w:p>
        </w:tc>
        <w:tc>
          <w:tcPr>
            <w:tcW w:w="472" w:type="pct"/>
            <w:shd w:val="clear" w:color="auto" w:fill="auto"/>
            <w:noWrap/>
            <w:vAlign w:val="center"/>
          </w:tcPr>
          <w:p w14:paraId="047E18A0">
            <w:pPr>
              <w:spacing w:after="0" w:line="240" w:lineRule="auto"/>
              <w:ind w:firstLine="0"/>
              <w:contextualSpacing/>
              <w:jc w:val="center"/>
              <w:rPr>
                <w:sz w:val="20"/>
                <w:szCs w:val="20"/>
              </w:rPr>
            </w:pPr>
            <w:r>
              <w:rPr>
                <w:sz w:val="20"/>
                <w:szCs w:val="20"/>
              </w:rPr>
              <w:t xml:space="preserve">107,4 </w:t>
            </w:r>
          </w:p>
        </w:tc>
        <w:tc>
          <w:tcPr>
            <w:tcW w:w="472" w:type="pct"/>
            <w:shd w:val="clear" w:color="auto" w:fill="auto"/>
            <w:noWrap/>
            <w:vAlign w:val="center"/>
          </w:tcPr>
          <w:p w14:paraId="77564F19">
            <w:pPr>
              <w:spacing w:after="0" w:line="240" w:lineRule="auto"/>
              <w:ind w:firstLine="0"/>
              <w:contextualSpacing/>
              <w:jc w:val="center"/>
              <w:rPr>
                <w:sz w:val="20"/>
                <w:szCs w:val="20"/>
              </w:rPr>
            </w:pPr>
            <w:r>
              <w:rPr>
                <w:sz w:val="20"/>
                <w:szCs w:val="20"/>
              </w:rPr>
              <w:t xml:space="preserve">102,0 </w:t>
            </w:r>
          </w:p>
        </w:tc>
        <w:tc>
          <w:tcPr>
            <w:tcW w:w="470" w:type="pct"/>
            <w:shd w:val="clear" w:color="auto" w:fill="auto"/>
            <w:noWrap/>
            <w:vAlign w:val="center"/>
          </w:tcPr>
          <w:p w14:paraId="0ABE00A6">
            <w:pPr>
              <w:spacing w:after="0" w:line="240" w:lineRule="auto"/>
              <w:ind w:firstLine="0"/>
              <w:contextualSpacing/>
              <w:jc w:val="center"/>
              <w:rPr>
                <w:sz w:val="20"/>
                <w:szCs w:val="20"/>
              </w:rPr>
            </w:pPr>
            <w:r>
              <w:rPr>
                <w:sz w:val="20"/>
                <w:szCs w:val="20"/>
              </w:rPr>
              <w:t xml:space="preserve">102,4 </w:t>
            </w:r>
          </w:p>
        </w:tc>
      </w:tr>
      <w:tr w14:paraId="06F1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3BDC104C">
            <w:pPr>
              <w:spacing w:after="0" w:line="240" w:lineRule="auto"/>
              <w:ind w:firstLine="0"/>
              <w:contextualSpacing/>
              <w:rPr>
                <w:b/>
                <w:bCs/>
                <w:sz w:val="20"/>
                <w:szCs w:val="20"/>
              </w:rPr>
            </w:pPr>
            <w:r>
              <w:rPr>
                <w:b/>
                <w:bCs/>
                <w:sz w:val="20"/>
                <w:szCs w:val="20"/>
              </w:rPr>
              <w:t>Добыча топливно-энергетических полезных ископаемых</w:t>
            </w:r>
          </w:p>
        </w:tc>
        <w:tc>
          <w:tcPr>
            <w:tcW w:w="472" w:type="pct"/>
            <w:shd w:val="clear" w:color="auto" w:fill="auto"/>
            <w:noWrap/>
            <w:vAlign w:val="center"/>
          </w:tcPr>
          <w:p w14:paraId="7336152D">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743BA5D2">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2C30C93F">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133EEE17">
            <w:pPr>
              <w:spacing w:after="0" w:line="240" w:lineRule="auto"/>
              <w:ind w:firstLine="0"/>
              <w:contextualSpacing/>
              <w:jc w:val="center"/>
              <w:rPr>
                <w:sz w:val="20"/>
                <w:szCs w:val="20"/>
              </w:rPr>
            </w:pPr>
            <w:r>
              <w:rPr>
                <w:sz w:val="20"/>
                <w:szCs w:val="20"/>
              </w:rPr>
              <w:t> </w:t>
            </w:r>
          </w:p>
        </w:tc>
        <w:tc>
          <w:tcPr>
            <w:tcW w:w="470" w:type="pct"/>
            <w:shd w:val="clear" w:color="auto" w:fill="auto"/>
            <w:noWrap/>
            <w:vAlign w:val="bottom"/>
          </w:tcPr>
          <w:p w14:paraId="4FEA90ED">
            <w:pPr>
              <w:spacing w:after="0" w:line="240" w:lineRule="auto"/>
              <w:ind w:firstLine="0"/>
              <w:contextualSpacing/>
              <w:rPr>
                <w:b/>
                <w:bCs/>
                <w:sz w:val="20"/>
                <w:szCs w:val="20"/>
              </w:rPr>
            </w:pPr>
            <w:r>
              <w:rPr>
                <w:b/>
                <w:bCs/>
                <w:sz w:val="20"/>
                <w:szCs w:val="20"/>
              </w:rPr>
              <w:t> </w:t>
            </w:r>
          </w:p>
        </w:tc>
      </w:tr>
      <w:tr w14:paraId="21C1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339A05C4">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1DBC584F">
            <w:pPr>
              <w:spacing w:after="0" w:line="240" w:lineRule="auto"/>
              <w:ind w:firstLine="0"/>
              <w:contextualSpacing/>
              <w:jc w:val="center"/>
              <w:rPr>
                <w:b/>
                <w:bCs/>
                <w:sz w:val="20"/>
                <w:szCs w:val="20"/>
              </w:rPr>
            </w:pPr>
            <w:r>
              <w:rPr>
                <w:b/>
                <w:bCs/>
                <w:sz w:val="20"/>
                <w:szCs w:val="20"/>
              </w:rPr>
              <w:t xml:space="preserve">102,6 </w:t>
            </w:r>
          </w:p>
        </w:tc>
        <w:tc>
          <w:tcPr>
            <w:tcW w:w="472" w:type="pct"/>
            <w:shd w:val="clear" w:color="auto" w:fill="auto"/>
            <w:noWrap/>
            <w:vAlign w:val="center"/>
          </w:tcPr>
          <w:p w14:paraId="6745C0E7">
            <w:pPr>
              <w:spacing w:after="0" w:line="240" w:lineRule="auto"/>
              <w:ind w:firstLine="0"/>
              <w:contextualSpacing/>
              <w:jc w:val="center"/>
              <w:rPr>
                <w:b/>
                <w:bCs/>
                <w:sz w:val="20"/>
                <w:szCs w:val="20"/>
              </w:rPr>
            </w:pPr>
            <w:r>
              <w:rPr>
                <w:b/>
                <w:bCs/>
                <w:sz w:val="20"/>
                <w:szCs w:val="20"/>
              </w:rPr>
              <w:t xml:space="preserve">119,4 </w:t>
            </w:r>
          </w:p>
        </w:tc>
        <w:tc>
          <w:tcPr>
            <w:tcW w:w="472" w:type="pct"/>
            <w:shd w:val="clear" w:color="auto" w:fill="auto"/>
            <w:noWrap/>
            <w:vAlign w:val="center"/>
          </w:tcPr>
          <w:p w14:paraId="247B9EB3">
            <w:pPr>
              <w:spacing w:after="0" w:line="240" w:lineRule="auto"/>
              <w:ind w:firstLine="0"/>
              <w:contextualSpacing/>
              <w:jc w:val="center"/>
              <w:rPr>
                <w:b/>
                <w:bCs/>
                <w:sz w:val="20"/>
                <w:szCs w:val="20"/>
              </w:rPr>
            </w:pPr>
            <w:r>
              <w:rPr>
                <w:b/>
                <w:bCs/>
                <w:sz w:val="20"/>
                <w:szCs w:val="20"/>
              </w:rPr>
              <w:t xml:space="preserve">107,3 </w:t>
            </w:r>
          </w:p>
        </w:tc>
        <w:tc>
          <w:tcPr>
            <w:tcW w:w="472" w:type="pct"/>
            <w:shd w:val="clear" w:color="auto" w:fill="auto"/>
            <w:noWrap/>
            <w:vAlign w:val="center"/>
          </w:tcPr>
          <w:p w14:paraId="748D2522">
            <w:pPr>
              <w:spacing w:after="0" w:line="240" w:lineRule="auto"/>
              <w:ind w:firstLine="0"/>
              <w:contextualSpacing/>
              <w:jc w:val="center"/>
              <w:rPr>
                <w:b/>
                <w:bCs/>
                <w:sz w:val="20"/>
                <w:szCs w:val="20"/>
              </w:rPr>
            </w:pPr>
            <w:r>
              <w:rPr>
                <w:b/>
                <w:bCs/>
                <w:sz w:val="20"/>
                <w:szCs w:val="20"/>
              </w:rPr>
              <w:t xml:space="preserve">101,5 </w:t>
            </w:r>
          </w:p>
        </w:tc>
        <w:tc>
          <w:tcPr>
            <w:tcW w:w="470" w:type="pct"/>
            <w:shd w:val="clear" w:color="auto" w:fill="auto"/>
            <w:noWrap/>
            <w:vAlign w:val="center"/>
          </w:tcPr>
          <w:p w14:paraId="52DC4F67">
            <w:pPr>
              <w:spacing w:after="0" w:line="240" w:lineRule="auto"/>
              <w:ind w:firstLine="0"/>
              <w:contextualSpacing/>
              <w:jc w:val="center"/>
              <w:rPr>
                <w:b/>
                <w:bCs/>
                <w:sz w:val="20"/>
                <w:szCs w:val="20"/>
              </w:rPr>
            </w:pPr>
            <w:r>
              <w:rPr>
                <w:b/>
                <w:bCs/>
                <w:sz w:val="20"/>
                <w:szCs w:val="20"/>
              </w:rPr>
              <w:t xml:space="preserve">101,8 </w:t>
            </w:r>
          </w:p>
        </w:tc>
      </w:tr>
      <w:tr w14:paraId="2724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7D02BE4C">
            <w:pPr>
              <w:spacing w:after="0" w:line="240" w:lineRule="auto"/>
              <w:ind w:firstLine="0"/>
              <w:contextualSpacing/>
              <w:rPr>
                <w:sz w:val="20"/>
                <w:szCs w:val="20"/>
              </w:rPr>
            </w:pPr>
            <w:r>
              <w:rPr>
                <w:sz w:val="20"/>
                <w:szCs w:val="20"/>
              </w:rPr>
              <w:t xml:space="preserve">  ИЦП</w:t>
            </w:r>
          </w:p>
        </w:tc>
        <w:tc>
          <w:tcPr>
            <w:tcW w:w="472" w:type="pct"/>
            <w:shd w:val="clear" w:color="auto" w:fill="auto"/>
            <w:noWrap/>
            <w:vAlign w:val="center"/>
          </w:tcPr>
          <w:p w14:paraId="6904B481">
            <w:pPr>
              <w:spacing w:after="0" w:line="240" w:lineRule="auto"/>
              <w:ind w:firstLine="0"/>
              <w:contextualSpacing/>
              <w:jc w:val="center"/>
              <w:rPr>
                <w:sz w:val="20"/>
                <w:szCs w:val="20"/>
              </w:rPr>
            </w:pPr>
            <w:r>
              <w:rPr>
                <w:sz w:val="20"/>
                <w:szCs w:val="20"/>
              </w:rPr>
              <w:t xml:space="preserve">103,3 </w:t>
            </w:r>
          </w:p>
        </w:tc>
        <w:tc>
          <w:tcPr>
            <w:tcW w:w="472" w:type="pct"/>
            <w:shd w:val="clear" w:color="auto" w:fill="auto"/>
            <w:noWrap/>
            <w:vAlign w:val="center"/>
          </w:tcPr>
          <w:p w14:paraId="79AC72C9">
            <w:pPr>
              <w:spacing w:after="0" w:line="240" w:lineRule="auto"/>
              <w:ind w:firstLine="0"/>
              <w:contextualSpacing/>
              <w:jc w:val="center"/>
              <w:rPr>
                <w:sz w:val="20"/>
                <w:szCs w:val="20"/>
              </w:rPr>
            </w:pPr>
            <w:r>
              <w:rPr>
                <w:sz w:val="20"/>
                <w:szCs w:val="20"/>
              </w:rPr>
              <w:t xml:space="preserve">117,1 </w:t>
            </w:r>
          </w:p>
        </w:tc>
        <w:tc>
          <w:tcPr>
            <w:tcW w:w="472" w:type="pct"/>
            <w:shd w:val="clear" w:color="auto" w:fill="auto"/>
            <w:noWrap/>
            <w:vAlign w:val="center"/>
          </w:tcPr>
          <w:p w14:paraId="5D63B118">
            <w:pPr>
              <w:spacing w:after="0" w:line="240" w:lineRule="auto"/>
              <w:ind w:firstLine="0"/>
              <w:contextualSpacing/>
              <w:jc w:val="center"/>
              <w:rPr>
                <w:sz w:val="20"/>
                <w:szCs w:val="20"/>
              </w:rPr>
            </w:pPr>
            <w:r>
              <w:rPr>
                <w:sz w:val="20"/>
                <w:szCs w:val="20"/>
              </w:rPr>
              <w:t xml:space="preserve">107,9 </w:t>
            </w:r>
          </w:p>
        </w:tc>
        <w:tc>
          <w:tcPr>
            <w:tcW w:w="472" w:type="pct"/>
            <w:shd w:val="clear" w:color="auto" w:fill="auto"/>
            <w:noWrap/>
            <w:vAlign w:val="center"/>
          </w:tcPr>
          <w:p w14:paraId="105F7922">
            <w:pPr>
              <w:spacing w:after="0" w:line="240" w:lineRule="auto"/>
              <w:ind w:firstLine="0"/>
              <w:contextualSpacing/>
              <w:jc w:val="center"/>
              <w:rPr>
                <w:sz w:val="20"/>
                <w:szCs w:val="20"/>
              </w:rPr>
            </w:pPr>
            <w:r>
              <w:rPr>
                <w:sz w:val="20"/>
                <w:szCs w:val="20"/>
              </w:rPr>
              <w:t xml:space="preserve">101,7 </w:t>
            </w:r>
          </w:p>
        </w:tc>
        <w:tc>
          <w:tcPr>
            <w:tcW w:w="470" w:type="pct"/>
            <w:shd w:val="clear" w:color="auto" w:fill="auto"/>
            <w:noWrap/>
            <w:vAlign w:val="center"/>
          </w:tcPr>
          <w:p w14:paraId="2C97291D">
            <w:pPr>
              <w:spacing w:after="0" w:line="240" w:lineRule="auto"/>
              <w:ind w:firstLine="0"/>
              <w:contextualSpacing/>
              <w:jc w:val="center"/>
              <w:rPr>
                <w:sz w:val="20"/>
                <w:szCs w:val="20"/>
              </w:rPr>
            </w:pPr>
            <w:r>
              <w:rPr>
                <w:sz w:val="20"/>
                <w:szCs w:val="20"/>
              </w:rPr>
              <w:t xml:space="preserve">102,3 </w:t>
            </w:r>
          </w:p>
        </w:tc>
      </w:tr>
      <w:tr w14:paraId="79CA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6106E395">
            <w:pPr>
              <w:spacing w:after="0" w:line="240" w:lineRule="auto"/>
              <w:ind w:firstLine="0"/>
              <w:contextualSpacing/>
              <w:rPr>
                <w:b/>
                <w:bCs/>
                <w:sz w:val="20"/>
                <w:szCs w:val="20"/>
              </w:rPr>
            </w:pPr>
            <w:r>
              <w:rPr>
                <w:b/>
                <w:bCs/>
                <w:sz w:val="20"/>
                <w:szCs w:val="20"/>
              </w:rPr>
              <w:t>Добыча сырой нефти и природного газа</w:t>
            </w:r>
          </w:p>
        </w:tc>
        <w:tc>
          <w:tcPr>
            <w:tcW w:w="472" w:type="pct"/>
            <w:shd w:val="clear" w:color="auto" w:fill="auto"/>
            <w:noWrap/>
            <w:vAlign w:val="center"/>
          </w:tcPr>
          <w:p w14:paraId="534F9394">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55245166">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36568F65">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7283CBAC">
            <w:pPr>
              <w:spacing w:after="0" w:line="240" w:lineRule="auto"/>
              <w:ind w:firstLine="0"/>
              <w:contextualSpacing/>
              <w:jc w:val="center"/>
              <w:rPr>
                <w:sz w:val="20"/>
                <w:szCs w:val="20"/>
              </w:rPr>
            </w:pPr>
            <w:r>
              <w:rPr>
                <w:sz w:val="20"/>
                <w:szCs w:val="20"/>
              </w:rPr>
              <w:t> </w:t>
            </w:r>
          </w:p>
        </w:tc>
        <w:tc>
          <w:tcPr>
            <w:tcW w:w="470" w:type="pct"/>
            <w:shd w:val="clear" w:color="auto" w:fill="auto"/>
            <w:noWrap/>
            <w:vAlign w:val="bottom"/>
          </w:tcPr>
          <w:p w14:paraId="2EE9F951">
            <w:pPr>
              <w:spacing w:after="0" w:line="240" w:lineRule="auto"/>
              <w:ind w:firstLine="0"/>
              <w:contextualSpacing/>
              <w:rPr>
                <w:b/>
                <w:bCs/>
                <w:sz w:val="20"/>
                <w:szCs w:val="20"/>
              </w:rPr>
            </w:pPr>
            <w:r>
              <w:rPr>
                <w:b/>
                <w:bCs/>
                <w:sz w:val="20"/>
                <w:szCs w:val="20"/>
              </w:rPr>
              <w:t> </w:t>
            </w:r>
          </w:p>
        </w:tc>
      </w:tr>
      <w:tr w14:paraId="2EDB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101CB8AD">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7265109D">
            <w:pPr>
              <w:spacing w:after="0" w:line="240" w:lineRule="auto"/>
              <w:ind w:firstLine="0"/>
              <w:contextualSpacing/>
              <w:jc w:val="center"/>
              <w:rPr>
                <w:b/>
                <w:bCs/>
                <w:sz w:val="20"/>
                <w:szCs w:val="20"/>
              </w:rPr>
            </w:pPr>
            <w:r>
              <w:rPr>
                <w:b/>
                <w:bCs/>
                <w:sz w:val="20"/>
                <w:szCs w:val="20"/>
              </w:rPr>
              <w:t xml:space="preserve">105,1 </w:t>
            </w:r>
          </w:p>
        </w:tc>
        <w:tc>
          <w:tcPr>
            <w:tcW w:w="472" w:type="pct"/>
            <w:shd w:val="clear" w:color="auto" w:fill="auto"/>
            <w:noWrap/>
            <w:vAlign w:val="center"/>
          </w:tcPr>
          <w:p w14:paraId="4A17B496">
            <w:pPr>
              <w:spacing w:after="0" w:line="240" w:lineRule="auto"/>
              <w:ind w:firstLine="0"/>
              <w:contextualSpacing/>
              <w:jc w:val="center"/>
              <w:rPr>
                <w:b/>
                <w:bCs/>
                <w:sz w:val="20"/>
                <w:szCs w:val="20"/>
              </w:rPr>
            </w:pPr>
            <w:r>
              <w:rPr>
                <w:b/>
                <w:bCs/>
                <w:sz w:val="20"/>
                <w:szCs w:val="20"/>
              </w:rPr>
              <w:t xml:space="preserve">121,4 </w:t>
            </w:r>
          </w:p>
        </w:tc>
        <w:tc>
          <w:tcPr>
            <w:tcW w:w="472" w:type="pct"/>
            <w:shd w:val="clear" w:color="auto" w:fill="auto"/>
            <w:noWrap/>
            <w:vAlign w:val="center"/>
          </w:tcPr>
          <w:p w14:paraId="214F41D7">
            <w:pPr>
              <w:spacing w:after="0" w:line="240" w:lineRule="auto"/>
              <w:ind w:firstLine="0"/>
              <w:contextualSpacing/>
              <w:jc w:val="center"/>
              <w:rPr>
                <w:b/>
                <w:bCs/>
                <w:sz w:val="20"/>
                <w:szCs w:val="20"/>
              </w:rPr>
            </w:pPr>
            <w:r>
              <w:rPr>
                <w:b/>
                <w:bCs/>
                <w:sz w:val="20"/>
                <w:szCs w:val="20"/>
              </w:rPr>
              <w:t xml:space="preserve">107,4 </w:t>
            </w:r>
          </w:p>
        </w:tc>
        <w:tc>
          <w:tcPr>
            <w:tcW w:w="472" w:type="pct"/>
            <w:shd w:val="clear" w:color="auto" w:fill="auto"/>
            <w:noWrap/>
            <w:vAlign w:val="center"/>
          </w:tcPr>
          <w:p w14:paraId="028EF458">
            <w:pPr>
              <w:spacing w:after="0" w:line="240" w:lineRule="auto"/>
              <w:ind w:firstLine="0"/>
              <w:contextualSpacing/>
              <w:jc w:val="center"/>
              <w:rPr>
                <w:b/>
                <w:bCs/>
                <w:sz w:val="20"/>
                <w:szCs w:val="20"/>
              </w:rPr>
            </w:pPr>
            <w:r>
              <w:rPr>
                <w:b/>
                <w:bCs/>
                <w:sz w:val="20"/>
                <w:szCs w:val="20"/>
              </w:rPr>
              <w:t xml:space="preserve">101,4 </w:t>
            </w:r>
          </w:p>
        </w:tc>
        <w:tc>
          <w:tcPr>
            <w:tcW w:w="470" w:type="pct"/>
            <w:shd w:val="clear" w:color="auto" w:fill="auto"/>
            <w:noWrap/>
            <w:vAlign w:val="center"/>
          </w:tcPr>
          <w:p w14:paraId="28692750">
            <w:pPr>
              <w:spacing w:after="0" w:line="240" w:lineRule="auto"/>
              <w:ind w:firstLine="0"/>
              <w:contextualSpacing/>
              <w:jc w:val="center"/>
              <w:rPr>
                <w:b/>
                <w:bCs/>
                <w:sz w:val="20"/>
                <w:szCs w:val="20"/>
              </w:rPr>
            </w:pPr>
            <w:r>
              <w:rPr>
                <w:b/>
                <w:bCs/>
                <w:sz w:val="20"/>
                <w:szCs w:val="20"/>
              </w:rPr>
              <w:t xml:space="preserve">101,7 </w:t>
            </w:r>
          </w:p>
        </w:tc>
      </w:tr>
      <w:tr w14:paraId="45C1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6E3B8579">
            <w:pPr>
              <w:spacing w:after="0" w:line="240" w:lineRule="auto"/>
              <w:ind w:firstLine="0"/>
              <w:contextualSpacing/>
              <w:rPr>
                <w:sz w:val="20"/>
                <w:szCs w:val="20"/>
              </w:rPr>
            </w:pPr>
            <w:r>
              <w:rPr>
                <w:sz w:val="20"/>
                <w:szCs w:val="20"/>
              </w:rPr>
              <w:t xml:space="preserve">  ИЦП</w:t>
            </w:r>
          </w:p>
        </w:tc>
        <w:tc>
          <w:tcPr>
            <w:tcW w:w="472" w:type="pct"/>
            <w:shd w:val="clear" w:color="auto" w:fill="auto"/>
            <w:noWrap/>
            <w:vAlign w:val="center"/>
          </w:tcPr>
          <w:p w14:paraId="083089BD">
            <w:pPr>
              <w:spacing w:after="0" w:line="240" w:lineRule="auto"/>
              <w:ind w:firstLine="0"/>
              <w:contextualSpacing/>
              <w:jc w:val="center"/>
              <w:rPr>
                <w:sz w:val="20"/>
                <w:szCs w:val="20"/>
              </w:rPr>
            </w:pPr>
            <w:r>
              <w:rPr>
                <w:sz w:val="20"/>
                <w:szCs w:val="20"/>
              </w:rPr>
              <w:t xml:space="preserve">105,4 </w:t>
            </w:r>
          </w:p>
        </w:tc>
        <w:tc>
          <w:tcPr>
            <w:tcW w:w="472" w:type="pct"/>
            <w:shd w:val="clear" w:color="auto" w:fill="auto"/>
            <w:noWrap/>
            <w:vAlign w:val="center"/>
          </w:tcPr>
          <w:p w14:paraId="017DD716">
            <w:pPr>
              <w:spacing w:after="0" w:line="240" w:lineRule="auto"/>
              <w:ind w:firstLine="0"/>
              <w:contextualSpacing/>
              <w:jc w:val="center"/>
              <w:rPr>
                <w:sz w:val="20"/>
                <w:szCs w:val="20"/>
              </w:rPr>
            </w:pPr>
            <w:r>
              <w:rPr>
                <w:sz w:val="20"/>
                <w:szCs w:val="20"/>
              </w:rPr>
              <w:t xml:space="preserve">117,8 </w:t>
            </w:r>
          </w:p>
        </w:tc>
        <w:tc>
          <w:tcPr>
            <w:tcW w:w="472" w:type="pct"/>
            <w:shd w:val="clear" w:color="auto" w:fill="auto"/>
            <w:noWrap/>
            <w:vAlign w:val="center"/>
          </w:tcPr>
          <w:p w14:paraId="53C0700E">
            <w:pPr>
              <w:spacing w:after="0" w:line="240" w:lineRule="auto"/>
              <w:ind w:firstLine="0"/>
              <w:contextualSpacing/>
              <w:jc w:val="center"/>
              <w:rPr>
                <w:sz w:val="20"/>
                <w:szCs w:val="20"/>
              </w:rPr>
            </w:pPr>
            <w:r>
              <w:rPr>
                <w:sz w:val="20"/>
                <w:szCs w:val="20"/>
              </w:rPr>
              <w:t xml:space="preserve">107,9 </w:t>
            </w:r>
          </w:p>
        </w:tc>
        <w:tc>
          <w:tcPr>
            <w:tcW w:w="472" w:type="pct"/>
            <w:shd w:val="clear" w:color="auto" w:fill="auto"/>
            <w:noWrap/>
            <w:vAlign w:val="center"/>
          </w:tcPr>
          <w:p w14:paraId="2EBB7EB1">
            <w:pPr>
              <w:spacing w:after="0" w:line="240" w:lineRule="auto"/>
              <w:ind w:firstLine="0"/>
              <w:contextualSpacing/>
              <w:jc w:val="center"/>
              <w:rPr>
                <w:sz w:val="20"/>
                <w:szCs w:val="20"/>
              </w:rPr>
            </w:pPr>
            <w:r>
              <w:rPr>
                <w:sz w:val="20"/>
                <w:szCs w:val="20"/>
              </w:rPr>
              <w:t xml:space="preserve">101,6 </w:t>
            </w:r>
          </w:p>
        </w:tc>
        <w:tc>
          <w:tcPr>
            <w:tcW w:w="470" w:type="pct"/>
            <w:shd w:val="clear" w:color="auto" w:fill="auto"/>
            <w:noWrap/>
            <w:vAlign w:val="center"/>
          </w:tcPr>
          <w:p w14:paraId="47B12FA1">
            <w:pPr>
              <w:spacing w:after="0" w:line="240" w:lineRule="auto"/>
              <w:ind w:firstLine="0"/>
              <w:contextualSpacing/>
              <w:jc w:val="center"/>
              <w:rPr>
                <w:sz w:val="20"/>
                <w:szCs w:val="20"/>
              </w:rPr>
            </w:pPr>
            <w:r>
              <w:rPr>
                <w:sz w:val="20"/>
                <w:szCs w:val="20"/>
              </w:rPr>
              <w:t xml:space="preserve">102,2 </w:t>
            </w:r>
          </w:p>
        </w:tc>
      </w:tr>
      <w:tr w14:paraId="64E4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1F498EF1">
            <w:pPr>
              <w:spacing w:after="0" w:line="240" w:lineRule="auto"/>
              <w:ind w:firstLine="0"/>
              <w:contextualSpacing/>
              <w:rPr>
                <w:b/>
                <w:bCs/>
                <w:sz w:val="20"/>
                <w:szCs w:val="20"/>
              </w:rPr>
            </w:pPr>
            <w:r>
              <w:rPr>
                <w:b/>
                <w:bCs/>
                <w:sz w:val="20"/>
                <w:szCs w:val="20"/>
              </w:rPr>
              <w:t>Обеспечение электрической энергией, газом и паром; кондиционирование воздуха</w:t>
            </w:r>
          </w:p>
        </w:tc>
        <w:tc>
          <w:tcPr>
            <w:tcW w:w="472" w:type="pct"/>
            <w:shd w:val="clear" w:color="auto" w:fill="auto"/>
            <w:noWrap/>
            <w:vAlign w:val="center"/>
          </w:tcPr>
          <w:p w14:paraId="64407DE5">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5E966AB1">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20006ECD">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036D6E43">
            <w:pPr>
              <w:spacing w:after="0" w:line="240" w:lineRule="auto"/>
              <w:ind w:firstLine="0"/>
              <w:contextualSpacing/>
              <w:jc w:val="center"/>
              <w:rPr>
                <w:b/>
                <w:bCs/>
                <w:sz w:val="20"/>
                <w:szCs w:val="20"/>
              </w:rPr>
            </w:pPr>
            <w:r>
              <w:rPr>
                <w:b/>
                <w:bCs/>
                <w:sz w:val="20"/>
                <w:szCs w:val="20"/>
              </w:rPr>
              <w:t> </w:t>
            </w:r>
          </w:p>
        </w:tc>
        <w:tc>
          <w:tcPr>
            <w:tcW w:w="470" w:type="pct"/>
            <w:shd w:val="clear" w:color="auto" w:fill="auto"/>
            <w:noWrap/>
            <w:vAlign w:val="bottom"/>
          </w:tcPr>
          <w:p w14:paraId="5650CC95">
            <w:pPr>
              <w:spacing w:after="0" w:line="240" w:lineRule="auto"/>
              <w:ind w:firstLine="0"/>
              <w:contextualSpacing/>
              <w:rPr>
                <w:b/>
                <w:bCs/>
                <w:sz w:val="20"/>
                <w:szCs w:val="20"/>
              </w:rPr>
            </w:pPr>
            <w:r>
              <w:rPr>
                <w:b/>
                <w:bCs/>
                <w:sz w:val="20"/>
                <w:szCs w:val="20"/>
              </w:rPr>
              <w:t> </w:t>
            </w:r>
          </w:p>
        </w:tc>
      </w:tr>
      <w:tr w14:paraId="36F4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10425AE4">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59E532F3">
            <w:pPr>
              <w:spacing w:after="0" w:line="240" w:lineRule="auto"/>
              <w:ind w:firstLine="0"/>
              <w:contextualSpacing/>
              <w:jc w:val="center"/>
              <w:rPr>
                <w:b/>
                <w:bCs/>
                <w:sz w:val="20"/>
                <w:szCs w:val="20"/>
              </w:rPr>
            </w:pPr>
            <w:r>
              <w:rPr>
                <w:b/>
                <w:bCs/>
                <w:sz w:val="20"/>
                <w:szCs w:val="20"/>
              </w:rPr>
              <w:t xml:space="preserve">114,0 </w:t>
            </w:r>
          </w:p>
        </w:tc>
        <w:tc>
          <w:tcPr>
            <w:tcW w:w="472" w:type="pct"/>
            <w:shd w:val="clear" w:color="auto" w:fill="auto"/>
            <w:noWrap/>
            <w:vAlign w:val="center"/>
          </w:tcPr>
          <w:p w14:paraId="0EDEC8E8">
            <w:pPr>
              <w:spacing w:after="0" w:line="240" w:lineRule="auto"/>
              <w:ind w:firstLine="0"/>
              <w:contextualSpacing/>
              <w:jc w:val="center"/>
              <w:rPr>
                <w:b/>
                <w:bCs/>
                <w:sz w:val="20"/>
                <w:szCs w:val="20"/>
              </w:rPr>
            </w:pPr>
            <w:r>
              <w:rPr>
                <w:b/>
                <w:bCs/>
                <w:sz w:val="20"/>
                <w:szCs w:val="20"/>
              </w:rPr>
              <w:t xml:space="preserve">105,7 </w:t>
            </w:r>
          </w:p>
        </w:tc>
        <w:tc>
          <w:tcPr>
            <w:tcW w:w="472" w:type="pct"/>
            <w:shd w:val="clear" w:color="auto" w:fill="auto"/>
            <w:noWrap/>
            <w:vAlign w:val="center"/>
          </w:tcPr>
          <w:p w14:paraId="40207A85">
            <w:pPr>
              <w:spacing w:after="0" w:line="240" w:lineRule="auto"/>
              <w:ind w:firstLine="0"/>
              <w:contextualSpacing/>
              <w:jc w:val="center"/>
              <w:rPr>
                <w:b/>
                <w:bCs/>
                <w:sz w:val="20"/>
                <w:szCs w:val="20"/>
              </w:rPr>
            </w:pPr>
            <w:r>
              <w:rPr>
                <w:b/>
                <w:bCs/>
                <w:sz w:val="20"/>
                <w:szCs w:val="20"/>
              </w:rPr>
              <w:t xml:space="preserve">109,5 </w:t>
            </w:r>
          </w:p>
        </w:tc>
        <w:tc>
          <w:tcPr>
            <w:tcW w:w="472" w:type="pct"/>
            <w:shd w:val="clear" w:color="auto" w:fill="auto"/>
            <w:noWrap/>
            <w:vAlign w:val="center"/>
          </w:tcPr>
          <w:p w14:paraId="1F0C6540">
            <w:pPr>
              <w:spacing w:after="0" w:line="240" w:lineRule="auto"/>
              <w:ind w:firstLine="0"/>
              <w:contextualSpacing/>
              <w:jc w:val="center"/>
              <w:rPr>
                <w:b/>
                <w:bCs/>
                <w:sz w:val="20"/>
                <w:szCs w:val="20"/>
              </w:rPr>
            </w:pPr>
            <w:r>
              <w:rPr>
                <w:b/>
                <w:bCs/>
                <w:sz w:val="20"/>
                <w:szCs w:val="20"/>
              </w:rPr>
              <w:t xml:space="preserve">103,7 </w:t>
            </w:r>
          </w:p>
        </w:tc>
        <w:tc>
          <w:tcPr>
            <w:tcW w:w="470" w:type="pct"/>
            <w:shd w:val="clear" w:color="auto" w:fill="auto"/>
            <w:noWrap/>
            <w:vAlign w:val="center"/>
          </w:tcPr>
          <w:p w14:paraId="54E4CA17">
            <w:pPr>
              <w:spacing w:after="0" w:line="240" w:lineRule="auto"/>
              <w:ind w:firstLine="0"/>
              <w:contextualSpacing/>
              <w:jc w:val="center"/>
              <w:rPr>
                <w:b/>
                <w:bCs/>
                <w:sz w:val="20"/>
                <w:szCs w:val="20"/>
              </w:rPr>
            </w:pPr>
            <w:r>
              <w:rPr>
                <w:b/>
                <w:bCs/>
                <w:sz w:val="20"/>
                <w:szCs w:val="20"/>
              </w:rPr>
              <w:t xml:space="preserve">103,8 </w:t>
            </w:r>
          </w:p>
        </w:tc>
      </w:tr>
      <w:tr w14:paraId="27A3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4980B55A">
            <w:pPr>
              <w:spacing w:after="0" w:line="240" w:lineRule="auto"/>
              <w:ind w:firstLine="0"/>
              <w:contextualSpacing/>
              <w:rPr>
                <w:sz w:val="20"/>
                <w:szCs w:val="20"/>
              </w:rPr>
            </w:pPr>
            <w:r>
              <w:rPr>
                <w:sz w:val="20"/>
                <w:szCs w:val="20"/>
              </w:rPr>
              <w:t xml:space="preserve">  ИЦП</w:t>
            </w:r>
          </w:p>
        </w:tc>
        <w:tc>
          <w:tcPr>
            <w:tcW w:w="472" w:type="pct"/>
            <w:shd w:val="clear" w:color="auto" w:fill="auto"/>
            <w:noWrap/>
            <w:vAlign w:val="center"/>
          </w:tcPr>
          <w:p w14:paraId="66A8B1CC">
            <w:pPr>
              <w:spacing w:after="0" w:line="240" w:lineRule="auto"/>
              <w:ind w:firstLine="0"/>
              <w:contextualSpacing/>
              <w:jc w:val="center"/>
              <w:rPr>
                <w:sz w:val="20"/>
                <w:szCs w:val="20"/>
              </w:rPr>
            </w:pPr>
            <w:r>
              <w:rPr>
                <w:sz w:val="20"/>
                <w:szCs w:val="20"/>
              </w:rPr>
              <w:t xml:space="preserve">111,8 </w:t>
            </w:r>
          </w:p>
        </w:tc>
        <w:tc>
          <w:tcPr>
            <w:tcW w:w="472" w:type="pct"/>
            <w:shd w:val="clear" w:color="auto" w:fill="auto"/>
            <w:noWrap/>
            <w:vAlign w:val="center"/>
          </w:tcPr>
          <w:p w14:paraId="7550FD00">
            <w:pPr>
              <w:spacing w:after="0" w:line="240" w:lineRule="auto"/>
              <w:ind w:firstLine="0"/>
              <w:contextualSpacing/>
              <w:jc w:val="center"/>
              <w:rPr>
                <w:sz w:val="20"/>
                <w:szCs w:val="20"/>
              </w:rPr>
            </w:pPr>
            <w:r>
              <w:rPr>
                <w:sz w:val="20"/>
                <w:szCs w:val="20"/>
              </w:rPr>
              <w:t xml:space="preserve">105,1 </w:t>
            </w:r>
          </w:p>
        </w:tc>
        <w:tc>
          <w:tcPr>
            <w:tcW w:w="472" w:type="pct"/>
            <w:shd w:val="clear" w:color="auto" w:fill="auto"/>
            <w:noWrap/>
            <w:vAlign w:val="center"/>
          </w:tcPr>
          <w:p w14:paraId="7D7B8666">
            <w:pPr>
              <w:spacing w:after="0" w:line="240" w:lineRule="auto"/>
              <w:ind w:firstLine="0"/>
              <w:contextualSpacing/>
              <w:jc w:val="center"/>
              <w:rPr>
                <w:sz w:val="20"/>
                <w:szCs w:val="20"/>
              </w:rPr>
            </w:pPr>
            <w:r>
              <w:rPr>
                <w:sz w:val="20"/>
                <w:szCs w:val="20"/>
              </w:rPr>
              <w:t xml:space="preserve">109,8 </w:t>
            </w:r>
          </w:p>
        </w:tc>
        <w:tc>
          <w:tcPr>
            <w:tcW w:w="472" w:type="pct"/>
            <w:shd w:val="clear" w:color="auto" w:fill="auto"/>
            <w:noWrap/>
            <w:vAlign w:val="center"/>
          </w:tcPr>
          <w:p w14:paraId="065786CC">
            <w:pPr>
              <w:spacing w:after="0" w:line="240" w:lineRule="auto"/>
              <w:ind w:firstLine="0"/>
              <w:contextualSpacing/>
              <w:jc w:val="center"/>
              <w:rPr>
                <w:sz w:val="20"/>
                <w:szCs w:val="20"/>
              </w:rPr>
            </w:pPr>
            <w:r>
              <w:rPr>
                <w:sz w:val="20"/>
                <w:szCs w:val="20"/>
              </w:rPr>
              <w:t xml:space="preserve">104,0 </w:t>
            </w:r>
          </w:p>
        </w:tc>
        <w:tc>
          <w:tcPr>
            <w:tcW w:w="470" w:type="pct"/>
            <w:shd w:val="clear" w:color="auto" w:fill="auto"/>
            <w:noWrap/>
            <w:vAlign w:val="center"/>
          </w:tcPr>
          <w:p w14:paraId="035F4A48">
            <w:pPr>
              <w:spacing w:after="0" w:line="240" w:lineRule="auto"/>
              <w:ind w:firstLine="0"/>
              <w:contextualSpacing/>
              <w:jc w:val="center"/>
              <w:rPr>
                <w:sz w:val="20"/>
                <w:szCs w:val="20"/>
              </w:rPr>
            </w:pPr>
            <w:r>
              <w:rPr>
                <w:sz w:val="20"/>
                <w:szCs w:val="20"/>
              </w:rPr>
              <w:t xml:space="preserve">104,0 </w:t>
            </w:r>
          </w:p>
        </w:tc>
      </w:tr>
      <w:tr w14:paraId="6C43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55BBB4AC">
            <w:pPr>
              <w:spacing w:after="0" w:line="240" w:lineRule="auto"/>
              <w:ind w:firstLine="0"/>
              <w:contextualSpacing/>
              <w:rPr>
                <w:b/>
                <w:bCs/>
                <w:sz w:val="20"/>
                <w:szCs w:val="20"/>
              </w:rPr>
            </w:pPr>
            <w:r>
              <w:rPr>
                <w:b/>
                <w:bCs/>
                <w:sz w:val="20"/>
                <w:szCs w:val="20"/>
              </w:rPr>
              <w:t>Водоснабжение; водоотведение, организация сбора и утилизация отходов, деятельность по ликвидации загрязнений</w:t>
            </w:r>
          </w:p>
        </w:tc>
        <w:tc>
          <w:tcPr>
            <w:tcW w:w="472" w:type="pct"/>
            <w:shd w:val="clear" w:color="auto" w:fill="auto"/>
            <w:noWrap/>
            <w:vAlign w:val="center"/>
          </w:tcPr>
          <w:p w14:paraId="236AFF2A">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580CD33D">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0EC94FDD">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538CD008">
            <w:pPr>
              <w:spacing w:after="0" w:line="240" w:lineRule="auto"/>
              <w:ind w:firstLine="0"/>
              <w:contextualSpacing/>
              <w:jc w:val="center"/>
              <w:rPr>
                <w:b/>
                <w:bCs/>
                <w:sz w:val="20"/>
                <w:szCs w:val="20"/>
              </w:rPr>
            </w:pPr>
            <w:r>
              <w:rPr>
                <w:b/>
                <w:bCs/>
                <w:sz w:val="20"/>
                <w:szCs w:val="20"/>
              </w:rPr>
              <w:t> </w:t>
            </w:r>
          </w:p>
        </w:tc>
        <w:tc>
          <w:tcPr>
            <w:tcW w:w="470" w:type="pct"/>
            <w:shd w:val="clear" w:color="auto" w:fill="auto"/>
            <w:noWrap/>
            <w:vAlign w:val="bottom"/>
          </w:tcPr>
          <w:p w14:paraId="19B43D71">
            <w:pPr>
              <w:spacing w:after="0" w:line="240" w:lineRule="auto"/>
              <w:ind w:firstLine="0"/>
              <w:contextualSpacing/>
              <w:rPr>
                <w:b/>
                <w:bCs/>
                <w:sz w:val="20"/>
                <w:szCs w:val="20"/>
              </w:rPr>
            </w:pPr>
            <w:r>
              <w:rPr>
                <w:b/>
                <w:bCs/>
                <w:sz w:val="20"/>
                <w:szCs w:val="20"/>
              </w:rPr>
              <w:t> </w:t>
            </w:r>
          </w:p>
        </w:tc>
      </w:tr>
      <w:tr w14:paraId="6321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577CF39F">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02DCFBB6">
            <w:pPr>
              <w:spacing w:after="0" w:line="240" w:lineRule="auto"/>
              <w:ind w:firstLine="0"/>
              <w:contextualSpacing/>
              <w:jc w:val="center"/>
              <w:rPr>
                <w:b/>
                <w:bCs/>
                <w:sz w:val="20"/>
                <w:szCs w:val="20"/>
              </w:rPr>
            </w:pPr>
            <w:r>
              <w:rPr>
                <w:b/>
                <w:bCs/>
                <w:sz w:val="20"/>
                <w:szCs w:val="20"/>
              </w:rPr>
              <w:t xml:space="preserve">117,9 </w:t>
            </w:r>
          </w:p>
        </w:tc>
        <w:tc>
          <w:tcPr>
            <w:tcW w:w="472" w:type="pct"/>
            <w:shd w:val="clear" w:color="auto" w:fill="auto"/>
            <w:noWrap/>
            <w:vAlign w:val="center"/>
          </w:tcPr>
          <w:p w14:paraId="3411CAF5">
            <w:pPr>
              <w:spacing w:after="0" w:line="240" w:lineRule="auto"/>
              <w:ind w:firstLine="0"/>
              <w:contextualSpacing/>
              <w:jc w:val="center"/>
              <w:rPr>
                <w:b/>
                <w:bCs/>
                <w:sz w:val="20"/>
                <w:szCs w:val="20"/>
              </w:rPr>
            </w:pPr>
            <w:r>
              <w:rPr>
                <w:b/>
                <w:bCs/>
                <w:sz w:val="20"/>
                <w:szCs w:val="20"/>
              </w:rPr>
              <w:t xml:space="preserve">107,1 </w:t>
            </w:r>
          </w:p>
        </w:tc>
        <w:tc>
          <w:tcPr>
            <w:tcW w:w="472" w:type="pct"/>
            <w:shd w:val="clear" w:color="auto" w:fill="auto"/>
            <w:noWrap/>
            <w:vAlign w:val="center"/>
          </w:tcPr>
          <w:p w14:paraId="77ED0EC7">
            <w:pPr>
              <w:spacing w:after="0" w:line="240" w:lineRule="auto"/>
              <w:ind w:firstLine="0"/>
              <w:contextualSpacing/>
              <w:jc w:val="center"/>
              <w:rPr>
                <w:b/>
                <w:bCs/>
                <w:sz w:val="20"/>
                <w:szCs w:val="20"/>
              </w:rPr>
            </w:pPr>
            <w:r>
              <w:rPr>
                <w:b/>
                <w:bCs/>
                <w:sz w:val="20"/>
                <w:szCs w:val="20"/>
              </w:rPr>
              <w:t xml:space="preserve">107,9 </w:t>
            </w:r>
          </w:p>
        </w:tc>
        <w:tc>
          <w:tcPr>
            <w:tcW w:w="472" w:type="pct"/>
            <w:shd w:val="clear" w:color="auto" w:fill="auto"/>
            <w:noWrap/>
            <w:vAlign w:val="center"/>
          </w:tcPr>
          <w:p w14:paraId="580DBBC4">
            <w:pPr>
              <w:spacing w:after="0" w:line="240" w:lineRule="auto"/>
              <w:ind w:firstLine="0"/>
              <w:contextualSpacing/>
              <w:jc w:val="center"/>
              <w:rPr>
                <w:b/>
                <w:bCs/>
                <w:sz w:val="20"/>
                <w:szCs w:val="20"/>
              </w:rPr>
            </w:pPr>
            <w:r>
              <w:rPr>
                <w:b/>
                <w:bCs/>
                <w:sz w:val="20"/>
                <w:szCs w:val="20"/>
              </w:rPr>
              <w:t xml:space="preserve">103,9 </w:t>
            </w:r>
          </w:p>
        </w:tc>
        <w:tc>
          <w:tcPr>
            <w:tcW w:w="470" w:type="pct"/>
            <w:shd w:val="clear" w:color="auto" w:fill="auto"/>
            <w:noWrap/>
            <w:vAlign w:val="center"/>
          </w:tcPr>
          <w:p w14:paraId="1EF2EB2A">
            <w:pPr>
              <w:spacing w:after="0" w:line="240" w:lineRule="auto"/>
              <w:ind w:firstLine="0"/>
              <w:contextualSpacing/>
              <w:jc w:val="center"/>
              <w:rPr>
                <w:b/>
                <w:bCs/>
                <w:sz w:val="20"/>
                <w:szCs w:val="20"/>
              </w:rPr>
            </w:pPr>
            <w:r>
              <w:rPr>
                <w:b/>
                <w:bCs/>
                <w:sz w:val="20"/>
                <w:szCs w:val="20"/>
              </w:rPr>
              <w:t xml:space="preserve">104,0 </w:t>
            </w:r>
          </w:p>
        </w:tc>
      </w:tr>
      <w:tr w14:paraId="4F9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46A1F644">
            <w:pPr>
              <w:spacing w:after="0" w:line="240" w:lineRule="auto"/>
              <w:ind w:firstLine="0"/>
              <w:contextualSpacing/>
              <w:rPr>
                <w:sz w:val="20"/>
                <w:szCs w:val="20"/>
              </w:rPr>
            </w:pPr>
            <w:r>
              <w:rPr>
                <w:sz w:val="20"/>
                <w:szCs w:val="20"/>
              </w:rPr>
              <w:t xml:space="preserve">  ИЦП</w:t>
            </w:r>
          </w:p>
        </w:tc>
        <w:tc>
          <w:tcPr>
            <w:tcW w:w="472" w:type="pct"/>
            <w:shd w:val="clear" w:color="auto" w:fill="auto"/>
            <w:noWrap/>
            <w:vAlign w:val="center"/>
          </w:tcPr>
          <w:p w14:paraId="224A4353">
            <w:pPr>
              <w:spacing w:after="0" w:line="240" w:lineRule="auto"/>
              <w:ind w:firstLine="0"/>
              <w:contextualSpacing/>
              <w:jc w:val="center"/>
              <w:rPr>
                <w:sz w:val="20"/>
                <w:szCs w:val="20"/>
              </w:rPr>
            </w:pPr>
            <w:r>
              <w:rPr>
                <w:sz w:val="20"/>
                <w:szCs w:val="20"/>
              </w:rPr>
              <w:t xml:space="preserve">109,7 </w:t>
            </w:r>
          </w:p>
        </w:tc>
        <w:tc>
          <w:tcPr>
            <w:tcW w:w="472" w:type="pct"/>
            <w:shd w:val="clear" w:color="auto" w:fill="auto"/>
            <w:noWrap/>
            <w:vAlign w:val="center"/>
          </w:tcPr>
          <w:p w14:paraId="7B0578CF">
            <w:pPr>
              <w:spacing w:after="0" w:line="240" w:lineRule="auto"/>
              <w:ind w:firstLine="0"/>
              <w:contextualSpacing/>
              <w:jc w:val="center"/>
              <w:rPr>
                <w:sz w:val="20"/>
                <w:szCs w:val="20"/>
              </w:rPr>
            </w:pPr>
            <w:r>
              <w:rPr>
                <w:sz w:val="20"/>
                <w:szCs w:val="20"/>
              </w:rPr>
              <w:t xml:space="preserve">106,7 </w:t>
            </w:r>
          </w:p>
        </w:tc>
        <w:tc>
          <w:tcPr>
            <w:tcW w:w="472" w:type="pct"/>
            <w:shd w:val="clear" w:color="auto" w:fill="auto"/>
            <w:noWrap/>
            <w:vAlign w:val="center"/>
          </w:tcPr>
          <w:p w14:paraId="20959699">
            <w:pPr>
              <w:spacing w:after="0" w:line="240" w:lineRule="auto"/>
              <w:ind w:firstLine="0"/>
              <w:contextualSpacing/>
              <w:jc w:val="center"/>
              <w:rPr>
                <w:sz w:val="20"/>
                <w:szCs w:val="20"/>
              </w:rPr>
            </w:pPr>
            <w:r>
              <w:rPr>
                <w:sz w:val="20"/>
                <w:szCs w:val="20"/>
              </w:rPr>
              <w:t xml:space="preserve">108,1 </w:t>
            </w:r>
          </w:p>
        </w:tc>
        <w:tc>
          <w:tcPr>
            <w:tcW w:w="472" w:type="pct"/>
            <w:shd w:val="clear" w:color="auto" w:fill="auto"/>
            <w:noWrap/>
            <w:vAlign w:val="center"/>
          </w:tcPr>
          <w:p w14:paraId="698C83DC">
            <w:pPr>
              <w:spacing w:after="0" w:line="240" w:lineRule="auto"/>
              <w:ind w:firstLine="0"/>
              <w:contextualSpacing/>
              <w:jc w:val="center"/>
              <w:rPr>
                <w:sz w:val="20"/>
                <w:szCs w:val="20"/>
              </w:rPr>
            </w:pPr>
            <w:r>
              <w:rPr>
                <w:sz w:val="20"/>
                <w:szCs w:val="20"/>
              </w:rPr>
              <w:t xml:space="preserve">104,0 </w:t>
            </w:r>
          </w:p>
        </w:tc>
        <w:tc>
          <w:tcPr>
            <w:tcW w:w="470" w:type="pct"/>
            <w:shd w:val="clear" w:color="auto" w:fill="auto"/>
            <w:noWrap/>
            <w:vAlign w:val="center"/>
          </w:tcPr>
          <w:p w14:paraId="652B933A">
            <w:pPr>
              <w:spacing w:after="0" w:line="240" w:lineRule="auto"/>
              <w:ind w:firstLine="0"/>
              <w:contextualSpacing/>
              <w:jc w:val="center"/>
              <w:rPr>
                <w:sz w:val="20"/>
                <w:szCs w:val="20"/>
              </w:rPr>
            </w:pPr>
            <w:r>
              <w:rPr>
                <w:sz w:val="20"/>
                <w:szCs w:val="20"/>
              </w:rPr>
              <w:t xml:space="preserve">104,0 </w:t>
            </w:r>
          </w:p>
        </w:tc>
      </w:tr>
      <w:tr w14:paraId="070B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vAlign w:val="center"/>
          </w:tcPr>
          <w:p w14:paraId="3342313B">
            <w:pPr>
              <w:spacing w:after="0" w:line="240" w:lineRule="auto"/>
              <w:ind w:firstLine="0"/>
              <w:contextualSpacing/>
              <w:rPr>
                <w:b/>
                <w:bCs/>
                <w:sz w:val="20"/>
                <w:szCs w:val="20"/>
              </w:rPr>
            </w:pPr>
            <w:r>
              <w:rPr>
                <w:b/>
                <w:bCs/>
                <w:sz w:val="20"/>
                <w:szCs w:val="20"/>
              </w:rPr>
              <w:t>Инвестиции в основной капитал</w:t>
            </w:r>
          </w:p>
        </w:tc>
        <w:tc>
          <w:tcPr>
            <w:tcW w:w="472" w:type="pct"/>
            <w:shd w:val="clear" w:color="auto" w:fill="auto"/>
            <w:noWrap/>
            <w:vAlign w:val="center"/>
          </w:tcPr>
          <w:p w14:paraId="631F53F9">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1F0F50F4">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24B04DE7">
            <w:pPr>
              <w:spacing w:after="0" w:line="240" w:lineRule="auto"/>
              <w:ind w:firstLine="0"/>
              <w:contextualSpacing/>
              <w:jc w:val="center"/>
              <w:rPr>
                <w:b/>
                <w:bCs/>
                <w:sz w:val="20"/>
                <w:szCs w:val="20"/>
              </w:rPr>
            </w:pPr>
            <w:r>
              <w:rPr>
                <w:b/>
                <w:bCs/>
                <w:sz w:val="20"/>
                <w:szCs w:val="20"/>
              </w:rPr>
              <w:t> </w:t>
            </w:r>
          </w:p>
        </w:tc>
        <w:tc>
          <w:tcPr>
            <w:tcW w:w="472" w:type="pct"/>
            <w:shd w:val="clear" w:color="auto" w:fill="auto"/>
            <w:noWrap/>
            <w:vAlign w:val="center"/>
          </w:tcPr>
          <w:p w14:paraId="2094AC35">
            <w:pPr>
              <w:spacing w:after="0" w:line="240" w:lineRule="auto"/>
              <w:ind w:firstLine="0"/>
              <w:contextualSpacing/>
              <w:jc w:val="center"/>
              <w:rPr>
                <w:b/>
                <w:bCs/>
                <w:sz w:val="20"/>
                <w:szCs w:val="20"/>
              </w:rPr>
            </w:pPr>
            <w:r>
              <w:rPr>
                <w:b/>
                <w:bCs/>
                <w:sz w:val="20"/>
                <w:szCs w:val="20"/>
              </w:rPr>
              <w:t> </w:t>
            </w:r>
          </w:p>
        </w:tc>
        <w:tc>
          <w:tcPr>
            <w:tcW w:w="470" w:type="pct"/>
            <w:shd w:val="clear" w:color="auto" w:fill="auto"/>
            <w:noWrap/>
            <w:vAlign w:val="bottom"/>
          </w:tcPr>
          <w:p w14:paraId="470C4672">
            <w:pPr>
              <w:spacing w:after="0" w:line="240" w:lineRule="auto"/>
              <w:ind w:firstLine="0"/>
              <w:contextualSpacing/>
              <w:rPr>
                <w:b/>
                <w:bCs/>
                <w:sz w:val="20"/>
                <w:szCs w:val="20"/>
              </w:rPr>
            </w:pPr>
            <w:r>
              <w:rPr>
                <w:b/>
                <w:bCs/>
                <w:sz w:val="20"/>
                <w:szCs w:val="20"/>
              </w:rPr>
              <w:t> </w:t>
            </w:r>
          </w:p>
        </w:tc>
      </w:tr>
      <w:tr w14:paraId="3891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7CC3264A">
            <w:pPr>
              <w:spacing w:after="0" w:line="240" w:lineRule="auto"/>
              <w:ind w:firstLine="0"/>
              <w:contextualSpacing/>
              <w:rPr>
                <w:b/>
                <w:bCs/>
                <w:sz w:val="20"/>
                <w:szCs w:val="20"/>
              </w:rPr>
            </w:pPr>
            <w:r>
              <w:rPr>
                <w:b/>
                <w:bCs/>
                <w:sz w:val="20"/>
                <w:szCs w:val="20"/>
              </w:rPr>
              <w:t xml:space="preserve">  дефлятор</w:t>
            </w:r>
          </w:p>
        </w:tc>
        <w:tc>
          <w:tcPr>
            <w:tcW w:w="472" w:type="pct"/>
            <w:shd w:val="clear" w:color="auto" w:fill="auto"/>
            <w:noWrap/>
            <w:vAlign w:val="center"/>
          </w:tcPr>
          <w:p w14:paraId="6B96C435">
            <w:pPr>
              <w:spacing w:after="0" w:line="240" w:lineRule="auto"/>
              <w:ind w:firstLine="0"/>
              <w:contextualSpacing/>
              <w:jc w:val="center"/>
              <w:rPr>
                <w:b/>
                <w:bCs/>
                <w:sz w:val="20"/>
                <w:szCs w:val="20"/>
              </w:rPr>
            </w:pPr>
            <w:r>
              <w:rPr>
                <w:b/>
                <w:bCs/>
                <w:sz w:val="20"/>
                <w:szCs w:val="20"/>
              </w:rPr>
              <w:t xml:space="preserve">109,1 </w:t>
            </w:r>
          </w:p>
        </w:tc>
        <w:tc>
          <w:tcPr>
            <w:tcW w:w="472" w:type="pct"/>
            <w:shd w:val="clear" w:color="auto" w:fill="auto"/>
            <w:noWrap/>
            <w:vAlign w:val="center"/>
          </w:tcPr>
          <w:p w14:paraId="0A807C6F">
            <w:pPr>
              <w:spacing w:after="0" w:line="240" w:lineRule="auto"/>
              <w:ind w:firstLine="0"/>
              <w:contextualSpacing/>
              <w:jc w:val="center"/>
              <w:rPr>
                <w:b/>
                <w:bCs/>
                <w:sz w:val="20"/>
                <w:szCs w:val="20"/>
              </w:rPr>
            </w:pPr>
            <w:r>
              <w:rPr>
                <w:b/>
                <w:bCs/>
                <w:sz w:val="20"/>
                <w:szCs w:val="20"/>
              </w:rPr>
              <w:t xml:space="preserve">109,1 </w:t>
            </w:r>
          </w:p>
        </w:tc>
        <w:tc>
          <w:tcPr>
            <w:tcW w:w="472" w:type="pct"/>
            <w:shd w:val="clear" w:color="auto" w:fill="auto"/>
            <w:noWrap/>
            <w:vAlign w:val="center"/>
          </w:tcPr>
          <w:p w14:paraId="3A27AC9F">
            <w:pPr>
              <w:spacing w:after="0" w:line="240" w:lineRule="auto"/>
              <w:ind w:firstLine="0"/>
              <w:contextualSpacing/>
              <w:jc w:val="center"/>
              <w:rPr>
                <w:b/>
                <w:bCs/>
                <w:sz w:val="20"/>
                <w:szCs w:val="20"/>
              </w:rPr>
            </w:pPr>
            <w:r>
              <w:rPr>
                <w:b/>
                <w:bCs/>
                <w:sz w:val="20"/>
                <w:szCs w:val="20"/>
              </w:rPr>
              <w:t xml:space="preserve">107,8 </w:t>
            </w:r>
          </w:p>
        </w:tc>
        <w:tc>
          <w:tcPr>
            <w:tcW w:w="472" w:type="pct"/>
            <w:shd w:val="clear" w:color="auto" w:fill="auto"/>
            <w:noWrap/>
            <w:vAlign w:val="center"/>
          </w:tcPr>
          <w:p w14:paraId="2FB182DC">
            <w:pPr>
              <w:spacing w:after="0" w:line="240" w:lineRule="auto"/>
              <w:ind w:firstLine="0"/>
              <w:contextualSpacing/>
              <w:jc w:val="center"/>
              <w:rPr>
                <w:b/>
                <w:bCs/>
                <w:sz w:val="20"/>
                <w:szCs w:val="20"/>
              </w:rPr>
            </w:pPr>
            <w:r>
              <w:rPr>
                <w:b/>
                <w:bCs/>
                <w:sz w:val="20"/>
                <w:szCs w:val="20"/>
              </w:rPr>
              <w:t xml:space="preserve">105,3 </w:t>
            </w:r>
          </w:p>
        </w:tc>
        <w:tc>
          <w:tcPr>
            <w:tcW w:w="470" w:type="pct"/>
            <w:shd w:val="clear" w:color="auto" w:fill="auto"/>
            <w:noWrap/>
            <w:vAlign w:val="center"/>
          </w:tcPr>
          <w:p w14:paraId="61E5D9FF">
            <w:pPr>
              <w:spacing w:after="0" w:line="240" w:lineRule="auto"/>
              <w:ind w:firstLine="0"/>
              <w:contextualSpacing/>
              <w:jc w:val="center"/>
              <w:rPr>
                <w:b/>
                <w:bCs/>
                <w:sz w:val="20"/>
                <w:szCs w:val="20"/>
              </w:rPr>
            </w:pPr>
            <w:r>
              <w:rPr>
                <w:b/>
                <w:bCs/>
                <w:sz w:val="20"/>
                <w:szCs w:val="20"/>
              </w:rPr>
              <w:t xml:space="preserve">104,4 </w:t>
            </w:r>
          </w:p>
        </w:tc>
      </w:tr>
      <w:tr w14:paraId="7671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2" w:type="pct"/>
            <w:shd w:val="clear" w:color="auto" w:fill="auto"/>
            <w:noWrap/>
            <w:vAlign w:val="center"/>
          </w:tcPr>
          <w:p w14:paraId="17037654">
            <w:pPr>
              <w:spacing w:after="0" w:line="240" w:lineRule="auto"/>
              <w:ind w:firstLine="0"/>
              <w:contextualSpacing/>
              <w:rPr>
                <w:sz w:val="20"/>
                <w:szCs w:val="20"/>
              </w:rPr>
            </w:pPr>
            <w:r>
              <w:rPr>
                <w:sz w:val="20"/>
                <w:szCs w:val="20"/>
              </w:rPr>
              <w:t xml:space="preserve">  индексы цен </w:t>
            </w:r>
          </w:p>
        </w:tc>
        <w:tc>
          <w:tcPr>
            <w:tcW w:w="472" w:type="pct"/>
            <w:shd w:val="clear" w:color="auto" w:fill="auto"/>
            <w:noWrap/>
            <w:vAlign w:val="center"/>
          </w:tcPr>
          <w:p w14:paraId="7F6428D5">
            <w:pPr>
              <w:spacing w:after="0" w:line="240" w:lineRule="auto"/>
              <w:ind w:firstLine="0"/>
              <w:contextualSpacing/>
              <w:jc w:val="center"/>
              <w:rPr>
                <w:sz w:val="20"/>
                <w:szCs w:val="20"/>
              </w:rPr>
            </w:pPr>
            <w:r>
              <w:rPr>
                <w:sz w:val="20"/>
                <w:szCs w:val="20"/>
              </w:rPr>
              <w:t xml:space="preserve">109,4 </w:t>
            </w:r>
          </w:p>
        </w:tc>
        <w:tc>
          <w:tcPr>
            <w:tcW w:w="472" w:type="pct"/>
            <w:shd w:val="clear" w:color="auto" w:fill="auto"/>
            <w:noWrap/>
            <w:vAlign w:val="center"/>
          </w:tcPr>
          <w:p w14:paraId="3831C9CB">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78043150">
            <w:pPr>
              <w:spacing w:after="0" w:line="240" w:lineRule="auto"/>
              <w:ind w:firstLine="0"/>
              <w:contextualSpacing/>
              <w:jc w:val="center"/>
              <w:rPr>
                <w:sz w:val="20"/>
                <w:szCs w:val="20"/>
              </w:rPr>
            </w:pPr>
            <w:r>
              <w:rPr>
                <w:sz w:val="20"/>
                <w:szCs w:val="20"/>
              </w:rPr>
              <w:t> </w:t>
            </w:r>
          </w:p>
        </w:tc>
        <w:tc>
          <w:tcPr>
            <w:tcW w:w="472" w:type="pct"/>
            <w:shd w:val="clear" w:color="auto" w:fill="auto"/>
            <w:noWrap/>
            <w:vAlign w:val="center"/>
          </w:tcPr>
          <w:p w14:paraId="0335DA3E">
            <w:pPr>
              <w:spacing w:after="0" w:line="240" w:lineRule="auto"/>
              <w:ind w:firstLine="0"/>
              <w:contextualSpacing/>
              <w:jc w:val="center"/>
              <w:rPr>
                <w:sz w:val="20"/>
                <w:szCs w:val="20"/>
              </w:rPr>
            </w:pPr>
            <w:r>
              <w:rPr>
                <w:sz w:val="20"/>
                <w:szCs w:val="20"/>
              </w:rPr>
              <w:t> </w:t>
            </w:r>
          </w:p>
        </w:tc>
        <w:tc>
          <w:tcPr>
            <w:tcW w:w="470" w:type="pct"/>
            <w:shd w:val="clear" w:color="auto" w:fill="auto"/>
            <w:noWrap/>
            <w:vAlign w:val="center"/>
          </w:tcPr>
          <w:p w14:paraId="5F039B3F">
            <w:pPr>
              <w:spacing w:after="0" w:line="240" w:lineRule="auto"/>
              <w:ind w:firstLine="0"/>
              <w:contextualSpacing/>
              <w:jc w:val="center"/>
              <w:rPr>
                <w:sz w:val="20"/>
                <w:szCs w:val="20"/>
              </w:rPr>
            </w:pPr>
            <w:r>
              <w:rPr>
                <w:sz w:val="20"/>
                <w:szCs w:val="20"/>
              </w:rPr>
              <w:t> </w:t>
            </w:r>
          </w:p>
        </w:tc>
      </w:tr>
    </w:tbl>
    <w:p w14:paraId="5137EAE6">
      <w:pPr>
        <w:tabs>
          <w:tab w:val="left" w:pos="1276"/>
        </w:tabs>
        <w:spacing w:after="0" w:line="240" w:lineRule="auto"/>
        <w:ind w:firstLine="0"/>
        <w:contextualSpacing/>
        <w:jc w:val="both"/>
        <w:rPr>
          <w:sz w:val="24"/>
          <w:szCs w:val="24"/>
        </w:rPr>
      </w:pPr>
    </w:p>
    <w:bookmarkEnd w:id="706"/>
    <w:p w14:paraId="7BCAA67C">
      <w:pPr>
        <w:pStyle w:val="3"/>
        <w:spacing w:before="0" w:line="240" w:lineRule="auto"/>
        <w:ind w:left="0" w:firstLine="709"/>
        <w:contextualSpacing/>
        <w:rPr>
          <w:rFonts w:cs="Times New Roman"/>
          <w:b w:val="0"/>
          <w:sz w:val="24"/>
          <w:szCs w:val="24"/>
        </w:rPr>
      </w:pPr>
      <w:bookmarkStart w:id="707" w:name="_Toc524614906"/>
      <w:bookmarkStart w:id="708" w:name="_Toc524615122"/>
      <w:bookmarkStart w:id="709" w:name="_Toc15640967"/>
      <w:bookmarkStart w:id="710" w:name="_Toc182814066"/>
      <w:bookmarkStart w:id="711" w:name="_Hlk15651846"/>
      <w:r>
        <w:rPr>
          <w:rFonts w:cs="Times New Roman"/>
          <w:b w:val="0"/>
          <w:sz w:val="24"/>
          <w:szCs w:val="24"/>
        </w:rPr>
        <w:t xml:space="preserve">Описание изменений в </w:t>
      </w:r>
      <w:bookmarkEnd w:id="707"/>
      <w:bookmarkEnd w:id="708"/>
      <w:r>
        <w:rPr>
          <w:rFonts w:cs="Times New Roman"/>
          <w:b w:val="0"/>
          <w:sz w:val="24"/>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09"/>
      <w:bookmarkEnd w:id="710"/>
    </w:p>
    <w:bookmarkEnd w:id="711"/>
    <w:p w14:paraId="79C09EE7">
      <w:pPr>
        <w:spacing w:after="0" w:line="240" w:lineRule="auto"/>
        <w:contextualSpacing/>
        <w:jc w:val="both"/>
        <w:rPr>
          <w:sz w:val="24"/>
          <w:szCs w:val="24"/>
        </w:rPr>
      </w:pPr>
      <w:r>
        <w:rPr>
          <w:sz w:val="24"/>
          <w:szCs w:val="24"/>
        </w:rPr>
        <w:t>Изменения в необходимых капитальных вложения в реализацию мероприятий составят:</w:t>
      </w:r>
    </w:p>
    <w:p w14:paraId="05C7229E">
      <w:pPr>
        <w:spacing w:after="0" w:line="240" w:lineRule="auto"/>
        <w:contextualSpacing/>
        <w:jc w:val="both"/>
        <w:rPr>
          <w:sz w:val="24"/>
          <w:szCs w:val="24"/>
        </w:rPr>
      </w:pPr>
      <w:r>
        <w:rPr>
          <w:sz w:val="24"/>
          <w:szCs w:val="24"/>
        </w:rPr>
        <w:t>- старая схема: 54002,21 тыс. руб.</w:t>
      </w:r>
    </w:p>
    <w:p w14:paraId="0E608546">
      <w:pPr>
        <w:spacing w:after="0" w:line="240" w:lineRule="auto"/>
        <w:contextualSpacing/>
        <w:jc w:val="both"/>
        <w:rPr>
          <w:sz w:val="24"/>
          <w:szCs w:val="24"/>
        </w:rPr>
      </w:pPr>
      <w:r>
        <w:rPr>
          <w:sz w:val="24"/>
          <w:szCs w:val="24"/>
        </w:rPr>
        <w:t>- новая схема: 40501,67 тыс. руб.</w:t>
      </w:r>
    </w:p>
    <w:p w14:paraId="14C7322F">
      <w:pPr>
        <w:pStyle w:val="2"/>
        <w:keepLines w:val="0"/>
        <w:pageBreakBefore/>
        <w:widowControl w:val="0"/>
        <w:spacing w:before="0" w:line="240" w:lineRule="auto"/>
        <w:ind w:left="0" w:firstLine="709"/>
        <w:contextualSpacing/>
        <w:rPr>
          <w:rFonts w:cs="Times New Roman"/>
          <w:b w:val="0"/>
          <w:sz w:val="24"/>
          <w:szCs w:val="24"/>
        </w:rPr>
      </w:pPr>
      <w:bookmarkStart w:id="712" w:name="_Toc182814067"/>
      <w:bookmarkStart w:id="713" w:name="_Toc524614907"/>
      <w:bookmarkStart w:id="714" w:name="_Toc524615123"/>
      <w:r>
        <w:rPr>
          <w:rFonts w:cs="Times New Roman"/>
          <w:b w:val="0"/>
          <w:sz w:val="24"/>
          <w:szCs w:val="24"/>
        </w:rPr>
        <w:t>Глава 13. Индикаторы развития систем теплоснабжения</w:t>
      </w:r>
      <w:bookmarkEnd w:id="712"/>
      <w:r>
        <w:rPr>
          <w:rFonts w:cs="Times New Roman"/>
          <w:b w:val="0"/>
          <w:sz w:val="24"/>
          <w:szCs w:val="24"/>
        </w:rPr>
        <w:t xml:space="preserve"> </w:t>
      </w:r>
      <w:bookmarkEnd w:id="713"/>
      <w:bookmarkEnd w:id="714"/>
    </w:p>
    <w:p w14:paraId="39DEA7A9">
      <w:pPr>
        <w:widowControl w:val="0"/>
        <w:tabs>
          <w:tab w:val="left" w:pos="0"/>
        </w:tabs>
        <w:spacing w:after="0" w:line="240" w:lineRule="auto"/>
        <w:contextualSpacing/>
        <w:jc w:val="both"/>
        <w:rPr>
          <w:sz w:val="24"/>
          <w:szCs w:val="24"/>
        </w:rPr>
      </w:pPr>
      <w:r>
        <w:rPr>
          <w:sz w:val="24"/>
          <w:szCs w:val="24"/>
        </w:rPr>
        <w:t>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с.п. Верхнеказымский разработана с учетом рекомендаций, приведенных в «Методических указаниях по разработке схем теплоснабжения».</w:t>
      </w:r>
    </w:p>
    <w:p w14:paraId="5AA04C92">
      <w:pPr>
        <w:widowControl w:val="0"/>
        <w:spacing w:after="0" w:line="240" w:lineRule="auto"/>
        <w:contextualSpacing/>
        <w:jc w:val="both"/>
        <w:rPr>
          <w:sz w:val="24"/>
          <w:szCs w:val="24"/>
        </w:rPr>
      </w:pPr>
      <w:r>
        <w:rPr>
          <w:sz w:val="24"/>
          <w:szCs w:val="24"/>
        </w:rPr>
        <w:t>Индикаторы развития системы теплоснабжения с.п. Верхнеказымский представлены в таблице 67.</w:t>
      </w:r>
    </w:p>
    <w:p w14:paraId="418488E3">
      <w:pPr>
        <w:widowControl w:val="0"/>
        <w:spacing w:after="0" w:line="240" w:lineRule="auto"/>
        <w:contextualSpacing/>
        <w:jc w:val="both"/>
        <w:rPr>
          <w:sz w:val="24"/>
          <w:szCs w:val="24"/>
        </w:rPr>
      </w:pPr>
    </w:p>
    <w:p w14:paraId="28F33A15">
      <w:pPr>
        <w:widowControl w:val="0"/>
        <w:spacing w:after="0" w:line="240" w:lineRule="auto"/>
        <w:contextualSpacing/>
        <w:jc w:val="both"/>
        <w:rPr>
          <w:sz w:val="24"/>
          <w:szCs w:val="24"/>
        </w:rPr>
      </w:pPr>
    </w:p>
    <w:p w14:paraId="4DAA673F">
      <w:pPr>
        <w:widowControl w:val="0"/>
        <w:spacing w:after="0" w:line="240" w:lineRule="auto"/>
        <w:contextualSpacing/>
        <w:jc w:val="both"/>
        <w:rPr>
          <w:sz w:val="24"/>
          <w:szCs w:val="24"/>
        </w:rPr>
      </w:pPr>
    </w:p>
    <w:p w14:paraId="5F0586F7">
      <w:pPr>
        <w:widowControl w:val="0"/>
        <w:spacing w:after="0" w:line="240" w:lineRule="auto"/>
        <w:contextualSpacing/>
        <w:jc w:val="both"/>
        <w:rPr>
          <w:sz w:val="24"/>
          <w:szCs w:val="24"/>
        </w:rPr>
      </w:pPr>
    </w:p>
    <w:p w14:paraId="37A421A2">
      <w:pPr>
        <w:spacing w:after="0" w:line="240" w:lineRule="auto"/>
        <w:contextualSpacing/>
        <w:rPr>
          <w:sz w:val="24"/>
          <w:szCs w:val="24"/>
        </w:rPr>
        <w:sectPr>
          <w:pgSz w:w="11906" w:h="16838"/>
          <w:pgMar w:top="1134" w:right="567" w:bottom="1134" w:left="1701" w:header="708" w:footer="708" w:gutter="0"/>
          <w:cols w:space="720" w:num="1"/>
        </w:sectPr>
      </w:pPr>
    </w:p>
    <w:p w14:paraId="07F850BD">
      <w:pPr>
        <w:pStyle w:val="43"/>
        <w:keepNext/>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67</w:t>
      </w:r>
      <w:r>
        <w:rPr>
          <w:rFonts w:cs="Times New Roman"/>
          <w:b w:val="0"/>
          <w:sz w:val="24"/>
          <w:szCs w:val="24"/>
        </w:rPr>
        <w:fldChar w:fldCharType="end"/>
      </w:r>
      <w:r>
        <w:rPr>
          <w:rFonts w:cs="Times New Roman"/>
          <w:b w:val="0"/>
          <w:sz w:val="24"/>
          <w:szCs w:val="24"/>
        </w:rPr>
        <w:t xml:space="preserve"> – Индикаторы развития системы теплоснабжения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8"/>
        <w:gridCol w:w="1298"/>
        <w:gridCol w:w="1154"/>
        <w:gridCol w:w="1310"/>
        <w:gridCol w:w="1526"/>
        <w:gridCol w:w="1393"/>
        <w:gridCol w:w="1393"/>
        <w:gridCol w:w="1394"/>
      </w:tblGrid>
      <w:tr w14:paraId="2E54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3E17945B">
            <w:pPr>
              <w:spacing w:after="0" w:line="240" w:lineRule="auto"/>
              <w:ind w:firstLine="0"/>
              <w:jc w:val="center"/>
              <w:rPr>
                <w:color w:val="000000"/>
                <w:sz w:val="20"/>
                <w:szCs w:val="20"/>
              </w:rPr>
            </w:pPr>
            <w:bookmarkStart w:id="715" w:name="_Hlk165621614"/>
            <w:bookmarkStart w:id="716" w:name="_Hlk183080038"/>
            <w:r>
              <w:rPr>
                <w:color w:val="000000"/>
                <w:sz w:val="20"/>
                <w:szCs w:val="20"/>
              </w:rPr>
              <w:t>Параметр</w:t>
            </w:r>
          </w:p>
        </w:tc>
        <w:tc>
          <w:tcPr>
            <w:tcW w:w="439" w:type="pct"/>
            <w:shd w:val="clear" w:color="auto" w:fill="auto"/>
            <w:vAlign w:val="center"/>
          </w:tcPr>
          <w:p w14:paraId="47169C4B">
            <w:pPr>
              <w:spacing w:after="0" w:line="240" w:lineRule="auto"/>
              <w:ind w:firstLine="0"/>
              <w:jc w:val="center"/>
              <w:rPr>
                <w:color w:val="000000"/>
                <w:sz w:val="20"/>
                <w:szCs w:val="20"/>
              </w:rPr>
            </w:pPr>
            <w:r>
              <w:rPr>
                <w:color w:val="000000"/>
                <w:sz w:val="20"/>
                <w:szCs w:val="20"/>
              </w:rPr>
              <w:t>2023</w:t>
            </w:r>
          </w:p>
        </w:tc>
        <w:tc>
          <w:tcPr>
            <w:tcW w:w="390" w:type="pct"/>
            <w:shd w:val="clear" w:color="auto" w:fill="auto"/>
            <w:vAlign w:val="center"/>
          </w:tcPr>
          <w:p w14:paraId="494E6BCE">
            <w:pPr>
              <w:spacing w:after="0" w:line="240" w:lineRule="auto"/>
              <w:ind w:firstLine="0"/>
              <w:jc w:val="center"/>
              <w:rPr>
                <w:color w:val="000000"/>
                <w:sz w:val="20"/>
                <w:szCs w:val="20"/>
              </w:rPr>
            </w:pPr>
            <w:r>
              <w:rPr>
                <w:color w:val="000000"/>
                <w:sz w:val="20"/>
                <w:szCs w:val="20"/>
              </w:rPr>
              <w:t>2024</w:t>
            </w:r>
          </w:p>
        </w:tc>
        <w:tc>
          <w:tcPr>
            <w:tcW w:w="443" w:type="pct"/>
            <w:shd w:val="clear" w:color="auto" w:fill="auto"/>
            <w:vAlign w:val="center"/>
          </w:tcPr>
          <w:p w14:paraId="449D35C8">
            <w:pPr>
              <w:spacing w:after="0" w:line="240" w:lineRule="auto"/>
              <w:ind w:firstLine="0"/>
              <w:jc w:val="center"/>
              <w:rPr>
                <w:color w:val="000000"/>
                <w:sz w:val="20"/>
                <w:szCs w:val="20"/>
              </w:rPr>
            </w:pPr>
            <w:r>
              <w:rPr>
                <w:color w:val="000000"/>
                <w:sz w:val="20"/>
                <w:szCs w:val="20"/>
              </w:rPr>
              <w:t>2025</w:t>
            </w:r>
          </w:p>
        </w:tc>
        <w:tc>
          <w:tcPr>
            <w:tcW w:w="516" w:type="pct"/>
            <w:shd w:val="clear" w:color="auto" w:fill="auto"/>
            <w:vAlign w:val="center"/>
          </w:tcPr>
          <w:p w14:paraId="2563C37C">
            <w:pPr>
              <w:spacing w:after="0" w:line="240" w:lineRule="auto"/>
              <w:ind w:firstLine="0"/>
              <w:jc w:val="center"/>
              <w:rPr>
                <w:color w:val="000000"/>
                <w:sz w:val="20"/>
                <w:szCs w:val="20"/>
              </w:rPr>
            </w:pPr>
            <w:r>
              <w:rPr>
                <w:color w:val="000000"/>
                <w:sz w:val="20"/>
                <w:szCs w:val="20"/>
              </w:rPr>
              <w:t>2026</w:t>
            </w:r>
          </w:p>
        </w:tc>
        <w:tc>
          <w:tcPr>
            <w:tcW w:w="471" w:type="pct"/>
            <w:shd w:val="clear" w:color="auto" w:fill="auto"/>
            <w:vAlign w:val="center"/>
          </w:tcPr>
          <w:p w14:paraId="19381F3A">
            <w:pPr>
              <w:spacing w:after="0" w:line="240" w:lineRule="auto"/>
              <w:ind w:firstLine="0"/>
              <w:jc w:val="center"/>
              <w:rPr>
                <w:color w:val="000000"/>
                <w:sz w:val="20"/>
                <w:szCs w:val="20"/>
              </w:rPr>
            </w:pPr>
            <w:r>
              <w:rPr>
                <w:color w:val="000000"/>
                <w:sz w:val="20"/>
                <w:szCs w:val="20"/>
              </w:rPr>
              <w:t>2027</w:t>
            </w:r>
          </w:p>
        </w:tc>
        <w:tc>
          <w:tcPr>
            <w:tcW w:w="471" w:type="pct"/>
            <w:shd w:val="clear" w:color="auto" w:fill="auto"/>
            <w:vAlign w:val="center"/>
          </w:tcPr>
          <w:p w14:paraId="70A2CB1C">
            <w:pPr>
              <w:spacing w:after="0" w:line="240" w:lineRule="auto"/>
              <w:ind w:firstLine="0"/>
              <w:jc w:val="center"/>
              <w:rPr>
                <w:color w:val="000000"/>
                <w:sz w:val="20"/>
                <w:szCs w:val="20"/>
              </w:rPr>
            </w:pPr>
            <w:r>
              <w:rPr>
                <w:color w:val="000000"/>
                <w:sz w:val="20"/>
                <w:szCs w:val="20"/>
              </w:rPr>
              <w:t>2028</w:t>
            </w:r>
          </w:p>
        </w:tc>
        <w:tc>
          <w:tcPr>
            <w:tcW w:w="471" w:type="pct"/>
            <w:shd w:val="clear" w:color="auto" w:fill="auto"/>
            <w:vAlign w:val="center"/>
          </w:tcPr>
          <w:p w14:paraId="2EB9ACCB">
            <w:pPr>
              <w:spacing w:after="0" w:line="240" w:lineRule="auto"/>
              <w:ind w:firstLine="0"/>
              <w:jc w:val="center"/>
              <w:rPr>
                <w:color w:val="000000"/>
                <w:sz w:val="20"/>
                <w:szCs w:val="20"/>
              </w:rPr>
            </w:pPr>
            <w:r>
              <w:rPr>
                <w:color w:val="000000"/>
                <w:sz w:val="20"/>
                <w:szCs w:val="20"/>
              </w:rPr>
              <w:t>2029</w:t>
            </w:r>
          </w:p>
        </w:tc>
      </w:tr>
      <w:bookmarkEnd w:id="715"/>
      <w:tr w14:paraId="0BFC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14400445">
            <w:pPr>
              <w:spacing w:after="0" w:line="240" w:lineRule="auto"/>
              <w:ind w:firstLine="0"/>
              <w:rPr>
                <w:color w:val="000000"/>
                <w:sz w:val="20"/>
                <w:szCs w:val="20"/>
              </w:rPr>
            </w:pPr>
            <w:r>
              <w:rPr>
                <w:color w:val="000000"/>
                <w:sz w:val="20"/>
                <w:szCs w:val="20"/>
              </w:rPr>
              <w:t>Материальная характеристика тепловых сетей, м²</w:t>
            </w:r>
          </w:p>
        </w:tc>
        <w:tc>
          <w:tcPr>
            <w:tcW w:w="439" w:type="pct"/>
            <w:shd w:val="clear" w:color="auto" w:fill="auto"/>
            <w:vAlign w:val="center"/>
          </w:tcPr>
          <w:p w14:paraId="64D3CA07">
            <w:pPr>
              <w:spacing w:after="0" w:line="240" w:lineRule="auto"/>
              <w:ind w:firstLine="0"/>
              <w:jc w:val="center"/>
              <w:rPr>
                <w:color w:val="000000"/>
                <w:sz w:val="20"/>
                <w:szCs w:val="20"/>
              </w:rPr>
            </w:pPr>
            <w:r>
              <w:rPr>
                <w:color w:val="000000"/>
                <w:sz w:val="20"/>
                <w:szCs w:val="20"/>
              </w:rPr>
              <w:t>2393,08</w:t>
            </w:r>
          </w:p>
        </w:tc>
        <w:tc>
          <w:tcPr>
            <w:tcW w:w="390" w:type="pct"/>
            <w:shd w:val="clear" w:color="auto" w:fill="auto"/>
            <w:vAlign w:val="center"/>
          </w:tcPr>
          <w:p w14:paraId="0C291797">
            <w:pPr>
              <w:spacing w:after="0" w:line="240" w:lineRule="auto"/>
              <w:ind w:firstLine="0"/>
              <w:jc w:val="center"/>
              <w:rPr>
                <w:color w:val="000000"/>
                <w:sz w:val="20"/>
                <w:szCs w:val="20"/>
              </w:rPr>
            </w:pPr>
            <w:r>
              <w:rPr>
                <w:color w:val="000000"/>
                <w:sz w:val="20"/>
                <w:szCs w:val="20"/>
              </w:rPr>
              <w:t>2393,08</w:t>
            </w:r>
          </w:p>
        </w:tc>
        <w:tc>
          <w:tcPr>
            <w:tcW w:w="443" w:type="pct"/>
            <w:shd w:val="clear" w:color="auto" w:fill="auto"/>
            <w:vAlign w:val="center"/>
          </w:tcPr>
          <w:p w14:paraId="548ED958">
            <w:pPr>
              <w:spacing w:after="0" w:line="240" w:lineRule="auto"/>
              <w:ind w:firstLine="0"/>
              <w:jc w:val="center"/>
              <w:rPr>
                <w:color w:val="000000"/>
                <w:sz w:val="20"/>
                <w:szCs w:val="20"/>
              </w:rPr>
            </w:pPr>
            <w:r>
              <w:rPr>
                <w:color w:val="000000"/>
                <w:sz w:val="20"/>
                <w:szCs w:val="20"/>
              </w:rPr>
              <w:t>2393,08</w:t>
            </w:r>
          </w:p>
        </w:tc>
        <w:tc>
          <w:tcPr>
            <w:tcW w:w="516" w:type="pct"/>
            <w:shd w:val="clear" w:color="auto" w:fill="auto"/>
            <w:vAlign w:val="center"/>
          </w:tcPr>
          <w:p w14:paraId="163837F7">
            <w:pPr>
              <w:spacing w:after="0" w:line="240" w:lineRule="auto"/>
              <w:ind w:firstLine="0"/>
              <w:jc w:val="center"/>
              <w:rPr>
                <w:color w:val="000000"/>
                <w:sz w:val="20"/>
                <w:szCs w:val="20"/>
              </w:rPr>
            </w:pPr>
            <w:r>
              <w:rPr>
                <w:color w:val="000000"/>
                <w:sz w:val="20"/>
                <w:szCs w:val="20"/>
              </w:rPr>
              <w:t>2393,08</w:t>
            </w:r>
          </w:p>
        </w:tc>
        <w:tc>
          <w:tcPr>
            <w:tcW w:w="471" w:type="pct"/>
            <w:shd w:val="clear" w:color="auto" w:fill="auto"/>
            <w:vAlign w:val="center"/>
          </w:tcPr>
          <w:p w14:paraId="7398E919">
            <w:pPr>
              <w:spacing w:after="0" w:line="240" w:lineRule="auto"/>
              <w:ind w:firstLine="0"/>
              <w:jc w:val="center"/>
              <w:rPr>
                <w:color w:val="000000"/>
                <w:sz w:val="20"/>
                <w:szCs w:val="20"/>
              </w:rPr>
            </w:pPr>
            <w:r>
              <w:rPr>
                <w:color w:val="000000"/>
                <w:sz w:val="20"/>
                <w:szCs w:val="20"/>
              </w:rPr>
              <w:t>2393,08</w:t>
            </w:r>
          </w:p>
        </w:tc>
        <w:tc>
          <w:tcPr>
            <w:tcW w:w="471" w:type="pct"/>
            <w:shd w:val="clear" w:color="auto" w:fill="auto"/>
            <w:vAlign w:val="center"/>
          </w:tcPr>
          <w:p w14:paraId="55293783">
            <w:pPr>
              <w:spacing w:after="0" w:line="240" w:lineRule="auto"/>
              <w:ind w:firstLine="0"/>
              <w:jc w:val="center"/>
              <w:rPr>
                <w:color w:val="000000"/>
                <w:sz w:val="20"/>
                <w:szCs w:val="20"/>
              </w:rPr>
            </w:pPr>
            <w:r>
              <w:rPr>
                <w:color w:val="000000"/>
                <w:sz w:val="20"/>
                <w:szCs w:val="20"/>
              </w:rPr>
              <w:t>2393,08</w:t>
            </w:r>
          </w:p>
        </w:tc>
        <w:tc>
          <w:tcPr>
            <w:tcW w:w="471" w:type="pct"/>
            <w:shd w:val="clear" w:color="auto" w:fill="auto"/>
            <w:vAlign w:val="center"/>
          </w:tcPr>
          <w:p w14:paraId="2D2C4537">
            <w:pPr>
              <w:spacing w:after="0" w:line="240" w:lineRule="auto"/>
              <w:ind w:firstLine="0"/>
              <w:jc w:val="center"/>
              <w:rPr>
                <w:color w:val="000000"/>
                <w:sz w:val="20"/>
                <w:szCs w:val="20"/>
              </w:rPr>
            </w:pPr>
            <w:r>
              <w:rPr>
                <w:color w:val="000000"/>
                <w:sz w:val="20"/>
                <w:szCs w:val="20"/>
              </w:rPr>
              <w:t>2393,08</w:t>
            </w:r>
          </w:p>
        </w:tc>
      </w:tr>
      <w:tr w14:paraId="7E16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731338B7">
            <w:pPr>
              <w:spacing w:after="0" w:line="240" w:lineRule="auto"/>
              <w:ind w:firstLine="0"/>
              <w:jc w:val="right"/>
              <w:rPr>
                <w:color w:val="000000"/>
                <w:sz w:val="20"/>
                <w:szCs w:val="20"/>
              </w:rPr>
            </w:pPr>
            <w:r>
              <w:rPr>
                <w:color w:val="000000"/>
                <w:sz w:val="20"/>
                <w:szCs w:val="20"/>
              </w:rPr>
              <w:t>МУП «БКС»</w:t>
            </w:r>
          </w:p>
        </w:tc>
        <w:tc>
          <w:tcPr>
            <w:tcW w:w="439" w:type="pct"/>
            <w:shd w:val="clear" w:color="auto" w:fill="auto"/>
            <w:vAlign w:val="center"/>
          </w:tcPr>
          <w:p w14:paraId="7E2199D3">
            <w:pPr>
              <w:spacing w:after="0" w:line="240" w:lineRule="auto"/>
              <w:ind w:firstLine="0"/>
              <w:jc w:val="center"/>
              <w:rPr>
                <w:color w:val="000000"/>
                <w:sz w:val="20"/>
                <w:szCs w:val="20"/>
              </w:rPr>
            </w:pPr>
            <w:r>
              <w:rPr>
                <w:color w:val="000000"/>
                <w:sz w:val="20"/>
                <w:szCs w:val="20"/>
              </w:rPr>
              <w:t>261,17</w:t>
            </w:r>
          </w:p>
        </w:tc>
        <w:tc>
          <w:tcPr>
            <w:tcW w:w="390" w:type="pct"/>
            <w:shd w:val="clear" w:color="auto" w:fill="auto"/>
            <w:vAlign w:val="center"/>
          </w:tcPr>
          <w:p w14:paraId="454FEA07">
            <w:pPr>
              <w:spacing w:after="0" w:line="240" w:lineRule="auto"/>
              <w:ind w:firstLine="0"/>
              <w:jc w:val="center"/>
              <w:rPr>
                <w:color w:val="000000"/>
                <w:sz w:val="20"/>
                <w:szCs w:val="20"/>
              </w:rPr>
            </w:pPr>
            <w:r>
              <w:rPr>
                <w:color w:val="000000"/>
                <w:sz w:val="20"/>
                <w:szCs w:val="20"/>
              </w:rPr>
              <w:t>261,17</w:t>
            </w:r>
          </w:p>
        </w:tc>
        <w:tc>
          <w:tcPr>
            <w:tcW w:w="443" w:type="pct"/>
            <w:shd w:val="clear" w:color="auto" w:fill="auto"/>
            <w:vAlign w:val="center"/>
          </w:tcPr>
          <w:p w14:paraId="297375D5">
            <w:pPr>
              <w:spacing w:after="0" w:line="240" w:lineRule="auto"/>
              <w:ind w:firstLine="0"/>
              <w:jc w:val="center"/>
              <w:rPr>
                <w:color w:val="000000"/>
                <w:sz w:val="20"/>
                <w:szCs w:val="20"/>
              </w:rPr>
            </w:pPr>
            <w:r>
              <w:rPr>
                <w:color w:val="000000"/>
                <w:sz w:val="20"/>
                <w:szCs w:val="20"/>
              </w:rPr>
              <w:t>261,17</w:t>
            </w:r>
          </w:p>
        </w:tc>
        <w:tc>
          <w:tcPr>
            <w:tcW w:w="516" w:type="pct"/>
            <w:shd w:val="clear" w:color="auto" w:fill="auto"/>
            <w:vAlign w:val="center"/>
          </w:tcPr>
          <w:p w14:paraId="05D9DC8E">
            <w:pPr>
              <w:spacing w:after="0" w:line="240" w:lineRule="auto"/>
              <w:ind w:firstLine="0"/>
              <w:jc w:val="center"/>
              <w:rPr>
                <w:color w:val="000000"/>
                <w:sz w:val="20"/>
                <w:szCs w:val="20"/>
              </w:rPr>
            </w:pPr>
            <w:r>
              <w:rPr>
                <w:color w:val="000000"/>
                <w:sz w:val="20"/>
                <w:szCs w:val="20"/>
              </w:rPr>
              <w:t>261,17</w:t>
            </w:r>
          </w:p>
        </w:tc>
        <w:tc>
          <w:tcPr>
            <w:tcW w:w="471" w:type="pct"/>
            <w:shd w:val="clear" w:color="auto" w:fill="auto"/>
            <w:vAlign w:val="center"/>
          </w:tcPr>
          <w:p w14:paraId="488E5672">
            <w:pPr>
              <w:spacing w:after="0" w:line="240" w:lineRule="auto"/>
              <w:ind w:firstLine="0"/>
              <w:jc w:val="center"/>
              <w:rPr>
                <w:color w:val="000000"/>
                <w:sz w:val="20"/>
                <w:szCs w:val="20"/>
              </w:rPr>
            </w:pPr>
            <w:r>
              <w:rPr>
                <w:color w:val="000000"/>
                <w:sz w:val="20"/>
                <w:szCs w:val="20"/>
              </w:rPr>
              <w:t>261,17</w:t>
            </w:r>
          </w:p>
        </w:tc>
        <w:tc>
          <w:tcPr>
            <w:tcW w:w="471" w:type="pct"/>
            <w:shd w:val="clear" w:color="auto" w:fill="auto"/>
            <w:vAlign w:val="center"/>
          </w:tcPr>
          <w:p w14:paraId="4D977E86">
            <w:pPr>
              <w:spacing w:after="0" w:line="240" w:lineRule="auto"/>
              <w:ind w:firstLine="0"/>
              <w:jc w:val="center"/>
              <w:rPr>
                <w:color w:val="000000"/>
                <w:sz w:val="20"/>
                <w:szCs w:val="20"/>
              </w:rPr>
            </w:pPr>
            <w:r>
              <w:rPr>
                <w:color w:val="000000"/>
                <w:sz w:val="20"/>
                <w:szCs w:val="20"/>
              </w:rPr>
              <w:t>261,17</w:t>
            </w:r>
          </w:p>
        </w:tc>
        <w:tc>
          <w:tcPr>
            <w:tcW w:w="471" w:type="pct"/>
            <w:shd w:val="clear" w:color="auto" w:fill="auto"/>
            <w:vAlign w:val="center"/>
          </w:tcPr>
          <w:p w14:paraId="638F9773">
            <w:pPr>
              <w:spacing w:after="0" w:line="240" w:lineRule="auto"/>
              <w:ind w:firstLine="0"/>
              <w:jc w:val="center"/>
              <w:rPr>
                <w:color w:val="000000"/>
                <w:sz w:val="20"/>
                <w:szCs w:val="20"/>
              </w:rPr>
            </w:pPr>
            <w:r>
              <w:rPr>
                <w:color w:val="000000"/>
                <w:sz w:val="20"/>
                <w:szCs w:val="20"/>
              </w:rPr>
              <w:t>261,17</w:t>
            </w:r>
          </w:p>
        </w:tc>
      </w:tr>
      <w:tr w14:paraId="11F3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27628692">
            <w:pPr>
              <w:spacing w:after="0" w:line="240" w:lineRule="auto"/>
              <w:ind w:firstLine="0"/>
              <w:jc w:val="right"/>
              <w:rPr>
                <w:color w:val="000000"/>
                <w:sz w:val="20"/>
                <w:szCs w:val="20"/>
              </w:rPr>
            </w:pPr>
            <w:r>
              <w:rPr>
                <w:rFonts w:eastAsia="Arial"/>
                <w:color w:val="000000"/>
                <w:spacing w:val="-5"/>
                <w:sz w:val="20"/>
                <w:szCs w:val="20"/>
              </w:rPr>
              <w:t>ООО «Газпром трансгаз Югорск» Верхнеказымское ЛПУ МГ</w:t>
            </w:r>
          </w:p>
        </w:tc>
        <w:tc>
          <w:tcPr>
            <w:tcW w:w="439" w:type="pct"/>
            <w:tcBorders>
              <w:bottom w:val="single" w:color="auto" w:sz="4" w:space="0"/>
            </w:tcBorders>
            <w:shd w:val="clear" w:color="auto" w:fill="auto"/>
            <w:noWrap/>
            <w:vAlign w:val="center"/>
          </w:tcPr>
          <w:p w14:paraId="5B9B4422">
            <w:pPr>
              <w:spacing w:after="0" w:line="240" w:lineRule="auto"/>
              <w:ind w:firstLine="0"/>
              <w:jc w:val="center"/>
              <w:rPr>
                <w:color w:val="000000"/>
                <w:sz w:val="20"/>
                <w:szCs w:val="20"/>
              </w:rPr>
            </w:pPr>
            <w:r>
              <w:rPr>
                <w:color w:val="000000"/>
                <w:sz w:val="20"/>
                <w:szCs w:val="20"/>
              </w:rPr>
              <w:t>2131,91</w:t>
            </w:r>
          </w:p>
        </w:tc>
        <w:tc>
          <w:tcPr>
            <w:tcW w:w="390" w:type="pct"/>
            <w:tcBorders>
              <w:bottom w:val="single" w:color="auto" w:sz="4" w:space="0"/>
            </w:tcBorders>
            <w:shd w:val="clear" w:color="auto" w:fill="auto"/>
            <w:noWrap/>
            <w:vAlign w:val="center"/>
          </w:tcPr>
          <w:p w14:paraId="60A64866">
            <w:pPr>
              <w:spacing w:after="0" w:line="240" w:lineRule="auto"/>
              <w:ind w:firstLine="0"/>
              <w:jc w:val="center"/>
              <w:rPr>
                <w:color w:val="000000"/>
                <w:sz w:val="20"/>
                <w:szCs w:val="20"/>
              </w:rPr>
            </w:pPr>
            <w:r>
              <w:rPr>
                <w:color w:val="000000"/>
                <w:sz w:val="20"/>
                <w:szCs w:val="20"/>
              </w:rPr>
              <w:t>2131,91</w:t>
            </w:r>
          </w:p>
        </w:tc>
        <w:tc>
          <w:tcPr>
            <w:tcW w:w="443" w:type="pct"/>
            <w:tcBorders>
              <w:bottom w:val="single" w:color="auto" w:sz="4" w:space="0"/>
            </w:tcBorders>
            <w:shd w:val="clear" w:color="auto" w:fill="auto"/>
            <w:noWrap/>
            <w:vAlign w:val="center"/>
          </w:tcPr>
          <w:p w14:paraId="7B9F71A3">
            <w:pPr>
              <w:spacing w:after="0" w:line="240" w:lineRule="auto"/>
              <w:ind w:firstLine="0"/>
              <w:jc w:val="center"/>
              <w:rPr>
                <w:color w:val="000000"/>
                <w:sz w:val="20"/>
                <w:szCs w:val="20"/>
              </w:rPr>
            </w:pPr>
            <w:r>
              <w:rPr>
                <w:color w:val="000000"/>
                <w:sz w:val="20"/>
                <w:szCs w:val="20"/>
              </w:rPr>
              <w:t>2131,91</w:t>
            </w:r>
          </w:p>
        </w:tc>
        <w:tc>
          <w:tcPr>
            <w:tcW w:w="516" w:type="pct"/>
            <w:tcBorders>
              <w:bottom w:val="single" w:color="auto" w:sz="4" w:space="0"/>
            </w:tcBorders>
            <w:shd w:val="clear" w:color="auto" w:fill="auto"/>
            <w:noWrap/>
            <w:vAlign w:val="center"/>
          </w:tcPr>
          <w:p w14:paraId="72FCBDFF">
            <w:pPr>
              <w:spacing w:after="0" w:line="240" w:lineRule="auto"/>
              <w:ind w:firstLine="0"/>
              <w:jc w:val="center"/>
              <w:rPr>
                <w:color w:val="000000"/>
                <w:sz w:val="20"/>
                <w:szCs w:val="20"/>
              </w:rPr>
            </w:pPr>
            <w:r>
              <w:rPr>
                <w:color w:val="000000"/>
                <w:sz w:val="20"/>
                <w:szCs w:val="20"/>
              </w:rPr>
              <w:t>2131,91</w:t>
            </w:r>
          </w:p>
        </w:tc>
        <w:tc>
          <w:tcPr>
            <w:tcW w:w="471" w:type="pct"/>
            <w:tcBorders>
              <w:bottom w:val="single" w:color="auto" w:sz="4" w:space="0"/>
            </w:tcBorders>
            <w:shd w:val="clear" w:color="auto" w:fill="auto"/>
            <w:noWrap/>
            <w:vAlign w:val="center"/>
          </w:tcPr>
          <w:p w14:paraId="43735EF9">
            <w:pPr>
              <w:spacing w:after="0" w:line="240" w:lineRule="auto"/>
              <w:ind w:firstLine="0"/>
              <w:jc w:val="center"/>
              <w:rPr>
                <w:color w:val="000000"/>
                <w:sz w:val="20"/>
                <w:szCs w:val="20"/>
              </w:rPr>
            </w:pPr>
            <w:r>
              <w:rPr>
                <w:color w:val="000000"/>
                <w:sz w:val="20"/>
                <w:szCs w:val="20"/>
              </w:rPr>
              <w:t>2131,91</w:t>
            </w:r>
          </w:p>
        </w:tc>
        <w:tc>
          <w:tcPr>
            <w:tcW w:w="471" w:type="pct"/>
            <w:tcBorders>
              <w:bottom w:val="single" w:color="auto" w:sz="4" w:space="0"/>
            </w:tcBorders>
            <w:shd w:val="clear" w:color="auto" w:fill="auto"/>
            <w:noWrap/>
            <w:vAlign w:val="center"/>
          </w:tcPr>
          <w:p w14:paraId="4ACE84EB">
            <w:pPr>
              <w:spacing w:after="0" w:line="240" w:lineRule="auto"/>
              <w:ind w:firstLine="0"/>
              <w:jc w:val="center"/>
              <w:rPr>
                <w:color w:val="000000"/>
                <w:sz w:val="20"/>
                <w:szCs w:val="20"/>
              </w:rPr>
            </w:pPr>
            <w:r>
              <w:rPr>
                <w:color w:val="000000"/>
                <w:sz w:val="20"/>
                <w:szCs w:val="20"/>
              </w:rPr>
              <w:t>2131,91</w:t>
            </w:r>
          </w:p>
        </w:tc>
        <w:tc>
          <w:tcPr>
            <w:tcW w:w="471" w:type="pct"/>
            <w:tcBorders>
              <w:bottom w:val="single" w:color="auto" w:sz="4" w:space="0"/>
            </w:tcBorders>
            <w:shd w:val="clear" w:color="auto" w:fill="auto"/>
            <w:noWrap/>
            <w:vAlign w:val="center"/>
          </w:tcPr>
          <w:p w14:paraId="1AF5AE81">
            <w:pPr>
              <w:spacing w:after="0" w:line="240" w:lineRule="auto"/>
              <w:ind w:firstLine="0"/>
              <w:jc w:val="center"/>
              <w:rPr>
                <w:color w:val="000000"/>
                <w:sz w:val="20"/>
                <w:szCs w:val="20"/>
              </w:rPr>
            </w:pPr>
            <w:r>
              <w:rPr>
                <w:color w:val="000000"/>
                <w:sz w:val="20"/>
                <w:szCs w:val="20"/>
              </w:rPr>
              <w:t>2131,91</w:t>
            </w:r>
          </w:p>
        </w:tc>
      </w:tr>
      <w:tr w14:paraId="2FF2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574CEB7B">
            <w:pPr>
              <w:spacing w:after="0" w:line="240" w:lineRule="auto"/>
              <w:ind w:firstLine="0"/>
              <w:rPr>
                <w:color w:val="000000"/>
                <w:sz w:val="20"/>
                <w:szCs w:val="20"/>
              </w:rPr>
            </w:pPr>
            <w:r>
              <w:rPr>
                <w:color w:val="000000"/>
                <w:sz w:val="20"/>
                <w:szCs w:val="20"/>
              </w:rPr>
              <w:t>Величина технологических потерь тепловой энергии, Гкал</w:t>
            </w:r>
          </w:p>
        </w:tc>
        <w:tc>
          <w:tcPr>
            <w:tcW w:w="439" w:type="pct"/>
            <w:tcBorders>
              <w:top w:val="single" w:color="auto" w:sz="4" w:space="0"/>
              <w:left w:val="nil"/>
              <w:bottom w:val="single" w:color="auto" w:sz="4" w:space="0"/>
              <w:right w:val="single" w:color="auto" w:sz="4" w:space="0"/>
            </w:tcBorders>
            <w:shd w:val="clear" w:color="auto" w:fill="auto"/>
            <w:vAlign w:val="center"/>
          </w:tcPr>
          <w:p w14:paraId="1CAA08DF">
            <w:pPr>
              <w:spacing w:after="0" w:line="240" w:lineRule="auto"/>
              <w:ind w:firstLine="0"/>
              <w:jc w:val="center"/>
              <w:rPr>
                <w:color w:val="000000"/>
                <w:sz w:val="20"/>
                <w:szCs w:val="20"/>
              </w:rPr>
            </w:pPr>
            <w:r>
              <w:rPr>
                <w:color w:val="000000"/>
                <w:sz w:val="20"/>
                <w:szCs w:val="20"/>
              </w:rPr>
              <w:t>6303,625</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5FD3CE9D">
            <w:pPr>
              <w:spacing w:after="0" w:line="240" w:lineRule="auto"/>
              <w:ind w:firstLine="0"/>
              <w:jc w:val="center"/>
              <w:rPr>
                <w:color w:val="000000"/>
                <w:sz w:val="20"/>
                <w:szCs w:val="20"/>
              </w:rPr>
            </w:pPr>
            <w:r>
              <w:rPr>
                <w:color w:val="000000"/>
                <w:sz w:val="20"/>
                <w:szCs w:val="20"/>
              </w:rPr>
              <w:t>6475,370</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67DBF980">
            <w:pPr>
              <w:spacing w:after="0" w:line="240" w:lineRule="auto"/>
              <w:ind w:firstLine="0"/>
              <w:jc w:val="center"/>
              <w:rPr>
                <w:color w:val="000000"/>
                <w:sz w:val="20"/>
                <w:szCs w:val="20"/>
              </w:rPr>
            </w:pPr>
            <w:r>
              <w:rPr>
                <w:color w:val="000000"/>
                <w:sz w:val="20"/>
                <w:szCs w:val="20"/>
              </w:rPr>
              <w:t>6825,150</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163A0D9D">
            <w:pPr>
              <w:spacing w:after="0" w:line="240" w:lineRule="auto"/>
              <w:ind w:firstLine="0"/>
              <w:jc w:val="center"/>
              <w:rPr>
                <w:color w:val="000000"/>
                <w:sz w:val="20"/>
                <w:szCs w:val="20"/>
              </w:rPr>
            </w:pPr>
            <w:r>
              <w:rPr>
                <w:color w:val="000000"/>
                <w:sz w:val="20"/>
                <w:szCs w:val="20"/>
              </w:rPr>
              <w:t>7092,130</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50369E13">
            <w:pPr>
              <w:spacing w:after="0" w:line="240" w:lineRule="auto"/>
              <w:ind w:firstLine="0"/>
              <w:jc w:val="center"/>
              <w:rPr>
                <w:color w:val="000000"/>
                <w:sz w:val="20"/>
                <w:szCs w:val="20"/>
              </w:rPr>
            </w:pPr>
            <w:r>
              <w:rPr>
                <w:color w:val="000000"/>
                <w:sz w:val="20"/>
                <w:szCs w:val="20"/>
              </w:rPr>
              <w:t>7269,860</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7639D8D">
            <w:pPr>
              <w:spacing w:after="0" w:line="240" w:lineRule="auto"/>
              <w:ind w:firstLine="0"/>
              <w:jc w:val="center"/>
              <w:rPr>
                <w:color w:val="000000"/>
                <w:sz w:val="20"/>
                <w:szCs w:val="20"/>
              </w:rPr>
            </w:pPr>
            <w:r>
              <w:rPr>
                <w:color w:val="000000"/>
                <w:sz w:val="20"/>
                <w:szCs w:val="20"/>
              </w:rPr>
              <w:t>7351,340</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E6132E2">
            <w:pPr>
              <w:spacing w:after="0" w:line="240" w:lineRule="auto"/>
              <w:ind w:firstLine="0"/>
              <w:jc w:val="center"/>
              <w:rPr>
                <w:color w:val="000000"/>
                <w:sz w:val="20"/>
                <w:szCs w:val="20"/>
              </w:rPr>
            </w:pPr>
            <w:r>
              <w:rPr>
                <w:color w:val="000000"/>
                <w:sz w:val="20"/>
                <w:szCs w:val="20"/>
              </w:rPr>
              <w:t>7329,050</w:t>
            </w:r>
          </w:p>
        </w:tc>
      </w:tr>
      <w:tr w14:paraId="0F2F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tcBorders>
              <w:bottom w:val="single" w:color="auto" w:sz="4" w:space="0"/>
            </w:tcBorders>
            <w:shd w:val="clear" w:color="auto" w:fill="auto"/>
            <w:vAlign w:val="center"/>
          </w:tcPr>
          <w:p w14:paraId="48C84B87">
            <w:pPr>
              <w:spacing w:after="0" w:line="240" w:lineRule="auto"/>
              <w:ind w:firstLine="0"/>
              <w:rPr>
                <w:color w:val="000000"/>
                <w:sz w:val="20"/>
                <w:szCs w:val="20"/>
              </w:rPr>
            </w:pPr>
            <w:r>
              <w:rPr>
                <w:color w:val="000000"/>
                <w:sz w:val="20"/>
                <w:szCs w:val="20"/>
              </w:rPr>
              <w:t>Отношение величины технологических потерь тепловой энергии к материальной характеристике тепловой сети, Гкал/м</w:t>
            </w:r>
            <w:r>
              <w:rPr>
                <w:color w:val="000000"/>
                <w:sz w:val="20"/>
                <w:szCs w:val="20"/>
                <w:vertAlign w:val="superscript"/>
              </w:rPr>
              <w:t>2</w:t>
            </w:r>
          </w:p>
        </w:tc>
        <w:tc>
          <w:tcPr>
            <w:tcW w:w="439" w:type="pct"/>
            <w:tcBorders>
              <w:top w:val="nil"/>
              <w:left w:val="nil"/>
              <w:bottom w:val="single" w:color="auto" w:sz="4" w:space="0"/>
              <w:right w:val="single" w:color="auto" w:sz="8" w:space="0"/>
            </w:tcBorders>
            <w:shd w:val="clear" w:color="auto" w:fill="auto"/>
            <w:vAlign w:val="center"/>
          </w:tcPr>
          <w:p w14:paraId="59D800A0">
            <w:pPr>
              <w:spacing w:after="0" w:line="240" w:lineRule="auto"/>
              <w:ind w:firstLine="0"/>
              <w:jc w:val="center"/>
              <w:rPr>
                <w:color w:val="000000"/>
                <w:sz w:val="20"/>
                <w:szCs w:val="20"/>
              </w:rPr>
            </w:pPr>
            <w:r>
              <w:rPr>
                <w:color w:val="000000"/>
                <w:sz w:val="20"/>
                <w:szCs w:val="20"/>
              </w:rPr>
              <w:t>2,63</w:t>
            </w:r>
          </w:p>
        </w:tc>
        <w:tc>
          <w:tcPr>
            <w:tcW w:w="390" w:type="pct"/>
            <w:tcBorders>
              <w:top w:val="nil"/>
              <w:left w:val="nil"/>
              <w:bottom w:val="single" w:color="auto" w:sz="4" w:space="0"/>
              <w:right w:val="single" w:color="auto" w:sz="8" w:space="0"/>
            </w:tcBorders>
            <w:shd w:val="clear" w:color="auto" w:fill="auto"/>
            <w:vAlign w:val="center"/>
          </w:tcPr>
          <w:p w14:paraId="5B70CD20">
            <w:pPr>
              <w:spacing w:after="0" w:line="240" w:lineRule="auto"/>
              <w:ind w:firstLine="0"/>
              <w:jc w:val="center"/>
              <w:rPr>
                <w:color w:val="000000"/>
                <w:sz w:val="20"/>
                <w:szCs w:val="20"/>
              </w:rPr>
            </w:pPr>
            <w:r>
              <w:rPr>
                <w:color w:val="000000"/>
                <w:sz w:val="20"/>
                <w:szCs w:val="20"/>
              </w:rPr>
              <w:t>2,71</w:t>
            </w:r>
          </w:p>
        </w:tc>
        <w:tc>
          <w:tcPr>
            <w:tcW w:w="443" w:type="pct"/>
            <w:tcBorders>
              <w:top w:val="nil"/>
              <w:left w:val="nil"/>
              <w:bottom w:val="single" w:color="auto" w:sz="4" w:space="0"/>
              <w:right w:val="single" w:color="auto" w:sz="8" w:space="0"/>
            </w:tcBorders>
            <w:shd w:val="clear" w:color="auto" w:fill="auto"/>
            <w:vAlign w:val="center"/>
          </w:tcPr>
          <w:p w14:paraId="5BDDF2AD">
            <w:pPr>
              <w:spacing w:after="0" w:line="240" w:lineRule="auto"/>
              <w:ind w:firstLine="0"/>
              <w:jc w:val="center"/>
              <w:rPr>
                <w:color w:val="000000"/>
                <w:sz w:val="20"/>
                <w:szCs w:val="20"/>
              </w:rPr>
            </w:pPr>
            <w:r>
              <w:rPr>
                <w:color w:val="000000"/>
                <w:sz w:val="20"/>
                <w:szCs w:val="20"/>
              </w:rPr>
              <w:t>2,85</w:t>
            </w:r>
          </w:p>
        </w:tc>
        <w:tc>
          <w:tcPr>
            <w:tcW w:w="516" w:type="pct"/>
            <w:tcBorders>
              <w:top w:val="nil"/>
              <w:left w:val="nil"/>
              <w:bottom w:val="single" w:color="auto" w:sz="4" w:space="0"/>
              <w:right w:val="single" w:color="auto" w:sz="8" w:space="0"/>
            </w:tcBorders>
            <w:shd w:val="clear" w:color="auto" w:fill="auto"/>
            <w:vAlign w:val="center"/>
          </w:tcPr>
          <w:p w14:paraId="5649162E">
            <w:pPr>
              <w:spacing w:after="0" w:line="240" w:lineRule="auto"/>
              <w:ind w:firstLine="0"/>
              <w:jc w:val="center"/>
              <w:rPr>
                <w:color w:val="000000"/>
                <w:sz w:val="20"/>
                <w:szCs w:val="20"/>
              </w:rPr>
            </w:pPr>
            <w:r>
              <w:rPr>
                <w:color w:val="000000"/>
                <w:sz w:val="20"/>
                <w:szCs w:val="20"/>
              </w:rPr>
              <w:t>2,96</w:t>
            </w:r>
          </w:p>
        </w:tc>
        <w:tc>
          <w:tcPr>
            <w:tcW w:w="471" w:type="pct"/>
            <w:tcBorders>
              <w:top w:val="nil"/>
              <w:left w:val="nil"/>
              <w:bottom w:val="single" w:color="auto" w:sz="4" w:space="0"/>
              <w:right w:val="single" w:color="auto" w:sz="8" w:space="0"/>
            </w:tcBorders>
            <w:shd w:val="clear" w:color="auto" w:fill="auto"/>
            <w:vAlign w:val="center"/>
          </w:tcPr>
          <w:p w14:paraId="186FFBCB">
            <w:pPr>
              <w:spacing w:after="0" w:line="240" w:lineRule="auto"/>
              <w:ind w:firstLine="0"/>
              <w:jc w:val="center"/>
              <w:rPr>
                <w:color w:val="000000"/>
                <w:sz w:val="20"/>
                <w:szCs w:val="20"/>
              </w:rPr>
            </w:pPr>
            <w:r>
              <w:rPr>
                <w:color w:val="000000"/>
                <w:sz w:val="20"/>
                <w:szCs w:val="20"/>
              </w:rPr>
              <w:t>3,04</w:t>
            </w:r>
          </w:p>
        </w:tc>
        <w:tc>
          <w:tcPr>
            <w:tcW w:w="471" w:type="pct"/>
            <w:tcBorders>
              <w:top w:val="nil"/>
              <w:left w:val="nil"/>
              <w:bottom w:val="single" w:color="auto" w:sz="4" w:space="0"/>
              <w:right w:val="single" w:color="auto" w:sz="8" w:space="0"/>
            </w:tcBorders>
            <w:shd w:val="clear" w:color="auto" w:fill="auto"/>
            <w:vAlign w:val="center"/>
          </w:tcPr>
          <w:p w14:paraId="70145E89">
            <w:pPr>
              <w:spacing w:after="0" w:line="240" w:lineRule="auto"/>
              <w:ind w:firstLine="0"/>
              <w:jc w:val="center"/>
              <w:rPr>
                <w:color w:val="000000"/>
                <w:sz w:val="20"/>
                <w:szCs w:val="20"/>
              </w:rPr>
            </w:pPr>
            <w:r>
              <w:rPr>
                <w:color w:val="000000"/>
                <w:sz w:val="20"/>
                <w:szCs w:val="20"/>
              </w:rPr>
              <w:t>3,07</w:t>
            </w:r>
          </w:p>
        </w:tc>
        <w:tc>
          <w:tcPr>
            <w:tcW w:w="471" w:type="pct"/>
            <w:tcBorders>
              <w:top w:val="nil"/>
              <w:left w:val="nil"/>
              <w:bottom w:val="single" w:color="auto" w:sz="4" w:space="0"/>
              <w:right w:val="single" w:color="auto" w:sz="8" w:space="0"/>
            </w:tcBorders>
            <w:shd w:val="clear" w:color="auto" w:fill="auto"/>
            <w:vAlign w:val="center"/>
          </w:tcPr>
          <w:p w14:paraId="23D12330">
            <w:pPr>
              <w:spacing w:after="0" w:line="240" w:lineRule="auto"/>
              <w:ind w:firstLine="0"/>
              <w:jc w:val="center"/>
              <w:rPr>
                <w:color w:val="000000"/>
                <w:sz w:val="20"/>
                <w:szCs w:val="20"/>
              </w:rPr>
            </w:pPr>
            <w:r>
              <w:rPr>
                <w:color w:val="000000"/>
                <w:sz w:val="20"/>
                <w:szCs w:val="20"/>
              </w:rPr>
              <w:t>3,06</w:t>
            </w:r>
          </w:p>
        </w:tc>
      </w:tr>
      <w:tr w14:paraId="621A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tcBorders>
              <w:top w:val="single" w:color="auto" w:sz="4" w:space="0"/>
              <w:right w:val="single" w:color="auto" w:sz="4" w:space="0"/>
            </w:tcBorders>
            <w:shd w:val="clear" w:color="auto" w:fill="auto"/>
            <w:vAlign w:val="center"/>
          </w:tcPr>
          <w:p w14:paraId="588252F9">
            <w:pPr>
              <w:spacing w:after="0" w:line="240" w:lineRule="auto"/>
              <w:ind w:firstLine="0"/>
              <w:rPr>
                <w:color w:val="000000"/>
                <w:sz w:val="20"/>
                <w:szCs w:val="20"/>
              </w:rPr>
            </w:pPr>
            <w:r>
              <w:rPr>
                <w:color w:val="000000"/>
                <w:sz w:val="20"/>
                <w:szCs w:val="20"/>
              </w:rPr>
              <w:t>Удельный расход топлива на производство тепловой энергии, кг у.т./Гкал</w:t>
            </w:r>
          </w:p>
        </w:tc>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7B6832F3">
            <w:pPr>
              <w:spacing w:after="0" w:line="240" w:lineRule="auto"/>
              <w:ind w:firstLine="0"/>
              <w:jc w:val="center"/>
              <w:rPr>
                <w:color w:val="000000"/>
                <w:sz w:val="20"/>
                <w:szCs w:val="20"/>
              </w:rPr>
            </w:pP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287393C6">
            <w:pPr>
              <w:spacing w:after="0" w:line="240" w:lineRule="auto"/>
              <w:ind w:firstLine="0"/>
              <w:jc w:val="center"/>
              <w:rPr>
                <w:color w:val="000000"/>
                <w:sz w:val="20"/>
                <w:szCs w:val="20"/>
              </w:rPr>
            </w:pP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258411CA">
            <w:pPr>
              <w:spacing w:after="0" w:line="240" w:lineRule="auto"/>
              <w:ind w:firstLine="0"/>
              <w:jc w:val="center"/>
              <w:rPr>
                <w:color w:val="000000"/>
                <w:sz w:val="20"/>
                <w:szCs w:val="20"/>
              </w:rPr>
            </w:pP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3EEAAC30">
            <w:pPr>
              <w:spacing w:after="0" w:line="240" w:lineRule="auto"/>
              <w:ind w:firstLine="0"/>
              <w:jc w:val="center"/>
              <w:rPr>
                <w:color w:val="000000"/>
                <w:sz w:val="20"/>
                <w:szCs w:val="2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07733B6">
            <w:pPr>
              <w:spacing w:after="0" w:line="240" w:lineRule="auto"/>
              <w:ind w:firstLine="0"/>
              <w:jc w:val="center"/>
              <w:rPr>
                <w:color w:val="000000"/>
                <w:sz w:val="20"/>
                <w:szCs w:val="2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22AB6740">
            <w:pPr>
              <w:spacing w:after="0" w:line="240" w:lineRule="auto"/>
              <w:ind w:firstLine="0"/>
              <w:jc w:val="center"/>
              <w:rPr>
                <w:color w:val="000000"/>
                <w:sz w:val="20"/>
                <w:szCs w:val="2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5AA1D665">
            <w:pPr>
              <w:spacing w:after="0" w:line="240" w:lineRule="auto"/>
              <w:ind w:firstLine="0"/>
              <w:jc w:val="center"/>
              <w:rPr>
                <w:color w:val="000000"/>
                <w:sz w:val="20"/>
                <w:szCs w:val="20"/>
              </w:rPr>
            </w:pPr>
          </w:p>
        </w:tc>
      </w:tr>
      <w:tr w14:paraId="4585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14:paraId="13F9F910">
            <w:pPr>
              <w:spacing w:after="0" w:line="240" w:lineRule="auto"/>
              <w:ind w:firstLine="0"/>
              <w:jc w:val="right"/>
              <w:rPr>
                <w:color w:val="000000"/>
                <w:sz w:val="20"/>
                <w:szCs w:val="20"/>
              </w:rPr>
            </w:pPr>
            <w:r>
              <w:rPr>
                <w:color w:val="000000"/>
                <w:sz w:val="20"/>
                <w:szCs w:val="20"/>
              </w:rPr>
              <w:t>Котельная №2 МУП «БКС»</w:t>
            </w:r>
          </w:p>
        </w:tc>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46411178">
            <w:pPr>
              <w:spacing w:after="0" w:line="240" w:lineRule="auto"/>
              <w:ind w:firstLine="0"/>
              <w:jc w:val="center"/>
              <w:rPr>
                <w:color w:val="000000"/>
                <w:sz w:val="20"/>
                <w:szCs w:val="20"/>
              </w:rPr>
            </w:pPr>
            <w:r>
              <w:rPr>
                <w:color w:val="000000"/>
                <w:sz w:val="20"/>
                <w:szCs w:val="20"/>
              </w:rPr>
              <w:t>169,813</w:t>
            </w:r>
          </w:p>
        </w:tc>
        <w:tc>
          <w:tcPr>
            <w:tcW w:w="390" w:type="pct"/>
            <w:tcBorders>
              <w:top w:val="single" w:color="auto" w:sz="4" w:space="0"/>
              <w:left w:val="nil"/>
              <w:bottom w:val="single" w:color="auto" w:sz="4" w:space="0"/>
              <w:right w:val="single" w:color="auto" w:sz="4" w:space="0"/>
            </w:tcBorders>
            <w:shd w:val="clear" w:color="auto" w:fill="auto"/>
            <w:vAlign w:val="center"/>
          </w:tcPr>
          <w:p w14:paraId="178F8D87">
            <w:pPr>
              <w:spacing w:after="0" w:line="240" w:lineRule="auto"/>
              <w:ind w:firstLine="0"/>
              <w:jc w:val="center"/>
              <w:rPr>
                <w:color w:val="000000"/>
                <w:sz w:val="20"/>
                <w:szCs w:val="20"/>
              </w:rPr>
            </w:pPr>
            <w:r>
              <w:rPr>
                <w:color w:val="000000"/>
                <w:sz w:val="20"/>
                <w:szCs w:val="20"/>
              </w:rPr>
              <w:t>172,35</w:t>
            </w:r>
          </w:p>
        </w:tc>
        <w:tc>
          <w:tcPr>
            <w:tcW w:w="443" w:type="pct"/>
            <w:tcBorders>
              <w:top w:val="single" w:color="auto" w:sz="4" w:space="0"/>
              <w:left w:val="nil"/>
              <w:bottom w:val="single" w:color="auto" w:sz="4" w:space="0"/>
              <w:right w:val="single" w:color="auto" w:sz="4" w:space="0"/>
            </w:tcBorders>
            <w:shd w:val="clear" w:color="auto" w:fill="auto"/>
            <w:vAlign w:val="center"/>
          </w:tcPr>
          <w:p w14:paraId="5BAFF893">
            <w:pPr>
              <w:spacing w:after="0" w:line="240" w:lineRule="auto"/>
              <w:ind w:firstLine="0"/>
              <w:jc w:val="center"/>
              <w:rPr>
                <w:color w:val="000000"/>
                <w:sz w:val="20"/>
                <w:szCs w:val="20"/>
              </w:rPr>
            </w:pPr>
            <w:r>
              <w:rPr>
                <w:color w:val="000000"/>
                <w:sz w:val="20"/>
                <w:szCs w:val="20"/>
              </w:rPr>
              <w:t>172,35</w:t>
            </w:r>
          </w:p>
        </w:tc>
        <w:tc>
          <w:tcPr>
            <w:tcW w:w="516" w:type="pct"/>
            <w:tcBorders>
              <w:top w:val="single" w:color="auto" w:sz="4" w:space="0"/>
              <w:left w:val="nil"/>
              <w:bottom w:val="single" w:color="auto" w:sz="4" w:space="0"/>
              <w:right w:val="single" w:color="auto" w:sz="4" w:space="0"/>
            </w:tcBorders>
            <w:shd w:val="clear" w:color="auto" w:fill="auto"/>
            <w:vAlign w:val="center"/>
          </w:tcPr>
          <w:p w14:paraId="593391F4">
            <w:pPr>
              <w:spacing w:after="0" w:line="240" w:lineRule="auto"/>
              <w:ind w:firstLine="0"/>
              <w:jc w:val="center"/>
              <w:rPr>
                <w:color w:val="000000"/>
                <w:sz w:val="20"/>
                <w:szCs w:val="20"/>
              </w:rPr>
            </w:pPr>
            <w:r>
              <w:rPr>
                <w:color w:val="000000"/>
                <w:sz w:val="20"/>
                <w:szCs w:val="20"/>
              </w:rPr>
              <w:t>172,35</w:t>
            </w:r>
          </w:p>
        </w:tc>
        <w:tc>
          <w:tcPr>
            <w:tcW w:w="471" w:type="pct"/>
            <w:tcBorders>
              <w:top w:val="single" w:color="auto" w:sz="4" w:space="0"/>
              <w:left w:val="nil"/>
              <w:bottom w:val="single" w:color="auto" w:sz="4" w:space="0"/>
              <w:right w:val="single" w:color="auto" w:sz="4" w:space="0"/>
            </w:tcBorders>
            <w:shd w:val="clear" w:color="auto" w:fill="auto"/>
            <w:vAlign w:val="center"/>
          </w:tcPr>
          <w:p w14:paraId="12999C3B">
            <w:pPr>
              <w:spacing w:after="0" w:line="240" w:lineRule="auto"/>
              <w:ind w:firstLine="0"/>
              <w:jc w:val="center"/>
              <w:rPr>
                <w:color w:val="000000"/>
                <w:sz w:val="20"/>
                <w:szCs w:val="20"/>
              </w:rPr>
            </w:pPr>
            <w:r>
              <w:rPr>
                <w:color w:val="000000"/>
                <w:sz w:val="20"/>
                <w:szCs w:val="20"/>
              </w:rPr>
              <w:t>172,35</w:t>
            </w:r>
          </w:p>
        </w:tc>
        <w:tc>
          <w:tcPr>
            <w:tcW w:w="471" w:type="pct"/>
            <w:tcBorders>
              <w:top w:val="single" w:color="auto" w:sz="4" w:space="0"/>
              <w:left w:val="nil"/>
              <w:bottom w:val="single" w:color="auto" w:sz="4" w:space="0"/>
              <w:right w:val="single" w:color="auto" w:sz="4" w:space="0"/>
            </w:tcBorders>
            <w:shd w:val="clear" w:color="auto" w:fill="auto"/>
            <w:vAlign w:val="center"/>
          </w:tcPr>
          <w:p w14:paraId="79AD11A1">
            <w:pPr>
              <w:spacing w:after="0" w:line="240" w:lineRule="auto"/>
              <w:ind w:firstLine="0"/>
              <w:jc w:val="center"/>
              <w:rPr>
                <w:color w:val="000000"/>
                <w:sz w:val="20"/>
                <w:szCs w:val="20"/>
              </w:rPr>
            </w:pPr>
            <w:r>
              <w:rPr>
                <w:color w:val="000000"/>
                <w:sz w:val="20"/>
                <w:szCs w:val="20"/>
              </w:rPr>
              <w:t>172,35</w:t>
            </w:r>
          </w:p>
        </w:tc>
        <w:tc>
          <w:tcPr>
            <w:tcW w:w="471" w:type="pct"/>
            <w:tcBorders>
              <w:top w:val="single" w:color="auto" w:sz="4" w:space="0"/>
              <w:left w:val="nil"/>
              <w:bottom w:val="single" w:color="auto" w:sz="4" w:space="0"/>
              <w:right w:val="single" w:color="auto" w:sz="4" w:space="0"/>
            </w:tcBorders>
            <w:shd w:val="clear" w:color="auto" w:fill="auto"/>
            <w:vAlign w:val="center"/>
          </w:tcPr>
          <w:p w14:paraId="055E2983">
            <w:pPr>
              <w:spacing w:after="0" w:line="240" w:lineRule="auto"/>
              <w:ind w:firstLine="0"/>
              <w:jc w:val="center"/>
              <w:rPr>
                <w:color w:val="000000"/>
                <w:sz w:val="20"/>
                <w:szCs w:val="20"/>
              </w:rPr>
            </w:pPr>
            <w:r>
              <w:rPr>
                <w:color w:val="000000"/>
                <w:sz w:val="20"/>
                <w:szCs w:val="20"/>
              </w:rPr>
              <w:t>172,35</w:t>
            </w:r>
          </w:p>
        </w:tc>
      </w:tr>
      <w:tr w14:paraId="11C3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tcBorders>
              <w:top w:val="nil"/>
              <w:left w:val="single" w:color="auto" w:sz="4" w:space="0"/>
              <w:bottom w:val="single" w:color="auto" w:sz="4" w:space="0"/>
              <w:right w:val="single" w:color="auto" w:sz="4" w:space="0"/>
            </w:tcBorders>
            <w:shd w:val="clear" w:color="auto" w:fill="auto"/>
            <w:vAlign w:val="center"/>
          </w:tcPr>
          <w:p w14:paraId="3D1A19CC">
            <w:pPr>
              <w:spacing w:after="0" w:line="240" w:lineRule="auto"/>
              <w:ind w:firstLine="0"/>
              <w:jc w:val="right"/>
              <w:rPr>
                <w:color w:val="000000"/>
                <w:sz w:val="20"/>
                <w:szCs w:val="20"/>
              </w:rPr>
            </w:pPr>
            <w:r>
              <w:rPr>
                <w:color w:val="000000"/>
                <w:sz w:val="20"/>
                <w:szCs w:val="20"/>
              </w:rPr>
              <w:t>Котельные «Вирбекс», «2БВК»</w:t>
            </w:r>
          </w:p>
        </w:tc>
        <w:tc>
          <w:tcPr>
            <w:tcW w:w="439" w:type="pct"/>
            <w:tcBorders>
              <w:top w:val="single" w:color="auto" w:sz="4" w:space="0"/>
              <w:left w:val="nil"/>
              <w:bottom w:val="single" w:color="auto" w:sz="4" w:space="0"/>
              <w:right w:val="single" w:color="auto" w:sz="4" w:space="0"/>
            </w:tcBorders>
            <w:shd w:val="clear" w:color="auto" w:fill="auto"/>
            <w:vAlign w:val="bottom"/>
          </w:tcPr>
          <w:p w14:paraId="5CB16117">
            <w:pPr>
              <w:spacing w:after="0" w:line="240" w:lineRule="auto"/>
              <w:ind w:firstLine="0"/>
              <w:jc w:val="center"/>
              <w:rPr>
                <w:color w:val="000000"/>
                <w:sz w:val="20"/>
                <w:szCs w:val="20"/>
              </w:rPr>
            </w:pPr>
            <w:r>
              <w:rPr>
                <w:color w:val="000000"/>
                <w:sz w:val="20"/>
                <w:szCs w:val="20"/>
              </w:rPr>
              <w:t>35,37</w:t>
            </w:r>
          </w:p>
        </w:tc>
        <w:tc>
          <w:tcPr>
            <w:tcW w:w="390" w:type="pct"/>
            <w:tcBorders>
              <w:top w:val="single" w:color="auto" w:sz="4" w:space="0"/>
              <w:left w:val="single" w:color="auto" w:sz="4" w:space="0"/>
              <w:bottom w:val="single" w:color="auto" w:sz="4" w:space="0"/>
              <w:right w:val="single" w:color="auto" w:sz="4" w:space="0"/>
            </w:tcBorders>
            <w:shd w:val="clear" w:color="auto" w:fill="auto"/>
            <w:vAlign w:val="bottom"/>
          </w:tcPr>
          <w:p w14:paraId="59771F9F">
            <w:pPr>
              <w:spacing w:after="0" w:line="240" w:lineRule="auto"/>
              <w:ind w:firstLine="0"/>
              <w:jc w:val="center"/>
              <w:rPr>
                <w:color w:val="000000"/>
                <w:sz w:val="20"/>
                <w:szCs w:val="20"/>
              </w:rPr>
            </w:pPr>
            <w:r>
              <w:rPr>
                <w:color w:val="000000"/>
                <w:sz w:val="20"/>
                <w:szCs w:val="20"/>
              </w:rPr>
              <w:t>35,37</w:t>
            </w:r>
          </w:p>
        </w:tc>
        <w:tc>
          <w:tcPr>
            <w:tcW w:w="443" w:type="pct"/>
            <w:tcBorders>
              <w:top w:val="single" w:color="auto" w:sz="4" w:space="0"/>
              <w:left w:val="single" w:color="auto" w:sz="4" w:space="0"/>
              <w:bottom w:val="single" w:color="auto" w:sz="4" w:space="0"/>
              <w:right w:val="single" w:color="auto" w:sz="4" w:space="0"/>
            </w:tcBorders>
            <w:shd w:val="clear" w:color="auto" w:fill="auto"/>
            <w:vAlign w:val="bottom"/>
          </w:tcPr>
          <w:p w14:paraId="469FF44D">
            <w:pPr>
              <w:spacing w:after="0" w:line="240" w:lineRule="auto"/>
              <w:ind w:firstLine="0"/>
              <w:jc w:val="center"/>
              <w:rPr>
                <w:color w:val="000000"/>
                <w:sz w:val="20"/>
                <w:szCs w:val="20"/>
              </w:rPr>
            </w:pPr>
            <w:r>
              <w:rPr>
                <w:color w:val="000000"/>
                <w:sz w:val="20"/>
                <w:szCs w:val="20"/>
              </w:rPr>
              <w:t>35,37</w:t>
            </w:r>
          </w:p>
        </w:tc>
        <w:tc>
          <w:tcPr>
            <w:tcW w:w="516" w:type="pct"/>
            <w:tcBorders>
              <w:top w:val="single" w:color="auto" w:sz="4" w:space="0"/>
              <w:left w:val="single" w:color="auto" w:sz="4" w:space="0"/>
              <w:bottom w:val="single" w:color="auto" w:sz="4" w:space="0"/>
              <w:right w:val="single" w:color="auto" w:sz="4" w:space="0"/>
            </w:tcBorders>
            <w:shd w:val="clear" w:color="auto" w:fill="auto"/>
            <w:vAlign w:val="bottom"/>
          </w:tcPr>
          <w:p w14:paraId="7F8A304C">
            <w:pPr>
              <w:spacing w:after="0" w:line="240" w:lineRule="auto"/>
              <w:ind w:firstLine="0"/>
              <w:jc w:val="center"/>
              <w:rPr>
                <w:color w:val="000000"/>
                <w:sz w:val="20"/>
                <w:szCs w:val="20"/>
              </w:rPr>
            </w:pPr>
            <w:r>
              <w:rPr>
                <w:color w:val="000000"/>
                <w:sz w:val="20"/>
                <w:szCs w:val="20"/>
              </w:rPr>
              <w:t>35,37</w:t>
            </w:r>
          </w:p>
        </w:tc>
        <w:tc>
          <w:tcPr>
            <w:tcW w:w="471" w:type="pct"/>
            <w:tcBorders>
              <w:top w:val="single" w:color="auto" w:sz="4" w:space="0"/>
              <w:left w:val="single" w:color="auto" w:sz="4" w:space="0"/>
              <w:bottom w:val="single" w:color="auto" w:sz="4" w:space="0"/>
              <w:right w:val="single" w:color="auto" w:sz="4" w:space="0"/>
            </w:tcBorders>
            <w:shd w:val="clear" w:color="auto" w:fill="auto"/>
            <w:vAlign w:val="bottom"/>
          </w:tcPr>
          <w:p w14:paraId="4D281EC9">
            <w:pPr>
              <w:spacing w:after="0" w:line="240" w:lineRule="auto"/>
              <w:ind w:firstLine="0"/>
              <w:jc w:val="center"/>
              <w:rPr>
                <w:color w:val="000000"/>
                <w:sz w:val="20"/>
                <w:szCs w:val="20"/>
              </w:rPr>
            </w:pPr>
            <w:r>
              <w:rPr>
                <w:color w:val="000000"/>
                <w:sz w:val="20"/>
                <w:szCs w:val="20"/>
              </w:rPr>
              <w:t>35,37</w:t>
            </w:r>
          </w:p>
        </w:tc>
        <w:tc>
          <w:tcPr>
            <w:tcW w:w="471" w:type="pct"/>
            <w:tcBorders>
              <w:top w:val="single" w:color="auto" w:sz="4" w:space="0"/>
              <w:left w:val="single" w:color="auto" w:sz="4" w:space="0"/>
              <w:bottom w:val="single" w:color="auto" w:sz="4" w:space="0"/>
              <w:right w:val="single" w:color="auto" w:sz="4" w:space="0"/>
            </w:tcBorders>
            <w:shd w:val="clear" w:color="auto" w:fill="auto"/>
            <w:vAlign w:val="bottom"/>
          </w:tcPr>
          <w:p w14:paraId="629A323D">
            <w:pPr>
              <w:spacing w:after="0" w:line="240" w:lineRule="auto"/>
              <w:ind w:firstLine="0"/>
              <w:jc w:val="center"/>
              <w:rPr>
                <w:color w:val="000000"/>
                <w:sz w:val="20"/>
                <w:szCs w:val="20"/>
              </w:rPr>
            </w:pPr>
            <w:r>
              <w:rPr>
                <w:color w:val="000000"/>
                <w:sz w:val="20"/>
                <w:szCs w:val="20"/>
              </w:rPr>
              <w:t>35,37</w:t>
            </w:r>
          </w:p>
        </w:tc>
        <w:tc>
          <w:tcPr>
            <w:tcW w:w="471" w:type="pct"/>
            <w:tcBorders>
              <w:top w:val="single" w:color="auto" w:sz="4" w:space="0"/>
              <w:left w:val="single" w:color="auto" w:sz="4" w:space="0"/>
              <w:bottom w:val="single" w:color="auto" w:sz="4" w:space="0"/>
              <w:right w:val="single" w:color="auto" w:sz="4" w:space="0"/>
            </w:tcBorders>
            <w:shd w:val="clear" w:color="auto" w:fill="auto"/>
            <w:vAlign w:val="bottom"/>
          </w:tcPr>
          <w:p w14:paraId="33F33EC0">
            <w:pPr>
              <w:spacing w:after="0" w:line="240" w:lineRule="auto"/>
              <w:ind w:firstLine="0"/>
              <w:jc w:val="center"/>
              <w:rPr>
                <w:color w:val="000000"/>
                <w:sz w:val="20"/>
                <w:szCs w:val="20"/>
              </w:rPr>
            </w:pPr>
            <w:r>
              <w:rPr>
                <w:color w:val="000000"/>
                <w:sz w:val="20"/>
                <w:szCs w:val="20"/>
              </w:rPr>
              <w:t>35,37</w:t>
            </w:r>
          </w:p>
        </w:tc>
      </w:tr>
      <w:tr w14:paraId="5BE0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62FABEE8">
            <w:pPr>
              <w:spacing w:after="0" w:line="240" w:lineRule="auto"/>
              <w:ind w:firstLine="0"/>
              <w:rPr>
                <w:color w:val="000000"/>
                <w:sz w:val="20"/>
                <w:szCs w:val="20"/>
              </w:rPr>
            </w:pPr>
            <w:r>
              <w:rPr>
                <w:color w:val="000000"/>
                <w:sz w:val="20"/>
                <w:szCs w:val="20"/>
              </w:rPr>
              <w:t>Установленная мощность, Гкал/ч</w:t>
            </w:r>
          </w:p>
        </w:tc>
        <w:tc>
          <w:tcPr>
            <w:tcW w:w="439" w:type="pct"/>
            <w:tcBorders>
              <w:top w:val="nil"/>
              <w:left w:val="nil"/>
              <w:bottom w:val="single" w:color="auto" w:sz="8" w:space="0"/>
              <w:right w:val="single" w:color="auto" w:sz="8" w:space="0"/>
            </w:tcBorders>
            <w:shd w:val="clear" w:color="auto" w:fill="auto"/>
            <w:vAlign w:val="center"/>
          </w:tcPr>
          <w:p w14:paraId="3706C643">
            <w:pPr>
              <w:spacing w:after="0" w:line="240" w:lineRule="auto"/>
              <w:ind w:firstLine="0"/>
              <w:jc w:val="center"/>
              <w:rPr>
                <w:color w:val="000000"/>
                <w:sz w:val="20"/>
                <w:szCs w:val="20"/>
              </w:rPr>
            </w:pPr>
            <w:r>
              <w:rPr>
                <w:color w:val="000000"/>
                <w:sz w:val="20"/>
                <w:szCs w:val="20"/>
              </w:rPr>
              <w:t>53,74</w:t>
            </w:r>
          </w:p>
        </w:tc>
        <w:tc>
          <w:tcPr>
            <w:tcW w:w="390" w:type="pct"/>
            <w:tcBorders>
              <w:top w:val="nil"/>
              <w:left w:val="nil"/>
              <w:bottom w:val="single" w:color="auto" w:sz="8" w:space="0"/>
              <w:right w:val="single" w:color="auto" w:sz="8" w:space="0"/>
            </w:tcBorders>
            <w:shd w:val="clear" w:color="auto" w:fill="auto"/>
            <w:vAlign w:val="center"/>
          </w:tcPr>
          <w:p w14:paraId="1DA3ECBB">
            <w:pPr>
              <w:spacing w:after="0" w:line="240" w:lineRule="auto"/>
              <w:ind w:firstLine="0"/>
              <w:jc w:val="center"/>
              <w:rPr>
                <w:color w:val="000000"/>
                <w:sz w:val="20"/>
                <w:szCs w:val="20"/>
              </w:rPr>
            </w:pPr>
            <w:r>
              <w:rPr>
                <w:color w:val="000000"/>
                <w:sz w:val="20"/>
                <w:szCs w:val="20"/>
              </w:rPr>
              <w:t>53,74</w:t>
            </w:r>
          </w:p>
        </w:tc>
        <w:tc>
          <w:tcPr>
            <w:tcW w:w="443" w:type="pct"/>
            <w:tcBorders>
              <w:top w:val="nil"/>
              <w:left w:val="nil"/>
              <w:bottom w:val="single" w:color="auto" w:sz="8" w:space="0"/>
              <w:right w:val="single" w:color="auto" w:sz="8" w:space="0"/>
            </w:tcBorders>
            <w:shd w:val="clear" w:color="auto" w:fill="auto"/>
            <w:vAlign w:val="center"/>
          </w:tcPr>
          <w:p w14:paraId="09908CF5">
            <w:pPr>
              <w:spacing w:after="0" w:line="240" w:lineRule="auto"/>
              <w:ind w:firstLine="0"/>
              <w:jc w:val="center"/>
              <w:rPr>
                <w:color w:val="000000"/>
                <w:sz w:val="20"/>
                <w:szCs w:val="20"/>
              </w:rPr>
            </w:pPr>
            <w:r>
              <w:rPr>
                <w:color w:val="000000"/>
                <w:sz w:val="20"/>
                <w:szCs w:val="20"/>
              </w:rPr>
              <w:t>53,74</w:t>
            </w:r>
          </w:p>
        </w:tc>
        <w:tc>
          <w:tcPr>
            <w:tcW w:w="516" w:type="pct"/>
            <w:tcBorders>
              <w:top w:val="nil"/>
              <w:left w:val="nil"/>
              <w:bottom w:val="single" w:color="auto" w:sz="8" w:space="0"/>
              <w:right w:val="single" w:color="auto" w:sz="8" w:space="0"/>
            </w:tcBorders>
            <w:shd w:val="clear" w:color="auto" w:fill="auto"/>
            <w:vAlign w:val="center"/>
          </w:tcPr>
          <w:p w14:paraId="3856E6AE">
            <w:pPr>
              <w:spacing w:after="0" w:line="240" w:lineRule="auto"/>
              <w:ind w:firstLine="0"/>
              <w:jc w:val="center"/>
              <w:rPr>
                <w:color w:val="000000"/>
                <w:sz w:val="20"/>
                <w:szCs w:val="20"/>
              </w:rPr>
            </w:pPr>
            <w:r>
              <w:rPr>
                <w:color w:val="000000"/>
                <w:sz w:val="20"/>
                <w:szCs w:val="20"/>
              </w:rPr>
              <w:t>53,74</w:t>
            </w:r>
          </w:p>
        </w:tc>
        <w:tc>
          <w:tcPr>
            <w:tcW w:w="471" w:type="pct"/>
            <w:tcBorders>
              <w:top w:val="nil"/>
              <w:left w:val="nil"/>
              <w:bottom w:val="single" w:color="auto" w:sz="8" w:space="0"/>
              <w:right w:val="single" w:color="auto" w:sz="8" w:space="0"/>
            </w:tcBorders>
            <w:shd w:val="clear" w:color="auto" w:fill="auto"/>
            <w:vAlign w:val="center"/>
          </w:tcPr>
          <w:p w14:paraId="1B3C5C66">
            <w:pPr>
              <w:spacing w:after="0" w:line="240" w:lineRule="auto"/>
              <w:ind w:firstLine="0"/>
              <w:jc w:val="center"/>
              <w:rPr>
                <w:color w:val="000000"/>
                <w:sz w:val="20"/>
                <w:szCs w:val="20"/>
              </w:rPr>
            </w:pPr>
            <w:r>
              <w:rPr>
                <w:color w:val="000000"/>
                <w:sz w:val="20"/>
                <w:szCs w:val="20"/>
              </w:rPr>
              <w:t>53,74</w:t>
            </w:r>
          </w:p>
        </w:tc>
        <w:tc>
          <w:tcPr>
            <w:tcW w:w="471" w:type="pct"/>
            <w:tcBorders>
              <w:top w:val="nil"/>
              <w:left w:val="nil"/>
              <w:bottom w:val="single" w:color="auto" w:sz="8" w:space="0"/>
              <w:right w:val="single" w:color="auto" w:sz="8" w:space="0"/>
            </w:tcBorders>
            <w:shd w:val="clear" w:color="auto" w:fill="auto"/>
            <w:vAlign w:val="center"/>
          </w:tcPr>
          <w:p w14:paraId="4A03E554">
            <w:pPr>
              <w:spacing w:after="0" w:line="240" w:lineRule="auto"/>
              <w:ind w:firstLine="0"/>
              <w:jc w:val="center"/>
              <w:rPr>
                <w:color w:val="000000"/>
                <w:sz w:val="20"/>
                <w:szCs w:val="20"/>
              </w:rPr>
            </w:pPr>
            <w:r>
              <w:rPr>
                <w:color w:val="000000"/>
                <w:sz w:val="20"/>
                <w:szCs w:val="20"/>
              </w:rPr>
              <w:t>53,74</w:t>
            </w:r>
          </w:p>
        </w:tc>
        <w:tc>
          <w:tcPr>
            <w:tcW w:w="471" w:type="pct"/>
            <w:tcBorders>
              <w:top w:val="nil"/>
              <w:left w:val="nil"/>
              <w:bottom w:val="single" w:color="auto" w:sz="8" w:space="0"/>
              <w:right w:val="single" w:color="auto" w:sz="8" w:space="0"/>
            </w:tcBorders>
            <w:shd w:val="clear" w:color="auto" w:fill="auto"/>
            <w:vAlign w:val="center"/>
          </w:tcPr>
          <w:p w14:paraId="123EF69D">
            <w:pPr>
              <w:spacing w:after="0" w:line="240" w:lineRule="auto"/>
              <w:ind w:firstLine="0"/>
              <w:jc w:val="center"/>
              <w:rPr>
                <w:color w:val="000000"/>
                <w:sz w:val="20"/>
                <w:szCs w:val="20"/>
              </w:rPr>
            </w:pPr>
            <w:r>
              <w:rPr>
                <w:color w:val="000000"/>
                <w:sz w:val="20"/>
                <w:szCs w:val="20"/>
              </w:rPr>
              <w:t>53,74</w:t>
            </w:r>
          </w:p>
        </w:tc>
      </w:tr>
      <w:tr w14:paraId="56D4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7594DBF8">
            <w:pPr>
              <w:spacing w:after="0" w:line="240" w:lineRule="auto"/>
              <w:ind w:firstLine="0"/>
              <w:rPr>
                <w:color w:val="000000"/>
                <w:sz w:val="20"/>
                <w:szCs w:val="20"/>
              </w:rPr>
            </w:pPr>
            <w:r>
              <w:rPr>
                <w:color w:val="000000"/>
                <w:sz w:val="20"/>
                <w:szCs w:val="20"/>
              </w:rPr>
              <w:t>Подключенная нагрузка</w:t>
            </w:r>
          </w:p>
        </w:tc>
        <w:tc>
          <w:tcPr>
            <w:tcW w:w="439" w:type="pct"/>
            <w:tcBorders>
              <w:top w:val="nil"/>
              <w:left w:val="nil"/>
              <w:bottom w:val="single" w:color="auto" w:sz="8" w:space="0"/>
              <w:right w:val="single" w:color="auto" w:sz="8" w:space="0"/>
            </w:tcBorders>
            <w:shd w:val="clear" w:color="auto" w:fill="auto"/>
            <w:vAlign w:val="center"/>
          </w:tcPr>
          <w:p w14:paraId="4583D7D3">
            <w:pPr>
              <w:spacing w:after="0" w:line="240" w:lineRule="auto"/>
              <w:ind w:firstLine="0"/>
              <w:jc w:val="center"/>
              <w:rPr>
                <w:color w:val="000000"/>
                <w:sz w:val="20"/>
                <w:szCs w:val="20"/>
              </w:rPr>
            </w:pPr>
            <w:r>
              <w:rPr>
                <w:color w:val="000000"/>
                <w:sz w:val="20"/>
                <w:szCs w:val="20"/>
              </w:rPr>
              <w:t>2,18</w:t>
            </w:r>
          </w:p>
        </w:tc>
        <w:tc>
          <w:tcPr>
            <w:tcW w:w="390" w:type="pct"/>
            <w:tcBorders>
              <w:top w:val="nil"/>
              <w:left w:val="nil"/>
              <w:bottom w:val="single" w:color="auto" w:sz="8" w:space="0"/>
              <w:right w:val="single" w:color="auto" w:sz="8" w:space="0"/>
            </w:tcBorders>
            <w:shd w:val="clear" w:color="auto" w:fill="auto"/>
            <w:vAlign w:val="center"/>
          </w:tcPr>
          <w:p w14:paraId="6E298695">
            <w:pPr>
              <w:spacing w:after="0" w:line="240" w:lineRule="auto"/>
              <w:ind w:firstLine="0"/>
              <w:jc w:val="center"/>
              <w:rPr>
                <w:color w:val="000000"/>
                <w:sz w:val="20"/>
                <w:szCs w:val="20"/>
              </w:rPr>
            </w:pPr>
            <w:r>
              <w:rPr>
                <w:color w:val="000000"/>
                <w:sz w:val="20"/>
                <w:szCs w:val="20"/>
              </w:rPr>
              <w:t>2,31</w:t>
            </w:r>
          </w:p>
        </w:tc>
        <w:tc>
          <w:tcPr>
            <w:tcW w:w="443" w:type="pct"/>
            <w:tcBorders>
              <w:top w:val="nil"/>
              <w:left w:val="nil"/>
              <w:bottom w:val="single" w:color="auto" w:sz="8" w:space="0"/>
              <w:right w:val="single" w:color="auto" w:sz="8" w:space="0"/>
            </w:tcBorders>
            <w:shd w:val="clear" w:color="auto" w:fill="auto"/>
            <w:vAlign w:val="center"/>
          </w:tcPr>
          <w:p w14:paraId="2FB2893B">
            <w:pPr>
              <w:spacing w:after="0" w:line="240" w:lineRule="auto"/>
              <w:ind w:firstLine="0"/>
              <w:jc w:val="center"/>
              <w:rPr>
                <w:color w:val="000000"/>
                <w:sz w:val="20"/>
                <w:szCs w:val="20"/>
              </w:rPr>
            </w:pPr>
            <w:r>
              <w:rPr>
                <w:color w:val="000000"/>
                <w:sz w:val="20"/>
                <w:szCs w:val="20"/>
              </w:rPr>
              <w:t>2,45</w:t>
            </w:r>
          </w:p>
        </w:tc>
        <w:tc>
          <w:tcPr>
            <w:tcW w:w="516" w:type="pct"/>
            <w:tcBorders>
              <w:top w:val="nil"/>
              <w:left w:val="nil"/>
              <w:bottom w:val="single" w:color="auto" w:sz="8" w:space="0"/>
              <w:right w:val="single" w:color="auto" w:sz="8" w:space="0"/>
            </w:tcBorders>
            <w:shd w:val="clear" w:color="auto" w:fill="auto"/>
            <w:vAlign w:val="center"/>
          </w:tcPr>
          <w:p w14:paraId="10C5B0DA">
            <w:pPr>
              <w:spacing w:after="0" w:line="240" w:lineRule="auto"/>
              <w:ind w:firstLine="0"/>
              <w:jc w:val="center"/>
              <w:rPr>
                <w:color w:val="000000"/>
                <w:sz w:val="20"/>
                <w:szCs w:val="20"/>
              </w:rPr>
            </w:pPr>
            <w:r>
              <w:rPr>
                <w:color w:val="000000"/>
                <w:sz w:val="20"/>
                <w:szCs w:val="20"/>
              </w:rPr>
              <w:t>2,61</w:t>
            </w:r>
          </w:p>
        </w:tc>
        <w:tc>
          <w:tcPr>
            <w:tcW w:w="471" w:type="pct"/>
            <w:tcBorders>
              <w:top w:val="nil"/>
              <w:left w:val="nil"/>
              <w:bottom w:val="single" w:color="auto" w:sz="8" w:space="0"/>
              <w:right w:val="single" w:color="auto" w:sz="8" w:space="0"/>
            </w:tcBorders>
            <w:shd w:val="clear" w:color="auto" w:fill="auto"/>
            <w:vAlign w:val="center"/>
          </w:tcPr>
          <w:p w14:paraId="25353D5C">
            <w:pPr>
              <w:spacing w:after="0" w:line="240" w:lineRule="auto"/>
              <w:ind w:firstLine="0"/>
              <w:jc w:val="center"/>
              <w:rPr>
                <w:color w:val="000000"/>
                <w:sz w:val="20"/>
                <w:szCs w:val="20"/>
              </w:rPr>
            </w:pPr>
            <w:r>
              <w:rPr>
                <w:color w:val="000000"/>
                <w:sz w:val="20"/>
                <w:szCs w:val="20"/>
              </w:rPr>
              <w:t>2,77</w:t>
            </w:r>
          </w:p>
        </w:tc>
        <w:tc>
          <w:tcPr>
            <w:tcW w:w="471" w:type="pct"/>
            <w:tcBorders>
              <w:top w:val="nil"/>
              <w:left w:val="nil"/>
              <w:bottom w:val="single" w:color="auto" w:sz="8" w:space="0"/>
              <w:right w:val="single" w:color="auto" w:sz="8" w:space="0"/>
            </w:tcBorders>
            <w:shd w:val="clear" w:color="auto" w:fill="auto"/>
            <w:vAlign w:val="center"/>
          </w:tcPr>
          <w:p w14:paraId="2FC44087">
            <w:pPr>
              <w:spacing w:after="0" w:line="240" w:lineRule="auto"/>
              <w:ind w:firstLine="0"/>
              <w:jc w:val="center"/>
              <w:rPr>
                <w:color w:val="000000"/>
                <w:sz w:val="20"/>
                <w:szCs w:val="20"/>
              </w:rPr>
            </w:pPr>
            <w:r>
              <w:rPr>
                <w:color w:val="000000"/>
                <w:sz w:val="20"/>
                <w:szCs w:val="20"/>
              </w:rPr>
              <w:t>2,95</w:t>
            </w:r>
          </w:p>
        </w:tc>
        <w:tc>
          <w:tcPr>
            <w:tcW w:w="471" w:type="pct"/>
            <w:tcBorders>
              <w:top w:val="nil"/>
              <w:left w:val="nil"/>
              <w:bottom w:val="single" w:color="auto" w:sz="8" w:space="0"/>
              <w:right w:val="single" w:color="auto" w:sz="8" w:space="0"/>
            </w:tcBorders>
            <w:shd w:val="clear" w:color="auto" w:fill="auto"/>
            <w:vAlign w:val="center"/>
          </w:tcPr>
          <w:p w14:paraId="13482392">
            <w:pPr>
              <w:spacing w:after="0" w:line="240" w:lineRule="auto"/>
              <w:ind w:firstLine="0"/>
              <w:jc w:val="center"/>
              <w:rPr>
                <w:color w:val="000000"/>
                <w:sz w:val="20"/>
                <w:szCs w:val="20"/>
              </w:rPr>
            </w:pPr>
            <w:r>
              <w:rPr>
                <w:color w:val="000000"/>
                <w:sz w:val="20"/>
                <w:szCs w:val="20"/>
              </w:rPr>
              <w:t>3,14</w:t>
            </w:r>
          </w:p>
        </w:tc>
      </w:tr>
      <w:tr w14:paraId="707A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59402717">
            <w:pPr>
              <w:spacing w:after="0" w:line="240" w:lineRule="auto"/>
              <w:ind w:firstLine="0"/>
              <w:rPr>
                <w:color w:val="000000"/>
                <w:sz w:val="20"/>
                <w:szCs w:val="20"/>
              </w:rPr>
            </w:pPr>
            <w:r>
              <w:rPr>
                <w:color w:val="000000"/>
                <w:sz w:val="20"/>
                <w:szCs w:val="20"/>
              </w:rPr>
              <w:t>Выработка тепловой энергии, Гкал</w:t>
            </w:r>
          </w:p>
        </w:tc>
        <w:tc>
          <w:tcPr>
            <w:tcW w:w="439" w:type="pct"/>
            <w:tcBorders>
              <w:top w:val="nil"/>
              <w:left w:val="nil"/>
              <w:bottom w:val="single" w:color="auto" w:sz="8" w:space="0"/>
              <w:right w:val="single" w:color="auto" w:sz="8" w:space="0"/>
            </w:tcBorders>
            <w:shd w:val="clear" w:color="auto" w:fill="auto"/>
            <w:vAlign w:val="center"/>
          </w:tcPr>
          <w:p w14:paraId="0DB5001E">
            <w:pPr>
              <w:spacing w:after="0" w:line="240" w:lineRule="auto"/>
              <w:ind w:firstLine="0"/>
              <w:jc w:val="center"/>
              <w:rPr>
                <w:color w:val="000000"/>
                <w:sz w:val="20"/>
                <w:szCs w:val="20"/>
              </w:rPr>
            </w:pPr>
            <w:r>
              <w:rPr>
                <w:color w:val="000000"/>
                <w:sz w:val="20"/>
                <w:szCs w:val="20"/>
              </w:rPr>
              <w:t>21240,3</w:t>
            </w:r>
          </w:p>
        </w:tc>
        <w:tc>
          <w:tcPr>
            <w:tcW w:w="390" w:type="pct"/>
            <w:tcBorders>
              <w:top w:val="nil"/>
              <w:left w:val="nil"/>
              <w:bottom w:val="single" w:color="auto" w:sz="8" w:space="0"/>
              <w:right w:val="single" w:color="auto" w:sz="8" w:space="0"/>
            </w:tcBorders>
            <w:shd w:val="clear" w:color="auto" w:fill="auto"/>
            <w:vAlign w:val="center"/>
          </w:tcPr>
          <w:p w14:paraId="58D5E266">
            <w:pPr>
              <w:spacing w:after="0" w:line="240" w:lineRule="auto"/>
              <w:ind w:firstLine="0"/>
              <w:jc w:val="center"/>
              <w:rPr>
                <w:color w:val="000000"/>
                <w:sz w:val="20"/>
                <w:szCs w:val="20"/>
              </w:rPr>
            </w:pPr>
            <w:r>
              <w:rPr>
                <w:color w:val="000000"/>
                <w:sz w:val="20"/>
                <w:szCs w:val="20"/>
              </w:rPr>
              <w:t>22697,2</w:t>
            </w:r>
          </w:p>
        </w:tc>
        <w:tc>
          <w:tcPr>
            <w:tcW w:w="443" w:type="pct"/>
            <w:tcBorders>
              <w:top w:val="nil"/>
              <w:left w:val="nil"/>
              <w:bottom w:val="single" w:color="auto" w:sz="8" w:space="0"/>
              <w:right w:val="single" w:color="auto" w:sz="8" w:space="0"/>
            </w:tcBorders>
            <w:shd w:val="clear" w:color="auto" w:fill="auto"/>
            <w:vAlign w:val="center"/>
          </w:tcPr>
          <w:p w14:paraId="191C81D9">
            <w:pPr>
              <w:spacing w:after="0" w:line="240" w:lineRule="auto"/>
              <w:ind w:firstLine="0"/>
              <w:jc w:val="center"/>
              <w:rPr>
                <w:color w:val="000000"/>
                <w:sz w:val="20"/>
                <w:szCs w:val="20"/>
              </w:rPr>
            </w:pPr>
            <w:r>
              <w:rPr>
                <w:color w:val="000000"/>
                <w:sz w:val="20"/>
                <w:szCs w:val="20"/>
              </w:rPr>
              <w:t>24106,0</w:t>
            </w:r>
          </w:p>
        </w:tc>
        <w:tc>
          <w:tcPr>
            <w:tcW w:w="516" w:type="pct"/>
            <w:tcBorders>
              <w:top w:val="nil"/>
              <w:left w:val="nil"/>
              <w:bottom w:val="single" w:color="auto" w:sz="8" w:space="0"/>
              <w:right w:val="single" w:color="auto" w:sz="8" w:space="0"/>
            </w:tcBorders>
            <w:shd w:val="clear" w:color="auto" w:fill="auto"/>
            <w:vAlign w:val="center"/>
          </w:tcPr>
          <w:p w14:paraId="65C3611B">
            <w:pPr>
              <w:spacing w:after="0" w:line="240" w:lineRule="auto"/>
              <w:ind w:firstLine="0"/>
              <w:jc w:val="center"/>
              <w:rPr>
                <w:color w:val="000000"/>
                <w:sz w:val="20"/>
                <w:szCs w:val="20"/>
              </w:rPr>
            </w:pPr>
            <w:r>
              <w:rPr>
                <w:color w:val="000000"/>
                <w:sz w:val="20"/>
                <w:szCs w:val="20"/>
              </w:rPr>
              <w:t>25514,9</w:t>
            </w:r>
          </w:p>
        </w:tc>
        <w:tc>
          <w:tcPr>
            <w:tcW w:w="471" w:type="pct"/>
            <w:tcBorders>
              <w:top w:val="nil"/>
              <w:left w:val="nil"/>
              <w:bottom w:val="single" w:color="auto" w:sz="8" w:space="0"/>
              <w:right w:val="single" w:color="auto" w:sz="8" w:space="0"/>
            </w:tcBorders>
            <w:shd w:val="clear" w:color="auto" w:fill="auto"/>
            <w:vAlign w:val="center"/>
          </w:tcPr>
          <w:p w14:paraId="6E9C23E5">
            <w:pPr>
              <w:spacing w:after="0" w:line="240" w:lineRule="auto"/>
              <w:ind w:firstLine="0"/>
              <w:jc w:val="center"/>
              <w:rPr>
                <w:color w:val="000000"/>
                <w:sz w:val="20"/>
                <w:szCs w:val="20"/>
              </w:rPr>
            </w:pPr>
            <w:r>
              <w:rPr>
                <w:color w:val="000000"/>
                <w:sz w:val="20"/>
                <w:szCs w:val="20"/>
              </w:rPr>
              <w:t>26923,8</w:t>
            </w:r>
          </w:p>
        </w:tc>
        <w:tc>
          <w:tcPr>
            <w:tcW w:w="471" w:type="pct"/>
            <w:tcBorders>
              <w:top w:val="nil"/>
              <w:left w:val="nil"/>
              <w:bottom w:val="single" w:color="auto" w:sz="8" w:space="0"/>
              <w:right w:val="single" w:color="auto" w:sz="8" w:space="0"/>
            </w:tcBorders>
            <w:shd w:val="clear" w:color="auto" w:fill="auto"/>
            <w:vAlign w:val="center"/>
          </w:tcPr>
          <w:p w14:paraId="3168FB4A">
            <w:pPr>
              <w:spacing w:after="0" w:line="240" w:lineRule="auto"/>
              <w:ind w:firstLine="0"/>
              <w:jc w:val="center"/>
              <w:rPr>
                <w:color w:val="000000"/>
                <w:sz w:val="20"/>
                <w:szCs w:val="20"/>
              </w:rPr>
            </w:pPr>
            <w:r>
              <w:rPr>
                <w:color w:val="000000"/>
                <w:sz w:val="20"/>
                <w:szCs w:val="20"/>
              </w:rPr>
              <w:t>28332,6</w:t>
            </w:r>
          </w:p>
        </w:tc>
        <w:tc>
          <w:tcPr>
            <w:tcW w:w="471" w:type="pct"/>
            <w:tcBorders>
              <w:top w:val="nil"/>
              <w:left w:val="nil"/>
              <w:bottom w:val="single" w:color="auto" w:sz="8" w:space="0"/>
              <w:right w:val="single" w:color="auto" w:sz="8" w:space="0"/>
            </w:tcBorders>
            <w:shd w:val="clear" w:color="auto" w:fill="auto"/>
            <w:vAlign w:val="center"/>
          </w:tcPr>
          <w:p w14:paraId="2E050F64">
            <w:pPr>
              <w:spacing w:after="0" w:line="240" w:lineRule="auto"/>
              <w:ind w:firstLine="0"/>
              <w:jc w:val="center"/>
              <w:rPr>
                <w:color w:val="000000"/>
                <w:sz w:val="20"/>
                <w:szCs w:val="20"/>
              </w:rPr>
            </w:pPr>
            <w:r>
              <w:rPr>
                <w:color w:val="000000"/>
                <w:sz w:val="20"/>
                <w:szCs w:val="20"/>
              </w:rPr>
              <w:t>29741,5</w:t>
            </w:r>
          </w:p>
        </w:tc>
      </w:tr>
      <w:tr w14:paraId="37D4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center"/>
          </w:tcPr>
          <w:p w14:paraId="051359B5">
            <w:pPr>
              <w:spacing w:after="0" w:line="240" w:lineRule="auto"/>
              <w:ind w:firstLine="0"/>
              <w:rPr>
                <w:color w:val="000000"/>
                <w:sz w:val="20"/>
                <w:szCs w:val="20"/>
              </w:rPr>
            </w:pPr>
            <w:r>
              <w:rPr>
                <w:color w:val="000000"/>
                <w:sz w:val="20"/>
                <w:szCs w:val="20"/>
              </w:rPr>
              <w:t>Отпуск в сеть, Гкал</w:t>
            </w:r>
          </w:p>
        </w:tc>
        <w:tc>
          <w:tcPr>
            <w:tcW w:w="439" w:type="pct"/>
            <w:tcBorders>
              <w:top w:val="nil"/>
              <w:left w:val="nil"/>
              <w:bottom w:val="single" w:color="auto" w:sz="8" w:space="0"/>
              <w:right w:val="single" w:color="auto" w:sz="8" w:space="0"/>
            </w:tcBorders>
            <w:shd w:val="clear" w:color="auto" w:fill="auto"/>
            <w:vAlign w:val="center"/>
          </w:tcPr>
          <w:p w14:paraId="215C0696">
            <w:pPr>
              <w:spacing w:after="0" w:line="240" w:lineRule="auto"/>
              <w:ind w:firstLine="0"/>
              <w:jc w:val="center"/>
              <w:rPr>
                <w:color w:val="000000"/>
                <w:sz w:val="20"/>
                <w:szCs w:val="20"/>
              </w:rPr>
            </w:pPr>
            <w:r>
              <w:rPr>
                <w:color w:val="000000"/>
                <w:sz w:val="20"/>
                <w:szCs w:val="20"/>
              </w:rPr>
              <w:t>21167,6</w:t>
            </w:r>
          </w:p>
        </w:tc>
        <w:tc>
          <w:tcPr>
            <w:tcW w:w="390" w:type="pct"/>
            <w:tcBorders>
              <w:top w:val="nil"/>
              <w:left w:val="nil"/>
              <w:bottom w:val="single" w:color="auto" w:sz="8" w:space="0"/>
              <w:right w:val="single" w:color="auto" w:sz="8" w:space="0"/>
            </w:tcBorders>
            <w:shd w:val="clear" w:color="auto" w:fill="auto"/>
            <w:vAlign w:val="center"/>
          </w:tcPr>
          <w:p w14:paraId="1730F99A">
            <w:pPr>
              <w:spacing w:after="0" w:line="240" w:lineRule="auto"/>
              <w:ind w:firstLine="0"/>
              <w:jc w:val="center"/>
              <w:rPr>
                <w:color w:val="000000"/>
                <w:sz w:val="20"/>
                <w:szCs w:val="20"/>
              </w:rPr>
            </w:pPr>
            <w:r>
              <w:rPr>
                <w:color w:val="000000"/>
                <w:sz w:val="20"/>
                <w:szCs w:val="20"/>
              </w:rPr>
              <w:t>22623,37</w:t>
            </w:r>
          </w:p>
        </w:tc>
        <w:tc>
          <w:tcPr>
            <w:tcW w:w="443" w:type="pct"/>
            <w:tcBorders>
              <w:top w:val="nil"/>
              <w:left w:val="nil"/>
              <w:bottom w:val="single" w:color="auto" w:sz="8" w:space="0"/>
              <w:right w:val="single" w:color="auto" w:sz="8" w:space="0"/>
            </w:tcBorders>
            <w:shd w:val="clear" w:color="auto" w:fill="auto"/>
            <w:vAlign w:val="center"/>
          </w:tcPr>
          <w:p w14:paraId="2DB3A7E1">
            <w:pPr>
              <w:spacing w:after="0" w:line="240" w:lineRule="auto"/>
              <w:ind w:firstLine="0"/>
              <w:jc w:val="center"/>
              <w:rPr>
                <w:color w:val="000000"/>
                <w:sz w:val="20"/>
                <w:szCs w:val="20"/>
              </w:rPr>
            </w:pPr>
            <w:r>
              <w:rPr>
                <w:color w:val="000000"/>
                <w:sz w:val="20"/>
                <w:szCs w:val="20"/>
              </w:rPr>
              <w:t>24032,23</w:t>
            </w:r>
          </w:p>
        </w:tc>
        <w:tc>
          <w:tcPr>
            <w:tcW w:w="516" w:type="pct"/>
            <w:tcBorders>
              <w:top w:val="nil"/>
              <w:left w:val="nil"/>
              <w:bottom w:val="single" w:color="auto" w:sz="8" w:space="0"/>
              <w:right w:val="single" w:color="auto" w:sz="8" w:space="0"/>
            </w:tcBorders>
            <w:shd w:val="clear" w:color="auto" w:fill="auto"/>
            <w:vAlign w:val="center"/>
          </w:tcPr>
          <w:p w14:paraId="6CE7EC86">
            <w:pPr>
              <w:spacing w:after="0" w:line="240" w:lineRule="auto"/>
              <w:ind w:firstLine="0"/>
              <w:jc w:val="center"/>
              <w:rPr>
                <w:color w:val="000000"/>
                <w:sz w:val="20"/>
                <w:szCs w:val="20"/>
              </w:rPr>
            </w:pPr>
            <w:r>
              <w:rPr>
                <w:color w:val="000000"/>
                <w:sz w:val="20"/>
                <w:szCs w:val="20"/>
              </w:rPr>
              <w:t>25441,1</w:t>
            </w:r>
          </w:p>
        </w:tc>
        <w:tc>
          <w:tcPr>
            <w:tcW w:w="471" w:type="pct"/>
            <w:tcBorders>
              <w:top w:val="nil"/>
              <w:left w:val="nil"/>
              <w:bottom w:val="single" w:color="auto" w:sz="8" w:space="0"/>
              <w:right w:val="single" w:color="auto" w:sz="8" w:space="0"/>
            </w:tcBorders>
            <w:shd w:val="clear" w:color="auto" w:fill="auto"/>
            <w:vAlign w:val="center"/>
          </w:tcPr>
          <w:p w14:paraId="6EB50512">
            <w:pPr>
              <w:spacing w:after="0" w:line="240" w:lineRule="auto"/>
              <w:ind w:firstLine="0"/>
              <w:jc w:val="center"/>
              <w:rPr>
                <w:color w:val="000000"/>
                <w:sz w:val="20"/>
                <w:szCs w:val="20"/>
              </w:rPr>
            </w:pPr>
            <w:r>
              <w:rPr>
                <w:color w:val="000000"/>
                <w:sz w:val="20"/>
                <w:szCs w:val="20"/>
              </w:rPr>
              <w:t>26849,97</w:t>
            </w:r>
          </w:p>
        </w:tc>
        <w:tc>
          <w:tcPr>
            <w:tcW w:w="471" w:type="pct"/>
            <w:tcBorders>
              <w:top w:val="nil"/>
              <w:left w:val="nil"/>
              <w:bottom w:val="single" w:color="auto" w:sz="8" w:space="0"/>
              <w:right w:val="single" w:color="auto" w:sz="8" w:space="0"/>
            </w:tcBorders>
            <w:shd w:val="clear" w:color="auto" w:fill="auto"/>
            <w:vAlign w:val="center"/>
          </w:tcPr>
          <w:p w14:paraId="19774230">
            <w:pPr>
              <w:spacing w:after="0" w:line="240" w:lineRule="auto"/>
              <w:ind w:firstLine="0"/>
              <w:jc w:val="center"/>
              <w:rPr>
                <w:color w:val="000000"/>
                <w:sz w:val="20"/>
                <w:szCs w:val="20"/>
              </w:rPr>
            </w:pPr>
            <w:r>
              <w:rPr>
                <w:color w:val="000000"/>
                <w:sz w:val="20"/>
                <w:szCs w:val="20"/>
              </w:rPr>
              <w:t>28258,83</w:t>
            </w:r>
          </w:p>
        </w:tc>
        <w:tc>
          <w:tcPr>
            <w:tcW w:w="471" w:type="pct"/>
            <w:tcBorders>
              <w:top w:val="nil"/>
              <w:left w:val="nil"/>
              <w:bottom w:val="single" w:color="auto" w:sz="8" w:space="0"/>
              <w:right w:val="single" w:color="auto" w:sz="8" w:space="0"/>
            </w:tcBorders>
            <w:shd w:val="clear" w:color="auto" w:fill="auto"/>
            <w:vAlign w:val="center"/>
          </w:tcPr>
          <w:p w14:paraId="256571B0">
            <w:pPr>
              <w:spacing w:after="0" w:line="240" w:lineRule="auto"/>
              <w:ind w:firstLine="0"/>
              <w:jc w:val="center"/>
              <w:rPr>
                <w:color w:val="000000"/>
                <w:sz w:val="20"/>
                <w:szCs w:val="20"/>
              </w:rPr>
            </w:pPr>
            <w:r>
              <w:rPr>
                <w:color w:val="000000"/>
                <w:sz w:val="20"/>
                <w:szCs w:val="20"/>
              </w:rPr>
              <w:t>29667,7</w:t>
            </w:r>
          </w:p>
        </w:tc>
      </w:tr>
      <w:tr w14:paraId="6F44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bottom"/>
          </w:tcPr>
          <w:p w14:paraId="2B80E215">
            <w:pPr>
              <w:spacing w:after="0" w:line="240" w:lineRule="auto"/>
              <w:ind w:firstLine="0"/>
              <w:rPr>
                <w:color w:val="000000"/>
                <w:sz w:val="20"/>
                <w:szCs w:val="20"/>
              </w:rPr>
            </w:pPr>
            <w:r>
              <w:rPr>
                <w:color w:val="000000"/>
                <w:sz w:val="20"/>
                <w:szCs w:val="20"/>
              </w:rPr>
              <w:t>Удельная материальная характеристика тепловых сетей, м</w:t>
            </w:r>
            <w:r>
              <w:rPr>
                <w:color w:val="000000"/>
                <w:sz w:val="20"/>
                <w:szCs w:val="20"/>
                <w:vertAlign w:val="superscript"/>
              </w:rPr>
              <w:t>2</w:t>
            </w:r>
            <w:r>
              <w:rPr>
                <w:color w:val="000000"/>
                <w:sz w:val="20"/>
                <w:szCs w:val="20"/>
              </w:rPr>
              <w:t>/Гкал/ч</w:t>
            </w:r>
          </w:p>
        </w:tc>
        <w:tc>
          <w:tcPr>
            <w:tcW w:w="439" w:type="pct"/>
            <w:tcBorders>
              <w:top w:val="nil"/>
              <w:left w:val="nil"/>
              <w:bottom w:val="single" w:color="auto" w:sz="8" w:space="0"/>
              <w:right w:val="single" w:color="auto" w:sz="8" w:space="0"/>
            </w:tcBorders>
            <w:shd w:val="clear" w:color="auto" w:fill="auto"/>
            <w:vAlign w:val="center"/>
          </w:tcPr>
          <w:p w14:paraId="687649C6">
            <w:pPr>
              <w:spacing w:after="0" w:line="240" w:lineRule="auto"/>
              <w:ind w:firstLine="0"/>
              <w:jc w:val="center"/>
              <w:rPr>
                <w:color w:val="000000"/>
                <w:sz w:val="20"/>
                <w:szCs w:val="20"/>
              </w:rPr>
            </w:pPr>
            <w:r>
              <w:rPr>
                <w:color w:val="000000"/>
                <w:sz w:val="20"/>
                <w:szCs w:val="20"/>
              </w:rPr>
              <w:t>703,85</w:t>
            </w:r>
          </w:p>
        </w:tc>
        <w:tc>
          <w:tcPr>
            <w:tcW w:w="390" w:type="pct"/>
            <w:tcBorders>
              <w:top w:val="nil"/>
              <w:left w:val="nil"/>
              <w:bottom w:val="single" w:color="auto" w:sz="8" w:space="0"/>
              <w:right w:val="single" w:color="auto" w:sz="8" w:space="0"/>
            </w:tcBorders>
            <w:shd w:val="clear" w:color="auto" w:fill="auto"/>
            <w:vAlign w:val="center"/>
          </w:tcPr>
          <w:p w14:paraId="25C9F558">
            <w:pPr>
              <w:spacing w:after="0" w:line="240" w:lineRule="auto"/>
              <w:ind w:firstLine="0"/>
              <w:jc w:val="center"/>
              <w:rPr>
                <w:color w:val="000000"/>
                <w:sz w:val="20"/>
                <w:szCs w:val="20"/>
              </w:rPr>
            </w:pPr>
            <w:r>
              <w:rPr>
                <w:color w:val="000000"/>
                <w:sz w:val="20"/>
                <w:szCs w:val="20"/>
              </w:rPr>
              <w:t>643,3</w:t>
            </w:r>
          </w:p>
        </w:tc>
        <w:tc>
          <w:tcPr>
            <w:tcW w:w="443" w:type="pct"/>
            <w:tcBorders>
              <w:top w:val="nil"/>
              <w:left w:val="nil"/>
              <w:bottom w:val="single" w:color="auto" w:sz="8" w:space="0"/>
              <w:right w:val="single" w:color="auto" w:sz="8" w:space="0"/>
            </w:tcBorders>
            <w:shd w:val="clear" w:color="auto" w:fill="auto"/>
            <w:vAlign w:val="center"/>
          </w:tcPr>
          <w:p w14:paraId="7F26F013">
            <w:pPr>
              <w:spacing w:after="0" w:line="240" w:lineRule="auto"/>
              <w:ind w:firstLine="0"/>
              <w:jc w:val="center"/>
              <w:rPr>
                <w:color w:val="000000"/>
                <w:sz w:val="20"/>
                <w:szCs w:val="20"/>
              </w:rPr>
            </w:pPr>
            <w:r>
              <w:rPr>
                <w:color w:val="000000"/>
                <w:sz w:val="20"/>
                <w:szCs w:val="20"/>
              </w:rPr>
              <w:t>643,3</w:t>
            </w:r>
          </w:p>
        </w:tc>
        <w:tc>
          <w:tcPr>
            <w:tcW w:w="516" w:type="pct"/>
            <w:tcBorders>
              <w:top w:val="nil"/>
              <w:left w:val="nil"/>
              <w:bottom w:val="single" w:color="auto" w:sz="8" w:space="0"/>
              <w:right w:val="single" w:color="auto" w:sz="8" w:space="0"/>
            </w:tcBorders>
            <w:shd w:val="clear" w:color="auto" w:fill="auto"/>
            <w:vAlign w:val="center"/>
          </w:tcPr>
          <w:p w14:paraId="42DE493C">
            <w:pPr>
              <w:spacing w:after="0" w:line="240" w:lineRule="auto"/>
              <w:ind w:firstLine="0"/>
              <w:jc w:val="center"/>
              <w:rPr>
                <w:color w:val="000000"/>
                <w:sz w:val="20"/>
                <w:szCs w:val="20"/>
              </w:rPr>
            </w:pPr>
            <w:r>
              <w:rPr>
                <w:color w:val="000000"/>
                <w:sz w:val="20"/>
                <w:szCs w:val="20"/>
              </w:rPr>
              <w:t>643,3</w:t>
            </w:r>
          </w:p>
        </w:tc>
        <w:tc>
          <w:tcPr>
            <w:tcW w:w="471" w:type="pct"/>
            <w:tcBorders>
              <w:top w:val="nil"/>
              <w:left w:val="nil"/>
              <w:bottom w:val="single" w:color="auto" w:sz="8" w:space="0"/>
              <w:right w:val="single" w:color="auto" w:sz="8" w:space="0"/>
            </w:tcBorders>
            <w:shd w:val="clear" w:color="auto" w:fill="auto"/>
            <w:vAlign w:val="center"/>
          </w:tcPr>
          <w:p w14:paraId="6AA3B5AF">
            <w:pPr>
              <w:spacing w:after="0" w:line="240" w:lineRule="auto"/>
              <w:ind w:firstLine="0"/>
              <w:jc w:val="center"/>
              <w:rPr>
                <w:color w:val="000000"/>
                <w:sz w:val="20"/>
                <w:szCs w:val="20"/>
              </w:rPr>
            </w:pPr>
            <w:r>
              <w:rPr>
                <w:color w:val="000000"/>
                <w:sz w:val="20"/>
                <w:szCs w:val="20"/>
              </w:rPr>
              <w:t>643,3</w:t>
            </w:r>
          </w:p>
        </w:tc>
        <w:tc>
          <w:tcPr>
            <w:tcW w:w="471" w:type="pct"/>
            <w:tcBorders>
              <w:top w:val="nil"/>
              <w:left w:val="nil"/>
              <w:bottom w:val="single" w:color="auto" w:sz="8" w:space="0"/>
              <w:right w:val="single" w:color="auto" w:sz="8" w:space="0"/>
            </w:tcBorders>
            <w:shd w:val="clear" w:color="auto" w:fill="auto"/>
            <w:vAlign w:val="center"/>
          </w:tcPr>
          <w:p w14:paraId="665F24A2">
            <w:pPr>
              <w:spacing w:after="0" w:line="240" w:lineRule="auto"/>
              <w:ind w:firstLine="0"/>
              <w:jc w:val="center"/>
              <w:rPr>
                <w:color w:val="000000"/>
                <w:sz w:val="20"/>
                <w:szCs w:val="20"/>
              </w:rPr>
            </w:pPr>
            <w:r>
              <w:rPr>
                <w:color w:val="000000"/>
                <w:sz w:val="20"/>
                <w:szCs w:val="20"/>
              </w:rPr>
              <w:t>643,3</w:t>
            </w:r>
          </w:p>
        </w:tc>
        <w:tc>
          <w:tcPr>
            <w:tcW w:w="471" w:type="pct"/>
            <w:tcBorders>
              <w:top w:val="nil"/>
              <w:left w:val="nil"/>
              <w:bottom w:val="single" w:color="auto" w:sz="8" w:space="0"/>
              <w:right w:val="single" w:color="auto" w:sz="8" w:space="0"/>
            </w:tcBorders>
            <w:shd w:val="clear" w:color="auto" w:fill="auto"/>
            <w:vAlign w:val="center"/>
          </w:tcPr>
          <w:p w14:paraId="20CE4802">
            <w:pPr>
              <w:spacing w:after="0" w:line="240" w:lineRule="auto"/>
              <w:ind w:firstLine="0"/>
              <w:jc w:val="center"/>
              <w:rPr>
                <w:color w:val="000000"/>
                <w:sz w:val="20"/>
                <w:szCs w:val="20"/>
              </w:rPr>
            </w:pPr>
            <w:r>
              <w:rPr>
                <w:color w:val="000000"/>
                <w:sz w:val="20"/>
                <w:szCs w:val="20"/>
              </w:rPr>
              <w:t>643,3</w:t>
            </w:r>
          </w:p>
        </w:tc>
      </w:tr>
      <w:tr w14:paraId="241B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98" w:type="pct"/>
            <w:shd w:val="clear" w:color="auto" w:fill="auto"/>
            <w:vAlign w:val="bottom"/>
          </w:tcPr>
          <w:p w14:paraId="22E13ECE">
            <w:pPr>
              <w:spacing w:after="0" w:line="240" w:lineRule="auto"/>
              <w:ind w:firstLine="0"/>
              <w:rPr>
                <w:color w:val="000000"/>
                <w:sz w:val="20"/>
                <w:szCs w:val="20"/>
              </w:rPr>
            </w:pPr>
            <w:r>
              <w:rPr>
                <w:color w:val="000000"/>
                <w:sz w:val="20"/>
                <w:szCs w:val="20"/>
              </w:rPr>
              <w:t>Коэффициент использования установленной тепловой мощности, %</w:t>
            </w:r>
          </w:p>
        </w:tc>
        <w:tc>
          <w:tcPr>
            <w:tcW w:w="439" w:type="pct"/>
            <w:tcBorders>
              <w:top w:val="nil"/>
              <w:left w:val="nil"/>
              <w:bottom w:val="single" w:color="auto" w:sz="8" w:space="0"/>
              <w:right w:val="single" w:color="auto" w:sz="8" w:space="0"/>
            </w:tcBorders>
            <w:shd w:val="clear" w:color="auto" w:fill="auto"/>
            <w:vAlign w:val="center"/>
          </w:tcPr>
          <w:p w14:paraId="020DEF64">
            <w:pPr>
              <w:spacing w:after="0" w:line="240" w:lineRule="auto"/>
              <w:ind w:firstLine="0"/>
              <w:jc w:val="center"/>
              <w:rPr>
                <w:color w:val="000000"/>
                <w:sz w:val="20"/>
                <w:szCs w:val="20"/>
              </w:rPr>
            </w:pPr>
            <w:r>
              <w:rPr>
                <w:color w:val="000000"/>
                <w:sz w:val="20"/>
                <w:szCs w:val="20"/>
              </w:rPr>
              <w:t>4,51</w:t>
            </w:r>
          </w:p>
        </w:tc>
        <w:tc>
          <w:tcPr>
            <w:tcW w:w="390" w:type="pct"/>
            <w:tcBorders>
              <w:top w:val="nil"/>
              <w:left w:val="nil"/>
              <w:bottom w:val="single" w:color="auto" w:sz="8" w:space="0"/>
              <w:right w:val="single" w:color="auto" w:sz="8" w:space="0"/>
            </w:tcBorders>
            <w:shd w:val="clear" w:color="auto" w:fill="auto"/>
            <w:vAlign w:val="center"/>
          </w:tcPr>
          <w:p w14:paraId="1D5C34AD">
            <w:pPr>
              <w:spacing w:after="0" w:line="240" w:lineRule="auto"/>
              <w:ind w:firstLine="0"/>
              <w:jc w:val="center"/>
              <w:rPr>
                <w:color w:val="000000"/>
                <w:sz w:val="20"/>
                <w:szCs w:val="20"/>
              </w:rPr>
            </w:pPr>
            <w:r>
              <w:rPr>
                <w:color w:val="000000"/>
                <w:sz w:val="20"/>
                <w:szCs w:val="20"/>
              </w:rPr>
              <w:t>4,82</w:t>
            </w:r>
          </w:p>
        </w:tc>
        <w:tc>
          <w:tcPr>
            <w:tcW w:w="443" w:type="pct"/>
            <w:tcBorders>
              <w:top w:val="nil"/>
              <w:left w:val="nil"/>
              <w:bottom w:val="single" w:color="auto" w:sz="8" w:space="0"/>
              <w:right w:val="single" w:color="auto" w:sz="8" w:space="0"/>
            </w:tcBorders>
            <w:shd w:val="clear" w:color="auto" w:fill="auto"/>
            <w:vAlign w:val="center"/>
          </w:tcPr>
          <w:p w14:paraId="4145BDD4">
            <w:pPr>
              <w:spacing w:after="0" w:line="240" w:lineRule="auto"/>
              <w:ind w:firstLine="0"/>
              <w:jc w:val="center"/>
              <w:rPr>
                <w:color w:val="000000"/>
                <w:sz w:val="20"/>
                <w:szCs w:val="20"/>
              </w:rPr>
            </w:pPr>
            <w:r>
              <w:rPr>
                <w:color w:val="000000"/>
                <w:sz w:val="20"/>
                <w:szCs w:val="20"/>
              </w:rPr>
              <w:t>5,12</w:t>
            </w:r>
          </w:p>
        </w:tc>
        <w:tc>
          <w:tcPr>
            <w:tcW w:w="516" w:type="pct"/>
            <w:tcBorders>
              <w:top w:val="nil"/>
              <w:left w:val="nil"/>
              <w:bottom w:val="single" w:color="auto" w:sz="8" w:space="0"/>
              <w:right w:val="single" w:color="auto" w:sz="8" w:space="0"/>
            </w:tcBorders>
            <w:shd w:val="clear" w:color="auto" w:fill="auto"/>
            <w:vAlign w:val="center"/>
          </w:tcPr>
          <w:p w14:paraId="29821D82">
            <w:pPr>
              <w:spacing w:after="0" w:line="240" w:lineRule="auto"/>
              <w:ind w:firstLine="0"/>
              <w:jc w:val="center"/>
              <w:rPr>
                <w:color w:val="000000"/>
                <w:sz w:val="20"/>
                <w:szCs w:val="20"/>
              </w:rPr>
            </w:pPr>
            <w:r>
              <w:rPr>
                <w:color w:val="000000"/>
                <w:sz w:val="20"/>
                <w:szCs w:val="20"/>
              </w:rPr>
              <w:t>5,42</w:t>
            </w:r>
          </w:p>
        </w:tc>
        <w:tc>
          <w:tcPr>
            <w:tcW w:w="471" w:type="pct"/>
            <w:tcBorders>
              <w:top w:val="nil"/>
              <w:left w:val="nil"/>
              <w:bottom w:val="single" w:color="auto" w:sz="8" w:space="0"/>
              <w:right w:val="single" w:color="auto" w:sz="8" w:space="0"/>
            </w:tcBorders>
            <w:shd w:val="clear" w:color="auto" w:fill="auto"/>
            <w:vAlign w:val="center"/>
          </w:tcPr>
          <w:p w14:paraId="67A55A4F">
            <w:pPr>
              <w:spacing w:after="0" w:line="240" w:lineRule="auto"/>
              <w:ind w:firstLine="0"/>
              <w:jc w:val="center"/>
              <w:rPr>
                <w:color w:val="000000"/>
                <w:sz w:val="20"/>
                <w:szCs w:val="20"/>
              </w:rPr>
            </w:pPr>
            <w:r>
              <w:rPr>
                <w:color w:val="000000"/>
                <w:sz w:val="20"/>
                <w:szCs w:val="20"/>
              </w:rPr>
              <w:t>5,72</w:t>
            </w:r>
          </w:p>
        </w:tc>
        <w:tc>
          <w:tcPr>
            <w:tcW w:w="471" w:type="pct"/>
            <w:tcBorders>
              <w:top w:val="nil"/>
              <w:left w:val="nil"/>
              <w:bottom w:val="single" w:color="auto" w:sz="8" w:space="0"/>
              <w:right w:val="single" w:color="auto" w:sz="8" w:space="0"/>
            </w:tcBorders>
            <w:shd w:val="clear" w:color="auto" w:fill="auto"/>
            <w:vAlign w:val="center"/>
          </w:tcPr>
          <w:p w14:paraId="73CACD3B">
            <w:pPr>
              <w:spacing w:after="0" w:line="240" w:lineRule="auto"/>
              <w:ind w:firstLine="0"/>
              <w:jc w:val="center"/>
              <w:rPr>
                <w:color w:val="000000"/>
                <w:sz w:val="20"/>
                <w:szCs w:val="20"/>
              </w:rPr>
            </w:pPr>
            <w:r>
              <w:rPr>
                <w:color w:val="000000"/>
                <w:sz w:val="20"/>
                <w:szCs w:val="20"/>
              </w:rPr>
              <w:t>6,02</w:t>
            </w:r>
          </w:p>
        </w:tc>
        <w:tc>
          <w:tcPr>
            <w:tcW w:w="471" w:type="pct"/>
            <w:tcBorders>
              <w:top w:val="nil"/>
              <w:left w:val="nil"/>
              <w:bottom w:val="single" w:color="auto" w:sz="8" w:space="0"/>
              <w:right w:val="single" w:color="auto" w:sz="8" w:space="0"/>
            </w:tcBorders>
            <w:shd w:val="clear" w:color="auto" w:fill="auto"/>
            <w:vAlign w:val="center"/>
          </w:tcPr>
          <w:p w14:paraId="3B4A19E0">
            <w:pPr>
              <w:spacing w:after="0" w:line="240" w:lineRule="auto"/>
              <w:ind w:firstLine="0"/>
              <w:jc w:val="center"/>
              <w:rPr>
                <w:color w:val="000000"/>
                <w:sz w:val="20"/>
                <w:szCs w:val="20"/>
              </w:rPr>
            </w:pPr>
            <w:r>
              <w:rPr>
                <w:color w:val="000000"/>
                <w:sz w:val="20"/>
                <w:szCs w:val="20"/>
              </w:rPr>
              <w:t>6,32</w:t>
            </w:r>
          </w:p>
        </w:tc>
      </w:tr>
      <w:bookmarkEnd w:id="716"/>
    </w:tbl>
    <w:p w14:paraId="0FF4FE09">
      <w:pPr>
        <w:spacing w:after="0" w:line="240" w:lineRule="auto"/>
        <w:ind w:firstLine="0"/>
        <w:contextualSpacing/>
        <w:rPr>
          <w:sz w:val="24"/>
          <w:szCs w:val="24"/>
          <w:lang w:eastAsia="en-US"/>
        </w:rPr>
      </w:pPr>
    </w:p>
    <w:p w14:paraId="1941A4B3">
      <w:pPr>
        <w:spacing w:after="0" w:line="240" w:lineRule="auto"/>
        <w:contextualSpacing/>
        <w:rPr>
          <w:sz w:val="24"/>
          <w:szCs w:val="24"/>
        </w:rPr>
        <w:sectPr>
          <w:pgSz w:w="16838" w:h="11906" w:orient="landscape"/>
          <w:pgMar w:top="1418" w:right="1134" w:bottom="567" w:left="1134" w:header="709" w:footer="709" w:gutter="0"/>
          <w:cols w:space="720" w:num="1"/>
          <w:docGrid w:linePitch="381" w:charSpace="0"/>
        </w:sectPr>
      </w:pPr>
    </w:p>
    <w:p w14:paraId="30D5F739">
      <w:pPr>
        <w:pStyle w:val="3"/>
        <w:tabs>
          <w:tab w:val="left" w:pos="0"/>
        </w:tabs>
        <w:spacing w:before="0" w:line="240" w:lineRule="auto"/>
        <w:ind w:left="0" w:firstLine="709"/>
        <w:contextualSpacing/>
        <w:rPr>
          <w:rFonts w:cs="Times New Roman"/>
          <w:b w:val="0"/>
          <w:sz w:val="24"/>
          <w:szCs w:val="24"/>
        </w:rPr>
      </w:pPr>
      <w:bookmarkStart w:id="717" w:name="_Toc524614908"/>
      <w:bookmarkStart w:id="718" w:name="_Toc524615124"/>
      <w:bookmarkStart w:id="719" w:name="_Toc182814068"/>
      <w:r>
        <w:rPr>
          <w:rFonts w:cs="Times New Roman"/>
          <w:b w:val="0"/>
          <w:sz w:val="24"/>
          <w:szCs w:val="24"/>
        </w:rPr>
        <w:t>Количество прекращений подачи тепловой энергии, теплоносителя в результате технологических нарушений на тепловых сетях</w:t>
      </w:r>
      <w:bookmarkEnd w:id="717"/>
      <w:bookmarkEnd w:id="718"/>
      <w:bookmarkEnd w:id="719"/>
    </w:p>
    <w:p w14:paraId="0947EF55">
      <w:pPr>
        <w:spacing w:after="0" w:line="240" w:lineRule="auto"/>
        <w:contextualSpacing/>
        <w:jc w:val="both"/>
        <w:rPr>
          <w:sz w:val="24"/>
          <w:szCs w:val="24"/>
        </w:rPr>
      </w:pPr>
      <w:bookmarkStart w:id="720" w:name="_Hlk9970832"/>
      <w:r>
        <w:rPr>
          <w:sz w:val="24"/>
          <w:szCs w:val="24"/>
        </w:rPr>
        <w:t>Информация о количестве инцидентов, технологических и аварийных отказов систем теплоснабжения МУП «БКС» составляет:</w:t>
      </w:r>
    </w:p>
    <w:p w14:paraId="3E16341C">
      <w:pPr>
        <w:spacing w:after="0" w:line="240" w:lineRule="auto"/>
        <w:contextualSpacing/>
        <w:jc w:val="both"/>
        <w:rPr>
          <w:sz w:val="24"/>
          <w:szCs w:val="24"/>
        </w:rPr>
      </w:pPr>
      <w:r>
        <w:rPr>
          <w:sz w:val="24"/>
          <w:szCs w:val="24"/>
        </w:rPr>
        <w:t>- за 2023 год – 5,</w:t>
      </w:r>
    </w:p>
    <w:p w14:paraId="5C81D1EA">
      <w:pPr>
        <w:spacing w:after="0" w:line="240" w:lineRule="auto"/>
        <w:contextualSpacing/>
        <w:jc w:val="both"/>
        <w:rPr>
          <w:sz w:val="24"/>
          <w:szCs w:val="24"/>
        </w:rPr>
      </w:pPr>
      <w:r>
        <w:rPr>
          <w:sz w:val="24"/>
          <w:szCs w:val="24"/>
        </w:rPr>
        <w:t>- за 2024 год – 2.</w:t>
      </w:r>
    </w:p>
    <w:p w14:paraId="3029A275">
      <w:pPr>
        <w:tabs>
          <w:tab w:val="left" w:pos="0"/>
        </w:tabs>
        <w:spacing w:after="0" w:line="240" w:lineRule="auto"/>
        <w:contextualSpacing/>
        <w:jc w:val="both"/>
        <w:rPr>
          <w:sz w:val="24"/>
          <w:szCs w:val="24"/>
        </w:rPr>
      </w:pPr>
    </w:p>
    <w:bookmarkEnd w:id="720"/>
    <w:p w14:paraId="241776F6">
      <w:pPr>
        <w:pStyle w:val="3"/>
        <w:tabs>
          <w:tab w:val="left" w:pos="0"/>
        </w:tabs>
        <w:spacing w:before="0" w:line="240" w:lineRule="auto"/>
        <w:ind w:left="0" w:firstLine="709"/>
        <w:contextualSpacing/>
        <w:rPr>
          <w:rFonts w:cs="Times New Roman"/>
          <w:b w:val="0"/>
          <w:sz w:val="24"/>
          <w:szCs w:val="24"/>
        </w:rPr>
      </w:pPr>
      <w:bookmarkStart w:id="721" w:name="_Toc524614909"/>
      <w:bookmarkStart w:id="722" w:name="_Toc524615125"/>
      <w:bookmarkStart w:id="723" w:name="_Toc182814069"/>
      <w:r>
        <w:rPr>
          <w:rFonts w:cs="Times New Roman"/>
          <w:b w:val="0"/>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721"/>
      <w:bookmarkEnd w:id="722"/>
      <w:bookmarkEnd w:id="723"/>
    </w:p>
    <w:p w14:paraId="3D4D79AD">
      <w:pPr>
        <w:tabs>
          <w:tab w:val="left" w:pos="0"/>
        </w:tabs>
        <w:spacing w:after="0" w:line="240" w:lineRule="auto"/>
        <w:contextualSpacing/>
        <w:jc w:val="both"/>
        <w:rPr>
          <w:sz w:val="24"/>
          <w:szCs w:val="24"/>
        </w:rPr>
      </w:pPr>
      <w:bookmarkStart w:id="724" w:name="_Hlk9970839"/>
      <w:r>
        <w:rPr>
          <w:sz w:val="24"/>
          <w:szCs w:val="24"/>
        </w:rPr>
        <w:t>Прекращений подачи тепловой энергии, теплоносителя в результате технологических нарушений на источниках теплоснабжения не было.</w:t>
      </w:r>
      <w:bookmarkEnd w:id="724"/>
    </w:p>
    <w:p w14:paraId="396BFC79">
      <w:pPr>
        <w:tabs>
          <w:tab w:val="left" w:pos="0"/>
        </w:tabs>
        <w:spacing w:after="0" w:line="240" w:lineRule="auto"/>
        <w:contextualSpacing/>
        <w:jc w:val="both"/>
        <w:rPr>
          <w:sz w:val="24"/>
          <w:szCs w:val="24"/>
        </w:rPr>
      </w:pPr>
    </w:p>
    <w:p w14:paraId="19FFEDD4">
      <w:pPr>
        <w:pStyle w:val="3"/>
        <w:tabs>
          <w:tab w:val="left" w:pos="0"/>
        </w:tabs>
        <w:spacing w:before="0" w:line="240" w:lineRule="auto"/>
        <w:ind w:left="0" w:firstLine="709"/>
        <w:contextualSpacing/>
        <w:rPr>
          <w:rFonts w:cs="Times New Roman"/>
          <w:b w:val="0"/>
          <w:sz w:val="24"/>
          <w:szCs w:val="24"/>
        </w:rPr>
      </w:pPr>
      <w:bookmarkStart w:id="725" w:name="_Toc182814070"/>
      <w:bookmarkStart w:id="726" w:name="_Toc524614910"/>
      <w:bookmarkStart w:id="727" w:name="_Toc524615126"/>
      <w:r>
        <w:rPr>
          <w:rFonts w:cs="Times New Roman"/>
          <w:b w:val="0"/>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725"/>
      <w:bookmarkEnd w:id="726"/>
      <w:bookmarkEnd w:id="727"/>
    </w:p>
    <w:p w14:paraId="28F9242B">
      <w:pPr>
        <w:tabs>
          <w:tab w:val="left" w:pos="0"/>
        </w:tabs>
        <w:spacing w:after="0" w:line="240" w:lineRule="auto"/>
        <w:contextualSpacing/>
        <w:jc w:val="both"/>
        <w:rPr>
          <w:sz w:val="24"/>
          <w:szCs w:val="24"/>
        </w:rPr>
      </w:pPr>
      <w:r>
        <w:rPr>
          <w:sz w:val="24"/>
          <w:szCs w:val="24"/>
        </w:rPr>
        <w:t>Удельный расход топлива на производство тепловой энергии по источникам тепловой энергии представлен в таблице 67.</w:t>
      </w:r>
    </w:p>
    <w:p w14:paraId="205DB6C0">
      <w:pPr>
        <w:tabs>
          <w:tab w:val="left" w:pos="0"/>
        </w:tabs>
        <w:spacing w:after="0" w:line="240" w:lineRule="auto"/>
        <w:contextualSpacing/>
        <w:jc w:val="both"/>
        <w:rPr>
          <w:sz w:val="24"/>
          <w:szCs w:val="24"/>
        </w:rPr>
      </w:pPr>
    </w:p>
    <w:p w14:paraId="738A515C">
      <w:pPr>
        <w:pStyle w:val="3"/>
        <w:spacing w:before="0" w:line="240" w:lineRule="auto"/>
        <w:ind w:left="0" w:firstLine="709"/>
        <w:contextualSpacing/>
        <w:rPr>
          <w:rFonts w:cs="Times New Roman"/>
          <w:b w:val="0"/>
          <w:sz w:val="24"/>
          <w:szCs w:val="24"/>
        </w:rPr>
      </w:pPr>
      <w:bookmarkStart w:id="728" w:name="_Toc524614911"/>
      <w:bookmarkStart w:id="729" w:name="_Toc524615127"/>
      <w:bookmarkStart w:id="730" w:name="_Toc182814071"/>
      <w:r>
        <w:rPr>
          <w:rFonts w:cs="Times New Roman"/>
          <w:b w:val="0"/>
          <w:sz w:val="24"/>
          <w:szCs w:val="24"/>
        </w:rPr>
        <w:t>Отношение величины технологических потерь тепловой энергии, теплоносителя к материальной характеристике тепловой сети</w:t>
      </w:r>
      <w:bookmarkEnd w:id="728"/>
      <w:bookmarkEnd w:id="729"/>
      <w:bookmarkEnd w:id="730"/>
    </w:p>
    <w:p w14:paraId="25A54E66">
      <w:pPr>
        <w:spacing w:after="0" w:line="240" w:lineRule="auto"/>
        <w:contextualSpacing/>
        <w:jc w:val="both"/>
        <w:rPr>
          <w:sz w:val="24"/>
          <w:szCs w:val="24"/>
        </w:rPr>
      </w:pPr>
      <w:r>
        <w:rPr>
          <w:sz w:val="24"/>
          <w:szCs w:val="24"/>
        </w:rPr>
        <w:t>Отношение величины технологических потерь тепловой энергии, теплоносителя к материальной характеристике тепловой сети представлено в таблице 67.</w:t>
      </w:r>
    </w:p>
    <w:p w14:paraId="42DAF601">
      <w:pPr>
        <w:spacing w:after="0" w:line="240" w:lineRule="auto"/>
        <w:contextualSpacing/>
        <w:jc w:val="both"/>
        <w:rPr>
          <w:sz w:val="24"/>
          <w:szCs w:val="24"/>
        </w:rPr>
      </w:pPr>
    </w:p>
    <w:p w14:paraId="2FA563DA">
      <w:pPr>
        <w:pStyle w:val="3"/>
        <w:spacing w:before="0" w:line="240" w:lineRule="auto"/>
        <w:ind w:left="0" w:firstLine="709"/>
        <w:contextualSpacing/>
        <w:rPr>
          <w:rFonts w:cs="Times New Roman"/>
          <w:b w:val="0"/>
          <w:sz w:val="24"/>
          <w:szCs w:val="24"/>
        </w:rPr>
      </w:pPr>
      <w:bookmarkStart w:id="731" w:name="_Toc524614912"/>
      <w:bookmarkStart w:id="732" w:name="_Toc524615128"/>
      <w:bookmarkStart w:id="733" w:name="_Toc182814072"/>
      <w:r>
        <w:rPr>
          <w:rFonts w:cs="Times New Roman"/>
          <w:b w:val="0"/>
          <w:sz w:val="24"/>
          <w:szCs w:val="24"/>
        </w:rPr>
        <w:t>Коэффициент использования установленной тепловой мощности</w:t>
      </w:r>
      <w:bookmarkEnd w:id="731"/>
      <w:bookmarkEnd w:id="732"/>
      <w:bookmarkEnd w:id="733"/>
    </w:p>
    <w:p w14:paraId="6B657891">
      <w:pPr>
        <w:spacing w:after="0" w:line="240" w:lineRule="auto"/>
        <w:contextualSpacing/>
        <w:jc w:val="both"/>
        <w:rPr>
          <w:sz w:val="24"/>
          <w:szCs w:val="24"/>
        </w:rPr>
      </w:pPr>
      <w:r>
        <w:rPr>
          <w:sz w:val="24"/>
          <w:szCs w:val="24"/>
        </w:rPr>
        <w:t>Коэффициент использования установленной тепловой мощности представлен в таблице 67.</w:t>
      </w:r>
    </w:p>
    <w:p w14:paraId="5B15840B">
      <w:pPr>
        <w:spacing w:after="0" w:line="240" w:lineRule="auto"/>
        <w:contextualSpacing/>
        <w:jc w:val="both"/>
        <w:rPr>
          <w:sz w:val="24"/>
          <w:szCs w:val="24"/>
        </w:rPr>
      </w:pPr>
    </w:p>
    <w:p w14:paraId="7EBF5D4B">
      <w:pPr>
        <w:pStyle w:val="3"/>
        <w:spacing w:before="0" w:line="240" w:lineRule="auto"/>
        <w:ind w:left="0" w:firstLine="709"/>
        <w:contextualSpacing/>
        <w:rPr>
          <w:rFonts w:cs="Times New Roman"/>
          <w:b w:val="0"/>
          <w:sz w:val="24"/>
          <w:szCs w:val="24"/>
        </w:rPr>
      </w:pPr>
      <w:bookmarkStart w:id="734" w:name="_Toc524614913"/>
      <w:bookmarkStart w:id="735" w:name="_Toc524615129"/>
      <w:bookmarkStart w:id="736" w:name="_Toc182814073"/>
      <w:r>
        <w:rPr>
          <w:rFonts w:cs="Times New Roman"/>
          <w:b w:val="0"/>
          <w:sz w:val="24"/>
          <w:szCs w:val="24"/>
        </w:rPr>
        <w:t>Удельная материальная характеристика тепловых сетей, приведенная к расчетной тепловой нагрузке</w:t>
      </w:r>
      <w:bookmarkEnd w:id="734"/>
      <w:bookmarkEnd w:id="735"/>
      <w:bookmarkEnd w:id="736"/>
    </w:p>
    <w:p w14:paraId="45273E03">
      <w:pPr>
        <w:spacing w:after="0" w:line="240" w:lineRule="auto"/>
        <w:contextualSpacing/>
        <w:jc w:val="both"/>
        <w:rPr>
          <w:sz w:val="24"/>
          <w:szCs w:val="24"/>
        </w:rPr>
      </w:pPr>
      <w:r>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57A0294B">
      <w:pPr>
        <w:spacing w:after="0" w:line="240" w:lineRule="auto"/>
        <w:contextualSpacing/>
        <w:jc w:val="both"/>
        <w:rPr>
          <w:sz w:val="24"/>
          <w:szCs w:val="24"/>
        </w:rPr>
      </w:pPr>
      <w:r>
        <w:rPr>
          <w:sz w:val="24"/>
          <w:szCs w:val="24"/>
        </w:rPr>
        <w:t>Удельная материальная характеристика тепловых сетей, приведенная к расчетной тепловой нагрузке представлена в таблице 67.</w:t>
      </w:r>
    </w:p>
    <w:p w14:paraId="6B00CDB0">
      <w:pPr>
        <w:spacing w:after="0" w:line="240" w:lineRule="auto"/>
        <w:contextualSpacing/>
        <w:jc w:val="both"/>
        <w:rPr>
          <w:sz w:val="24"/>
          <w:szCs w:val="24"/>
        </w:rPr>
      </w:pPr>
    </w:p>
    <w:p w14:paraId="57727555">
      <w:pPr>
        <w:pStyle w:val="3"/>
        <w:spacing w:before="0" w:line="240" w:lineRule="auto"/>
        <w:ind w:left="0" w:firstLine="709"/>
        <w:contextualSpacing/>
        <w:rPr>
          <w:rFonts w:cs="Times New Roman"/>
          <w:b w:val="0"/>
          <w:sz w:val="24"/>
          <w:szCs w:val="24"/>
        </w:rPr>
      </w:pPr>
      <w:bookmarkStart w:id="737" w:name="_Toc524614914"/>
      <w:bookmarkStart w:id="738" w:name="_Toc524615130"/>
      <w:bookmarkStart w:id="739" w:name="_Toc182814074"/>
      <w:r>
        <w:rPr>
          <w:rFonts w:cs="Times New Roman"/>
          <w:b w:val="0"/>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737"/>
      <w:bookmarkEnd w:id="738"/>
      <w:bookmarkEnd w:id="739"/>
    </w:p>
    <w:p w14:paraId="0620BA7E">
      <w:pPr>
        <w:spacing w:after="0" w:line="240" w:lineRule="auto"/>
        <w:contextualSpacing/>
        <w:jc w:val="both"/>
        <w:rPr>
          <w:sz w:val="24"/>
          <w:szCs w:val="24"/>
        </w:rPr>
      </w:pPr>
      <w:bookmarkStart w:id="740" w:name="_Hlk22221519"/>
      <w:r>
        <w:rPr>
          <w:sz w:val="24"/>
          <w:szCs w:val="24"/>
        </w:rPr>
        <w:t>На территории с.п. Верхнеказымский отсутствуют источники тепловой энергии, функционирующие в режиме комбинированной выработки электрической и тепловой энергии.</w:t>
      </w:r>
      <w:bookmarkEnd w:id="740"/>
    </w:p>
    <w:p w14:paraId="381A6DBC">
      <w:pPr>
        <w:spacing w:after="0" w:line="240" w:lineRule="auto"/>
        <w:contextualSpacing/>
        <w:jc w:val="both"/>
        <w:rPr>
          <w:sz w:val="24"/>
          <w:szCs w:val="24"/>
        </w:rPr>
      </w:pPr>
    </w:p>
    <w:p w14:paraId="59D86374">
      <w:pPr>
        <w:pStyle w:val="3"/>
        <w:spacing w:before="0" w:line="240" w:lineRule="auto"/>
        <w:ind w:left="0" w:firstLine="709"/>
        <w:contextualSpacing/>
        <w:rPr>
          <w:rFonts w:cs="Times New Roman"/>
          <w:b w:val="0"/>
          <w:sz w:val="24"/>
          <w:szCs w:val="24"/>
        </w:rPr>
      </w:pPr>
      <w:bookmarkStart w:id="741" w:name="_Toc182814075"/>
      <w:bookmarkStart w:id="742" w:name="_Toc524614915"/>
      <w:bookmarkStart w:id="743" w:name="_Toc524615131"/>
      <w:r>
        <w:rPr>
          <w:rFonts w:cs="Times New Roman"/>
          <w:b w:val="0"/>
          <w:sz w:val="24"/>
          <w:szCs w:val="24"/>
        </w:rPr>
        <w:t>Удельный расход условного топлива на отпуск электрической энергии</w:t>
      </w:r>
      <w:bookmarkEnd w:id="741"/>
      <w:bookmarkEnd w:id="742"/>
      <w:bookmarkEnd w:id="743"/>
    </w:p>
    <w:p w14:paraId="6BF4B421">
      <w:pPr>
        <w:spacing w:after="0" w:line="240" w:lineRule="auto"/>
        <w:contextualSpacing/>
        <w:jc w:val="both"/>
        <w:rPr>
          <w:sz w:val="24"/>
          <w:szCs w:val="24"/>
        </w:rPr>
      </w:pPr>
      <w:r>
        <w:rPr>
          <w:sz w:val="24"/>
          <w:szCs w:val="24"/>
        </w:rPr>
        <w:t>На территории с.п. Верхнеказымский отсутствуют источники тепловой энергии, функционирующие в режиме комбинированной выработки электрической и тепловой энергии.</w:t>
      </w:r>
    </w:p>
    <w:p w14:paraId="148F4AC1">
      <w:pPr>
        <w:spacing w:after="0" w:line="240" w:lineRule="auto"/>
        <w:contextualSpacing/>
        <w:jc w:val="both"/>
        <w:rPr>
          <w:sz w:val="24"/>
          <w:szCs w:val="24"/>
        </w:rPr>
      </w:pPr>
    </w:p>
    <w:p w14:paraId="6E601DE8">
      <w:pPr>
        <w:pStyle w:val="3"/>
        <w:keepNext/>
        <w:spacing w:before="0" w:line="240" w:lineRule="auto"/>
        <w:ind w:left="0" w:firstLine="709"/>
        <w:contextualSpacing/>
        <w:rPr>
          <w:rFonts w:cs="Times New Roman"/>
          <w:b w:val="0"/>
          <w:sz w:val="24"/>
          <w:szCs w:val="24"/>
        </w:rPr>
      </w:pPr>
      <w:bookmarkStart w:id="744" w:name="_Toc524614916"/>
      <w:bookmarkStart w:id="745" w:name="_Toc524615132"/>
      <w:bookmarkStart w:id="746" w:name="_Toc182814076"/>
      <w:r>
        <w:rPr>
          <w:rFonts w:cs="Times New Roman"/>
          <w:b w:val="0"/>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44"/>
      <w:bookmarkEnd w:id="745"/>
      <w:bookmarkEnd w:id="746"/>
    </w:p>
    <w:p w14:paraId="4539FDD8">
      <w:pPr>
        <w:spacing w:after="0" w:line="240" w:lineRule="auto"/>
        <w:contextualSpacing/>
        <w:jc w:val="both"/>
        <w:rPr>
          <w:sz w:val="24"/>
          <w:szCs w:val="24"/>
        </w:rPr>
      </w:pPr>
      <w:r>
        <w:rPr>
          <w:sz w:val="24"/>
          <w:szCs w:val="24"/>
        </w:rPr>
        <w:t>На территории с.п. Верхнеказымский отсутствуют источники тепловой энергии, функционирующие в режиме комбинированной выработки электрической и тепловой энергии.</w:t>
      </w:r>
    </w:p>
    <w:p w14:paraId="3A2AA4B1">
      <w:pPr>
        <w:spacing w:after="0" w:line="240" w:lineRule="auto"/>
        <w:contextualSpacing/>
        <w:jc w:val="both"/>
        <w:rPr>
          <w:sz w:val="24"/>
          <w:szCs w:val="24"/>
        </w:rPr>
      </w:pPr>
    </w:p>
    <w:p w14:paraId="6B6D055C">
      <w:pPr>
        <w:pStyle w:val="3"/>
        <w:spacing w:before="0" w:line="240" w:lineRule="auto"/>
        <w:ind w:left="0" w:firstLine="709"/>
        <w:contextualSpacing/>
        <w:rPr>
          <w:rFonts w:cs="Times New Roman"/>
          <w:b w:val="0"/>
          <w:sz w:val="24"/>
          <w:szCs w:val="24"/>
        </w:rPr>
      </w:pPr>
      <w:bookmarkStart w:id="747" w:name="_Toc524615133"/>
      <w:bookmarkStart w:id="748" w:name="_Toc524614917"/>
      <w:bookmarkStart w:id="749" w:name="_Toc182814077"/>
      <w:bookmarkStart w:id="750" w:name="_Hlk9970883"/>
      <w:r>
        <w:rPr>
          <w:rFonts w:cs="Times New Roman"/>
          <w:b w:val="0"/>
          <w:sz w:val="24"/>
          <w:szCs w:val="24"/>
        </w:rPr>
        <w:t>Доля отпуска тепловой энергии, осуществляемого потребителям по приборам учета, в общем объеме отпущенной тепловой энергии</w:t>
      </w:r>
      <w:bookmarkEnd w:id="747"/>
      <w:bookmarkEnd w:id="748"/>
      <w:bookmarkEnd w:id="749"/>
    </w:p>
    <w:p w14:paraId="2ACFE8B7">
      <w:pPr>
        <w:spacing w:after="0" w:line="240" w:lineRule="auto"/>
        <w:contextualSpacing/>
        <w:jc w:val="both"/>
        <w:rPr>
          <w:sz w:val="24"/>
          <w:szCs w:val="24"/>
        </w:rPr>
      </w:pPr>
      <w:bookmarkStart w:id="751" w:name="_Hlk22221547"/>
      <w:r>
        <w:rPr>
          <w:sz w:val="24"/>
          <w:szCs w:val="24"/>
        </w:rPr>
        <w:t>Доля отпуска тепловой энергии, осуществляемого потребителям по приборам учёта, в общем объёме отпущенной тепловой энергии в с.п. Верхнеказымский, составляет 0 %.</w:t>
      </w:r>
    </w:p>
    <w:p w14:paraId="5D44F42A">
      <w:pPr>
        <w:spacing w:after="0" w:line="240" w:lineRule="auto"/>
        <w:contextualSpacing/>
        <w:jc w:val="both"/>
        <w:rPr>
          <w:sz w:val="24"/>
          <w:szCs w:val="24"/>
        </w:rPr>
      </w:pPr>
      <w:r>
        <w:rPr>
          <w:sz w:val="24"/>
          <w:szCs w:val="24"/>
        </w:rPr>
        <w:t>Перспективный отпуск тепловой энергии представлен в таблице 67.</w:t>
      </w:r>
    </w:p>
    <w:p w14:paraId="41C3BBA0">
      <w:pPr>
        <w:spacing w:after="0" w:line="240" w:lineRule="auto"/>
        <w:contextualSpacing/>
        <w:jc w:val="both"/>
        <w:rPr>
          <w:sz w:val="24"/>
          <w:szCs w:val="24"/>
        </w:rPr>
      </w:pPr>
    </w:p>
    <w:bookmarkEnd w:id="750"/>
    <w:bookmarkEnd w:id="751"/>
    <w:p w14:paraId="7FA43626">
      <w:pPr>
        <w:pStyle w:val="3"/>
        <w:spacing w:before="0" w:line="240" w:lineRule="auto"/>
        <w:ind w:left="0" w:firstLine="709"/>
        <w:contextualSpacing/>
        <w:rPr>
          <w:rFonts w:cs="Times New Roman"/>
          <w:b w:val="0"/>
          <w:sz w:val="24"/>
          <w:szCs w:val="24"/>
        </w:rPr>
      </w:pPr>
      <w:bookmarkStart w:id="752" w:name="_Toc524615134"/>
      <w:bookmarkStart w:id="753" w:name="_Toc524614918"/>
      <w:bookmarkStart w:id="754" w:name="_Toc182814078"/>
      <w:r>
        <w:rPr>
          <w:rFonts w:cs="Times New Roman"/>
          <w:b w:val="0"/>
          <w:sz w:val="24"/>
          <w:szCs w:val="24"/>
        </w:rPr>
        <w:t>Средневзвешенный (по материальной характеристике) срок эксплуатации тепловых сетей (для каждой системы теплоснабжения)</w:t>
      </w:r>
      <w:bookmarkEnd w:id="752"/>
      <w:bookmarkEnd w:id="753"/>
      <w:bookmarkEnd w:id="754"/>
    </w:p>
    <w:p w14:paraId="11F4E30C">
      <w:pPr>
        <w:spacing w:after="0" w:line="240" w:lineRule="auto"/>
        <w:contextualSpacing/>
        <w:jc w:val="both"/>
        <w:rPr>
          <w:sz w:val="24"/>
          <w:szCs w:val="24"/>
        </w:rPr>
      </w:pPr>
      <w:r>
        <w:rPr>
          <w:sz w:val="24"/>
          <w:szCs w:val="24"/>
        </w:rPr>
        <w:t>Средневзвешанный срок службы тепловых сетей с.п. Верхнеказымский приведён в таблице 68.</w:t>
      </w:r>
    </w:p>
    <w:p w14:paraId="571B5101">
      <w:pPr>
        <w:spacing w:after="0" w:line="240" w:lineRule="auto"/>
        <w:contextualSpacing/>
        <w:jc w:val="both"/>
        <w:rPr>
          <w:sz w:val="24"/>
          <w:szCs w:val="24"/>
        </w:rPr>
      </w:pPr>
    </w:p>
    <w:p w14:paraId="004F9A07">
      <w:pPr>
        <w:spacing w:after="0" w:line="240" w:lineRule="auto"/>
        <w:ind w:firstLine="0"/>
        <w:contextualSpacing/>
        <w:jc w:val="both"/>
        <w:rPr>
          <w:bCs/>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68</w:t>
      </w:r>
      <w:r>
        <w:rPr>
          <w:bCs/>
          <w:sz w:val="24"/>
          <w:szCs w:val="24"/>
        </w:rPr>
        <w:fldChar w:fldCharType="end"/>
      </w:r>
      <w:bookmarkStart w:id="755" w:name="_Hlk181781025"/>
      <w:r>
        <w:rPr>
          <w:bCs/>
          <w:sz w:val="24"/>
          <w:szCs w:val="24"/>
        </w:rPr>
        <w:t xml:space="preserve"> – </w:t>
      </w:r>
      <w:bookmarkEnd w:id="755"/>
      <w:r>
        <w:rPr>
          <w:bCs/>
          <w:sz w:val="24"/>
          <w:szCs w:val="24"/>
        </w:rPr>
        <w:t>Средневзвешанный срок службы тепловых сетей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70"/>
        <w:gridCol w:w="2718"/>
        <w:gridCol w:w="2324"/>
        <w:gridCol w:w="1623"/>
        <w:gridCol w:w="1623"/>
      </w:tblGrid>
      <w:tr w14:paraId="62D2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9" w:hRule="exact"/>
        </w:trPr>
        <w:tc>
          <w:tcPr>
            <w:tcW w:w="709" w:type="pct"/>
            <w:shd w:val="clear" w:color="auto" w:fill="FFFFFF"/>
            <w:vAlign w:val="center"/>
          </w:tcPr>
          <w:p w14:paraId="7EBD1617">
            <w:pPr>
              <w:pStyle w:val="404"/>
              <w:spacing w:line="240" w:lineRule="auto"/>
              <w:ind w:firstLine="0"/>
              <w:contextualSpacing/>
              <w:jc w:val="center"/>
              <w:rPr>
                <w:rFonts w:cs="Times New Roman"/>
                <w:sz w:val="20"/>
                <w:szCs w:val="20"/>
              </w:rPr>
            </w:pPr>
            <w:r>
              <w:rPr>
                <w:rFonts w:cs="Times New Roman"/>
                <w:sz w:val="20"/>
                <w:szCs w:val="20"/>
              </w:rPr>
              <w:t>Ед. изм.</w:t>
            </w:r>
          </w:p>
        </w:tc>
        <w:tc>
          <w:tcPr>
            <w:tcW w:w="1407" w:type="pct"/>
            <w:shd w:val="clear" w:color="auto" w:fill="FFFFFF"/>
            <w:vAlign w:val="center"/>
          </w:tcPr>
          <w:p w14:paraId="624B0B2D">
            <w:pPr>
              <w:pStyle w:val="404"/>
              <w:spacing w:line="240" w:lineRule="auto"/>
              <w:ind w:firstLine="0"/>
              <w:contextualSpacing/>
              <w:jc w:val="center"/>
              <w:rPr>
                <w:rFonts w:cs="Times New Roman"/>
                <w:sz w:val="20"/>
                <w:szCs w:val="20"/>
              </w:rPr>
            </w:pPr>
            <w:r>
              <w:rPr>
                <w:rFonts w:cs="Times New Roman"/>
                <w:sz w:val="20"/>
                <w:szCs w:val="20"/>
              </w:rPr>
              <w:t>Теплоутилизационные Установки КС «Верхнеказымская»</w:t>
            </w:r>
          </w:p>
        </w:tc>
        <w:tc>
          <w:tcPr>
            <w:tcW w:w="1203" w:type="pct"/>
            <w:shd w:val="clear" w:color="auto" w:fill="FFFFFF"/>
            <w:vAlign w:val="center"/>
          </w:tcPr>
          <w:p w14:paraId="14D57315">
            <w:pPr>
              <w:pStyle w:val="404"/>
              <w:spacing w:line="240" w:lineRule="auto"/>
              <w:ind w:firstLine="0"/>
              <w:contextualSpacing/>
              <w:jc w:val="center"/>
              <w:rPr>
                <w:rFonts w:cs="Times New Roman"/>
                <w:sz w:val="20"/>
                <w:szCs w:val="20"/>
              </w:rPr>
            </w:pPr>
            <w:r>
              <w:rPr>
                <w:rFonts w:cs="Times New Roman"/>
                <w:sz w:val="20"/>
                <w:szCs w:val="20"/>
              </w:rPr>
              <w:t>Котельная «Вирбекс»</w:t>
            </w:r>
          </w:p>
        </w:tc>
        <w:tc>
          <w:tcPr>
            <w:tcW w:w="840" w:type="pct"/>
            <w:shd w:val="clear" w:color="auto" w:fill="FFFFFF"/>
            <w:vAlign w:val="center"/>
          </w:tcPr>
          <w:p w14:paraId="203683E9">
            <w:pPr>
              <w:pStyle w:val="404"/>
              <w:spacing w:line="240" w:lineRule="auto"/>
              <w:ind w:firstLine="0"/>
              <w:contextualSpacing/>
              <w:jc w:val="center"/>
              <w:rPr>
                <w:rFonts w:cs="Times New Roman"/>
                <w:sz w:val="20"/>
                <w:szCs w:val="20"/>
              </w:rPr>
            </w:pPr>
            <w:r>
              <w:rPr>
                <w:rFonts w:cs="Times New Roman"/>
                <w:sz w:val="20"/>
                <w:szCs w:val="20"/>
              </w:rPr>
              <w:t>Котельная №2 МУП «БКС»</w:t>
            </w:r>
          </w:p>
        </w:tc>
        <w:tc>
          <w:tcPr>
            <w:tcW w:w="840" w:type="pct"/>
            <w:shd w:val="clear" w:color="auto" w:fill="FFFFFF"/>
            <w:vAlign w:val="center"/>
          </w:tcPr>
          <w:p w14:paraId="19A7C842">
            <w:pPr>
              <w:pStyle w:val="404"/>
              <w:spacing w:line="240" w:lineRule="auto"/>
              <w:ind w:firstLine="0"/>
              <w:contextualSpacing/>
              <w:jc w:val="center"/>
              <w:rPr>
                <w:rFonts w:cs="Times New Roman"/>
                <w:sz w:val="20"/>
                <w:szCs w:val="20"/>
              </w:rPr>
            </w:pPr>
            <w:r>
              <w:rPr>
                <w:rFonts w:cs="Times New Roman"/>
                <w:sz w:val="20"/>
                <w:szCs w:val="20"/>
              </w:rPr>
              <w:t>Котельная «2БВК»</w:t>
            </w:r>
          </w:p>
        </w:tc>
      </w:tr>
      <w:tr w14:paraId="6864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3" w:hRule="exact"/>
        </w:trPr>
        <w:tc>
          <w:tcPr>
            <w:tcW w:w="709" w:type="pct"/>
            <w:shd w:val="clear" w:color="auto" w:fill="FFFFFF"/>
            <w:vAlign w:val="center"/>
          </w:tcPr>
          <w:p w14:paraId="4464CF7D">
            <w:pPr>
              <w:pStyle w:val="404"/>
              <w:spacing w:line="240" w:lineRule="auto"/>
              <w:ind w:firstLine="0"/>
              <w:contextualSpacing/>
              <w:jc w:val="center"/>
              <w:rPr>
                <w:rFonts w:cs="Times New Roman"/>
                <w:sz w:val="20"/>
                <w:szCs w:val="20"/>
              </w:rPr>
            </w:pPr>
            <w:r>
              <w:rPr>
                <w:rFonts w:cs="Times New Roman"/>
                <w:sz w:val="20"/>
                <w:szCs w:val="20"/>
              </w:rPr>
              <w:t>лет</w:t>
            </w:r>
          </w:p>
        </w:tc>
        <w:tc>
          <w:tcPr>
            <w:tcW w:w="1407" w:type="pct"/>
            <w:shd w:val="clear" w:color="auto" w:fill="FFFFFF"/>
            <w:vAlign w:val="center"/>
          </w:tcPr>
          <w:p w14:paraId="2C300088">
            <w:pPr>
              <w:pStyle w:val="404"/>
              <w:spacing w:line="240" w:lineRule="auto"/>
              <w:ind w:firstLine="0"/>
              <w:contextualSpacing/>
              <w:jc w:val="center"/>
              <w:rPr>
                <w:rFonts w:cs="Times New Roman"/>
                <w:sz w:val="20"/>
                <w:szCs w:val="20"/>
              </w:rPr>
            </w:pPr>
            <w:r>
              <w:rPr>
                <w:rFonts w:cs="Times New Roman"/>
                <w:sz w:val="20"/>
                <w:szCs w:val="20"/>
              </w:rPr>
              <w:t>4</w:t>
            </w:r>
          </w:p>
        </w:tc>
        <w:tc>
          <w:tcPr>
            <w:tcW w:w="1203" w:type="pct"/>
            <w:shd w:val="clear" w:color="auto" w:fill="FFFFFF"/>
            <w:vAlign w:val="center"/>
          </w:tcPr>
          <w:p w14:paraId="1A3BCB6A">
            <w:pPr>
              <w:pStyle w:val="404"/>
              <w:spacing w:line="240" w:lineRule="auto"/>
              <w:ind w:firstLine="0"/>
              <w:contextualSpacing/>
              <w:jc w:val="center"/>
              <w:rPr>
                <w:rFonts w:cs="Times New Roman"/>
                <w:sz w:val="20"/>
                <w:szCs w:val="20"/>
              </w:rPr>
            </w:pPr>
            <w:r>
              <w:rPr>
                <w:rFonts w:cs="Times New Roman"/>
                <w:sz w:val="20"/>
                <w:szCs w:val="20"/>
              </w:rPr>
              <w:t>25</w:t>
            </w:r>
          </w:p>
        </w:tc>
        <w:tc>
          <w:tcPr>
            <w:tcW w:w="840" w:type="pct"/>
            <w:shd w:val="clear" w:color="auto" w:fill="FFFFFF"/>
            <w:vAlign w:val="center"/>
          </w:tcPr>
          <w:p w14:paraId="09E7A462">
            <w:pPr>
              <w:pStyle w:val="404"/>
              <w:spacing w:line="240" w:lineRule="auto"/>
              <w:ind w:firstLine="0"/>
              <w:contextualSpacing/>
              <w:jc w:val="center"/>
              <w:rPr>
                <w:rFonts w:cs="Times New Roman"/>
                <w:sz w:val="20"/>
                <w:szCs w:val="20"/>
              </w:rPr>
            </w:pPr>
            <w:r>
              <w:rPr>
                <w:rFonts w:cs="Times New Roman"/>
                <w:sz w:val="20"/>
                <w:szCs w:val="20"/>
              </w:rPr>
              <w:t>6</w:t>
            </w:r>
          </w:p>
        </w:tc>
        <w:tc>
          <w:tcPr>
            <w:tcW w:w="840" w:type="pct"/>
            <w:shd w:val="clear" w:color="auto" w:fill="FFFFFF"/>
            <w:vAlign w:val="center"/>
          </w:tcPr>
          <w:p w14:paraId="3491A973">
            <w:pPr>
              <w:pStyle w:val="404"/>
              <w:spacing w:line="240" w:lineRule="auto"/>
              <w:ind w:firstLine="0"/>
              <w:contextualSpacing/>
              <w:jc w:val="center"/>
              <w:rPr>
                <w:rFonts w:cs="Times New Roman"/>
                <w:sz w:val="20"/>
                <w:szCs w:val="20"/>
              </w:rPr>
            </w:pPr>
            <w:r>
              <w:rPr>
                <w:rFonts w:cs="Times New Roman"/>
                <w:sz w:val="20"/>
                <w:szCs w:val="20"/>
              </w:rPr>
              <w:t>29</w:t>
            </w:r>
          </w:p>
        </w:tc>
      </w:tr>
    </w:tbl>
    <w:p w14:paraId="40D3231E">
      <w:pPr>
        <w:spacing w:after="0" w:line="240" w:lineRule="auto"/>
        <w:contextualSpacing/>
        <w:jc w:val="both"/>
        <w:rPr>
          <w:sz w:val="24"/>
          <w:szCs w:val="24"/>
        </w:rPr>
      </w:pPr>
    </w:p>
    <w:p w14:paraId="039092BE">
      <w:pPr>
        <w:pStyle w:val="3"/>
        <w:spacing w:before="0" w:line="240" w:lineRule="auto"/>
        <w:ind w:left="0" w:firstLine="709"/>
        <w:contextualSpacing/>
        <w:rPr>
          <w:rFonts w:cs="Times New Roman"/>
          <w:b w:val="0"/>
          <w:sz w:val="24"/>
          <w:szCs w:val="24"/>
        </w:rPr>
      </w:pPr>
      <w:bookmarkStart w:id="756" w:name="_Toc524614919"/>
      <w:bookmarkStart w:id="757" w:name="_Toc524615135"/>
      <w:bookmarkStart w:id="758" w:name="_Toc182814079"/>
      <w:r>
        <w:rPr>
          <w:rFonts w:cs="Times New Roman"/>
          <w:b w:val="0"/>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756"/>
      <w:bookmarkEnd w:id="757"/>
      <w:bookmarkEnd w:id="758"/>
    </w:p>
    <w:p w14:paraId="0CDE6E1F">
      <w:pPr>
        <w:spacing w:after="0" w:line="240" w:lineRule="auto"/>
        <w:contextualSpacing/>
        <w:jc w:val="both"/>
        <w:rPr>
          <w:sz w:val="24"/>
          <w:szCs w:val="24"/>
        </w:rPr>
      </w:pPr>
      <w:r>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67.</w:t>
      </w:r>
    </w:p>
    <w:p w14:paraId="3EDF8EC1">
      <w:pPr>
        <w:spacing w:after="0" w:line="240" w:lineRule="auto"/>
        <w:contextualSpacing/>
        <w:jc w:val="both"/>
        <w:rPr>
          <w:sz w:val="24"/>
          <w:szCs w:val="24"/>
        </w:rPr>
      </w:pPr>
    </w:p>
    <w:p w14:paraId="5CC8EF14">
      <w:pPr>
        <w:pStyle w:val="3"/>
        <w:spacing w:before="0" w:line="240" w:lineRule="auto"/>
        <w:ind w:left="0" w:firstLine="709"/>
        <w:contextualSpacing/>
        <w:rPr>
          <w:rFonts w:cs="Times New Roman"/>
          <w:b w:val="0"/>
          <w:sz w:val="24"/>
          <w:szCs w:val="24"/>
        </w:rPr>
      </w:pPr>
      <w:bookmarkStart w:id="759" w:name="_Toc524614920"/>
      <w:bookmarkStart w:id="760" w:name="_Toc524615136"/>
      <w:bookmarkStart w:id="761" w:name="_Toc182814080"/>
      <w:r>
        <w:rPr>
          <w:rFonts w:cs="Times New Roman"/>
          <w:b w:val="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759"/>
      <w:bookmarkEnd w:id="760"/>
      <w:bookmarkEnd w:id="761"/>
    </w:p>
    <w:p w14:paraId="0770D251">
      <w:pPr>
        <w:spacing w:after="0" w:line="240" w:lineRule="auto"/>
        <w:contextualSpacing/>
        <w:jc w:val="both"/>
        <w:rPr>
          <w:sz w:val="24"/>
          <w:szCs w:val="24"/>
        </w:rPr>
      </w:pPr>
      <w:r>
        <w:rPr>
          <w:sz w:val="24"/>
          <w:szCs w:val="24"/>
        </w:rPr>
        <w:t>Реконструкция существующих источников теплоснабжения с изменением установленной тепловой мощности на расчетный срок (до 2029 года) не планируется.</w:t>
      </w:r>
    </w:p>
    <w:p w14:paraId="5B5D7D01">
      <w:pPr>
        <w:spacing w:after="0" w:line="240" w:lineRule="auto"/>
        <w:contextualSpacing/>
        <w:jc w:val="both"/>
        <w:rPr>
          <w:sz w:val="24"/>
          <w:szCs w:val="24"/>
        </w:rPr>
      </w:pPr>
    </w:p>
    <w:p w14:paraId="2768EF89">
      <w:pPr>
        <w:pStyle w:val="3"/>
        <w:spacing w:before="0" w:line="240" w:lineRule="auto"/>
        <w:ind w:left="0" w:firstLine="709"/>
        <w:contextualSpacing/>
        <w:rPr>
          <w:rFonts w:cs="Times New Roman"/>
          <w:b w:val="0"/>
          <w:sz w:val="24"/>
          <w:szCs w:val="24"/>
        </w:rPr>
      </w:pPr>
      <w:bookmarkStart w:id="762" w:name="_Toc15640982"/>
      <w:bookmarkStart w:id="763" w:name="_Toc182814081"/>
      <w:bookmarkStart w:id="764" w:name="_Hlk26714812"/>
      <w:bookmarkStart w:id="765" w:name="_Hlk15651883"/>
      <w:r>
        <w:rPr>
          <w:rFonts w:cs="Times New Roman"/>
          <w:b w:val="0"/>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62"/>
      <w:bookmarkEnd w:id="763"/>
    </w:p>
    <w:bookmarkEnd w:id="764"/>
    <w:p w14:paraId="4088DC89">
      <w:pPr>
        <w:spacing w:after="0" w:line="240" w:lineRule="auto"/>
        <w:contextualSpacing/>
        <w:jc w:val="both"/>
        <w:rPr>
          <w:sz w:val="24"/>
          <w:szCs w:val="24"/>
        </w:rPr>
      </w:pPr>
      <w:bookmarkStart w:id="766" w:name="_Hlk26714874"/>
      <w:r>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766"/>
    <w:p w14:paraId="1A161FAD">
      <w:pPr>
        <w:pStyle w:val="3"/>
        <w:keepNext/>
        <w:spacing w:before="0" w:line="240" w:lineRule="auto"/>
        <w:ind w:left="0" w:firstLine="709"/>
        <w:contextualSpacing/>
        <w:rPr>
          <w:rFonts w:cs="Times New Roman"/>
          <w:b w:val="0"/>
          <w:sz w:val="24"/>
          <w:szCs w:val="24"/>
        </w:rPr>
      </w:pPr>
      <w:bookmarkStart w:id="767" w:name="_Toc15640983"/>
      <w:bookmarkStart w:id="768" w:name="_Toc182814082"/>
      <w:bookmarkStart w:id="769" w:name="_Hlk43280551"/>
      <w:r>
        <w:rPr>
          <w:rFonts w:cs="Times New Roman"/>
          <w:b w:val="0"/>
          <w:sz w:val="24"/>
          <w:szCs w:val="24"/>
        </w:rPr>
        <w:t>Целевые значения ключевых показателей, отражающих результаты внедрения целевой модели рынка тепловой энергии</w:t>
      </w:r>
      <w:bookmarkEnd w:id="767"/>
      <w:bookmarkEnd w:id="768"/>
    </w:p>
    <w:bookmarkEnd w:id="769"/>
    <w:p w14:paraId="625BDC42">
      <w:pPr>
        <w:spacing w:after="0" w:line="240" w:lineRule="auto"/>
        <w:contextualSpacing/>
        <w:jc w:val="both"/>
        <w:rPr>
          <w:sz w:val="24"/>
          <w:szCs w:val="24"/>
        </w:rPr>
      </w:pPr>
      <w:r>
        <w:rPr>
          <w:sz w:val="24"/>
          <w:szCs w:val="24"/>
        </w:rPr>
        <w:t>Муниципальное образование не отнесено к ценовой зоне теплоснабжения. В связи с этим, на основании п.79.1 постановления Правительства РФ №154, значения показателей не приводятся.</w:t>
      </w:r>
    </w:p>
    <w:p w14:paraId="78405203">
      <w:pPr>
        <w:spacing w:after="0" w:line="240" w:lineRule="auto"/>
        <w:contextualSpacing/>
        <w:jc w:val="both"/>
        <w:rPr>
          <w:sz w:val="24"/>
          <w:szCs w:val="24"/>
        </w:rPr>
      </w:pPr>
    </w:p>
    <w:p w14:paraId="27C229E9">
      <w:pPr>
        <w:pStyle w:val="3"/>
        <w:keepNext/>
        <w:spacing w:before="0" w:line="240" w:lineRule="auto"/>
        <w:ind w:left="0" w:firstLine="709"/>
        <w:contextualSpacing/>
        <w:rPr>
          <w:rFonts w:cs="Times New Roman"/>
          <w:b w:val="0"/>
          <w:sz w:val="24"/>
          <w:szCs w:val="24"/>
        </w:rPr>
      </w:pPr>
      <w:bookmarkStart w:id="770" w:name="_Toc15640984"/>
      <w:bookmarkStart w:id="771" w:name="_Toc182814083"/>
      <w:bookmarkStart w:id="772" w:name="_Hlk43280556"/>
      <w:r>
        <w:rPr>
          <w:rFonts w:cs="Times New Roman"/>
          <w:b w:val="0"/>
          <w:sz w:val="24"/>
          <w:szCs w:val="24"/>
        </w:rPr>
        <w:t xml:space="preserve">Существующие и перспективные значения целевых показателей реализации схемы теплоснабжения на территории с.п. Верхнеказымский, подлежащие достижению каждой единой теплоснабжающей организацией, функционирующей на территории </w:t>
      </w:r>
      <w:bookmarkEnd w:id="770"/>
      <w:r>
        <w:rPr>
          <w:rFonts w:cs="Times New Roman"/>
          <w:b w:val="0"/>
          <w:sz w:val="24"/>
          <w:szCs w:val="24"/>
        </w:rPr>
        <w:t>с.п. Верхнеказымский</w:t>
      </w:r>
      <w:bookmarkEnd w:id="771"/>
    </w:p>
    <w:bookmarkEnd w:id="765"/>
    <w:bookmarkEnd w:id="772"/>
    <w:p w14:paraId="2166365F">
      <w:pPr>
        <w:spacing w:after="0" w:line="240" w:lineRule="auto"/>
        <w:contextualSpacing/>
        <w:jc w:val="both"/>
        <w:rPr>
          <w:sz w:val="24"/>
          <w:szCs w:val="24"/>
        </w:rPr>
      </w:pPr>
      <w:r>
        <w:rPr>
          <w:sz w:val="24"/>
          <w:szCs w:val="24"/>
        </w:rPr>
        <w:t>Муниципальное образование не отнесено к ценовой зоне теплоснабжения. В связи с этим, на основании п. 79.1 постановления Правительства РФ № 154, значения показателей не приводятся.</w:t>
      </w:r>
    </w:p>
    <w:p w14:paraId="77E16124">
      <w:pPr>
        <w:spacing w:after="0" w:line="240" w:lineRule="auto"/>
        <w:contextualSpacing/>
        <w:jc w:val="both"/>
        <w:rPr>
          <w:sz w:val="24"/>
          <w:szCs w:val="24"/>
        </w:rPr>
      </w:pPr>
    </w:p>
    <w:p w14:paraId="384B81CC">
      <w:pPr>
        <w:pStyle w:val="3"/>
        <w:spacing w:before="0" w:line="240" w:lineRule="auto"/>
        <w:ind w:left="0" w:firstLine="709"/>
        <w:contextualSpacing/>
        <w:rPr>
          <w:rFonts w:cs="Times New Roman"/>
          <w:b w:val="0"/>
          <w:sz w:val="24"/>
          <w:szCs w:val="24"/>
        </w:rPr>
      </w:pPr>
      <w:bookmarkStart w:id="773" w:name="_Toc182814084"/>
      <w:bookmarkStart w:id="774" w:name="_Hlk43280562"/>
      <w:r>
        <w:rPr>
          <w:rFonts w:cs="Times New Roman"/>
          <w:b w:val="0"/>
          <w:sz w:val="24"/>
          <w:szCs w:val="24"/>
        </w:rPr>
        <w:t>Описание изменений (фактических данных) в оценке значений индикаторов развития систем теплоснабжения на территории с.п. Верхнеказымский с учетом реализации проектов схемы теплоснабжения</w:t>
      </w:r>
      <w:bookmarkEnd w:id="773"/>
    </w:p>
    <w:bookmarkEnd w:id="774"/>
    <w:p w14:paraId="7292B562">
      <w:pPr>
        <w:spacing w:after="0" w:line="240" w:lineRule="auto"/>
        <w:contextualSpacing/>
        <w:jc w:val="both"/>
        <w:rPr>
          <w:sz w:val="24"/>
          <w:szCs w:val="24"/>
        </w:rPr>
      </w:pPr>
      <w:r>
        <w:rPr>
          <w:sz w:val="24"/>
          <w:szCs w:val="24"/>
        </w:rPr>
        <w:t>Актуализированные данные представлены в таблице 67.</w:t>
      </w:r>
    </w:p>
    <w:p w14:paraId="586FD51D">
      <w:pPr>
        <w:spacing w:after="0" w:line="240" w:lineRule="auto"/>
        <w:contextualSpacing/>
        <w:jc w:val="both"/>
        <w:rPr>
          <w:sz w:val="24"/>
          <w:szCs w:val="24"/>
        </w:rPr>
      </w:pPr>
    </w:p>
    <w:p w14:paraId="2E106957">
      <w:pPr>
        <w:spacing w:after="0" w:line="240" w:lineRule="auto"/>
        <w:contextualSpacing/>
        <w:jc w:val="both"/>
        <w:rPr>
          <w:sz w:val="24"/>
          <w:szCs w:val="24"/>
        </w:rPr>
      </w:pPr>
    </w:p>
    <w:p w14:paraId="477D617A">
      <w:pPr>
        <w:spacing w:after="0" w:line="240" w:lineRule="auto"/>
        <w:contextualSpacing/>
        <w:jc w:val="both"/>
        <w:rPr>
          <w:sz w:val="24"/>
          <w:szCs w:val="24"/>
        </w:rPr>
      </w:pPr>
    </w:p>
    <w:p w14:paraId="2E971D01">
      <w:pPr>
        <w:pStyle w:val="2"/>
        <w:keepLines w:val="0"/>
        <w:pageBreakBefore/>
        <w:widowControl w:val="0"/>
        <w:spacing w:before="0" w:line="240" w:lineRule="auto"/>
        <w:ind w:left="0" w:firstLine="709"/>
        <w:contextualSpacing/>
        <w:rPr>
          <w:rFonts w:cs="Times New Roman"/>
          <w:b w:val="0"/>
          <w:sz w:val="24"/>
          <w:szCs w:val="24"/>
        </w:rPr>
      </w:pPr>
      <w:bookmarkStart w:id="775" w:name="_Toc524614922"/>
      <w:bookmarkStart w:id="776" w:name="_Toc524615138"/>
      <w:bookmarkStart w:id="777" w:name="_Toc182814085"/>
      <w:r>
        <w:rPr>
          <w:rFonts w:cs="Times New Roman"/>
          <w:b w:val="0"/>
          <w:sz w:val="24"/>
          <w:szCs w:val="24"/>
        </w:rPr>
        <w:t>Глава 14. Ценовые (тарифные) последствия</w:t>
      </w:r>
      <w:bookmarkEnd w:id="775"/>
      <w:bookmarkEnd w:id="776"/>
      <w:bookmarkEnd w:id="777"/>
    </w:p>
    <w:p w14:paraId="709D580E">
      <w:pPr>
        <w:pStyle w:val="3"/>
        <w:keepLines w:val="0"/>
        <w:widowControl w:val="0"/>
        <w:spacing w:before="0" w:line="240" w:lineRule="auto"/>
        <w:ind w:left="0" w:firstLine="709"/>
        <w:contextualSpacing/>
        <w:rPr>
          <w:rFonts w:cs="Times New Roman"/>
          <w:b w:val="0"/>
          <w:sz w:val="24"/>
          <w:szCs w:val="24"/>
        </w:rPr>
      </w:pPr>
      <w:bookmarkStart w:id="778" w:name="_Toc524614923"/>
      <w:bookmarkStart w:id="779" w:name="_Toc524615139"/>
      <w:bookmarkStart w:id="780" w:name="_Toc182814086"/>
      <w:r>
        <w:rPr>
          <w:rFonts w:cs="Times New Roman"/>
          <w:b w:val="0"/>
          <w:sz w:val="24"/>
          <w:szCs w:val="24"/>
        </w:rPr>
        <w:t>Тарифно-балансовые расчетные модели теплоснабжения потребителей по каждой системе теплоснабжения</w:t>
      </w:r>
      <w:bookmarkEnd w:id="778"/>
      <w:bookmarkEnd w:id="779"/>
      <w:bookmarkEnd w:id="780"/>
    </w:p>
    <w:p w14:paraId="45D8551C">
      <w:pPr>
        <w:spacing w:after="0" w:line="240" w:lineRule="auto"/>
        <w:contextualSpacing/>
        <w:jc w:val="both"/>
        <w:rPr>
          <w:bCs/>
          <w:sz w:val="24"/>
          <w:szCs w:val="24"/>
        </w:rPr>
      </w:pPr>
      <w:r>
        <w:rPr>
          <w:bCs/>
          <w:sz w:val="24"/>
          <w:szCs w:val="24"/>
        </w:rPr>
        <w:t>Установленные одноставочные тарифы на тепловую энергию, поставляемую МУП «БКС» потребителям на территории с.п. Верхнеказымский, приведены в таблице 69.</w:t>
      </w:r>
    </w:p>
    <w:p w14:paraId="0855D477">
      <w:pPr>
        <w:spacing w:after="0" w:line="240" w:lineRule="auto"/>
        <w:contextualSpacing/>
        <w:jc w:val="both"/>
        <w:rPr>
          <w:bCs/>
          <w:sz w:val="24"/>
          <w:szCs w:val="24"/>
        </w:rPr>
      </w:pPr>
      <w:r>
        <w:rPr>
          <w:color w:val="000000" w:themeColor="text1"/>
          <w:sz w:val="24"/>
          <w:szCs w:val="24"/>
        </w:rPr>
        <w:t xml:space="preserve">Сведения по тарифам на тепловую энергию для </w:t>
      </w:r>
      <w:r>
        <w:rPr>
          <w:sz w:val="24"/>
          <w:szCs w:val="24"/>
        </w:rPr>
        <w:t>Верхнеказымское ЛПУ МГ представлены в таблице 70.</w:t>
      </w:r>
    </w:p>
    <w:p w14:paraId="225EB59E">
      <w:pPr>
        <w:spacing w:after="0" w:line="240" w:lineRule="auto"/>
        <w:ind w:firstLine="851"/>
        <w:contextualSpacing/>
        <w:jc w:val="both"/>
        <w:rPr>
          <w:bCs/>
          <w:sz w:val="24"/>
          <w:szCs w:val="24"/>
        </w:rPr>
      </w:pPr>
    </w:p>
    <w:p w14:paraId="209D39BB">
      <w:pPr>
        <w:spacing w:after="0" w:line="240" w:lineRule="auto"/>
        <w:ind w:firstLine="0"/>
        <w:contextualSpacing/>
        <w:jc w:val="both"/>
        <w:rPr>
          <w:sz w:val="24"/>
          <w:szCs w:val="24"/>
        </w:rPr>
      </w:pPr>
      <w:r>
        <w:rPr>
          <w:spacing w:val="-2"/>
          <w:sz w:val="24"/>
          <w:szCs w:val="24"/>
        </w:rPr>
        <w:t xml:space="preserve">Таблица </w:t>
      </w:r>
      <w:r>
        <w:rPr>
          <w:spacing w:val="-2"/>
          <w:sz w:val="24"/>
          <w:szCs w:val="24"/>
        </w:rPr>
        <w:fldChar w:fldCharType="begin"/>
      </w:r>
      <w:r>
        <w:rPr>
          <w:spacing w:val="-2"/>
          <w:sz w:val="24"/>
          <w:szCs w:val="24"/>
        </w:rPr>
        <w:instrText xml:space="preserve"> SEQ Таблица \* ARABIC </w:instrText>
      </w:r>
      <w:r>
        <w:rPr>
          <w:spacing w:val="-2"/>
          <w:sz w:val="24"/>
          <w:szCs w:val="24"/>
        </w:rPr>
        <w:fldChar w:fldCharType="separate"/>
      </w:r>
      <w:r>
        <w:rPr>
          <w:spacing w:val="-2"/>
          <w:sz w:val="24"/>
          <w:szCs w:val="24"/>
        </w:rPr>
        <w:t>69</w:t>
      </w:r>
      <w:r>
        <w:rPr>
          <w:spacing w:val="-2"/>
          <w:sz w:val="24"/>
          <w:szCs w:val="24"/>
        </w:rPr>
        <w:fldChar w:fldCharType="end"/>
      </w:r>
      <w:r>
        <w:rPr>
          <w:spacing w:val="-2"/>
          <w:sz w:val="24"/>
          <w:szCs w:val="24"/>
        </w:rPr>
        <w:t xml:space="preserve"> – </w:t>
      </w:r>
      <w:r>
        <w:rPr>
          <w:sz w:val="24"/>
          <w:szCs w:val="24"/>
        </w:rPr>
        <w:t>Установленные одноставочные тарифы на тепловую энергию, поставляемую МУП «БКС» потребителям на территории с.п. Верхнеказымский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3047"/>
        <w:gridCol w:w="3147"/>
      </w:tblGrid>
      <w:tr w14:paraId="227D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20C92F3D">
            <w:pPr>
              <w:spacing w:after="0" w:line="240" w:lineRule="auto"/>
              <w:ind w:firstLine="0"/>
              <w:contextualSpacing/>
              <w:jc w:val="center"/>
              <w:rPr>
                <w:color w:val="000000"/>
                <w:sz w:val="20"/>
                <w:szCs w:val="20"/>
              </w:rPr>
            </w:pPr>
            <w:r>
              <w:rPr>
                <w:color w:val="000000"/>
                <w:sz w:val="20"/>
                <w:szCs w:val="20"/>
              </w:rPr>
              <w:t>Показатель</w:t>
            </w:r>
          </w:p>
        </w:tc>
        <w:tc>
          <w:tcPr>
            <w:tcW w:w="1546" w:type="pct"/>
            <w:shd w:val="clear" w:color="auto" w:fill="auto"/>
            <w:vAlign w:val="center"/>
          </w:tcPr>
          <w:p w14:paraId="7EC23AAB">
            <w:pPr>
              <w:spacing w:after="0" w:line="240" w:lineRule="auto"/>
              <w:ind w:firstLine="0"/>
              <w:contextualSpacing/>
              <w:jc w:val="center"/>
              <w:rPr>
                <w:color w:val="000000"/>
                <w:sz w:val="20"/>
                <w:szCs w:val="20"/>
              </w:rPr>
            </w:pPr>
            <w:r>
              <w:rPr>
                <w:color w:val="000000"/>
                <w:sz w:val="20"/>
                <w:szCs w:val="20"/>
              </w:rPr>
              <w:t>с 1 января по 30 июня</w:t>
            </w:r>
          </w:p>
        </w:tc>
        <w:tc>
          <w:tcPr>
            <w:tcW w:w="1597" w:type="pct"/>
            <w:shd w:val="clear" w:color="auto" w:fill="auto"/>
            <w:vAlign w:val="center"/>
          </w:tcPr>
          <w:p w14:paraId="06986BE5">
            <w:pPr>
              <w:spacing w:after="0" w:line="240" w:lineRule="auto"/>
              <w:ind w:firstLine="0"/>
              <w:contextualSpacing/>
              <w:jc w:val="center"/>
              <w:rPr>
                <w:color w:val="000000"/>
                <w:sz w:val="20"/>
                <w:szCs w:val="20"/>
              </w:rPr>
            </w:pPr>
            <w:r>
              <w:rPr>
                <w:color w:val="000000"/>
                <w:sz w:val="20"/>
                <w:szCs w:val="20"/>
              </w:rPr>
              <w:t>с 1июля по 31 декабря</w:t>
            </w:r>
          </w:p>
        </w:tc>
      </w:tr>
      <w:tr w14:paraId="3B8A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3E5B29CA">
            <w:pPr>
              <w:spacing w:after="0" w:line="240" w:lineRule="auto"/>
              <w:ind w:firstLine="0"/>
              <w:contextualSpacing/>
              <w:jc w:val="center"/>
              <w:rPr>
                <w:color w:val="000000"/>
                <w:sz w:val="20"/>
                <w:szCs w:val="20"/>
              </w:rPr>
            </w:pPr>
            <w:r>
              <w:rPr>
                <w:color w:val="000000"/>
                <w:sz w:val="20"/>
                <w:szCs w:val="20"/>
              </w:rPr>
              <w:t>Тариф для потребителей, в случае отсутствия дифференциации тарифов по схеме подключения (без НДС), руб./Гкал</w:t>
            </w:r>
          </w:p>
        </w:tc>
      </w:tr>
      <w:tr w14:paraId="5D4E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C997951">
            <w:pPr>
              <w:spacing w:after="0" w:line="240" w:lineRule="auto"/>
              <w:ind w:firstLine="0"/>
              <w:contextualSpacing/>
              <w:jc w:val="center"/>
              <w:rPr>
                <w:color w:val="000000"/>
                <w:sz w:val="20"/>
                <w:szCs w:val="20"/>
              </w:rPr>
            </w:pPr>
            <w:r>
              <w:rPr>
                <w:color w:val="000000"/>
                <w:sz w:val="20"/>
                <w:szCs w:val="20"/>
              </w:rPr>
              <w:t>2023</w:t>
            </w:r>
          </w:p>
        </w:tc>
        <w:tc>
          <w:tcPr>
            <w:tcW w:w="1546" w:type="pct"/>
            <w:shd w:val="clear" w:color="auto" w:fill="auto"/>
            <w:vAlign w:val="center"/>
          </w:tcPr>
          <w:p w14:paraId="26258A07">
            <w:pPr>
              <w:spacing w:after="0" w:line="240" w:lineRule="auto"/>
              <w:ind w:firstLine="0"/>
              <w:contextualSpacing/>
              <w:jc w:val="center"/>
              <w:rPr>
                <w:color w:val="000000"/>
                <w:sz w:val="20"/>
                <w:szCs w:val="20"/>
              </w:rPr>
            </w:pPr>
            <w:r>
              <w:rPr>
                <w:color w:val="000000"/>
                <w:sz w:val="20"/>
                <w:szCs w:val="20"/>
              </w:rPr>
              <w:t>1209,43</w:t>
            </w:r>
          </w:p>
        </w:tc>
        <w:tc>
          <w:tcPr>
            <w:tcW w:w="1597" w:type="pct"/>
            <w:shd w:val="clear" w:color="auto" w:fill="auto"/>
            <w:vAlign w:val="center"/>
          </w:tcPr>
          <w:p w14:paraId="5BF67C1F">
            <w:pPr>
              <w:spacing w:after="0" w:line="240" w:lineRule="auto"/>
              <w:ind w:firstLine="0"/>
              <w:contextualSpacing/>
              <w:jc w:val="center"/>
              <w:rPr>
                <w:color w:val="000000"/>
                <w:sz w:val="20"/>
                <w:szCs w:val="20"/>
              </w:rPr>
            </w:pPr>
            <w:r>
              <w:rPr>
                <w:color w:val="000000"/>
                <w:sz w:val="20"/>
                <w:szCs w:val="20"/>
              </w:rPr>
              <w:t>1209,43</w:t>
            </w:r>
          </w:p>
        </w:tc>
      </w:tr>
      <w:tr w14:paraId="3B8C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E09BD5C">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56F35F4A">
            <w:pPr>
              <w:spacing w:after="0" w:line="240" w:lineRule="auto"/>
              <w:ind w:firstLine="0"/>
              <w:contextualSpacing/>
              <w:jc w:val="center"/>
              <w:rPr>
                <w:color w:val="000000"/>
                <w:sz w:val="20"/>
                <w:szCs w:val="20"/>
              </w:rPr>
            </w:pPr>
            <w:r>
              <w:rPr>
                <w:color w:val="000000"/>
                <w:sz w:val="20"/>
                <w:szCs w:val="20"/>
              </w:rPr>
              <w:t>1209,43</w:t>
            </w:r>
          </w:p>
        </w:tc>
        <w:tc>
          <w:tcPr>
            <w:tcW w:w="1597" w:type="pct"/>
            <w:shd w:val="clear" w:color="auto" w:fill="auto"/>
            <w:vAlign w:val="center"/>
          </w:tcPr>
          <w:p w14:paraId="70AF534A">
            <w:pPr>
              <w:spacing w:after="0" w:line="240" w:lineRule="auto"/>
              <w:ind w:firstLine="0"/>
              <w:contextualSpacing/>
              <w:jc w:val="center"/>
              <w:rPr>
                <w:color w:val="000000"/>
                <w:sz w:val="20"/>
                <w:szCs w:val="20"/>
              </w:rPr>
            </w:pPr>
            <w:r>
              <w:rPr>
                <w:color w:val="000000"/>
                <w:sz w:val="20"/>
                <w:szCs w:val="20"/>
              </w:rPr>
              <w:t>1325,54</w:t>
            </w:r>
          </w:p>
        </w:tc>
      </w:tr>
      <w:tr w14:paraId="76E2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160921F">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6042326C">
            <w:pPr>
              <w:spacing w:after="0" w:line="240" w:lineRule="auto"/>
              <w:ind w:firstLine="0"/>
              <w:contextualSpacing/>
              <w:jc w:val="center"/>
              <w:rPr>
                <w:color w:val="000000"/>
                <w:sz w:val="20"/>
                <w:szCs w:val="20"/>
              </w:rPr>
            </w:pPr>
            <w:r>
              <w:rPr>
                <w:color w:val="000000"/>
                <w:sz w:val="20"/>
                <w:szCs w:val="20"/>
              </w:rPr>
              <w:t>1325,54</w:t>
            </w:r>
          </w:p>
        </w:tc>
        <w:tc>
          <w:tcPr>
            <w:tcW w:w="1597" w:type="pct"/>
            <w:shd w:val="clear" w:color="auto" w:fill="auto"/>
            <w:vAlign w:val="center"/>
          </w:tcPr>
          <w:p w14:paraId="7489E4BB">
            <w:pPr>
              <w:spacing w:after="0" w:line="240" w:lineRule="auto"/>
              <w:ind w:firstLine="0"/>
              <w:contextualSpacing/>
              <w:jc w:val="center"/>
              <w:rPr>
                <w:color w:val="000000"/>
                <w:sz w:val="20"/>
                <w:szCs w:val="20"/>
              </w:rPr>
            </w:pPr>
            <w:r>
              <w:rPr>
                <w:color w:val="000000"/>
                <w:sz w:val="20"/>
                <w:szCs w:val="20"/>
              </w:rPr>
              <w:t>1401,08</w:t>
            </w:r>
          </w:p>
        </w:tc>
      </w:tr>
      <w:tr w14:paraId="0574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F8FDBC4">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5F81BEAE">
            <w:pPr>
              <w:spacing w:after="0" w:line="240" w:lineRule="auto"/>
              <w:ind w:firstLine="0"/>
              <w:contextualSpacing/>
              <w:jc w:val="center"/>
              <w:rPr>
                <w:color w:val="000000"/>
                <w:sz w:val="20"/>
                <w:szCs w:val="20"/>
              </w:rPr>
            </w:pPr>
            <w:r>
              <w:rPr>
                <w:color w:val="000000"/>
                <w:sz w:val="20"/>
                <w:szCs w:val="20"/>
              </w:rPr>
              <w:t>1401,08</w:t>
            </w:r>
          </w:p>
        </w:tc>
        <w:tc>
          <w:tcPr>
            <w:tcW w:w="1597" w:type="pct"/>
            <w:shd w:val="clear" w:color="auto" w:fill="auto"/>
            <w:vAlign w:val="center"/>
          </w:tcPr>
          <w:p w14:paraId="2136A66D">
            <w:pPr>
              <w:spacing w:after="0" w:line="240" w:lineRule="auto"/>
              <w:ind w:firstLine="0"/>
              <w:contextualSpacing/>
              <w:jc w:val="center"/>
              <w:rPr>
                <w:color w:val="000000"/>
                <w:sz w:val="20"/>
                <w:szCs w:val="20"/>
              </w:rPr>
            </w:pPr>
            <w:r>
              <w:rPr>
                <w:color w:val="000000"/>
                <w:sz w:val="20"/>
                <w:szCs w:val="20"/>
              </w:rPr>
              <w:t>1457,11</w:t>
            </w:r>
          </w:p>
        </w:tc>
      </w:tr>
      <w:tr w14:paraId="18F0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32360A71">
            <w:pPr>
              <w:spacing w:after="0" w:line="240" w:lineRule="auto"/>
              <w:ind w:firstLine="0"/>
              <w:contextualSpacing/>
              <w:jc w:val="center"/>
              <w:rPr>
                <w:color w:val="000000"/>
                <w:sz w:val="20"/>
                <w:szCs w:val="20"/>
              </w:rPr>
            </w:pPr>
            <w:r>
              <w:rPr>
                <w:color w:val="000000"/>
                <w:sz w:val="20"/>
                <w:szCs w:val="20"/>
              </w:rPr>
              <w:t>Тариф для населения (с учетом НДС), руб./Гкал</w:t>
            </w:r>
          </w:p>
        </w:tc>
      </w:tr>
      <w:tr w14:paraId="6CDD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3543A8E6">
            <w:pPr>
              <w:spacing w:after="0" w:line="240" w:lineRule="auto"/>
              <w:ind w:firstLine="0"/>
              <w:contextualSpacing/>
              <w:jc w:val="center"/>
              <w:rPr>
                <w:color w:val="000000"/>
                <w:sz w:val="20"/>
                <w:szCs w:val="20"/>
              </w:rPr>
            </w:pPr>
            <w:r>
              <w:rPr>
                <w:color w:val="000000"/>
                <w:sz w:val="20"/>
                <w:szCs w:val="20"/>
              </w:rPr>
              <w:t>2023</w:t>
            </w:r>
          </w:p>
        </w:tc>
        <w:tc>
          <w:tcPr>
            <w:tcW w:w="1546" w:type="pct"/>
            <w:shd w:val="clear" w:color="auto" w:fill="auto"/>
            <w:vAlign w:val="center"/>
          </w:tcPr>
          <w:p w14:paraId="1CBEFD59">
            <w:pPr>
              <w:spacing w:after="0" w:line="240" w:lineRule="auto"/>
              <w:ind w:firstLine="0"/>
              <w:contextualSpacing/>
              <w:jc w:val="center"/>
              <w:rPr>
                <w:color w:val="000000"/>
                <w:sz w:val="20"/>
                <w:szCs w:val="20"/>
              </w:rPr>
            </w:pPr>
            <w:r>
              <w:rPr>
                <w:color w:val="000000"/>
                <w:sz w:val="20"/>
                <w:szCs w:val="20"/>
              </w:rPr>
              <w:t>1451,32</w:t>
            </w:r>
          </w:p>
        </w:tc>
        <w:tc>
          <w:tcPr>
            <w:tcW w:w="1597" w:type="pct"/>
            <w:shd w:val="clear" w:color="auto" w:fill="auto"/>
            <w:vAlign w:val="center"/>
          </w:tcPr>
          <w:p w14:paraId="22CD9EC4">
            <w:pPr>
              <w:spacing w:after="0" w:line="240" w:lineRule="auto"/>
              <w:ind w:firstLine="0"/>
              <w:contextualSpacing/>
              <w:jc w:val="center"/>
              <w:rPr>
                <w:color w:val="000000"/>
                <w:sz w:val="20"/>
                <w:szCs w:val="20"/>
              </w:rPr>
            </w:pPr>
            <w:r>
              <w:rPr>
                <w:color w:val="000000"/>
                <w:sz w:val="20"/>
                <w:szCs w:val="20"/>
              </w:rPr>
              <w:t>1451,32</w:t>
            </w:r>
          </w:p>
        </w:tc>
      </w:tr>
      <w:tr w14:paraId="71BA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A786A65">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4E700255">
            <w:pPr>
              <w:spacing w:after="0" w:line="240" w:lineRule="auto"/>
              <w:ind w:firstLine="0"/>
              <w:contextualSpacing/>
              <w:jc w:val="center"/>
              <w:rPr>
                <w:color w:val="000000"/>
                <w:sz w:val="20"/>
                <w:szCs w:val="20"/>
              </w:rPr>
            </w:pPr>
            <w:r>
              <w:rPr>
                <w:color w:val="000000"/>
                <w:sz w:val="20"/>
                <w:szCs w:val="20"/>
              </w:rPr>
              <w:t>1451,32</w:t>
            </w:r>
          </w:p>
        </w:tc>
        <w:tc>
          <w:tcPr>
            <w:tcW w:w="1597" w:type="pct"/>
            <w:shd w:val="clear" w:color="auto" w:fill="auto"/>
            <w:vAlign w:val="center"/>
          </w:tcPr>
          <w:p w14:paraId="54B71CBB">
            <w:pPr>
              <w:spacing w:after="0" w:line="240" w:lineRule="auto"/>
              <w:ind w:firstLine="0"/>
              <w:contextualSpacing/>
              <w:jc w:val="center"/>
              <w:rPr>
                <w:color w:val="000000"/>
                <w:sz w:val="20"/>
                <w:szCs w:val="20"/>
              </w:rPr>
            </w:pPr>
            <w:r>
              <w:rPr>
                <w:color w:val="000000"/>
                <w:sz w:val="20"/>
                <w:szCs w:val="20"/>
              </w:rPr>
              <w:t>1590,65</w:t>
            </w:r>
          </w:p>
        </w:tc>
      </w:tr>
      <w:tr w14:paraId="4C63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798F0A2">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675E8AA9">
            <w:pPr>
              <w:spacing w:after="0" w:line="240" w:lineRule="auto"/>
              <w:ind w:firstLine="0"/>
              <w:contextualSpacing/>
              <w:jc w:val="center"/>
              <w:rPr>
                <w:color w:val="000000"/>
                <w:sz w:val="20"/>
                <w:szCs w:val="20"/>
              </w:rPr>
            </w:pPr>
            <w:r>
              <w:rPr>
                <w:color w:val="000000"/>
                <w:sz w:val="20"/>
                <w:szCs w:val="20"/>
              </w:rPr>
              <w:t>1590,65</w:t>
            </w:r>
          </w:p>
        </w:tc>
        <w:tc>
          <w:tcPr>
            <w:tcW w:w="1597" w:type="pct"/>
            <w:shd w:val="clear" w:color="auto" w:fill="auto"/>
            <w:vAlign w:val="center"/>
          </w:tcPr>
          <w:p w14:paraId="56DD259A">
            <w:pPr>
              <w:spacing w:after="0" w:line="240" w:lineRule="auto"/>
              <w:ind w:firstLine="0"/>
              <w:contextualSpacing/>
              <w:jc w:val="center"/>
              <w:rPr>
                <w:color w:val="000000"/>
                <w:sz w:val="20"/>
                <w:szCs w:val="20"/>
              </w:rPr>
            </w:pPr>
            <w:r>
              <w:rPr>
                <w:color w:val="000000"/>
                <w:sz w:val="20"/>
                <w:szCs w:val="20"/>
              </w:rPr>
              <w:t>1681,30</w:t>
            </w:r>
          </w:p>
        </w:tc>
      </w:tr>
      <w:tr w14:paraId="6655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51F9E420">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0A277DBF">
            <w:pPr>
              <w:spacing w:after="0" w:line="240" w:lineRule="auto"/>
              <w:ind w:firstLine="0"/>
              <w:contextualSpacing/>
              <w:jc w:val="center"/>
              <w:rPr>
                <w:color w:val="000000"/>
                <w:sz w:val="20"/>
                <w:szCs w:val="20"/>
              </w:rPr>
            </w:pPr>
            <w:r>
              <w:rPr>
                <w:color w:val="000000"/>
                <w:sz w:val="20"/>
                <w:szCs w:val="20"/>
              </w:rPr>
              <w:t>1681,30</w:t>
            </w:r>
          </w:p>
        </w:tc>
        <w:tc>
          <w:tcPr>
            <w:tcW w:w="1597" w:type="pct"/>
            <w:shd w:val="clear" w:color="auto" w:fill="auto"/>
            <w:vAlign w:val="center"/>
          </w:tcPr>
          <w:p w14:paraId="318F4C97">
            <w:pPr>
              <w:spacing w:after="0" w:line="240" w:lineRule="auto"/>
              <w:ind w:firstLine="0"/>
              <w:contextualSpacing/>
              <w:jc w:val="center"/>
              <w:rPr>
                <w:color w:val="000000"/>
                <w:sz w:val="20"/>
                <w:szCs w:val="20"/>
              </w:rPr>
            </w:pPr>
            <w:r>
              <w:rPr>
                <w:color w:val="000000"/>
                <w:sz w:val="20"/>
                <w:szCs w:val="20"/>
              </w:rPr>
              <w:t>1748,53</w:t>
            </w:r>
          </w:p>
        </w:tc>
      </w:tr>
    </w:tbl>
    <w:p w14:paraId="2434B50F">
      <w:pPr>
        <w:spacing w:after="0" w:line="240" w:lineRule="auto"/>
        <w:ind w:firstLine="0"/>
        <w:contextualSpacing/>
        <w:jc w:val="both"/>
        <w:rPr>
          <w:sz w:val="24"/>
          <w:szCs w:val="24"/>
        </w:rPr>
      </w:pPr>
    </w:p>
    <w:p w14:paraId="7AAAF545">
      <w:pPr>
        <w:spacing w:after="0" w:line="240" w:lineRule="auto"/>
        <w:ind w:firstLine="0"/>
        <w:contextualSpacing/>
        <w:jc w:val="both"/>
        <w:rPr>
          <w:sz w:val="24"/>
          <w:szCs w:val="24"/>
        </w:rPr>
      </w:pPr>
      <w:r>
        <w:rPr>
          <w:spacing w:val="-2"/>
          <w:sz w:val="24"/>
          <w:szCs w:val="24"/>
        </w:rPr>
        <w:t xml:space="preserve">Таблица </w:t>
      </w:r>
      <w:r>
        <w:rPr>
          <w:spacing w:val="-2"/>
          <w:sz w:val="24"/>
          <w:szCs w:val="24"/>
        </w:rPr>
        <w:fldChar w:fldCharType="begin"/>
      </w:r>
      <w:r>
        <w:rPr>
          <w:spacing w:val="-2"/>
          <w:sz w:val="24"/>
          <w:szCs w:val="24"/>
        </w:rPr>
        <w:instrText xml:space="preserve"> SEQ Таблица \* ARABIC </w:instrText>
      </w:r>
      <w:r>
        <w:rPr>
          <w:spacing w:val="-2"/>
          <w:sz w:val="24"/>
          <w:szCs w:val="24"/>
        </w:rPr>
        <w:fldChar w:fldCharType="separate"/>
      </w:r>
      <w:r>
        <w:rPr>
          <w:spacing w:val="-2"/>
          <w:sz w:val="24"/>
          <w:szCs w:val="24"/>
        </w:rPr>
        <w:t>70</w:t>
      </w:r>
      <w:r>
        <w:rPr>
          <w:spacing w:val="-2"/>
          <w:sz w:val="24"/>
          <w:szCs w:val="24"/>
        </w:rPr>
        <w:fldChar w:fldCharType="end"/>
      </w:r>
      <w:r>
        <w:rPr>
          <w:spacing w:val="-2"/>
          <w:sz w:val="24"/>
          <w:szCs w:val="24"/>
        </w:rPr>
        <w:t xml:space="preserve"> – </w:t>
      </w:r>
      <w:r>
        <w:rPr>
          <w:sz w:val="24"/>
          <w:szCs w:val="24"/>
        </w:rPr>
        <w:t>Сведения по тарифам на тепловую энергию для Верхнеказымское ЛПУ МГ</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3047"/>
        <w:gridCol w:w="3147"/>
      </w:tblGrid>
      <w:tr w14:paraId="41FA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7BBB62C5">
            <w:pPr>
              <w:spacing w:after="0" w:line="240" w:lineRule="auto"/>
              <w:ind w:firstLine="0"/>
              <w:contextualSpacing/>
              <w:jc w:val="center"/>
              <w:rPr>
                <w:color w:val="000000"/>
                <w:sz w:val="20"/>
                <w:szCs w:val="20"/>
              </w:rPr>
            </w:pPr>
            <w:r>
              <w:rPr>
                <w:color w:val="000000"/>
                <w:sz w:val="20"/>
                <w:szCs w:val="20"/>
              </w:rPr>
              <w:t>Показатель</w:t>
            </w:r>
          </w:p>
        </w:tc>
        <w:tc>
          <w:tcPr>
            <w:tcW w:w="1546" w:type="pct"/>
            <w:shd w:val="clear" w:color="auto" w:fill="auto"/>
            <w:vAlign w:val="center"/>
          </w:tcPr>
          <w:p w14:paraId="700A0E65">
            <w:pPr>
              <w:spacing w:after="0" w:line="240" w:lineRule="auto"/>
              <w:ind w:firstLine="0"/>
              <w:contextualSpacing/>
              <w:jc w:val="center"/>
              <w:rPr>
                <w:color w:val="000000"/>
                <w:sz w:val="20"/>
                <w:szCs w:val="20"/>
              </w:rPr>
            </w:pPr>
            <w:r>
              <w:rPr>
                <w:color w:val="000000"/>
                <w:sz w:val="20"/>
                <w:szCs w:val="20"/>
              </w:rPr>
              <w:t>с 1 января по 30 июня</w:t>
            </w:r>
          </w:p>
        </w:tc>
        <w:tc>
          <w:tcPr>
            <w:tcW w:w="1597" w:type="pct"/>
            <w:shd w:val="clear" w:color="auto" w:fill="auto"/>
            <w:vAlign w:val="center"/>
          </w:tcPr>
          <w:p w14:paraId="6559ED92">
            <w:pPr>
              <w:spacing w:after="0" w:line="240" w:lineRule="auto"/>
              <w:ind w:firstLine="0"/>
              <w:contextualSpacing/>
              <w:jc w:val="center"/>
              <w:rPr>
                <w:color w:val="000000"/>
                <w:sz w:val="20"/>
                <w:szCs w:val="20"/>
              </w:rPr>
            </w:pPr>
            <w:r>
              <w:rPr>
                <w:color w:val="000000"/>
                <w:sz w:val="20"/>
                <w:szCs w:val="20"/>
              </w:rPr>
              <w:t>с 1июля по 31 декабря</w:t>
            </w:r>
          </w:p>
        </w:tc>
      </w:tr>
      <w:tr w14:paraId="303A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346693E5">
            <w:pPr>
              <w:spacing w:after="0" w:line="240" w:lineRule="auto"/>
              <w:ind w:firstLine="0"/>
              <w:contextualSpacing/>
              <w:jc w:val="center"/>
              <w:rPr>
                <w:color w:val="000000"/>
                <w:sz w:val="20"/>
                <w:szCs w:val="20"/>
              </w:rPr>
            </w:pPr>
            <w:r>
              <w:rPr>
                <w:color w:val="000000"/>
                <w:sz w:val="20"/>
                <w:szCs w:val="20"/>
              </w:rPr>
              <w:t>Тариф для потребителей, в случае отсутствия дифференциации тарифов по схеме подключения (без НДС), руб./Гкал</w:t>
            </w:r>
          </w:p>
        </w:tc>
      </w:tr>
      <w:tr w14:paraId="5F2A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4BC1582A">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3BE82F5C">
            <w:pPr>
              <w:spacing w:after="0" w:line="240" w:lineRule="auto"/>
              <w:ind w:firstLine="0"/>
              <w:contextualSpacing/>
              <w:jc w:val="center"/>
              <w:rPr>
                <w:color w:val="000000"/>
                <w:sz w:val="20"/>
                <w:szCs w:val="20"/>
              </w:rPr>
            </w:pPr>
            <w:r>
              <w:rPr>
                <w:color w:val="000000"/>
                <w:sz w:val="20"/>
                <w:szCs w:val="20"/>
              </w:rPr>
              <w:t>422,30</w:t>
            </w:r>
          </w:p>
        </w:tc>
        <w:tc>
          <w:tcPr>
            <w:tcW w:w="1597" w:type="pct"/>
            <w:shd w:val="clear" w:color="auto" w:fill="auto"/>
            <w:vAlign w:val="center"/>
          </w:tcPr>
          <w:p w14:paraId="69E6DD82">
            <w:pPr>
              <w:spacing w:after="0" w:line="240" w:lineRule="auto"/>
              <w:ind w:firstLine="0"/>
              <w:contextualSpacing/>
              <w:jc w:val="center"/>
              <w:rPr>
                <w:color w:val="000000"/>
                <w:sz w:val="20"/>
                <w:szCs w:val="20"/>
              </w:rPr>
            </w:pPr>
            <w:r>
              <w:rPr>
                <w:color w:val="000000"/>
                <w:sz w:val="20"/>
                <w:szCs w:val="20"/>
              </w:rPr>
              <w:t>462,83</w:t>
            </w:r>
          </w:p>
        </w:tc>
      </w:tr>
      <w:tr w14:paraId="0B90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0653DE4">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3C70DD7F">
            <w:pPr>
              <w:spacing w:after="0" w:line="240" w:lineRule="auto"/>
              <w:ind w:firstLine="0"/>
              <w:contextualSpacing/>
              <w:jc w:val="center"/>
              <w:rPr>
                <w:color w:val="000000"/>
                <w:sz w:val="20"/>
                <w:szCs w:val="20"/>
              </w:rPr>
            </w:pPr>
            <w:r>
              <w:rPr>
                <w:color w:val="000000"/>
                <w:sz w:val="20"/>
                <w:szCs w:val="20"/>
              </w:rPr>
              <w:t>462,83</w:t>
            </w:r>
          </w:p>
        </w:tc>
        <w:tc>
          <w:tcPr>
            <w:tcW w:w="1597" w:type="pct"/>
            <w:shd w:val="clear" w:color="auto" w:fill="auto"/>
            <w:vAlign w:val="center"/>
          </w:tcPr>
          <w:p w14:paraId="5EEF98E0">
            <w:pPr>
              <w:spacing w:after="0" w:line="240" w:lineRule="auto"/>
              <w:ind w:firstLine="0"/>
              <w:contextualSpacing/>
              <w:jc w:val="center"/>
              <w:rPr>
                <w:color w:val="000000"/>
                <w:sz w:val="20"/>
                <w:szCs w:val="20"/>
              </w:rPr>
            </w:pPr>
            <w:r>
              <w:rPr>
                <w:color w:val="000000"/>
                <w:sz w:val="20"/>
                <w:szCs w:val="20"/>
              </w:rPr>
              <w:t>489,20</w:t>
            </w:r>
          </w:p>
        </w:tc>
      </w:tr>
      <w:tr w14:paraId="4DA2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F994C79">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76C8D5C2">
            <w:pPr>
              <w:spacing w:after="0" w:line="240" w:lineRule="auto"/>
              <w:ind w:firstLine="0"/>
              <w:contextualSpacing/>
              <w:jc w:val="center"/>
              <w:rPr>
                <w:color w:val="000000"/>
                <w:sz w:val="20"/>
                <w:szCs w:val="20"/>
              </w:rPr>
            </w:pPr>
            <w:r>
              <w:rPr>
                <w:color w:val="000000"/>
                <w:sz w:val="20"/>
                <w:szCs w:val="20"/>
              </w:rPr>
              <w:t>489,20</w:t>
            </w:r>
          </w:p>
        </w:tc>
        <w:tc>
          <w:tcPr>
            <w:tcW w:w="1597" w:type="pct"/>
            <w:shd w:val="clear" w:color="auto" w:fill="auto"/>
            <w:vAlign w:val="center"/>
          </w:tcPr>
          <w:p w14:paraId="054A9872">
            <w:pPr>
              <w:spacing w:after="0" w:line="240" w:lineRule="auto"/>
              <w:ind w:firstLine="0"/>
              <w:contextualSpacing/>
              <w:jc w:val="center"/>
              <w:rPr>
                <w:color w:val="000000"/>
                <w:sz w:val="20"/>
                <w:szCs w:val="20"/>
              </w:rPr>
            </w:pPr>
            <w:r>
              <w:rPr>
                <w:color w:val="000000"/>
                <w:sz w:val="20"/>
                <w:szCs w:val="20"/>
              </w:rPr>
              <w:t>508,75</w:t>
            </w:r>
          </w:p>
        </w:tc>
      </w:tr>
      <w:tr w14:paraId="27C4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5327D015">
            <w:pPr>
              <w:spacing w:after="0" w:line="240" w:lineRule="auto"/>
              <w:ind w:firstLine="0"/>
              <w:contextualSpacing/>
              <w:jc w:val="center"/>
              <w:rPr>
                <w:color w:val="000000"/>
                <w:sz w:val="20"/>
                <w:szCs w:val="20"/>
              </w:rPr>
            </w:pPr>
            <w:r>
              <w:rPr>
                <w:color w:val="000000"/>
                <w:sz w:val="20"/>
                <w:szCs w:val="20"/>
              </w:rPr>
              <w:t>2027</w:t>
            </w:r>
          </w:p>
        </w:tc>
        <w:tc>
          <w:tcPr>
            <w:tcW w:w="1546" w:type="pct"/>
            <w:shd w:val="clear" w:color="auto" w:fill="auto"/>
            <w:vAlign w:val="center"/>
          </w:tcPr>
          <w:p w14:paraId="3BC7A343">
            <w:pPr>
              <w:spacing w:after="0" w:line="240" w:lineRule="auto"/>
              <w:ind w:firstLine="0"/>
              <w:contextualSpacing/>
              <w:jc w:val="center"/>
              <w:rPr>
                <w:color w:val="000000"/>
                <w:sz w:val="20"/>
                <w:szCs w:val="20"/>
              </w:rPr>
            </w:pPr>
            <w:r>
              <w:rPr>
                <w:color w:val="000000"/>
                <w:sz w:val="20"/>
                <w:szCs w:val="20"/>
              </w:rPr>
              <w:t>508,75</w:t>
            </w:r>
          </w:p>
        </w:tc>
        <w:tc>
          <w:tcPr>
            <w:tcW w:w="1597" w:type="pct"/>
            <w:shd w:val="clear" w:color="auto" w:fill="auto"/>
            <w:vAlign w:val="center"/>
          </w:tcPr>
          <w:p w14:paraId="31050592">
            <w:pPr>
              <w:spacing w:after="0" w:line="240" w:lineRule="auto"/>
              <w:ind w:firstLine="0"/>
              <w:contextualSpacing/>
              <w:jc w:val="center"/>
              <w:rPr>
                <w:color w:val="000000"/>
                <w:sz w:val="20"/>
                <w:szCs w:val="20"/>
              </w:rPr>
            </w:pPr>
            <w:r>
              <w:rPr>
                <w:color w:val="000000"/>
                <w:sz w:val="20"/>
                <w:szCs w:val="20"/>
              </w:rPr>
              <w:t>529,10</w:t>
            </w:r>
          </w:p>
        </w:tc>
      </w:tr>
      <w:tr w14:paraId="23ED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3"/>
            <w:shd w:val="clear" w:color="auto" w:fill="auto"/>
            <w:vAlign w:val="center"/>
          </w:tcPr>
          <w:p w14:paraId="0202E6A8">
            <w:pPr>
              <w:spacing w:after="0" w:line="240" w:lineRule="auto"/>
              <w:ind w:firstLine="0"/>
              <w:contextualSpacing/>
              <w:jc w:val="center"/>
              <w:rPr>
                <w:color w:val="000000"/>
                <w:sz w:val="20"/>
                <w:szCs w:val="20"/>
              </w:rPr>
            </w:pPr>
            <w:r>
              <w:rPr>
                <w:color w:val="000000"/>
                <w:sz w:val="20"/>
                <w:szCs w:val="20"/>
              </w:rPr>
              <w:t>Тариф для населения (с учетом НДС), руб./Гкал</w:t>
            </w:r>
          </w:p>
        </w:tc>
      </w:tr>
      <w:tr w14:paraId="648F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6352AD58">
            <w:pPr>
              <w:spacing w:after="0" w:line="240" w:lineRule="auto"/>
              <w:ind w:firstLine="0"/>
              <w:contextualSpacing/>
              <w:jc w:val="center"/>
              <w:rPr>
                <w:color w:val="000000"/>
                <w:sz w:val="20"/>
                <w:szCs w:val="20"/>
              </w:rPr>
            </w:pPr>
            <w:r>
              <w:rPr>
                <w:color w:val="000000"/>
                <w:sz w:val="20"/>
                <w:szCs w:val="20"/>
              </w:rPr>
              <w:t>2024</w:t>
            </w:r>
          </w:p>
        </w:tc>
        <w:tc>
          <w:tcPr>
            <w:tcW w:w="1546" w:type="pct"/>
            <w:shd w:val="clear" w:color="auto" w:fill="auto"/>
            <w:vAlign w:val="center"/>
          </w:tcPr>
          <w:p w14:paraId="31240292">
            <w:pPr>
              <w:spacing w:after="0" w:line="240" w:lineRule="auto"/>
              <w:ind w:firstLine="0"/>
              <w:contextualSpacing/>
              <w:jc w:val="center"/>
              <w:rPr>
                <w:color w:val="000000"/>
                <w:sz w:val="20"/>
                <w:szCs w:val="20"/>
              </w:rPr>
            </w:pPr>
            <w:r>
              <w:rPr>
                <w:color w:val="000000"/>
                <w:sz w:val="20"/>
                <w:szCs w:val="20"/>
              </w:rPr>
              <w:t>506,76</w:t>
            </w:r>
          </w:p>
        </w:tc>
        <w:tc>
          <w:tcPr>
            <w:tcW w:w="1597" w:type="pct"/>
            <w:shd w:val="clear" w:color="auto" w:fill="auto"/>
            <w:vAlign w:val="center"/>
          </w:tcPr>
          <w:p w14:paraId="6BD1B4D3">
            <w:pPr>
              <w:spacing w:after="0" w:line="240" w:lineRule="auto"/>
              <w:ind w:firstLine="0"/>
              <w:contextualSpacing/>
              <w:jc w:val="center"/>
              <w:rPr>
                <w:color w:val="000000"/>
                <w:sz w:val="20"/>
                <w:szCs w:val="20"/>
              </w:rPr>
            </w:pPr>
            <w:r>
              <w:rPr>
                <w:color w:val="000000"/>
                <w:sz w:val="20"/>
                <w:szCs w:val="20"/>
              </w:rPr>
              <w:t>555,40</w:t>
            </w:r>
          </w:p>
        </w:tc>
      </w:tr>
      <w:tr w14:paraId="683F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05F2FBFB">
            <w:pPr>
              <w:spacing w:after="0" w:line="240" w:lineRule="auto"/>
              <w:ind w:firstLine="0"/>
              <w:contextualSpacing/>
              <w:jc w:val="center"/>
              <w:rPr>
                <w:color w:val="000000"/>
                <w:sz w:val="20"/>
                <w:szCs w:val="20"/>
              </w:rPr>
            </w:pPr>
            <w:r>
              <w:rPr>
                <w:color w:val="000000"/>
                <w:sz w:val="20"/>
                <w:szCs w:val="20"/>
              </w:rPr>
              <w:t>2025</w:t>
            </w:r>
          </w:p>
        </w:tc>
        <w:tc>
          <w:tcPr>
            <w:tcW w:w="1546" w:type="pct"/>
            <w:shd w:val="clear" w:color="auto" w:fill="auto"/>
            <w:vAlign w:val="center"/>
          </w:tcPr>
          <w:p w14:paraId="04238DB8">
            <w:pPr>
              <w:spacing w:after="0" w:line="240" w:lineRule="auto"/>
              <w:ind w:firstLine="0"/>
              <w:contextualSpacing/>
              <w:jc w:val="center"/>
              <w:rPr>
                <w:color w:val="000000"/>
                <w:sz w:val="20"/>
                <w:szCs w:val="20"/>
              </w:rPr>
            </w:pPr>
            <w:r>
              <w:rPr>
                <w:color w:val="000000"/>
                <w:sz w:val="20"/>
                <w:szCs w:val="20"/>
              </w:rPr>
              <w:t>555,40</w:t>
            </w:r>
          </w:p>
        </w:tc>
        <w:tc>
          <w:tcPr>
            <w:tcW w:w="1597" w:type="pct"/>
            <w:shd w:val="clear" w:color="auto" w:fill="auto"/>
            <w:vAlign w:val="center"/>
          </w:tcPr>
          <w:p w14:paraId="0021DE5B">
            <w:pPr>
              <w:spacing w:after="0" w:line="240" w:lineRule="auto"/>
              <w:ind w:firstLine="0"/>
              <w:contextualSpacing/>
              <w:jc w:val="center"/>
              <w:rPr>
                <w:color w:val="000000"/>
                <w:sz w:val="20"/>
                <w:szCs w:val="20"/>
              </w:rPr>
            </w:pPr>
            <w:r>
              <w:rPr>
                <w:color w:val="000000"/>
                <w:sz w:val="20"/>
                <w:szCs w:val="20"/>
              </w:rPr>
              <w:t>587,04</w:t>
            </w:r>
          </w:p>
        </w:tc>
      </w:tr>
      <w:tr w14:paraId="206A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00180B8">
            <w:pPr>
              <w:spacing w:after="0" w:line="240" w:lineRule="auto"/>
              <w:ind w:firstLine="0"/>
              <w:contextualSpacing/>
              <w:jc w:val="center"/>
              <w:rPr>
                <w:color w:val="000000"/>
                <w:sz w:val="20"/>
                <w:szCs w:val="20"/>
              </w:rPr>
            </w:pPr>
            <w:r>
              <w:rPr>
                <w:color w:val="000000"/>
                <w:sz w:val="20"/>
                <w:szCs w:val="20"/>
              </w:rPr>
              <w:t>2026</w:t>
            </w:r>
          </w:p>
        </w:tc>
        <w:tc>
          <w:tcPr>
            <w:tcW w:w="1546" w:type="pct"/>
            <w:shd w:val="clear" w:color="auto" w:fill="auto"/>
            <w:vAlign w:val="center"/>
          </w:tcPr>
          <w:p w14:paraId="7008D124">
            <w:pPr>
              <w:spacing w:after="0" w:line="240" w:lineRule="auto"/>
              <w:ind w:firstLine="0"/>
              <w:contextualSpacing/>
              <w:jc w:val="center"/>
              <w:rPr>
                <w:color w:val="000000"/>
                <w:sz w:val="20"/>
                <w:szCs w:val="20"/>
              </w:rPr>
            </w:pPr>
            <w:r>
              <w:rPr>
                <w:color w:val="000000"/>
                <w:sz w:val="20"/>
                <w:szCs w:val="20"/>
              </w:rPr>
              <w:t>587,04</w:t>
            </w:r>
          </w:p>
        </w:tc>
        <w:tc>
          <w:tcPr>
            <w:tcW w:w="1597" w:type="pct"/>
            <w:shd w:val="clear" w:color="auto" w:fill="auto"/>
            <w:vAlign w:val="center"/>
          </w:tcPr>
          <w:p w14:paraId="7C901482">
            <w:pPr>
              <w:spacing w:after="0" w:line="240" w:lineRule="auto"/>
              <w:ind w:firstLine="0"/>
              <w:contextualSpacing/>
              <w:jc w:val="center"/>
              <w:rPr>
                <w:color w:val="000000"/>
                <w:sz w:val="20"/>
                <w:szCs w:val="20"/>
              </w:rPr>
            </w:pPr>
            <w:r>
              <w:rPr>
                <w:color w:val="000000"/>
                <w:sz w:val="20"/>
                <w:szCs w:val="20"/>
              </w:rPr>
              <w:t>610,50</w:t>
            </w:r>
          </w:p>
        </w:tc>
      </w:tr>
      <w:tr w14:paraId="1335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7" w:type="pct"/>
            <w:shd w:val="clear" w:color="auto" w:fill="auto"/>
            <w:vAlign w:val="center"/>
          </w:tcPr>
          <w:p w14:paraId="1A686EF0">
            <w:pPr>
              <w:spacing w:after="0" w:line="240" w:lineRule="auto"/>
              <w:ind w:firstLine="0"/>
              <w:contextualSpacing/>
              <w:jc w:val="center"/>
              <w:rPr>
                <w:color w:val="000000"/>
                <w:sz w:val="20"/>
                <w:szCs w:val="20"/>
              </w:rPr>
            </w:pPr>
            <w:r>
              <w:rPr>
                <w:color w:val="000000"/>
                <w:sz w:val="20"/>
                <w:szCs w:val="20"/>
              </w:rPr>
              <w:t>2027</w:t>
            </w:r>
          </w:p>
        </w:tc>
        <w:tc>
          <w:tcPr>
            <w:tcW w:w="1546" w:type="pct"/>
            <w:shd w:val="clear" w:color="auto" w:fill="auto"/>
            <w:vAlign w:val="center"/>
          </w:tcPr>
          <w:p w14:paraId="7DD056A4">
            <w:pPr>
              <w:spacing w:after="0" w:line="240" w:lineRule="auto"/>
              <w:ind w:firstLine="0"/>
              <w:contextualSpacing/>
              <w:jc w:val="center"/>
              <w:rPr>
                <w:color w:val="000000"/>
                <w:sz w:val="20"/>
                <w:szCs w:val="20"/>
              </w:rPr>
            </w:pPr>
            <w:r>
              <w:rPr>
                <w:color w:val="000000"/>
                <w:sz w:val="20"/>
                <w:szCs w:val="20"/>
              </w:rPr>
              <w:t>610,50</w:t>
            </w:r>
          </w:p>
        </w:tc>
        <w:tc>
          <w:tcPr>
            <w:tcW w:w="1597" w:type="pct"/>
            <w:shd w:val="clear" w:color="auto" w:fill="auto"/>
            <w:vAlign w:val="center"/>
          </w:tcPr>
          <w:p w14:paraId="51B3B9A8">
            <w:pPr>
              <w:spacing w:after="0" w:line="240" w:lineRule="auto"/>
              <w:ind w:firstLine="0"/>
              <w:contextualSpacing/>
              <w:jc w:val="center"/>
              <w:rPr>
                <w:color w:val="000000"/>
                <w:sz w:val="20"/>
                <w:szCs w:val="20"/>
              </w:rPr>
            </w:pPr>
            <w:r>
              <w:rPr>
                <w:color w:val="000000"/>
                <w:sz w:val="20"/>
                <w:szCs w:val="20"/>
              </w:rPr>
              <w:t>634,92</w:t>
            </w:r>
          </w:p>
        </w:tc>
      </w:tr>
    </w:tbl>
    <w:p w14:paraId="6D9903D3">
      <w:pPr>
        <w:tabs>
          <w:tab w:val="left" w:pos="993"/>
          <w:tab w:val="left" w:pos="1134"/>
        </w:tabs>
        <w:spacing w:after="0" w:line="240" w:lineRule="auto"/>
        <w:contextualSpacing/>
        <w:jc w:val="both"/>
        <w:rPr>
          <w:rFonts w:eastAsia="Calibri"/>
          <w:iCs/>
          <w:sz w:val="24"/>
          <w:szCs w:val="24"/>
        </w:rPr>
      </w:pPr>
    </w:p>
    <w:p w14:paraId="0DD64BDB">
      <w:pPr>
        <w:spacing w:after="0" w:line="240" w:lineRule="auto"/>
        <w:contextualSpacing/>
        <w:jc w:val="both"/>
        <w:rPr>
          <w:sz w:val="24"/>
          <w:szCs w:val="24"/>
        </w:rPr>
      </w:pPr>
      <w:r>
        <w:rPr>
          <w:sz w:val="24"/>
          <w:szCs w:val="24"/>
        </w:rPr>
        <w:t xml:space="preserve">Тарифно-балансовая расчетная модель всех котельных </w:t>
      </w:r>
      <w:r>
        <w:rPr>
          <w:bCs/>
          <w:sz w:val="24"/>
          <w:szCs w:val="24"/>
        </w:rPr>
        <w:t>с.п. Верхнеказымский</w:t>
      </w:r>
      <w:r>
        <w:rPr>
          <w:sz w:val="24"/>
          <w:szCs w:val="24"/>
        </w:rPr>
        <w:t xml:space="preserve"> приведена в таблице 71.</w:t>
      </w:r>
    </w:p>
    <w:p w14:paraId="1D59AEE0">
      <w:pPr>
        <w:spacing w:after="0" w:line="240" w:lineRule="auto"/>
        <w:contextualSpacing/>
        <w:jc w:val="both"/>
        <w:rPr>
          <w:sz w:val="24"/>
          <w:szCs w:val="24"/>
        </w:rPr>
      </w:pPr>
    </w:p>
    <w:p w14:paraId="25CB0D73">
      <w:pPr>
        <w:spacing w:after="0" w:line="240" w:lineRule="auto"/>
        <w:contextualSpacing/>
        <w:jc w:val="both"/>
        <w:rPr>
          <w:sz w:val="24"/>
          <w:szCs w:val="24"/>
        </w:rPr>
      </w:pPr>
    </w:p>
    <w:p w14:paraId="71AF0AC4">
      <w:pPr>
        <w:spacing w:after="0" w:line="240" w:lineRule="auto"/>
        <w:contextualSpacing/>
        <w:jc w:val="both"/>
        <w:rPr>
          <w:sz w:val="24"/>
          <w:szCs w:val="24"/>
        </w:rPr>
      </w:pPr>
    </w:p>
    <w:p w14:paraId="56718933">
      <w:pPr>
        <w:pStyle w:val="43"/>
        <w:keepNext/>
        <w:spacing w:before="0" w:after="0" w:line="240" w:lineRule="auto"/>
        <w:contextualSpacing/>
        <w:rPr>
          <w:rFonts w:cs="Times New Roman"/>
          <w:b w:val="0"/>
          <w:sz w:val="24"/>
          <w:szCs w:val="24"/>
        </w:rPr>
        <w:sectPr>
          <w:pgSz w:w="11906" w:h="16838"/>
          <w:pgMar w:top="1134" w:right="567" w:bottom="1134" w:left="1701" w:header="708" w:footer="708" w:gutter="0"/>
          <w:cols w:space="708" w:num="1"/>
          <w:docGrid w:linePitch="360" w:charSpace="0"/>
        </w:sectPr>
      </w:pPr>
    </w:p>
    <w:p w14:paraId="4CCA4346">
      <w:pPr>
        <w:spacing w:after="0" w:line="240" w:lineRule="auto"/>
        <w:ind w:firstLine="0"/>
        <w:contextualSpacing/>
        <w:jc w:val="both"/>
        <w:rPr>
          <w:bCs/>
          <w:sz w:val="24"/>
          <w:szCs w:val="24"/>
        </w:rPr>
      </w:pPr>
      <w:bookmarkStart w:id="781" w:name="_Toc77864734"/>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71</w:t>
      </w:r>
      <w:r>
        <w:rPr>
          <w:sz w:val="24"/>
          <w:szCs w:val="24"/>
        </w:rPr>
        <w:fldChar w:fldCharType="end"/>
      </w:r>
      <w:r>
        <w:rPr>
          <w:sz w:val="24"/>
          <w:szCs w:val="24"/>
        </w:rPr>
        <w:t xml:space="preserve"> – Тарифно-балансовая расчетная модель всех котельных </w:t>
      </w:r>
      <w:r>
        <w:rPr>
          <w:bCs/>
          <w:sz w:val="24"/>
          <w:szCs w:val="24"/>
        </w:rPr>
        <w:t>с.п. Верхнеказымский</w:t>
      </w:r>
    </w:p>
    <w:tbl>
      <w:tblPr>
        <w:tblStyle w:val="12"/>
        <w:tblW w:w="5002"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4"/>
        <w:gridCol w:w="1512"/>
        <w:gridCol w:w="1161"/>
        <w:gridCol w:w="1113"/>
        <w:gridCol w:w="1113"/>
        <w:gridCol w:w="1112"/>
        <w:gridCol w:w="1112"/>
        <w:gridCol w:w="1113"/>
        <w:gridCol w:w="1252"/>
      </w:tblGrid>
      <w:tr w14:paraId="4961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121" w:type="dxa"/>
            <w:shd w:val="clear" w:color="auto" w:fill="auto"/>
            <w:tcMar>
              <w:left w:w="28" w:type="dxa"/>
              <w:right w:w="28" w:type="dxa"/>
            </w:tcMar>
            <w:vAlign w:val="center"/>
          </w:tcPr>
          <w:p w14:paraId="57603275">
            <w:pPr>
              <w:spacing w:after="0" w:line="240" w:lineRule="auto"/>
              <w:ind w:firstLine="0"/>
              <w:jc w:val="center"/>
              <w:rPr>
                <w:color w:val="000000"/>
                <w:sz w:val="20"/>
                <w:szCs w:val="20"/>
              </w:rPr>
            </w:pPr>
            <w:bookmarkStart w:id="782" w:name="_Hlk183080089"/>
            <w:r>
              <w:rPr>
                <w:color w:val="000000"/>
                <w:sz w:val="20"/>
                <w:szCs w:val="20"/>
              </w:rPr>
              <w:t>Наименование источника</w:t>
            </w:r>
          </w:p>
        </w:tc>
        <w:tc>
          <w:tcPr>
            <w:tcW w:w="1505" w:type="dxa"/>
            <w:shd w:val="clear" w:color="auto" w:fill="auto"/>
            <w:tcMar>
              <w:left w:w="28" w:type="dxa"/>
              <w:right w:w="28" w:type="dxa"/>
            </w:tcMar>
            <w:vAlign w:val="center"/>
          </w:tcPr>
          <w:p w14:paraId="5ACB7DF4">
            <w:pPr>
              <w:spacing w:after="0" w:line="240" w:lineRule="auto"/>
              <w:ind w:firstLine="0"/>
              <w:jc w:val="center"/>
              <w:rPr>
                <w:color w:val="000000"/>
                <w:sz w:val="20"/>
                <w:szCs w:val="20"/>
              </w:rPr>
            </w:pPr>
            <w:r>
              <w:rPr>
                <w:color w:val="000000"/>
                <w:sz w:val="20"/>
                <w:szCs w:val="20"/>
              </w:rPr>
              <w:t>Ед. изм.</w:t>
            </w:r>
          </w:p>
        </w:tc>
        <w:tc>
          <w:tcPr>
            <w:tcW w:w="1156" w:type="dxa"/>
            <w:shd w:val="clear" w:color="auto" w:fill="auto"/>
            <w:tcMar>
              <w:left w:w="28" w:type="dxa"/>
              <w:right w:w="28" w:type="dxa"/>
            </w:tcMar>
            <w:vAlign w:val="center"/>
          </w:tcPr>
          <w:p w14:paraId="74CFE0DB">
            <w:pPr>
              <w:spacing w:after="0" w:line="240" w:lineRule="auto"/>
              <w:ind w:firstLine="0"/>
              <w:jc w:val="center"/>
              <w:rPr>
                <w:color w:val="000000"/>
                <w:sz w:val="20"/>
                <w:szCs w:val="20"/>
              </w:rPr>
            </w:pPr>
            <w:r>
              <w:rPr>
                <w:color w:val="000000"/>
                <w:sz w:val="20"/>
                <w:szCs w:val="20"/>
              </w:rPr>
              <w:t>2023</w:t>
            </w:r>
          </w:p>
        </w:tc>
        <w:tc>
          <w:tcPr>
            <w:tcW w:w="1108" w:type="dxa"/>
            <w:shd w:val="clear" w:color="auto" w:fill="auto"/>
            <w:tcMar>
              <w:left w:w="28" w:type="dxa"/>
              <w:right w:w="28" w:type="dxa"/>
            </w:tcMar>
            <w:vAlign w:val="center"/>
          </w:tcPr>
          <w:p w14:paraId="46ED5AFE">
            <w:pPr>
              <w:spacing w:after="0" w:line="240" w:lineRule="auto"/>
              <w:ind w:firstLine="0"/>
              <w:jc w:val="center"/>
              <w:rPr>
                <w:color w:val="000000"/>
                <w:sz w:val="20"/>
                <w:szCs w:val="20"/>
              </w:rPr>
            </w:pPr>
            <w:r>
              <w:rPr>
                <w:color w:val="000000"/>
                <w:sz w:val="20"/>
                <w:szCs w:val="20"/>
              </w:rPr>
              <w:t>2024</w:t>
            </w:r>
          </w:p>
        </w:tc>
        <w:tc>
          <w:tcPr>
            <w:tcW w:w="1108" w:type="dxa"/>
            <w:shd w:val="clear" w:color="auto" w:fill="auto"/>
            <w:tcMar>
              <w:left w:w="28" w:type="dxa"/>
              <w:right w:w="28" w:type="dxa"/>
            </w:tcMar>
            <w:vAlign w:val="center"/>
          </w:tcPr>
          <w:p w14:paraId="35B291C1">
            <w:pPr>
              <w:spacing w:after="0" w:line="240" w:lineRule="auto"/>
              <w:ind w:firstLine="0"/>
              <w:jc w:val="center"/>
              <w:rPr>
                <w:color w:val="000000"/>
                <w:sz w:val="20"/>
                <w:szCs w:val="20"/>
              </w:rPr>
            </w:pPr>
            <w:r>
              <w:rPr>
                <w:color w:val="000000"/>
                <w:sz w:val="20"/>
                <w:szCs w:val="20"/>
              </w:rPr>
              <w:t>2025</w:t>
            </w:r>
          </w:p>
        </w:tc>
        <w:tc>
          <w:tcPr>
            <w:tcW w:w="1107" w:type="dxa"/>
            <w:shd w:val="clear" w:color="auto" w:fill="auto"/>
            <w:tcMar>
              <w:left w:w="28" w:type="dxa"/>
              <w:right w:w="28" w:type="dxa"/>
            </w:tcMar>
            <w:vAlign w:val="center"/>
          </w:tcPr>
          <w:p w14:paraId="0BB9140F">
            <w:pPr>
              <w:spacing w:after="0" w:line="240" w:lineRule="auto"/>
              <w:ind w:firstLine="0"/>
              <w:jc w:val="center"/>
              <w:rPr>
                <w:color w:val="000000"/>
                <w:sz w:val="20"/>
                <w:szCs w:val="20"/>
              </w:rPr>
            </w:pPr>
            <w:r>
              <w:rPr>
                <w:color w:val="000000"/>
                <w:sz w:val="20"/>
                <w:szCs w:val="20"/>
              </w:rPr>
              <w:t>2026</w:t>
            </w:r>
          </w:p>
        </w:tc>
        <w:tc>
          <w:tcPr>
            <w:tcW w:w="1107" w:type="dxa"/>
            <w:shd w:val="clear" w:color="auto" w:fill="auto"/>
            <w:tcMar>
              <w:left w:w="28" w:type="dxa"/>
              <w:right w:w="28" w:type="dxa"/>
            </w:tcMar>
            <w:vAlign w:val="center"/>
          </w:tcPr>
          <w:p w14:paraId="44879206">
            <w:pPr>
              <w:spacing w:after="0" w:line="240" w:lineRule="auto"/>
              <w:ind w:firstLine="0"/>
              <w:jc w:val="center"/>
              <w:rPr>
                <w:color w:val="000000"/>
                <w:sz w:val="20"/>
                <w:szCs w:val="20"/>
              </w:rPr>
            </w:pPr>
            <w:r>
              <w:rPr>
                <w:color w:val="000000"/>
                <w:sz w:val="20"/>
                <w:szCs w:val="20"/>
              </w:rPr>
              <w:t>2027</w:t>
            </w:r>
          </w:p>
        </w:tc>
        <w:tc>
          <w:tcPr>
            <w:tcW w:w="1108" w:type="dxa"/>
            <w:shd w:val="clear" w:color="auto" w:fill="auto"/>
            <w:tcMar>
              <w:left w:w="28" w:type="dxa"/>
              <w:right w:w="28" w:type="dxa"/>
            </w:tcMar>
            <w:vAlign w:val="center"/>
          </w:tcPr>
          <w:p w14:paraId="5ED6B152">
            <w:pPr>
              <w:spacing w:after="0" w:line="240" w:lineRule="auto"/>
              <w:ind w:firstLine="0"/>
              <w:jc w:val="center"/>
              <w:rPr>
                <w:color w:val="000000"/>
                <w:sz w:val="20"/>
                <w:szCs w:val="20"/>
              </w:rPr>
            </w:pPr>
            <w:r>
              <w:rPr>
                <w:color w:val="000000"/>
                <w:sz w:val="20"/>
                <w:szCs w:val="20"/>
              </w:rPr>
              <w:t>2028</w:t>
            </w:r>
          </w:p>
        </w:tc>
        <w:tc>
          <w:tcPr>
            <w:tcW w:w="1246" w:type="dxa"/>
            <w:shd w:val="clear" w:color="auto" w:fill="auto"/>
            <w:tcMar>
              <w:left w:w="28" w:type="dxa"/>
              <w:right w:w="28" w:type="dxa"/>
            </w:tcMar>
            <w:vAlign w:val="center"/>
          </w:tcPr>
          <w:p w14:paraId="0F3EDBF5">
            <w:pPr>
              <w:spacing w:after="0" w:line="240" w:lineRule="auto"/>
              <w:ind w:firstLine="0"/>
              <w:jc w:val="center"/>
              <w:rPr>
                <w:color w:val="000000"/>
                <w:sz w:val="20"/>
                <w:szCs w:val="20"/>
              </w:rPr>
            </w:pPr>
            <w:r>
              <w:rPr>
                <w:color w:val="000000"/>
                <w:sz w:val="20"/>
                <w:szCs w:val="20"/>
              </w:rPr>
              <w:t>2029</w:t>
            </w:r>
          </w:p>
        </w:tc>
      </w:tr>
      <w:tr w14:paraId="0334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6A1D3C4E">
            <w:pPr>
              <w:spacing w:after="0" w:line="240" w:lineRule="auto"/>
              <w:ind w:firstLine="0"/>
              <w:jc w:val="center"/>
              <w:rPr>
                <w:color w:val="000000"/>
                <w:sz w:val="20"/>
                <w:szCs w:val="20"/>
              </w:rPr>
            </w:pPr>
            <w:r>
              <w:rPr>
                <w:color w:val="000000"/>
                <w:sz w:val="20"/>
                <w:szCs w:val="20"/>
              </w:rPr>
              <w:t>Котельная №2 МУП «БКС»</w:t>
            </w:r>
          </w:p>
        </w:tc>
        <w:tc>
          <w:tcPr>
            <w:tcW w:w="1505" w:type="dxa"/>
            <w:shd w:val="clear" w:color="auto" w:fill="auto"/>
            <w:tcMar>
              <w:left w:w="28" w:type="dxa"/>
              <w:right w:w="28" w:type="dxa"/>
            </w:tcMar>
            <w:vAlign w:val="center"/>
          </w:tcPr>
          <w:p w14:paraId="6B65D70A">
            <w:pPr>
              <w:spacing w:after="0" w:line="240" w:lineRule="auto"/>
              <w:ind w:firstLine="0"/>
              <w:jc w:val="center"/>
              <w:rPr>
                <w:color w:val="000000"/>
                <w:sz w:val="20"/>
                <w:szCs w:val="20"/>
              </w:rPr>
            </w:pPr>
            <w:r>
              <w:rPr>
                <w:color w:val="000000"/>
                <w:sz w:val="20"/>
                <w:szCs w:val="20"/>
              </w:rPr>
              <w:t> </w:t>
            </w:r>
          </w:p>
        </w:tc>
        <w:tc>
          <w:tcPr>
            <w:tcW w:w="1156" w:type="dxa"/>
            <w:shd w:val="clear" w:color="auto" w:fill="auto"/>
            <w:noWrap/>
            <w:tcMar>
              <w:left w:w="28" w:type="dxa"/>
              <w:right w:w="28" w:type="dxa"/>
            </w:tcMar>
            <w:vAlign w:val="center"/>
          </w:tcPr>
          <w:p w14:paraId="5F58B50C">
            <w:pPr>
              <w:spacing w:after="0" w:line="240" w:lineRule="auto"/>
              <w:ind w:firstLine="0"/>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45E50118">
            <w:pPr>
              <w:spacing w:after="0" w:line="240" w:lineRule="auto"/>
              <w:ind w:firstLine="0"/>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33E36683">
            <w:pPr>
              <w:spacing w:after="0" w:line="240" w:lineRule="auto"/>
              <w:ind w:firstLine="0"/>
              <w:rPr>
                <w:color w:val="000000"/>
                <w:sz w:val="20"/>
                <w:szCs w:val="20"/>
              </w:rPr>
            </w:pPr>
            <w:r>
              <w:rPr>
                <w:color w:val="000000"/>
                <w:sz w:val="20"/>
                <w:szCs w:val="20"/>
              </w:rPr>
              <w:t> </w:t>
            </w:r>
          </w:p>
        </w:tc>
        <w:tc>
          <w:tcPr>
            <w:tcW w:w="1107" w:type="dxa"/>
            <w:shd w:val="clear" w:color="auto" w:fill="auto"/>
            <w:noWrap/>
            <w:tcMar>
              <w:left w:w="28" w:type="dxa"/>
              <w:right w:w="28" w:type="dxa"/>
            </w:tcMar>
            <w:vAlign w:val="center"/>
          </w:tcPr>
          <w:p w14:paraId="7044BF6D">
            <w:pPr>
              <w:spacing w:after="0" w:line="240" w:lineRule="auto"/>
              <w:ind w:firstLine="0"/>
              <w:rPr>
                <w:color w:val="000000"/>
                <w:sz w:val="20"/>
                <w:szCs w:val="20"/>
              </w:rPr>
            </w:pPr>
            <w:r>
              <w:rPr>
                <w:color w:val="000000"/>
                <w:sz w:val="20"/>
                <w:szCs w:val="20"/>
              </w:rPr>
              <w:t> </w:t>
            </w:r>
          </w:p>
        </w:tc>
        <w:tc>
          <w:tcPr>
            <w:tcW w:w="1107" w:type="dxa"/>
            <w:shd w:val="clear" w:color="auto" w:fill="auto"/>
            <w:noWrap/>
            <w:tcMar>
              <w:left w:w="28" w:type="dxa"/>
              <w:right w:w="28" w:type="dxa"/>
            </w:tcMar>
            <w:vAlign w:val="center"/>
          </w:tcPr>
          <w:p w14:paraId="36687652">
            <w:pPr>
              <w:spacing w:after="0" w:line="240" w:lineRule="auto"/>
              <w:ind w:firstLine="0"/>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6444544C">
            <w:pPr>
              <w:spacing w:after="0" w:line="240" w:lineRule="auto"/>
              <w:ind w:firstLine="0"/>
              <w:rPr>
                <w:color w:val="000000"/>
                <w:sz w:val="20"/>
                <w:szCs w:val="20"/>
              </w:rPr>
            </w:pPr>
            <w:r>
              <w:rPr>
                <w:color w:val="000000"/>
                <w:sz w:val="20"/>
                <w:szCs w:val="20"/>
              </w:rPr>
              <w:t> </w:t>
            </w:r>
          </w:p>
        </w:tc>
        <w:tc>
          <w:tcPr>
            <w:tcW w:w="1246" w:type="dxa"/>
            <w:shd w:val="clear" w:color="auto" w:fill="auto"/>
            <w:noWrap/>
            <w:tcMar>
              <w:left w:w="28" w:type="dxa"/>
              <w:right w:w="28" w:type="dxa"/>
            </w:tcMar>
            <w:vAlign w:val="center"/>
          </w:tcPr>
          <w:p w14:paraId="0B41FE31">
            <w:pPr>
              <w:spacing w:after="0" w:line="240" w:lineRule="auto"/>
              <w:ind w:firstLine="0"/>
              <w:rPr>
                <w:color w:val="000000"/>
                <w:sz w:val="20"/>
                <w:szCs w:val="20"/>
              </w:rPr>
            </w:pPr>
            <w:r>
              <w:rPr>
                <w:color w:val="000000"/>
                <w:sz w:val="20"/>
                <w:szCs w:val="20"/>
              </w:rPr>
              <w:t> </w:t>
            </w:r>
          </w:p>
        </w:tc>
      </w:tr>
      <w:tr w14:paraId="4AF4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1DFE558F">
            <w:pPr>
              <w:spacing w:after="0" w:line="240" w:lineRule="auto"/>
              <w:ind w:firstLine="0"/>
              <w:rPr>
                <w:color w:val="000000"/>
                <w:sz w:val="20"/>
                <w:szCs w:val="20"/>
              </w:rPr>
            </w:pPr>
            <w:r>
              <w:rPr>
                <w:color w:val="000000"/>
                <w:sz w:val="20"/>
                <w:szCs w:val="20"/>
              </w:rPr>
              <w:t>Установленная мощность</w:t>
            </w:r>
          </w:p>
        </w:tc>
        <w:tc>
          <w:tcPr>
            <w:tcW w:w="1505" w:type="dxa"/>
            <w:shd w:val="clear" w:color="auto" w:fill="auto"/>
            <w:tcMar>
              <w:left w:w="28" w:type="dxa"/>
              <w:right w:w="28" w:type="dxa"/>
            </w:tcMar>
            <w:vAlign w:val="center"/>
          </w:tcPr>
          <w:p w14:paraId="18E01CB4">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12702197">
            <w:pPr>
              <w:spacing w:after="0" w:line="240" w:lineRule="auto"/>
              <w:ind w:firstLine="0"/>
              <w:jc w:val="center"/>
              <w:rPr>
                <w:color w:val="000000"/>
                <w:sz w:val="20"/>
                <w:szCs w:val="20"/>
              </w:rPr>
            </w:pPr>
            <w:r>
              <w:rPr>
                <w:color w:val="000000"/>
                <w:sz w:val="20"/>
                <w:szCs w:val="20"/>
              </w:rPr>
              <w:t>6,02</w:t>
            </w:r>
          </w:p>
        </w:tc>
        <w:tc>
          <w:tcPr>
            <w:tcW w:w="1108" w:type="dxa"/>
            <w:shd w:val="clear" w:color="auto" w:fill="auto"/>
            <w:noWrap/>
            <w:tcMar>
              <w:left w:w="28" w:type="dxa"/>
              <w:right w:w="28" w:type="dxa"/>
            </w:tcMar>
            <w:vAlign w:val="center"/>
          </w:tcPr>
          <w:p w14:paraId="4B07CAF6">
            <w:pPr>
              <w:spacing w:after="0" w:line="240" w:lineRule="auto"/>
              <w:ind w:firstLine="0"/>
              <w:jc w:val="center"/>
              <w:rPr>
                <w:color w:val="000000"/>
                <w:sz w:val="20"/>
                <w:szCs w:val="20"/>
              </w:rPr>
            </w:pPr>
            <w:r>
              <w:rPr>
                <w:color w:val="000000"/>
                <w:sz w:val="20"/>
                <w:szCs w:val="20"/>
              </w:rPr>
              <w:t>6,02</w:t>
            </w:r>
          </w:p>
        </w:tc>
        <w:tc>
          <w:tcPr>
            <w:tcW w:w="1108" w:type="dxa"/>
            <w:shd w:val="clear" w:color="auto" w:fill="auto"/>
            <w:noWrap/>
            <w:tcMar>
              <w:left w:w="28" w:type="dxa"/>
              <w:right w:w="28" w:type="dxa"/>
            </w:tcMar>
            <w:vAlign w:val="center"/>
          </w:tcPr>
          <w:p w14:paraId="27782335">
            <w:pPr>
              <w:spacing w:after="0" w:line="240" w:lineRule="auto"/>
              <w:ind w:firstLine="0"/>
              <w:jc w:val="center"/>
              <w:rPr>
                <w:color w:val="000000"/>
                <w:sz w:val="20"/>
                <w:szCs w:val="20"/>
              </w:rPr>
            </w:pPr>
            <w:r>
              <w:rPr>
                <w:color w:val="000000"/>
                <w:sz w:val="20"/>
                <w:szCs w:val="20"/>
              </w:rPr>
              <w:t>6,02</w:t>
            </w:r>
          </w:p>
        </w:tc>
        <w:tc>
          <w:tcPr>
            <w:tcW w:w="1107" w:type="dxa"/>
            <w:shd w:val="clear" w:color="auto" w:fill="auto"/>
            <w:noWrap/>
            <w:tcMar>
              <w:left w:w="28" w:type="dxa"/>
              <w:right w:w="28" w:type="dxa"/>
            </w:tcMar>
            <w:vAlign w:val="center"/>
          </w:tcPr>
          <w:p w14:paraId="3C724E69">
            <w:pPr>
              <w:spacing w:after="0" w:line="240" w:lineRule="auto"/>
              <w:ind w:firstLine="0"/>
              <w:jc w:val="center"/>
              <w:rPr>
                <w:color w:val="000000"/>
                <w:sz w:val="20"/>
                <w:szCs w:val="20"/>
              </w:rPr>
            </w:pPr>
            <w:r>
              <w:rPr>
                <w:color w:val="000000"/>
                <w:sz w:val="20"/>
                <w:szCs w:val="20"/>
              </w:rPr>
              <w:t>6,02</w:t>
            </w:r>
          </w:p>
        </w:tc>
        <w:tc>
          <w:tcPr>
            <w:tcW w:w="1107" w:type="dxa"/>
            <w:shd w:val="clear" w:color="auto" w:fill="auto"/>
            <w:noWrap/>
            <w:tcMar>
              <w:left w:w="28" w:type="dxa"/>
              <w:right w:w="28" w:type="dxa"/>
            </w:tcMar>
            <w:vAlign w:val="center"/>
          </w:tcPr>
          <w:p w14:paraId="018441AD">
            <w:pPr>
              <w:spacing w:after="0" w:line="240" w:lineRule="auto"/>
              <w:ind w:firstLine="0"/>
              <w:jc w:val="center"/>
              <w:rPr>
                <w:color w:val="000000"/>
                <w:sz w:val="20"/>
                <w:szCs w:val="20"/>
              </w:rPr>
            </w:pPr>
            <w:r>
              <w:rPr>
                <w:color w:val="000000"/>
                <w:sz w:val="20"/>
                <w:szCs w:val="20"/>
              </w:rPr>
              <w:t>6,02</w:t>
            </w:r>
          </w:p>
        </w:tc>
        <w:tc>
          <w:tcPr>
            <w:tcW w:w="1108" w:type="dxa"/>
            <w:shd w:val="clear" w:color="auto" w:fill="auto"/>
            <w:noWrap/>
            <w:tcMar>
              <w:left w:w="28" w:type="dxa"/>
              <w:right w:w="28" w:type="dxa"/>
            </w:tcMar>
            <w:vAlign w:val="center"/>
          </w:tcPr>
          <w:p w14:paraId="718E3E89">
            <w:pPr>
              <w:spacing w:after="0" w:line="240" w:lineRule="auto"/>
              <w:ind w:firstLine="0"/>
              <w:jc w:val="center"/>
              <w:rPr>
                <w:color w:val="000000"/>
                <w:sz w:val="20"/>
                <w:szCs w:val="20"/>
              </w:rPr>
            </w:pPr>
            <w:r>
              <w:rPr>
                <w:color w:val="000000"/>
                <w:sz w:val="20"/>
                <w:szCs w:val="20"/>
              </w:rPr>
              <w:t>6,02</w:t>
            </w:r>
          </w:p>
        </w:tc>
        <w:tc>
          <w:tcPr>
            <w:tcW w:w="1246" w:type="dxa"/>
            <w:shd w:val="clear" w:color="auto" w:fill="auto"/>
            <w:noWrap/>
            <w:tcMar>
              <w:left w:w="28" w:type="dxa"/>
              <w:right w:w="28" w:type="dxa"/>
            </w:tcMar>
            <w:vAlign w:val="center"/>
          </w:tcPr>
          <w:p w14:paraId="3CFD4922">
            <w:pPr>
              <w:spacing w:after="0" w:line="240" w:lineRule="auto"/>
              <w:ind w:firstLine="0"/>
              <w:jc w:val="center"/>
              <w:rPr>
                <w:color w:val="000000"/>
                <w:sz w:val="20"/>
                <w:szCs w:val="20"/>
              </w:rPr>
            </w:pPr>
            <w:r>
              <w:rPr>
                <w:color w:val="000000"/>
                <w:sz w:val="20"/>
                <w:szCs w:val="20"/>
              </w:rPr>
              <w:t>6,02</w:t>
            </w:r>
          </w:p>
        </w:tc>
      </w:tr>
      <w:tr w14:paraId="4BA8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5500D0D8">
            <w:pPr>
              <w:spacing w:after="0" w:line="240" w:lineRule="auto"/>
              <w:ind w:firstLine="0"/>
              <w:rPr>
                <w:color w:val="000000"/>
                <w:sz w:val="20"/>
                <w:szCs w:val="20"/>
              </w:rPr>
            </w:pPr>
            <w:r>
              <w:rPr>
                <w:color w:val="000000"/>
                <w:sz w:val="20"/>
                <w:szCs w:val="20"/>
              </w:rPr>
              <w:t>Ограничение тепловой мощности</w:t>
            </w:r>
          </w:p>
        </w:tc>
        <w:tc>
          <w:tcPr>
            <w:tcW w:w="1505" w:type="dxa"/>
            <w:shd w:val="clear" w:color="auto" w:fill="auto"/>
            <w:tcMar>
              <w:left w:w="28" w:type="dxa"/>
              <w:right w:w="28" w:type="dxa"/>
            </w:tcMar>
            <w:vAlign w:val="center"/>
          </w:tcPr>
          <w:p w14:paraId="6E9B5B69">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CA1D82E">
            <w:pPr>
              <w:spacing w:after="0" w:line="240" w:lineRule="auto"/>
              <w:ind w:firstLine="0"/>
              <w:jc w:val="center"/>
              <w:rPr>
                <w:color w:val="000000"/>
                <w:sz w:val="20"/>
                <w:szCs w:val="20"/>
              </w:rPr>
            </w:pPr>
            <w:r>
              <w:rPr>
                <w:color w:val="000000"/>
                <w:sz w:val="20"/>
                <w:szCs w:val="20"/>
              </w:rPr>
              <w:t>0,08</w:t>
            </w:r>
          </w:p>
        </w:tc>
        <w:tc>
          <w:tcPr>
            <w:tcW w:w="1108" w:type="dxa"/>
            <w:shd w:val="clear" w:color="auto" w:fill="auto"/>
            <w:noWrap/>
            <w:tcMar>
              <w:left w:w="28" w:type="dxa"/>
              <w:right w:w="28" w:type="dxa"/>
            </w:tcMar>
            <w:vAlign w:val="center"/>
          </w:tcPr>
          <w:p w14:paraId="1D0EEC9E">
            <w:pPr>
              <w:spacing w:after="0" w:line="240" w:lineRule="auto"/>
              <w:ind w:firstLine="0"/>
              <w:jc w:val="center"/>
              <w:rPr>
                <w:color w:val="000000"/>
                <w:sz w:val="20"/>
                <w:szCs w:val="20"/>
              </w:rPr>
            </w:pPr>
            <w:r>
              <w:rPr>
                <w:color w:val="000000"/>
                <w:sz w:val="20"/>
                <w:szCs w:val="20"/>
              </w:rPr>
              <w:t>0,08</w:t>
            </w:r>
          </w:p>
        </w:tc>
        <w:tc>
          <w:tcPr>
            <w:tcW w:w="1108" w:type="dxa"/>
            <w:shd w:val="clear" w:color="auto" w:fill="auto"/>
            <w:noWrap/>
            <w:tcMar>
              <w:left w:w="28" w:type="dxa"/>
              <w:right w:w="28" w:type="dxa"/>
            </w:tcMar>
            <w:vAlign w:val="center"/>
          </w:tcPr>
          <w:p w14:paraId="6AF87543">
            <w:pPr>
              <w:spacing w:after="0" w:line="240" w:lineRule="auto"/>
              <w:ind w:firstLine="0"/>
              <w:jc w:val="center"/>
              <w:rPr>
                <w:color w:val="000000"/>
                <w:sz w:val="20"/>
                <w:szCs w:val="20"/>
              </w:rPr>
            </w:pPr>
            <w:r>
              <w:rPr>
                <w:color w:val="000000"/>
                <w:sz w:val="20"/>
                <w:szCs w:val="20"/>
              </w:rPr>
              <w:t>0,08</w:t>
            </w:r>
          </w:p>
        </w:tc>
        <w:tc>
          <w:tcPr>
            <w:tcW w:w="1107" w:type="dxa"/>
            <w:shd w:val="clear" w:color="auto" w:fill="auto"/>
            <w:noWrap/>
            <w:tcMar>
              <w:left w:w="28" w:type="dxa"/>
              <w:right w:w="28" w:type="dxa"/>
            </w:tcMar>
            <w:vAlign w:val="center"/>
          </w:tcPr>
          <w:p w14:paraId="41D879FE">
            <w:pPr>
              <w:spacing w:after="0" w:line="240" w:lineRule="auto"/>
              <w:ind w:firstLine="0"/>
              <w:jc w:val="center"/>
              <w:rPr>
                <w:color w:val="000000"/>
                <w:sz w:val="20"/>
                <w:szCs w:val="20"/>
              </w:rPr>
            </w:pPr>
            <w:r>
              <w:rPr>
                <w:color w:val="000000"/>
                <w:sz w:val="20"/>
                <w:szCs w:val="20"/>
              </w:rPr>
              <w:t>0,08</w:t>
            </w:r>
          </w:p>
        </w:tc>
        <w:tc>
          <w:tcPr>
            <w:tcW w:w="1107" w:type="dxa"/>
            <w:shd w:val="clear" w:color="auto" w:fill="auto"/>
            <w:noWrap/>
            <w:tcMar>
              <w:left w:w="28" w:type="dxa"/>
              <w:right w:w="28" w:type="dxa"/>
            </w:tcMar>
            <w:vAlign w:val="center"/>
          </w:tcPr>
          <w:p w14:paraId="1D55BB6F">
            <w:pPr>
              <w:spacing w:after="0" w:line="240" w:lineRule="auto"/>
              <w:ind w:firstLine="0"/>
              <w:jc w:val="center"/>
              <w:rPr>
                <w:color w:val="000000"/>
                <w:sz w:val="20"/>
                <w:szCs w:val="20"/>
              </w:rPr>
            </w:pPr>
            <w:r>
              <w:rPr>
                <w:color w:val="000000"/>
                <w:sz w:val="20"/>
                <w:szCs w:val="20"/>
              </w:rPr>
              <w:t>0,08</w:t>
            </w:r>
          </w:p>
        </w:tc>
        <w:tc>
          <w:tcPr>
            <w:tcW w:w="1108" w:type="dxa"/>
            <w:shd w:val="clear" w:color="auto" w:fill="auto"/>
            <w:noWrap/>
            <w:tcMar>
              <w:left w:w="28" w:type="dxa"/>
              <w:right w:w="28" w:type="dxa"/>
            </w:tcMar>
            <w:vAlign w:val="center"/>
          </w:tcPr>
          <w:p w14:paraId="74251341">
            <w:pPr>
              <w:spacing w:after="0" w:line="240" w:lineRule="auto"/>
              <w:ind w:firstLine="0"/>
              <w:jc w:val="center"/>
              <w:rPr>
                <w:color w:val="000000"/>
                <w:sz w:val="20"/>
                <w:szCs w:val="20"/>
              </w:rPr>
            </w:pPr>
            <w:r>
              <w:rPr>
                <w:color w:val="000000"/>
                <w:sz w:val="20"/>
                <w:szCs w:val="20"/>
              </w:rPr>
              <w:t>0,08</w:t>
            </w:r>
          </w:p>
        </w:tc>
        <w:tc>
          <w:tcPr>
            <w:tcW w:w="1246" w:type="dxa"/>
            <w:shd w:val="clear" w:color="auto" w:fill="auto"/>
            <w:noWrap/>
            <w:tcMar>
              <w:left w:w="28" w:type="dxa"/>
              <w:right w:w="28" w:type="dxa"/>
            </w:tcMar>
            <w:vAlign w:val="center"/>
          </w:tcPr>
          <w:p w14:paraId="4D80D1BF">
            <w:pPr>
              <w:spacing w:after="0" w:line="240" w:lineRule="auto"/>
              <w:ind w:firstLine="0"/>
              <w:jc w:val="center"/>
              <w:rPr>
                <w:color w:val="000000"/>
                <w:sz w:val="20"/>
                <w:szCs w:val="20"/>
              </w:rPr>
            </w:pPr>
            <w:r>
              <w:rPr>
                <w:color w:val="000000"/>
                <w:sz w:val="20"/>
                <w:szCs w:val="20"/>
              </w:rPr>
              <w:t>0,08</w:t>
            </w:r>
          </w:p>
        </w:tc>
      </w:tr>
      <w:tr w14:paraId="5ADF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4A079AB6">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795B6EF1">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1D8A470F">
            <w:pPr>
              <w:spacing w:after="0" w:line="240" w:lineRule="auto"/>
              <w:ind w:firstLine="0"/>
              <w:jc w:val="center"/>
              <w:rPr>
                <w:color w:val="000000"/>
                <w:sz w:val="20"/>
                <w:szCs w:val="20"/>
              </w:rPr>
            </w:pPr>
            <w:r>
              <w:rPr>
                <w:color w:val="000000"/>
                <w:sz w:val="20"/>
                <w:szCs w:val="20"/>
              </w:rPr>
              <w:t>1,33</w:t>
            </w:r>
          </w:p>
        </w:tc>
        <w:tc>
          <w:tcPr>
            <w:tcW w:w="1108" w:type="dxa"/>
            <w:shd w:val="clear" w:color="auto" w:fill="auto"/>
            <w:noWrap/>
            <w:tcMar>
              <w:left w:w="28" w:type="dxa"/>
              <w:right w:w="28" w:type="dxa"/>
            </w:tcMar>
            <w:vAlign w:val="center"/>
          </w:tcPr>
          <w:p w14:paraId="539FAD72">
            <w:pPr>
              <w:spacing w:after="0" w:line="240" w:lineRule="auto"/>
              <w:ind w:firstLine="0"/>
              <w:jc w:val="center"/>
              <w:rPr>
                <w:color w:val="000000"/>
                <w:sz w:val="20"/>
                <w:szCs w:val="20"/>
              </w:rPr>
            </w:pPr>
            <w:r>
              <w:rPr>
                <w:color w:val="000000"/>
                <w:sz w:val="20"/>
                <w:szCs w:val="20"/>
              </w:rPr>
              <w:t>1,33</w:t>
            </w:r>
          </w:p>
        </w:tc>
        <w:tc>
          <w:tcPr>
            <w:tcW w:w="1108" w:type="dxa"/>
            <w:shd w:val="clear" w:color="auto" w:fill="auto"/>
            <w:noWrap/>
            <w:tcMar>
              <w:left w:w="28" w:type="dxa"/>
              <w:right w:w="28" w:type="dxa"/>
            </w:tcMar>
            <w:vAlign w:val="center"/>
          </w:tcPr>
          <w:p w14:paraId="2D6B71E3">
            <w:pPr>
              <w:spacing w:after="0" w:line="240" w:lineRule="auto"/>
              <w:ind w:firstLine="0"/>
              <w:jc w:val="center"/>
              <w:rPr>
                <w:color w:val="000000"/>
                <w:sz w:val="20"/>
                <w:szCs w:val="20"/>
              </w:rPr>
            </w:pPr>
            <w:r>
              <w:rPr>
                <w:color w:val="000000"/>
                <w:sz w:val="20"/>
                <w:szCs w:val="20"/>
              </w:rPr>
              <w:t>1,33</w:t>
            </w:r>
          </w:p>
        </w:tc>
        <w:tc>
          <w:tcPr>
            <w:tcW w:w="1107" w:type="dxa"/>
            <w:shd w:val="clear" w:color="auto" w:fill="auto"/>
            <w:noWrap/>
            <w:tcMar>
              <w:left w:w="28" w:type="dxa"/>
              <w:right w:w="28" w:type="dxa"/>
            </w:tcMar>
            <w:vAlign w:val="center"/>
          </w:tcPr>
          <w:p w14:paraId="66303987">
            <w:pPr>
              <w:spacing w:after="0" w:line="240" w:lineRule="auto"/>
              <w:ind w:firstLine="0"/>
              <w:jc w:val="center"/>
              <w:rPr>
                <w:color w:val="000000"/>
                <w:sz w:val="20"/>
                <w:szCs w:val="20"/>
              </w:rPr>
            </w:pPr>
            <w:r>
              <w:rPr>
                <w:color w:val="000000"/>
                <w:sz w:val="20"/>
                <w:szCs w:val="20"/>
              </w:rPr>
              <w:t>1,33</w:t>
            </w:r>
          </w:p>
        </w:tc>
        <w:tc>
          <w:tcPr>
            <w:tcW w:w="1107" w:type="dxa"/>
            <w:shd w:val="clear" w:color="auto" w:fill="auto"/>
            <w:noWrap/>
            <w:tcMar>
              <w:left w:w="28" w:type="dxa"/>
              <w:right w:w="28" w:type="dxa"/>
            </w:tcMar>
            <w:vAlign w:val="center"/>
          </w:tcPr>
          <w:p w14:paraId="66F4EAFA">
            <w:pPr>
              <w:spacing w:after="0" w:line="240" w:lineRule="auto"/>
              <w:ind w:firstLine="0"/>
              <w:jc w:val="center"/>
              <w:rPr>
                <w:color w:val="000000"/>
                <w:sz w:val="20"/>
                <w:szCs w:val="20"/>
              </w:rPr>
            </w:pPr>
            <w:r>
              <w:rPr>
                <w:color w:val="000000"/>
                <w:sz w:val="20"/>
                <w:szCs w:val="20"/>
              </w:rPr>
              <w:t>1,33</w:t>
            </w:r>
          </w:p>
        </w:tc>
        <w:tc>
          <w:tcPr>
            <w:tcW w:w="1108" w:type="dxa"/>
            <w:shd w:val="clear" w:color="auto" w:fill="auto"/>
            <w:noWrap/>
            <w:tcMar>
              <w:left w:w="28" w:type="dxa"/>
              <w:right w:w="28" w:type="dxa"/>
            </w:tcMar>
            <w:vAlign w:val="center"/>
          </w:tcPr>
          <w:p w14:paraId="223494B8">
            <w:pPr>
              <w:spacing w:after="0" w:line="240" w:lineRule="auto"/>
              <w:ind w:firstLine="0"/>
              <w:jc w:val="center"/>
              <w:rPr>
                <w:color w:val="000000"/>
                <w:sz w:val="20"/>
                <w:szCs w:val="20"/>
              </w:rPr>
            </w:pPr>
            <w:r>
              <w:rPr>
                <w:color w:val="000000"/>
                <w:sz w:val="20"/>
                <w:szCs w:val="20"/>
              </w:rPr>
              <w:t>1,33</w:t>
            </w:r>
          </w:p>
        </w:tc>
        <w:tc>
          <w:tcPr>
            <w:tcW w:w="1246" w:type="dxa"/>
            <w:shd w:val="clear" w:color="auto" w:fill="auto"/>
            <w:noWrap/>
            <w:tcMar>
              <w:left w:w="28" w:type="dxa"/>
              <w:right w:w="28" w:type="dxa"/>
            </w:tcMar>
            <w:vAlign w:val="center"/>
          </w:tcPr>
          <w:p w14:paraId="796043C7">
            <w:pPr>
              <w:spacing w:after="0" w:line="240" w:lineRule="auto"/>
              <w:ind w:firstLine="0"/>
              <w:jc w:val="center"/>
              <w:rPr>
                <w:color w:val="000000"/>
                <w:sz w:val="20"/>
                <w:szCs w:val="20"/>
              </w:rPr>
            </w:pPr>
            <w:r>
              <w:rPr>
                <w:color w:val="000000"/>
                <w:sz w:val="20"/>
                <w:szCs w:val="20"/>
              </w:rPr>
              <w:t>1,33</w:t>
            </w:r>
          </w:p>
        </w:tc>
      </w:tr>
      <w:tr w14:paraId="04FA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75926AF8">
            <w:pPr>
              <w:spacing w:after="0" w:line="240" w:lineRule="auto"/>
              <w:ind w:firstLine="0"/>
              <w:rPr>
                <w:color w:val="000000"/>
                <w:sz w:val="20"/>
                <w:szCs w:val="20"/>
              </w:rPr>
            </w:pPr>
            <w:r>
              <w:rPr>
                <w:color w:val="000000"/>
                <w:sz w:val="20"/>
                <w:szCs w:val="20"/>
              </w:rPr>
              <w:t>Располагаемая тепловая мощность</w:t>
            </w:r>
          </w:p>
        </w:tc>
        <w:tc>
          <w:tcPr>
            <w:tcW w:w="1505" w:type="dxa"/>
            <w:shd w:val="clear" w:color="auto" w:fill="auto"/>
            <w:tcMar>
              <w:left w:w="28" w:type="dxa"/>
              <w:right w:w="28" w:type="dxa"/>
            </w:tcMar>
            <w:vAlign w:val="center"/>
          </w:tcPr>
          <w:p w14:paraId="40C3E3F7">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1303C931">
            <w:pPr>
              <w:spacing w:after="0" w:line="240" w:lineRule="auto"/>
              <w:ind w:firstLine="0"/>
              <w:jc w:val="center"/>
              <w:rPr>
                <w:color w:val="000000"/>
                <w:sz w:val="20"/>
                <w:szCs w:val="20"/>
              </w:rPr>
            </w:pPr>
            <w:r>
              <w:rPr>
                <w:color w:val="000000"/>
                <w:sz w:val="20"/>
                <w:szCs w:val="20"/>
              </w:rPr>
              <w:t>5,94</w:t>
            </w:r>
          </w:p>
        </w:tc>
        <w:tc>
          <w:tcPr>
            <w:tcW w:w="1108" w:type="dxa"/>
            <w:shd w:val="clear" w:color="auto" w:fill="auto"/>
            <w:noWrap/>
            <w:tcMar>
              <w:left w:w="28" w:type="dxa"/>
              <w:right w:w="28" w:type="dxa"/>
            </w:tcMar>
            <w:vAlign w:val="center"/>
          </w:tcPr>
          <w:p w14:paraId="6BCEB346">
            <w:pPr>
              <w:spacing w:after="0" w:line="240" w:lineRule="auto"/>
              <w:ind w:firstLine="0"/>
              <w:jc w:val="center"/>
              <w:rPr>
                <w:color w:val="000000"/>
                <w:sz w:val="20"/>
                <w:szCs w:val="20"/>
              </w:rPr>
            </w:pPr>
            <w:r>
              <w:rPr>
                <w:color w:val="000000"/>
                <w:sz w:val="20"/>
                <w:szCs w:val="20"/>
              </w:rPr>
              <w:t>5,94</w:t>
            </w:r>
          </w:p>
        </w:tc>
        <w:tc>
          <w:tcPr>
            <w:tcW w:w="1108" w:type="dxa"/>
            <w:shd w:val="clear" w:color="auto" w:fill="auto"/>
            <w:noWrap/>
            <w:tcMar>
              <w:left w:w="28" w:type="dxa"/>
              <w:right w:w="28" w:type="dxa"/>
            </w:tcMar>
            <w:vAlign w:val="center"/>
          </w:tcPr>
          <w:p w14:paraId="03482782">
            <w:pPr>
              <w:spacing w:after="0" w:line="240" w:lineRule="auto"/>
              <w:ind w:firstLine="0"/>
              <w:jc w:val="center"/>
              <w:rPr>
                <w:color w:val="000000"/>
                <w:sz w:val="20"/>
                <w:szCs w:val="20"/>
              </w:rPr>
            </w:pPr>
            <w:r>
              <w:rPr>
                <w:color w:val="000000"/>
                <w:sz w:val="20"/>
                <w:szCs w:val="20"/>
              </w:rPr>
              <w:t>5,94</w:t>
            </w:r>
          </w:p>
        </w:tc>
        <w:tc>
          <w:tcPr>
            <w:tcW w:w="1107" w:type="dxa"/>
            <w:shd w:val="clear" w:color="auto" w:fill="auto"/>
            <w:noWrap/>
            <w:tcMar>
              <w:left w:w="28" w:type="dxa"/>
              <w:right w:w="28" w:type="dxa"/>
            </w:tcMar>
            <w:vAlign w:val="center"/>
          </w:tcPr>
          <w:p w14:paraId="267FF969">
            <w:pPr>
              <w:spacing w:after="0" w:line="240" w:lineRule="auto"/>
              <w:ind w:firstLine="0"/>
              <w:jc w:val="center"/>
              <w:rPr>
                <w:color w:val="000000"/>
                <w:sz w:val="20"/>
                <w:szCs w:val="20"/>
              </w:rPr>
            </w:pPr>
            <w:r>
              <w:rPr>
                <w:color w:val="000000"/>
                <w:sz w:val="20"/>
                <w:szCs w:val="20"/>
              </w:rPr>
              <w:t>5,94</w:t>
            </w:r>
          </w:p>
        </w:tc>
        <w:tc>
          <w:tcPr>
            <w:tcW w:w="1107" w:type="dxa"/>
            <w:shd w:val="clear" w:color="auto" w:fill="auto"/>
            <w:noWrap/>
            <w:tcMar>
              <w:left w:w="28" w:type="dxa"/>
              <w:right w:w="28" w:type="dxa"/>
            </w:tcMar>
            <w:vAlign w:val="center"/>
          </w:tcPr>
          <w:p w14:paraId="1E97108E">
            <w:pPr>
              <w:spacing w:after="0" w:line="240" w:lineRule="auto"/>
              <w:ind w:firstLine="0"/>
              <w:jc w:val="center"/>
              <w:rPr>
                <w:color w:val="000000"/>
                <w:sz w:val="20"/>
                <w:szCs w:val="20"/>
              </w:rPr>
            </w:pPr>
            <w:r>
              <w:rPr>
                <w:color w:val="000000"/>
                <w:sz w:val="20"/>
                <w:szCs w:val="20"/>
              </w:rPr>
              <w:t>5,94</w:t>
            </w:r>
          </w:p>
        </w:tc>
        <w:tc>
          <w:tcPr>
            <w:tcW w:w="1108" w:type="dxa"/>
            <w:shd w:val="clear" w:color="auto" w:fill="auto"/>
            <w:noWrap/>
            <w:tcMar>
              <w:left w:w="28" w:type="dxa"/>
              <w:right w:w="28" w:type="dxa"/>
            </w:tcMar>
            <w:vAlign w:val="center"/>
          </w:tcPr>
          <w:p w14:paraId="648A3936">
            <w:pPr>
              <w:spacing w:after="0" w:line="240" w:lineRule="auto"/>
              <w:ind w:firstLine="0"/>
              <w:jc w:val="center"/>
              <w:rPr>
                <w:color w:val="000000"/>
                <w:sz w:val="20"/>
                <w:szCs w:val="20"/>
              </w:rPr>
            </w:pPr>
            <w:r>
              <w:rPr>
                <w:color w:val="000000"/>
                <w:sz w:val="20"/>
                <w:szCs w:val="20"/>
              </w:rPr>
              <w:t>5,94</w:t>
            </w:r>
          </w:p>
        </w:tc>
        <w:tc>
          <w:tcPr>
            <w:tcW w:w="1246" w:type="dxa"/>
            <w:shd w:val="clear" w:color="auto" w:fill="auto"/>
            <w:noWrap/>
            <w:tcMar>
              <w:left w:w="28" w:type="dxa"/>
              <w:right w:w="28" w:type="dxa"/>
            </w:tcMar>
            <w:vAlign w:val="center"/>
          </w:tcPr>
          <w:p w14:paraId="0D1FA2A3">
            <w:pPr>
              <w:spacing w:after="0" w:line="240" w:lineRule="auto"/>
              <w:ind w:firstLine="0"/>
              <w:jc w:val="center"/>
              <w:rPr>
                <w:color w:val="000000"/>
                <w:sz w:val="20"/>
                <w:szCs w:val="20"/>
              </w:rPr>
            </w:pPr>
            <w:r>
              <w:rPr>
                <w:color w:val="000000"/>
                <w:sz w:val="20"/>
                <w:szCs w:val="20"/>
              </w:rPr>
              <w:t>5,94</w:t>
            </w:r>
          </w:p>
        </w:tc>
      </w:tr>
      <w:tr w14:paraId="71DC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340D2ACB">
            <w:pPr>
              <w:spacing w:after="0" w:line="240" w:lineRule="auto"/>
              <w:ind w:firstLine="0"/>
              <w:rPr>
                <w:color w:val="000000"/>
                <w:sz w:val="20"/>
                <w:szCs w:val="20"/>
              </w:rPr>
            </w:pPr>
            <w:r>
              <w:rPr>
                <w:color w:val="000000"/>
                <w:sz w:val="20"/>
                <w:szCs w:val="20"/>
              </w:rPr>
              <w:t>Собственные и хозяйственные нужды</w:t>
            </w:r>
          </w:p>
        </w:tc>
        <w:tc>
          <w:tcPr>
            <w:tcW w:w="1505" w:type="dxa"/>
            <w:shd w:val="clear" w:color="auto" w:fill="auto"/>
            <w:tcMar>
              <w:left w:w="28" w:type="dxa"/>
              <w:right w:w="28" w:type="dxa"/>
            </w:tcMar>
            <w:vAlign w:val="center"/>
          </w:tcPr>
          <w:p w14:paraId="10A0AD2C">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7E2B052B">
            <w:pPr>
              <w:spacing w:after="0" w:line="240" w:lineRule="auto"/>
              <w:ind w:firstLine="0"/>
              <w:jc w:val="center"/>
              <w:rPr>
                <w:color w:val="000000"/>
                <w:sz w:val="20"/>
                <w:szCs w:val="20"/>
              </w:rPr>
            </w:pPr>
            <w:r>
              <w:rPr>
                <w:color w:val="000000"/>
                <w:sz w:val="20"/>
                <w:szCs w:val="20"/>
              </w:rPr>
              <w:t>0,13</w:t>
            </w:r>
          </w:p>
        </w:tc>
        <w:tc>
          <w:tcPr>
            <w:tcW w:w="1108" w:type="dxa"/>
            <w:shd w:val="clear" w:color="auto" w:fill="auto"/>
            <w:noWrap/>
            <w:tcMar>
              <w:left w:w="28" w:type="dxa"/>
              <w:right w:w="28" w:type="dxa"/>
            </w:tcMar>
            <w:vAlign w:val="center"/>
          </w:tcPr>
          <w:p w14:paraId="5B147B5B">
            <w:pPr>
              <w:spacing w:after="0" w:line="240" w:lineRule="auto"/>
              <w:ind w:firstLine="0"/>
              <w:jc w:val="center"/>
              <w:rPr>
                <w:color w:val="000000"/>
                <w:sz w:val="20"/>
                <w:szCs w:val="20"/>
              </w:rPr>
            </w:pPr>
            <w:r>
              <w:rPr>
                <w:color w:val="000000"/>
                <w:sz w:val="20"/>
                <w:szCs w:val="20"/>
              </w:rPr>
              <w:t>0,13</w:t>
            </w:r>
          </w:p>
        </w:tc>
        <w:tc>
          <w:tcPr>
            <w:tcW w:w="1108" w:type="dxa"/>
            <w:shd w:val="clear" w:color="auto" w:fill="auto"/>
            <w:noWrap/>
            <w:tcMar>
              <w:left w:w="28" w:type="dxa"/>
              <w:right w:w="28" w:type="dxa"/>
            </w:tcMar>
            <w:vAlign w:val="center"/>
          </w:tcPr>
          <w:p w14:paraId="5B507AFA">
            <w:pPr>
              <w:spacing w:after="0" w:line="240" w:lineRule="auto"/>
              <w:ind w:firstLine="0"/>
              <w:jc w:val="center"/>
              <w:rPr>
                <w:color w:val="000000"/>
                <w:sz w:val="20"/>
                <w:szCs w:val="20"/>
              </w:rPr>
            </w:pPr>
            <w:r>
              <w:rPr>
                <w:color w:val="000000"/>
                <w:sz w:val="20"/>
                <w:szCs w:val="20"/>
              </w:rPr>
              <w:t>0,13</w:t>
            </w:r>
          </w:p>
        </w:tc>
        <w:tc>
          <w:tcPr>
            <w:tcW w:w="1107" w:type="dxa"/>
            <w:shd w:val="clear" w:color="auto" w:fill="auto"/>
            <w:noWrap/>
            <w:tcMar>
              <w:left w:w="28" w:type="dxa"/>
              <w:right w:w="28" w:type="dxa"/>
            </w:tcMar>
            <w:vAlign w:val="center"/>
          </w:tcPr>
          <w:p w14:paraId="567E31C6">
            <w:pPr>
              <w:spacing w:after="0" w:line="240" w:lineRule="auto"/>
              <w:ind w:firstLine="0"/>
              <w:jc w:val="center"/>
              <w:rPr>
                <w:color w:val="000000"/>
                <w:sz w:val="20"/>
                <w:szCs w:val="20"/>
              </w:rPr>
            </w:pPr>
            <w:r>
              <w:rPr>
                <w:color w:val="000000"/>
                <w:sz w:val="20"/>
                <w:szCs w:val="20"/>
              </w:rPr>
              <w:t>0,13</w:t>
            </w:r>
          </w:p>
        </w:tc>
        <w:tc>
          <w:tcPr>
            <w:tcW w:w="1107" w:type="dxa"/>
            <w:shd w:val="clear" w:color="auto" w:fill="auto"/>
            <w:noWrap/>
            <w:tcMar>
              <w:left w:w="28" w:type="dxa"/>
              <w:right w:w="28" w:type="dxa"/>
            </w:tcMar>
            <w:vAlign w:val="center"/>
          </w:tcPr>
          <w:p w14:paraId="6FE24E74">
            <w:pPr>
              <w:spacing w:after="0" w:line="240" w:lineRule="auto"/>
              <w:ind w:firstLine="0"/>
              <w:jc w:val="center"/>
              <w:rPr>
                <w:color w:val="000000"/>
                <w:sz w:val="20"/>
                <w:szCs w:val="20"/>
              </w:rPr>
            </w:pPr>
            <w:r>
              <w:rPr>
                <w:color w:val="000000"/>
                <w:sz w:val="20"/>
                <w:szCs w:val="20"/>
              </w:rPr>
              <w:t>0,13</w:t>
            </w:r>
          </w:p>
        </w:tc>
        <w:tc>
          <w:tcPr>
            <w:tcW w:w="1108" w:type="dxa"/>
            <w:shd w:val="clear" w:color="auto" w:fill="auto"/>
            <w:noWrap/>
            <w:tcMar>
              <w:left w:w="28" w:type="dxa"/>
              <w:right w:w="28" w:type="dxa"/>
            </w:tcMar>
            <w:vAlign w:val="center"/>
          </w:tcPr>
          <w:p w14:paraId="54611BA4">
            <w:pPr>
              <w:spacing w:after="0" w:line="240" w:lineRule="auto"/>
              <w:ind w:firstLine="0"/>
              <w:jc w:val="center"/>
              <w:rPr>
                <w:color w:val="000000"/>
                <w:sz w:val="20"/>
                <w:szCs w:val="20"/>
              </w:rPr>
            </w:pPr>
            <w:r>
              <w:rPr>
                <w:color w:val="000000"/>
                <w:sz w:val="20"/>
                <w:szCs w:val="20"/>
              </w:rPr>
              <w:t>0,13</w:t>
            </w:r>
          </w:p>
        </w:tc>
        <w:tc>
          <w:tcPr>
            <w:tcW w:w="1246" w:type="dxa"/>
            <w:shd w:val="clear" w:color="auto" w:fill="auto"/>
            <w:noWrap/>
            <w:tcMar>
              <w:left w:w="28" w:type="dxa"/>
              <w:right w:w="28" w:type="dxa"/>
            </w:tcMar>
            <w:vAlign w:val="center"/>
          </w:tcPr>
          <w:p w14:paraId="752CCFEB">
            <w:pPr>
              <w:spacing w:after="0" w:line="240" w:lineRule="auto"/>
              <w:ind w:firstLine="0"/>
              <w:jc w:val="center"/>
              <w:rPr>
                <w:color w:val="000000"/>
                <w:sz w:val="20"/>
                <w:szCs w:val="20"/>
              </w:rPr>
            </w:pPr>
            <w:r>
              <w:rPr>
                <w:color w:val="000000"/>
                <w:sz w:val="20"/>
                <w:szCs w:val="20"/>
              </w:rPr>
              <w:t>0,13</w:t>
            </w:r>
          </w:p>
        </w:tc>
      </w:tr>
      <w:tr w14:paraId="7DB9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0455A9E0">
            <w:pPr>
              <w:spacing w:after="0" w:line="240" w:lineRule="auto"/>
              <w:ind w:firstLine="0"/>
              <w:rPr>
                <w:color w:val="000000"/>
                <w:sz w:val="20"/>
                <w:szCs w:val="20"/>
              </w:rPr>
            </w:pPr>
            <w:r>
              <w:rPr>
                <w:color w:val="000000"/>
                <w:sz w:val="20"/>
                <w:szCs w:val="20"/>
              </w:rPr>
              <w:t>Тепловая мощность нетто</w:t>
            </w:r>
          </w:p>
        </w:tc>
        <w:tc>
          <w:tcPr>
            <w:tcW w:w="1505" w:type="dxa"/>
            <w:shd w:val="clear" w:color="auto" w:fill="auto"/>
            <w:tcMar>
              <w:left w:w="28" w:type="dxa"/>
              <w:right w:w="28" w:type="dxa"/>
            </w:tcMar>
            <w:vAlign w:val="center"/>
          </w:tcPr>
          <w:p w14:paraId="039838BC">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773785C8">
            <w:pPr>
              <w:spacing w:after="0" w:line="240" w:lineRule="auto"/>
              <w:ind w:firstLine="0"/>
              <w:jc w:val="center"/>
              <w:rPr>
                <w:color w:val="000000"/>
                <w:sz w:val="20"/>
                <w:szCs w:val="20"/>
              </w:rPr>
            </w:pPr>
            <w:r>
              <w:rPr>
                <w:color w:val="000000"/>
                <w:sz w:val="20"/>
                <w:szCs w:val="20"/>
              </w:rPr>
              <w:t>5,81</w:t>
            </w:r>
          </w:p>
        </w:tc>
        <w:tc>
          <w:tcPr>
            <w:tcW w:w="1108" w:type="dxa"/>
            <w:shd w:val="clear" w:color="auto" w:fill="auto"/>
            <w:noWrap/>
            <w:tcMar>
              <w:left w:w="28" w:type="dxa"/>
              <w:right w:w="28" w:type="dxa"/>
            </w:tcMar>
            <w:vAlign w:val="center"/>
          </w:tcPr>
          <w:p w14:paraId="4F8BAD5A">
            <w:pPr>
              <w:spacing w:after="0" w:line="240" w:lineRule="auto"/>
              <w:ind w:firstLine="0"/>
              <w:jc w:val="center"/>
              <w:rPr>
                <w:color w:val="000000"/>
                <w:sz w:val="20"/>
                <w:szCs w:val="20"/>
              </w:rPr>
            </w:pPr>
            <w:r>
              <w:rPr>
                <w:color w:val="000000"/>
                <w:sz w:val="20"/>
                <w:szCs w:val="20"/>
              </w:rPr>
              <w:t>5,81</w:t>
            </w:r>
          </w:p>
        </w:tc>
        <w:tc>
          <w:tcPr>
            <w:tcW w:w="1108" w:type="dxa"/>
            <w:shd w:val="clear" w:color="auto" w:fill="auto"/>
            <w:noWrap/>
            <w:tcMar>
              <w:left w:w="28" w:type="dxa"/>
              <w:right w:w="28" w:type="dxa"/>
            </w:tcMar>
            <w:vAlign w:val="center"/>
          </w:tcPr>
          <w:p w14:paraId="3C93C9AA">
            <w:pPr>
              <w:spacing w:after="0" w:line="240" w:lineRule="auto"/>
              <w:ind w:firstLine="0"/>
              <w:jc w:val="center"/>
              <w:rPr>
                <w:color w:val="000000"/>
                <w:sz w:val="20"/>
                <w:szCs w:val="20"/>
              </w:rPr>
            </w:pPr>
            <w:r>
              <w:rPr>
                <w:color w:val="000000"/>
                <w:sz w:val="20"/>
                <w:szCs w:val="20"/>
              </w:rPr>
              <w:t>5,81</w:t>
            </w:r>
          </w:p>
        </w:tc>
        <w:tc>
          <w:tcPr>
            <w:tcW w:w="1107" w:type="dxa"/>
            <w:shd w:val="clear" w:color="auto" w:fill="auto"/>
            <w:noWrap/>
            <w:tcMar>
              <w:left w:w="28" w:type="dxa"/>
              <w:right w:w="28" w:type="dxa"/>
            </w:tcMar>
            <w:vAlign w:val="center"/>
          </w:tcPr>
          <w:p w14:paraId="29DE758D">
            <w:pPr>
              <w:spacing w:after="0" w:line="240" w:lineRule="auto"/>
              <w:ind w:firstLine="0"/>
              <w:jc w:val="center"/>
              <w:rPr>
                <w:color w:val="000000"/>
                <w:sz w:val="20"/>
                <w:szCs w:val="20"/>
              </w:rPr>
            </w:pPr>
            <w:r>
              <w:rPr>
                <w:color w:val="000000"/>
                <w:sz w:val="20"/>
                <w:szCs w:val="20"/>
              </w:rPr>
              <w:t>5,81</w:t>
            </w:r>
          </w:p>
        </w:tc>
        <w:tc>
          <w:tcPr>
            <w:tcW w:w="1107" w:type="dxa"/>
            <w:shd w:val="clear" w:color="auto" w:fill="auto"/>
            <w:noWrap/>
            <w:tcMar>
              <w:left w:w="28" w:type="dxa"/>
              <w:right w:w="28" w:type="dxa"/>
            </w:tcMar>
            <w:vAlign w:val="center"/>
          </w:tcPr>
          <w:p w14:paraId="73AD9743">
            <w:pPr>
              <w:spacing w:after="0" w:line="240" w:lineRule="auto"/>
              <w:ind w:firstLine="0"/>
              <w:jc w:val="center"/>
              <w:rPr>
                <w:color w:val="000000"/>
                <w:sz w:val="20"/>
                <w:szCs w:val="20"/>
              </w:rPr>
            </w:pPr>
            <w:r>
              <w:rPr>
                <w:color w:val="000000"/>
                <w:sz w:val="20"/>
                <w:szCs w:val="20"/>
              </w:rPr>
              <w:t>5,81</w:t>
            </w:r>
          </w:p>
        </w:tc>
        <w:tc>
          <w:tcPr>
            <w:tcW w:w="1108" w:type="dxa"/>
            <w:shd w:val="clear" w:color="auto" w:fill="auto"/>
            <w:noWrap/>
            <w:tcMar>
              <w:left w:w="28" w:type="dxa"/>
              <w:right w:w="28" w:type="dxa"/>
            </w:tcMar>
            <w:vAlign w:val="center"/>
          </w:tcPr>
          <w:p w14:paraId="014EA1CC">
            <w:pPr>
              <w:spacing w:after="0" w:line="240" w:lineRule="auto"/>
              <w:ind w:firstLine="0"/>
              <w:jc w:val="center"/>
              <w:rPr>
                <w:color w:val="000000"/>
                <w:sz w:val="20"/>
                <w:szCs w:val="20"/>
              </w:rPr>
            </w:pPr>
            <w:r>
              <w:rPr>
                <w:color w:val="000000"/>
                <w:sz w:val="20"/>
                <w:szCs w:val="20"/>
              </w:rPr>
              <w:t>5,81</w:t>
            </w:r>
          </w:p>
        </w:tc>
        <w:tc>
          <w:tcPr>
            <w:tcW w:w="1246" w:type="dxa"/>
            <w:shd w:val="clear" w:color="auto" w:fill="auto"/>
            <w:noWrap/>
            <w:tcMar>
              <w:left w:w="28" w:type="dxa"/>
              <w:right w:w="28" w:type="dxa"/>
            </w:tcMar>
            <w:vAlign w:val="center"/>
          </w:tcPr>
          <w:p w14:paraId="7C93BD5C">
            <w:pPr>
              <w:spacing w:after="0" w:line="240" w:lineRule="auto"/>
              <w:ind w:firstLine="0"/>
              <w:jc w:val="center"/>
              <w:rPr>
                <w:color w:val="000000"/>
                <w:sz w:val="20"/>
                <w:szCs w:val="20"/>
              </w:rPr>
            </w:pPr>
            <w:r>
              <w:rPr>
                <w:color w:val="000000"/>
                <w:sz w:val="20"/>
                <w:szCs w:val="20"/>
              </w:rPr>
              <w:t>5,81</w:t>
            </w:r>
          </w:p>
        </w:tc>
      </w:tr>
      <w:tr w14:paraId="6120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00A00971">
            <w:pPr>
              <w:spacing w:after="0" w:line="240" w:lineRule="auto"/>
              <w:ind w:firstLine="0"/>
              <w:rPr>
                <w:color w:val="000000"/>
                <w:sz w:val="20"/>
                <w:szCs w:val="20"/>
              </w:rPr>
            </w:pPr>
            <w:r>
              <w:rPr>
                <w:color w:val="000000"/>
                <w:sz w:val="20"/>
                <w:szCs w:val="20"/>
              </w:rPr>
              <w:t>Нагрузка на коллекторах</w:t>
            </w:r>
          </w:p>
        </w:tc>
        <w:tc>
          <w:tcPr>
            <w:tcW w:w="1505" w:type="dxa"/>
            <w:shd w:val="clear" w:color="auto" w:fill="auto"/>
            <w:tcMar>
              <w:left w:w="28" w:type="dxa"/>
              <w:right w:w="28" w:type="dxa"/>
            </w:tcMar>
            <w:vAlign w:val="center"/>
          </w:tcPr>
          <w:p w14:paraId="513EC36E">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684740E4">
            <w:pPr>
              <w:spacing w:after="0" w:line="240" w:lineRule="auto"/>
              <w:ind w:firstLine="0"/>
              <w:jc w:val="center"/>
              <w:rPr>
                <w:color w:val="000000"/>
                <w:sz w:val="20"/>
                <w:szCs w:val="20"/>
              </w:rPr>
            </w:pPr>
            <w:r>
              <w:rPr>
                <w:color w:val="000000"/>
                <w:sz w:val="20"/>
                <w:szCs w:val="20"/>
              </w:rPr>
              <w:t>0,72</w:t>
            </w:r>
          </w:p>
        </w:tc>
        <w:tc>
          <w:tcPr>
            <w:tcW w:w="1108" w:type="dxa"/>
            <w:shd w:val="clear" w:color="auto" w:fill="auto"/>
            <w:noWrap/>
            <w:tcMar>
              <w:left w:w="28" w:type="dxa"/>
              <w:right w:w="28" w:type="dxa"/>
            </w:tcMar>
            <w:vAlign w:val="center"/>
          </w:tcPr>
          <w:p w14:paraId="0841F280">
            <w:pPr>
              <w:spacing w:after="0" w:line="240" w:lineRule="auto"/>
              <w:ind w:firstLine="0"/>
              <w:jc w:val="center"/>
              <w:rPr>
                <w:color w:val="000000"/>
                <w:sz w:val="20"/>
                <w:szCs w:val="20"/>
              </w:rPr>
            </w:pPr>
            <w:r>
              <w:rPr>
                <w:color w:val="000000"/>
                <w:sz w:val="20"/>
                <w:szCs w:val="20"/>
              </w:rPr>
              <w:t>0,72</w:t>
            </w:r>
          </w:p>
        </w:tc>
        <w:tc>
          <w:tcPr>
            <w:tcW w:w="1108" w:type="dxa"/>
            <w:shd w:val="clear" w:color="auto" w:fill="auto"/>
            <w:noWrap/>
            <w:tcMar>
              <w:left w:w="28" w:type="dxa"/>
              <w:right w:w="28" w:type="dxa"/>
            </w:tcMar>
            <w:vAlign w:val="center"/>
          </w:tcPr>
          <w:p w14:paraId="5D7F7F93">
            <w:pPr>
              <w:spacing w:after="0" w:line="240" w:lineRule="auto"/>
              <w:ind w:firstLine="0"/>
              <w:jc w:val="center"/>
              <w:rPr>
                <w:color w:val="000000"/>
                <w:sz w:val="20"/>
                <w:szCs w:val="20"/>
              </w:rPr>
            </w:pPr>
            <w:r>
              <w:rPr>
                <w:color w:val="000000"/>
                <w:sz w:val="20"/>
                <w:szCs w:val="20"/>
              </w:rPr>
              <w:t>0,72</w:t>
            </w:r>
          </w:p>
        </w:tc>
        <w:tc>
          <w:tcPr>
            <w:tcW w:w="1107" w:type="dxa"/>
            <w:shd w:val="clear" w:color="auto" w:fill="auto"/>
            <w:noWrap/>
            <w:tcMar>
              <w:left w:w="28" w:type="dxa"/>
              <w:right w:w="28" w:type="dxa"/>
            </w:tcMar>
            <w:vAlign w:val="center"/>
          </w:tcPr>
          <w:p w14:paraId="68C40C81">
            <w:pPr>
              <w:spacing w:after="0" w:line="240" w:lineRule="auto"/>
              <w:ind w:firstLine="0"/>
              <w:jc w:val="center"/>
              <w:rPr>
                <w:color w:val="000000"/>
                <w:sz w:val="20"/>
                <w:szCs w:val="20"/>
              </w:rPr>
            </w:pPr>
            <w:r>
              <w:rPr>
                <w:color w:val="000000"/>
                <w:sz w:val="20"/>
                <w:szCs w:val="20"/>
              </w:rPr>
              <w:t>0,72</w:t>
            </w:r>
          </w:p>
        </w:tc>
        <w:tc>
          <w:tcPr>
            <w:tcW w:w="1107" w:type="dxa"/>
            <w:shd w:val="clear" w:color="auto" w:fill="auto"/>
            <w:noWrap/>
            <w:tcMar>
              <w:left w:w="28" w:type="dxa"/>
              <w:right w:w="28" w:type="dxa"/>
            </w:tcMar>
            <w:vAlign w:val="center"/>
          </w:tcPr>
          <w:p w14:paraId="1E875F7D">
            <w:pPr>
              <w:spacing w:after="0" w:line="240" w:lineRule="auto"/>
              <w:ind w:firstLine="0"/>
              <w:jc w:val="center"/>
              <w:rPr>
                <w:color w:val="000000"/>
                <w:sz w:val="20"/>
                <w:szCs w:val="20"/>
              </w:rPr>
            </w:pPr>
            <w:r>
              <w:rPr>
                <w:color w:val="000000"/>
                <w:sz w:val="20"/>
                <w:szCs w:val="20"/>
              </w:rPr>
              <w:t>0,72</w:t>
            </w:r>
          </w:p>
        </w:tc>
        <w:tc>
          <w:tcPr>
            <w:tcW w:w="1108" w:type="dxa"/>
            <w:shd w:val="clear" w:color="auto" w:fill="auto"/>
            <w:noWrap/>
            <w:tcMar>
              <w:left w:w="28" w:type="dxa"/>
              <w:right w:w="28" w:type="dxa"/>
            </w:tcMar>
            <w:vAlign w:val="center"/>
          </w:tcPr>
          <w:p w14:paraId="3E1E335A">
            <w:pPr>
              <w:spacing w:after="0" w:line="240" w:lineRule="auto"/>
              <w:ind w:firstLine="0"/>
              <w:jc w:val="center"/>
              <w:rPr>
                <w:color w:val="000000"/>
                <w:sz w:val="20"/>
                <w:szCs w:val="20"/>
              </w:rPr>
            </w:pPr>
            <w:r>
              <w:rPr>
                <w:color w:val="000000"/>
                <w:sz w:val="20"/>
                <w:szCs w:val="20"/>
              </w:rPr>
              <w:t>0,72</w:t>
            </w:r>
          </w:p>
        </w:tc>
        <w:tc>
          <w:tcPr>
            <w:tcW w:w="1246" w:type="dxa"/>
            <w:shd w:val="clear" w:color="auto" w:fill="auto"/>
            <w:noWrap/>
            <w:tcMar>
              <w:left w:w="28" w:type="dxa"/>
              <w:right w:w="28" w:type="dxa"/>
            </w:tcMar>
            <w:vAlign w:val="center"/>
          </w:tcPr>
          <w:p w14:paraId="263B76EC">
            <w:pPr>
              <w:spacing w:after="0" w:line="240" w:lineRule="auto"/>
              <w:ind w:firstLine="0"/>
              <w:jc w:val="center"/>
              <w:rPr>
                <w:color w:val="000000"/>
                <w:sz w:val="20"/>
                <w:szCs w:val="20"/>
              </w:rPr>
            </w:pPr>
            <w:r>
              <w:rPr>
                <w:color w:val="000000"/>
                <w:sz w:val="20"/>
                <w:szCs w:val="20"/>
              </w:rPr>
              <w:t>0,72</w:t>
            </w:r>
          </w:p>
        </w:tc>
      </w:tr>
      <w:tr w14:paraId="4C64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49A46335">
            <w:pPr>
              <w:spacing w:after="0" w:line="240" w:lineRule="auto"/>
              <w:ind w:firstLine="0"/>
              <w:rPr>
                <w:color w:val="000000"/>
                <w:sz w:val="20"/>
                <w:szCs w:val="20"/>
              </w:rPr>
            </w:pPr>
            <w:r>
              <w:rPr>
                <w:color w:val="000000"/>
                <w:sz w:val="20"/>
                <w:szCs w:val="20"/>
              </w:rPr>
              <w:t>Потери в сетях</w:t>
            </w:r>
          </w:p>
        </w:tc>
        <w:tc>
          <w:tcPr>
            <w:tcW w:w="1505" w:type="dxa"/>
            <w:shd w:val="clear" w:color="auto" w:fill="auto"/>
            <w:tcMar>
              <w:left w:w="28" w:type="dxa"/>
              <w:right w:w="28" w:type="dxa"/>
            </w:tcMar>
            <w:vAlign w:val="center"/>
          </w:tcPr>
          <w:p w14:paraId="7DCBBF95">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1C0E9D6B">
            <w:pPr>
              <w:spacing w:after="0" w:line="240" w:lineRule="auto"/>
              <w:ind w:firstLine="0"/>
              <w:jc w:val="center"/>
              <w:rPr>
                <w:color w:val="000000"/>
                <w:sz w:val="20"/>
                <w:szCs w:val="20"/>
              </w:rPr>
            </w:pPr>
            <w:r>
              <w:rPr>
                <w:color w:val="000000"/>
                <w:sz w:val="20"/>
                <w:szCs w:val="20"/>
              </w:rPr>
              <w:t>0,22</w:t>
            </w:r>
          </w:p>
        </w:tc>
        <w:tc>
          <w:tcPr>
            <w:tcW w:w="1108" w:type="dxa"/>
            <w:shd w:val="clear" w:color="auto" w:fill="auto"/>
            <w:noWrap/>
            <w:tcMar>
              <w:left w:w="28" w:type="dxa"/>
              <w:right w:w="28" w:type="dxa"/>
            </w:tcMar>
            <w:vAlign w:val="center"/>
          </w:tcPr>
          <w:p w14:paraId="498DBF67">
            <w:pPr>
              <w:spacing w:after="0" w:line="240" w:lineRule="auto"/>
              <w:ind w:firstLine="0"/>
              <w:jc w:val="center"/>
              <w:rPr>
                <w:color w:val="000000"/>
                <w:sz w:val="20"/>
                <w:szCs w:val="20"/>
              </w:rPr>
            </w:pPr>
            <w:r>
              <w:rPr>
                <w:color w:val="000000"/>
                <w:sz w:val="20"/>
                <w:szCs w:val="20"/>
              </w:rPr>
              <w:t>0,22</w:t>
            </w:r>
          </w:p>
        </w:tc>
        <w:tc>
          <w:tcPr>
            <w:tcW w:w="1108" w:type="dxa"/>
            <w:shd w:val="clear" w:color="auto" w:fill="auto"/>
            <w:noWrap/>
            <w:tcMar>
              <w:left w:w="28" w:type="dxa"/>
              <w:right w:w="28" w:type="dxa"/>
            </w:tcMar>
            <w:vAlign w:val="center"/>
          </w:tcPr>
          <w:p w14:paraId="01143B3F">
            <w:pPr>
              <w:spacing w:after="0" w:line="240" w:lineRule="auto"/>
              <w:ind w:firstLine="0"/>
              <w:jc w:val="center"/>
              <w:rPr>
                <w:color w:val="000000"/>
                <w:sz w:val="20"/>
                <w:szCs w:val="20"/>
              </w:rPr>
            </w:pPr>
            <w:r>
              <w:rPr>
                <w:color w:val="000000"/>
                <w:sz w:val="20"/>
                <w:szCs w:val="20"/>
              </w:rPr>
              <w:t>0,22</w:t>
            </w:r>
          </w:p>
        </w:tc>
        <w:tc>
          <w:tcPr>
            <w:tcW w:w="1107" w:type="dxa"/>
            <w:shd w:val="clear" w:color="auto" w:fill="auto"/>
            <w:noWrap/>
            <w:tcMar>
              <w:left w:w="28" w:type="dxa"/>
              <w:right w:w="28" w:type="dxa"/>
            </w:tcMar>
            <w:vAlign w:val="center"/>
          </w:tcPr>
          <w:p w14:paraId="5095EFB4">
            <w:pPr>
              <w:spacing w:after="0" w:line="240" w:lineRule="auto"/>
              <w:ind w:firstLine="0"/>
              <w:jc w:val="center"/>
              <w:rPr>
                <w:color w:val="000000"/>
                <w:sz w:val="20"/>
                <w:szCs w:val="20"/>
              </w:rPr>
            </w:pPr>
            <w:r>
              <w:rPr>
                <w:color w:val="000000"/>
                <w:sz w:val="20"/>
                <w:szCs w:val="20"/>
              </w:rPr>
              <w:t>0,22</w:t>
            </w:r>
          </w:p>
        </w:tc>
        <w:tc>
          <w:tcPr>
            <w:tcW w:w="1107" w:type="dxa"/>
            <w:shd w:val="clear" w:color="auto" w:fill="auto"/>
            <w:noWrap/>
            <w:tcMar>
              <w:left w:w="28" w:type="dxa"/>
              <w:right w:w="28" w:type="dxa"/>
            </w:tcMar>
            <w:vAlign w:val="center"/>
          </w:tcPr>
          <w:p w14:paraId="48DE15C2">
            <w:pPr>
              <w:spacing w:after="0" w:line="240" w:lineRule="auto"/>
              <w:ind w:firstLine="0"/>
              <w:jc w:val="center"/>
              <w:rPr>
                <w:color w:val="000000"/>
                <w:sz w:val="20"/>
                <w:szCs w:val="20"/>
              </w:rPr>
            </w:pPr>
            <w:r>
              <w:rPr>
                <w:color w:val="000000"/>
                <w:sz w:val="20"/>
                <w:szCs w:val="20"/>
              </w:rPr>
              <w:t>0,22</w:t>
            </w:r>
          </w:p>
        </w:tc>
        <w:tc>
          <w:tcPr>
            <w:tcW w:w="1108" w:type="dxa"/>
            <w:shd w:val="clear" w:color="auto" w:fill="auto"/>
            <w:noWrap/>
            <w:tcMar>
              <w:left w:w="28" w:type="dxa"/>
              <w:right w:w="28" w:type="dxa"/>
            </w:tcMar>
            <w:vAlign w:val="center"/>
          </w:tcPr>
          <w:p w14:paraId="520E2605">
            <w:pPr>
              <w:spacing w:after="0" w:line="240" w:lineRule="auto"/>
              <w:ind w:firstLine="0"/>
              <w:jc w:val="center"/>
              <w:rPr>
                <w:color w:val="000000"/>
                <w:sz w:val="20"/>
                <w:szCs w:val="20"/>
              </w:rPr>
            </w:pPr>
            <w:r>
              <w:rPr>
                <w:color w:val="000000"/>
                <w:sz w:val="20"/>
                <w:szCs w:val="20"/>
              </w:rPr>
              <w:t>0,22</w:t>
            </w:r>
          </w:p>
        </w:tc>
        <w:tc>
          <w:tcPr>
            <w:tcW w:w="1246" w:type="dxa"/>
            <w:shd w:val="clear" w:color="auto" w:fill="auto"/>
            <w:noWrap/>
            <w:tcMar>
              <w:left w:w="28" w:type="dxa"/>
              <w:right w:w="28" w:type="dxa"/>
            </w:tcMar>
            <w:vAlign w:val="center"/>
          </w:tcPr>
          <w:p w14:paraId="2968BDE8">
            <w:pPr>
              <w:spacing w:after="0" w:line="240" w:lineRule="auto"/>
              <w:ind w:firstLine="0"/>
              <w:jc w:val="center"/>
              <w:rPr>
                <w:color w:val="000000"/>
                <w:sz w:val="20"/>
                <w:szCs w:val="20"/>
              </w:rPr>
            </w:pPr>
            <w:r>
              <w:rPr>
                <w:color w:val="000000"/>
                <w:sz w:val="20"/>
                <w:szCs w:val="20"/>
              </w:rPr>
              <w:t>0,22</w:t>
            </w:r>
          </w:p>
        </w:tc>
      </w:tr>
      <w:tr w14:paraId="3727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4868274B">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02FA66F2">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04154245">
            <w:pPr>
              <w:spacing w:after="0" w:line="240" w:lineRule="auto"/>
              <w:ind w:firstLine="0"/>
              <w:jc w:val="center"/>
              <w:rPr>
                <w:color w:val="000000"/>
                <w:sz w:val="20"/>
                <w:szCs w:val="20"/>
              </w:rPr>
            </w:pPr>
            <w:r>
              <w:rPr>
                <w:color w:val="000000"/>
                <w:sz w:val="20"/>
                <w:szCs w:val="20"/>
              </w:rPr>
              <w:t>30,56</w:t>
            </w:r>
          </w:p>
        </w:tc>
        <w:tc>
          <w:tcPr>
            <w:tcW w:w="1108" w:type="dxa"/>
            <w:shd w:val="clear" w:color="auto" w:fill="auto"/>
            <w:noWrap/>
            <w:tcMar>
              <w:left w:w="28" w:type="dxa"/>
              <w:right w:w="28" w:type="dxa"/>
            </w:tcMar>
            <w:vAlign w:val="center"/>
          </w:tcPr>
          <w:p w14:paraId="7819BF92">
            <w:pPr>
              <w:spacing w:after="0" w:line="240" w:lineRule="auto"/>
              <w:ind w:firstLine="0"/>
              <w:jc w:val="center"/>
              <w:rPr>
                <w:color w:val="000000"/>
                <w:sz w:val="20"/>
                <w:szCs w:val="20"/>
              </w:rPr>
            </w:pPr>
            <w:r>
              <w:rPr>
                <w:color w:val="000000"/>
                <w:sz w:val="20"/>
                <w:szCs w:val="20"/>
              </w:rPr>
              <w:t>18,50</w:t>
            </w:r>
          </w:p>
        </w:tc>
        <w:tc>
          <w:tcPr>
            <w:tcW w:w="1108" w:type="dxa"/>
            <w:shd w:val="clear" w:color="auto" w:fill="auto"/>
            <w:noWrap/>
            <w:tcMar>
              <w:left w:w="28" w:type="dxa"/>
              <w:right w:w="28" w:type="dxa"/>
            </w:tcMar>
            <w:vAlign w:val="center"/>
          </w:tcPr>
          <w:p w14:paraId="24293671">
            <w:pPr>
              <w:spacing w:after="0" w:line="240" w:lineRule="auto"/>
              <w:ind w:firstLine="0"/>
              <w:jc w:val="center"/>
              <w:rPr>
                <w:color w:val="000000"/>
                <w:sz w:val="20"/>
                <w:szCs w:val="20"/>
              </w:rPr>
            </w:pPr>
            <w:r>
              <w:rPr>
                <w:color w:val="000000"/>
                <w:sz w:val="20"/>
                <w:szCs w:val="20"/>
              </w:rPr>
              <w:t>30,56</w:t>
            </w:r>
          </w:p>
        </w:tc>
        <w:tc>
          <w:tcPr>
            <w:tcW w:w="1107" w:type="dxa"/>
            <w:shd w:val="clear" w:color="auto" w:fill="auto"/>
            <w:noWrap/>
            <w:tcMar>
              <w:left w:w="28" w:type="dxa"/>
              <w:right w:w="28" w:type="dxa"/>
            </w:tcMar>
            <w:vAlign w:val="center"/>
          </w:tcPr>
          <w:p w14:paraId="2398E0F2">
            <w:pPr>
              <w:spacing w:after="0" w:line="240" w:lineRule="auto"/>
              <w:ind w:firstLine="0"/>
              <w:jc w:val="center"/>
              <w:rPr>
                <w:color w:val="000000"/>
                <w:sz w:val="20"/>
                <w:szCs w:val="20"/>
              </w:rPr>
            </w:pPr>
            <w:r>
              <w:rPr>
                <w:color w:val="000000"/>
                <w:sz w:val="20"/>
                <w:szCs w:val="20"/>
              </w:rPr>
              <w:t>30,56</w:t>
            </w:r>
          </w:p>
        </w:tc>
        <w:tc>
          <w:tcPr>
            <w:tcW w:w="1107" w:type="dxa"/>
            <w:shd w:val="clear" w:color="auto" w:fill="auto"/>
            <w:noWrap/>
            <w:tcMar>
              <w:left w:w="28" w:type="dxa"/>
              <w:right w:w="28" w:type="dxa"/>
            </w:tcMar>
            <w:vAlign w:val="center"/>
          </w:tcPr>
          <w:p w14:paraId="366D2FC8">
            <w:pPr>
              <w:spacing w:after="0" w:line="240" w:lineRule="auto"/>
              <w:ind w:firstLine="0"/>
              <w:jc w:val="center"/>
              <w:rPr>
                <w:color w:val="000000"/>
                <w:sz w:val="20"/>
                <w:szCs w:val="20"/>
              </w:rPr>
            </w:pPr>
            <w:r>
              <w:rPr>
                <w:color w:val="000000"/>
                <w:sz w:val="20"/>
                <w:szCs w:val="20"/>
              </w:rPr>
              <w:t>30,56</w:t>
            </w:r>
          </w:p>
        </w:tc>
        <w:tc>
          <w:tcPr>
            <w:tcW w:w="1108" w:type="dxa"/>
            <w:shd w:val="clear" w:color="auto" w:fill="auto"/>
            <w:noWrap/>
            <w:tcMar>
              <w:left w:w="28" w:type="dxa"/>
              <w:right w:w="28" w:type="dxa"/>
            </w:tcMar>
            <w:vAlign w:val="center"/>
          </w:tcPr>
          <w:p w14:paraId="74768ADA">
            <w:pPr>
              <w:spacing w:after="0" w:line="240" w:lineRule="auto"/>
              <w:ind w:firstLine="0"/>
              <w:jc w:val="center"/>
              <w:rPr>
                <w:color w:val="000000"/>
                <w:sz w:val="20"/>
                <w:szCs w:val="20"/>
              </w:rPr>
            </w:pPr>
            <w:r>
              <w:rPr>
                <w:color w:val="000000"/>
                <w:sz w:val="20"/>
                <w:szCs w:val="20"/>
              </w:rPr>
              <w:t>30,56</w:t>
            </w:r>
          </w:p>
        </w:tc>
        <w:tc>
          <w:tcPr>
            <w:tcW w:w="1246" w:type="dxa"/>
            <w:shd w:val="clear" w:color="auto" w:fill="auto"/>
            <w:noWrap/>
            <w:tcMar>
              <w:left w:w="28" w:type="dxa"/>
              <w:right w:w="28" w:type="dxa"/>
            </w:tcMar>
            <w:vAlign w:val="center"/>
          </w:tcPr>
          <w:p w14:paraId="074CF8C1">
            <w:pPr>
              <w:spacing w:after="0" w:line="240" w:lineRule="auto"/>
              <w:ind w:firstLine="0"/>
              <w:jc w:val="center"/>
              <w:rPr>
                <w:color w:val="000000"/>
                <w:sz w:val="20"/>
                <w:szCs w:val="20"/>
              </w:rPr>
            </w:pPr>
            <w:r>
              <w:rPr>
                <w:color w:val="000000"/>
                <w:sz w:val="20"/>
                <w:szCs w:val="20"/>
              </w:rPr>
              <w:t>30,56</w:t>
            </w:r>
          </w:p>
        </w:tc>
      </w:tr>
      <w:tr w14:paraId="6D73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4121C03E">
            <w:pPr>
              <w:spacing w:after="0" w:line="240" w:lineRule="auto"/>
              <w:ind w:firstLine="0"/>
              <w:rPr>
                <w:color w:val="000000"/>
                <w:sz w:val="20"/>
                <w:szCs w:val="20"/>
              </w:rPr>
            </w:pPr>
            <w:r>
              <w:rPr>
                <w:color w:val="000000"/>
                <w:sz w:val="20"/>
                <w:szCs w:val="20"/>
              </w:rPr>
              <w:t>Подключенная нагрузка</w:t>
            </w:r>
          </w:p>
        </w:tc>
        <w:tc>
          <w:tcPr>
            <w:tcW w:w="1505" w:type="dxa"/>
            <w:shd w:val="clear" w:color="auto" w:fill="auto"/>
            <w:tcMar>
              <w:left w:w="28" w:type="dxa"/>
              <w:right w:w="28" w:type="dxa"/>
            </w:tcMar>
            <w:vAlign w:val="center"/>
          </w:tcPr>
          <w:p w14:paraId="1FC74853">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6EC71D07">
            <w:pPr>
              <w:spacing w:after="0" w:line="240" w:lineRule="auto"/>
              <w:ind w:firstLine="0"/>
              <w:jc w:val="center"/>
              <w:rPr>
                <w:color w:val="000000"/>
                <w:sz w:val="20"/>
                <w:szCs w:val="20"/>
              </w:rPr>
            </w:pPr>
            <w:r>
              <w:rPr>
                <w:color w:val="000000"/>
                <w:sz w:val="20"/>
                <w:szCs w:val="20"/>
              </w:rPr>
              <w:t>0,50</w:t>
            </w:r>
          </w:p>
        </w:tc>
        <w:tc>
          <w:tcPr>
            <w:tcW w:w="1108" w:type="dxa"/>
            <w:shd w:val="clear" w:color="auto" w:fill="auto"/>
            <w:noWrap/>
            <w:tcMar>
              <w:left w:w="28" w:type="dxa"/>
              <w:right w:w="28" w:type="dxa"/>
            </w:tcMar>
            <w:vAlign w:val="center"/>
          </w:tcPr>
          <w:p w14:paraId="3828E058">
            <w:pPr>
              <w:spacing w:after="0" w:line="240" w:lineRule="auto"/>
              <w:ind w:firstLine="0"/>
              <w:jc w:val="center"/>
              <w:rPr>
                <w:color w:val="000000"/>
                <w:sz w:val="20"/>
                <w:szCs w:val="20"/>
              </w:rPr>
            </w:pPr>
            <w:r>
              <w:rPr>
                <w:color w:val="000000"/>
                <w:sz w:val="20"/>
                <w:szCs w:val="20"/>
              </w:rPr>
              <w:t>0,50</w:t>
            </w:r>
          </w:p>
        </w:tc>
        <w:tc>
          <w:tcPr>
            <w:tcW w:w="1108" w:type="dxa"/>
            <w:shd w:val="clear" w:color="auto" w:fill="auto"/>
            <w:noWrap/>
            <w:tcMar>
              <w:left w:w="28" w:type="dxa"/>
              <w:right w:w="28" w:type="dxa"/>
            </w:tcMar>
            <w:vAlign w:val="center"/>
          </w:tcPr>
          <w:p w14:paraId="109F7F3F">
            <w:pPr>
              <w:spacing w:after="0" w:line="240" w:lineRule="auto"/>
              <w:ind w:firstLine="0"/>
              <w:jc w:val="center"/>
              <w:rPr>
                <w:color w:val="000000"/>
                <w:sz w:val="20"/>
                <w:szCs w:val="20"/>
              </w:rPr>
            </w:pPr>
            <w:r>
              <w:rPr>
                <w:color w:val="000000"/>
                <w:sz w:val="20"/>
                <w:szCs w:val="20"/>
              </w:rPr>
              <w:t>0,50</w:t>
            </w:r>
          </w:p>
        </w:tc>
        <w:tc>
          <w:tcPr>
            <w:tcW w:w="1107" w:type="dxa"/>
            <w:shd w:val="clear" w:color="auto" w:fill="auto"/>
            <w:noWrap/>
            <w:tcMar>
              <w:left w:w="28" w:type="dxa"/>
              <w:right w:w="28" w:type="dxa"/>
            </w:tcMar>
            <w:vAlign w:val="center"/>
          </w:tcPr>
          <w:p w14:paraId="62155CE3">
            <w:pPr>
              <w:spacing w:after="0" w:line="240" w:lineRule="auto"/>
              <w:ind w:firstLine="0"/>
              <w:jc w:val="center"/>
              <w:rPr>
                <w:color w:val="000000"/>
                <w:sz w:val="20"/>
                <w:szCs w:val="20"/>
              </w:rPr>
            </w:pPr>
            <w:r>
              <w:rPr>
                <w:color w:val="000000"/>
                <w:sz w:val="20"/>
                <w:szCs w:val="20"/>
              </w:rPr>
              <w:t>0,50</w:t>
            </w:r>
          </w:p>
        </w:tc>
        <w:tc>
          <w:tcPr>
            <w:tcW w:w="1107" w:type="dxa"/>
            <w:shd w:val="clear" w:color="auto" w:fill="auto"/>
            <w:noWrap/>
            <w:tcMar>
              <w:left w:w="28" w:type="dxa"/>
              <w:right w:w="28" w:type="dxa"/>
            </w:tcMar>
            <w:vAlign w:val="center"/>
          </w:tcPr>
          <w:p w14:paraId="3795CF9C">
            <w:pPr>
              <w:spacing w:after="0" w:line="240" w:lineRule="auto"/>
              <w:ind w:firstLine="0"/>
              <w:jc w:val="center"/>
              <w:rPr>
                <w:color w:val="000000"/>
                <w:sz w:val="20"/>
                <w:szCs w:val="20"/>
              </w:rPr>
            </w:pPr>
            <w:r>
              <w:rPr>
                <w:color w:val="000000"/>
                <w:sz w:val="20"/>
                <w:szCs w:val="20"/>
              </w:rPr>
              <w:t>0,50</w:t>
            </w:r>
          </w:p>
        </w:tc>
        <w:tc>
          <w:tcPr>
            <w:tcW w:w="1108" w:type="dxa"/>
            <w:shd w:val="clear" w:color="auto" w:fill="auto"/>
            <w:noWrap/>
            <w:tcMar>
              <w:left w:w="28" w:type="dxa"/>
              <w:right w:w="28" w:type="dxa"/>
            </w:tcMar>
            <w:vAlign w:val="center"/>
          </w:tcPr>
          <w:p w14:paraId="6A8B5040">
            <w:pPr>
              <w:spacing w:after="0" w:line="240" w:lineRule="auto"/>
              <w:ind w:firstLine="0"/>
              <w:jc w:val="center"/>
              <w:rPr>
                <w:color w:val="000000"/>
                <w:sz w:val="20"/>
                <w:szCs w:val="20"/>
              </w:rPr>
            </w:pPr>
            <w:r>
              <w:rPr>
                <w:color w:val="000000"/>
                <w:sz w:val="20"/>
                <w:szCs w:val="20"/>
              </w:rPr>
              <w:t>0,50</w:t>
            </w:r>
          </w:p>
        </w:tc>
        <w:tc>
          <w:tcPr>
            <w:tcW w:w="1246" w:type="dxa"/>
            <w:shd w:val="clear" w:color="auto" w:fill="auto"/>
            <w:noWrap/>
            <w:tcMar>
              <w:left w:w="28" w:type="dxa"/>
              <w:right w:w="28" w:type="dxa"/>
            </w:tcMar>
            <w:vAlign w:val="center"/>
          </w:tcPr>
          <w:p w14:paraId="3552DB5A">
            <w:pPr>
              <w:spacing w:after="0" w:line="240" w:lineRule="auto"/>
              <w:ind w:firstLine="0"/>
              <w:jc w:val="center"/>
              <w:rPr>
                <w:color w:val="000000"/>
                <w:sz w:val="20"/>
                <w:szCs w:val="20"/>
              </w:rPr>
            </w:pPr>
            <w:r>
              <w:rPr>
                <w:color w:val="000000"/>
                <w:sz w:val="20"/>
                <w:szCs w:val="20"/>
              </w:rPr>
              <w:t>0,50</w:t>
            </w:r>
          </w:p>
        </w:tc>
      </w:tr>
      <w:tr w14:paraId="4A1B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53277A0F">
            <w:pPr>
              <w:spacing w:after="0" w:line="240" w:lineRule="auto"/>
              <w:ind w:firstLine="0"/>
              <w:rPr>
                <w:color w:val="000000"/>
                <w:sz w:val="20"/>
                <w:szCs w:val="20"/>
              </w:rPr>
            </w:pPr>
            <w:r>
              <w:rPr>
                <w:color w:val="000000"/>
                <w:sz w:val="20"/>
                <w:szCs w:val="20"/>
              </w:rPr>
              <w:t>Резерв (+)/ Дефицит (-) мощности</w:t>
            </w:r>
          </w:p>
        </w:tc>
        <w:tc>
          <w:tcPr>
            <w:tcW w:w="1505" w:type="dxa"/>
            <w:shd w:val="clear" w:color="auto" w:fill="auto"/>
            <w:tcMar>
              <w:left w:w="28" w:type="dxa"/>
              <w:right w:w="28" w:type="dxa"/>
            </w:tcMar>
            <w:vAlign w:val="center"/>
          </w:tcPr>
          <w:p w14:paraId="7D5DC94B">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79EDEBAC">
            <w:pPr>
              <w:spacing w:after="0" w:line="240" w:lineRule="auto"/>
              <w:ind w:firstLine="0"/>
              <w:jc w:val="center"/>
              <w:rPr>
                <w:color w:val="000000"/>
                <w:sz w:val="20"/>
                <w:szCs w:val="20"/>
              </w:rPr>
            </w:pPr>
            <w:r>
              <w:rPr>
                <w:color w:val="000000"/>
                <w:sz w:val="20"/>
                <w:szCs w:val="20"/>
              </w:rPr>
              <w:t>5,09</w:t>
            </w:r>
          </w:p>
        </w:tc>
        <w:tc>
          <w:tcPr>
            <w:tcW w:w="1108" w:type="dxa"/>
            <w:shd w:val="clear" w:color="auto" w:fill="auto"/>
            <w:noWrap/>
            <w:tcMar>
              <w:left w:w="28" w:type="dxa"/>
              <w:right w:w="28" w:type="dxa"/>
            </w:tcMar>
            <w:vAlign w:val="center"/>
          </w:tcPr>
          <w:p w14:paraId="399D38F3">
            <w:pPr>
              <w:spacing w:after="0" w:line="240" w:lineRule="auto"/>
              <w:ind w:firstLine="0"/>
              <w:jc w:val="center"/>
              <w:rPr>
                <w:color w:val="000000"/>
                <w:sz w:val="20"/>
                <w:szCs w:val="20"/>
              </w:rPr>
            </w:pPr>
            <w:r>
              <w:rPr>
                <w:color w:val="000000"/>
                <w:sz w:val="20"/>
                <w:szCs w:val="20"/>
              </w:rPr>
              <w:t>5,09</w:t>
            </w:r>
          </w:p>
        </w:tc>
        <w:tc>
          <w:tcPr>
            <w:tcW w:w="1108" w:type="dxa"/>
            <w:shd w:val="clear" w:color="auto" w:fill="auto"/>
            <w:noWrap/>
            <w:tcMar>
              <w:left w:w="28" w:type="dxa"/>
              <w:right w:w="28" w:type="dxa"/>
            </w:tcMar>
            <w:vAlign w:val="center"/>
          </w:tcPr>
          <w:p w14:paraId="52FE56C7">
            <w:pPr>
              <w:spacing w:after="0" w:line="240" w:lineRule="auto"/>
              <w:ind w:firstLine="0"/>
              <w:jc w:val="center"/>
              <w:rPr>
                <w:color w:val="000000"/>
                <w:sz w:val="20"/>
                <w:szCs w:val="20"/>
              </w:rPr>
            </w:pPr>
            <w:r>
              <w:rPr>
                <w:color w:val="000000"/>
                <w:sz w:val="20"/>
                <w:szCs w:val="20"/>
              </w:rPr>
              <w:t>5,09</w:t>
            </w:r>
          </w:p>
        </w:tc>
        <w:tc>
          <w:tcPr>
            <w:tcW w:w="1107" w:type="dxa"/>
            <w:shd w:val="clear" w:color="auto" w:fill="auto"/>
            <w:noWrap/>
            <w:tcMar>
              <w:left w:w="28" w:type="dxa"/>
              <w:right w:w="28" w:type="dxa"/>
            </w:tcMar>
            <w:vAlign w:val="center"/>
          </w:tcPr>
          <w:p w14:paraId="5BD6D472">
            <w:pPr>
              <w:spacing w:after="0" w:line="240" w:lineRule="auto"/>
              <w:ind w:firstLine="0"/>
              <w:jc w:val="center"/>
              <w:rPr>
                <w:color w:val="000000"/>
                <w:sz w:val="20"/>
                <w:szCs w:val="20"/>
              </w:rPr>
            </w:pPr>
            <w:r>
              <w:rPr>
                <w:color w:val="000000"/>
                <w:sz w:val="20"/>
                <w:szCs w:val="20"/>
              </w:rPr>
              <w:t>5,09</w:t>
            </w:r>
          </w:p>
        </w:tc>
        <w:tc>
          <w:tcPr>
            <w:tcW w:w="1107" w:type="dxa"/>
            <w:shd w:val="clear" w:color="auto" w:fill="auto"/>
            <w:noWrap/>
            <w:tcMar>
              <w:left w:w="28" w:type="dxa"/>
              <w:right w:w="28" w:type="dxa"/>
            </w:tcMar>
            <w:vAlign w:val="center"/>
          </w:tcPr>
          <w:p w14:paraId="3EC1EA14">
            <w:pPr>
              <w:spacing w:after="0" w:line="240" w:lineRule="auto"/>
              <w:ind w:firstLine="0"/>
              <w:jc w:val="center"/>
              <w:rPr>
                <w:color w:val="000000"/>
                <w:sz w:val="20"/>
                <w:szCs w:val="20"/>
              </w:rPr>
            </w:pPr>
            <w:r>
              <w:rPr>
                <w:color w:val="000000"/>
                <w:sz w:val="20"/>
                <w:szCs w:val="20"/>
              </w:rPr>
              <w:t>5,09</w:t>
            </w:r>
          </w:p>
        </w:tc>
        <w:tc>
          <w:tcPr>
            <w:tcW w:w="1108" w:type="dxa"/>
            <w:shd w:val="clear" w:color="auto" w:fill="auto"/>
            <w:noWrap/>
            <w:tcMar>
              <w:left w:w="28" w:type="dxa"/>
              <w:right w:w="28" w:type="dxa"/>
            </w:tcMar>
            <w:vAlign w:val="center"/>
          </w:tcPr>
          <w:p w14:paraId="4527DDBF">
            <w:pPr>
              <w:spacing w:after="0" w:line="240" w:lineRule="auto"/>
              <w:ind w:firstLine="0"/>
              <w:jc w:val="center"/>
              <w:rPr>
                <w:color w:val="000000"/>
                <w:sz w:val="20"/>
                <w:szCs w:val="20"/>
              </w:rPr>
            </w:pPr>
            <w:r>
              <w:rPr>
                <w:color w:val="000000"/>
                <w:sz w:val="20"/>
                <w:szCs w:val="20"/>
              </w:rPr>
              <w:t>5,09</w:t>
            </w:r>
          </w:p>
        </w:tc>
        <w:tc>
          <w:tcPr>
            <w:tcW w:w="1246" w:type="dxa"/>
            <w:shd w:val="clear" w:color="auto" w:fill="auto"/>
            <w:noWrap/>
            <w:tcMar>
              <w:left w:w="28" w:type="dxa"/>
              <w:right w:w="28" w:type="dxa"/>
            </w:tcMar>
            <w:vAlign w:val="center"/>
          </w:tcPr>
          <w:p w14:paraId="490CE81B">
            <w:pPr>
              <w:spacing w:after="0" w:line="240" w:lineRule="auto"/>
              <w:ind w:firstLine="0"/>
              <w:jc w:val="center"/>
              <w:rPr>
                <w:color w:val="000000"/>
                <w:sz w:val="20"/>
                <w:szCs w:val="20"/>
              </w:rPr>
            </w:pPr>
            <w:r>
              <w:rPr>
                <w:color w:val="000000"/>
                <w:sz w:val="20"/>
                <w:szCs w:val="20"/>
              </w:rPr>
              <w:t>5,09</w:t>
            </w:r>
          </w:p>
        </w:tc>
      </w:tr>
      <w:tr w14:paraId="5DEB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02BC6F7F">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2EBDAA49">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49856F7F">
            <w:pPr>
              <w:spacing w:after="0" w:line="240" w:lineRule="auto"/>
              <w:ind w:firstLine="0"/>
              <w:jc w:val="center"/>
              <w:rPr>
                <w:color w:val="000000"/>
                <w:sz w:val="20"/>
                <w:szCs w:val="20"/>
              </w:rPr>
            </w:pPr>
            <w:r>
              <w:rPr>
                <w:color w:val="000000"/>
                <w:sz w:val="20"/>
                <w:szCs w:val="20"/>
              </w:rPr>
              <w:t>87,61</w:t>
            </w:r>
          </w:p>
        </w:tc>
        <w:tc>
          <w:tcPr>
            <w:tcW w:w="1108" w:type="dxa"/>
            <w:shd w:val="clear" w:color="auto" w:fill="auto"/>
            <w:noWrap/>
            <w:tcMar>
              <w:left w:w="28" w:type="dxa"/>
              <w:right w:w="28" w:type="dxa"/>
            </w:tcMar>
            <w:vAlign w:val="center"/>
          </w:tcPr>
          <w:p w14:paraId="240C9784">
            <w:pPr>
              <w:spacing w:after="0" w:line="240" w:lineRule="auto"/>
              <w:ind w:firstLine="0"/>
              <w:jc w:val="center"/>
              <w:rPr>
                <w:color w:val="000000"/>
                <w:sz w:val="20"/>
                <w:szCs w:val="20"/>
              </w:rPr>
            </w:pPr>
            <w:r>
              <w:rPr>
                <w:color w:val="000000"/>
                <w:sz w:val="20"/>
                <w:szCs w:val="20"/>
              </w:rPr>
              <w:t>87,61</w:t>
            </w:r>
          </w:p>
        </w:tc>
        <w:tc>
          <w:tcPr>
            <w:tcW w:w="1108" w:type="dxa"/>
            <w:shd w:val="clear" w:color="auto" w:fill="auto"/>
            <w:noWrap/>
            <w:tcMar>
              <w:left w:w="28" w:type="dxa"/>
              <w:right w:w="28" w:type="dxa"/>
            </w:tcMar>
            <w:vAlign w:val="center"/>
          </w:tcPr>
          <w:p w14:paraId="4A5261BC">
            <w:pPr>
              <w:spacing w:after="0" w:line="240" w:lineRule="auto"/>
              <w:ind w:firstLine="0"/>
              <w:jc w:val="center"/>
              <w:rPr>
                <w:color w:val="000000"/>
                <w:sz w:val="20"/>
                <w:szCs w:val="20"/>
              </w:rPr>
            </w:pPr>
            <w:r>
              <w:rPr>
                <w:color w:val="000000"/>
                <w:sz w:val="20"/>
                <w:szCs w:val="20"/>
              </w:rPr>
              <w:t>87,61</w:t>
            </w:r>
          </w:p>
        </w:tc>
        <w:tc>
          <w:tcPr>
            <w:tcW w:w="1107" w:type="dxa"/>
            <w:shd w:val="clear" w:color="auto" w:fill="auto"/>
            <w:noWrap/>
            <w:tcMar>
              <w:left w:w="28" w:type="dxa"/>
              <w:right w:w="28" w:type="dxa"/>
            </w:tcMar>
            <w:vAlign w:val="center"/>
          </w:tcPr>
          <w:p w14:paraId="024A9C3F">
            <w:pPr>
              <w:spacing w:after="0" w:line="240" w:lineRule="auto"/>
              <w:ind w:firstLine="0"/>
              <w:jc w:val="center"/>
              <w:rPr>
                <w:color w:val="000000"/>
                <w:sz w:val="20"/>
                <w:szCs w:val="20"/>
              </w:rPr>
            </w:pPr>
            <w:r>
              <w:rPr>
                <w:color w:val="000000"/>
                <w:sz w:val="20"/>
                <w:szCs w:val="20"/>
              </w:rPr>
              <w:t>87,61</w:t>
            </w:r>
          </w:p>
        </w:tc>
        <w:tc>
          <w:tcPr>
            <w:tcW w:w="1107" w:type="dxa"/>
            <w:shd w:val="clear" w:color="auto" w:fill="auto"/>
            <w:noWrap/>
            <w:tcMar>
              <w:left w:w="28" w:type="dxa"/>
              <w:right w:w="28" w:type="dxa"/>
            </w:tcMar>
            <w:vAlign w:val="center"/>
          </w:tcPr>
          <w:p w14:paraId="69C04465">
            <w:pPr>
              <w:spacing w:after="0" w:line="240" w:lineRule="auto"/>
              <w:ind w:firstLine="0"/>
              <w:jc w:val="center"/>
              <w:rPr>
                <w:color w:val="000000"/>
                <w:sz w:val="20"/>
                <w:szCs w:val="20"/>
              </w:rPr>
            </w:pPr>
            <w:r>
              <w:rPr>
                <w:color w:val="000000"/>
                <w:sz w:val="20"/>
                <w:szCs w:val="20"/>
              </w:rPr>
              <w:t>87,61</w:t>
            </w:r>
          </w:p>
        </w:tc>
        <w:tc>
          <w:tcPr>
            <w:tcW w:w="1108" w:type="dxa"/>
            <w:shd w:val="clear" w:color="auto" w:fill="auto"/>
            <w:noWrap/>
            <w:tcMar>
              <w:left w:w="28" w:type="dxa"/>
              <w:right w:w="28" w:type="dxa"/>
            </w:tcMar>
            <w:vAlign w:val="center"/>
          </w:tcPr>
          <w:p w14:paraId="7EB78BE2">
            <w:pPr>
              <w:spacing w:after="0" w:line="240" w:lineRule="auto"/>
              <w:ind w:firstLine="0"/>
              <w:jc w:val="center"/>
              <w:rPr>
                <w:color w:val="000000"/>
                <w:sz w:val="20"/>
                <w:szCs w:val="20"/>
              </w:rPr>
            </w:pPr>
            <w:r>
              <w:rPr>
                <w:color w:val="000000"/>
                <w:sz w:val="20"/>
                <w:szCs w:val="20"/>
              </w:rPr>
              <w:t>87,61</w:t>
            </w:r>
          </w:p>
        </w:tc>
        <w:tc>
          <w:tcPr>
            <w:tcW w:w="1246" w:type="dxa"/>
            <w:shd w:val="clear" w:color="auto" w:fill="auto"/>
            <w:noWrap/>
            <w:tcMar>
              <w:left w:w="28" w:type="dxa"/>
              <w:right w:w="28" w:type="dxa"/>
            </w:tcMar>
            <w:vAlign w:val="center"/>
          </w:tcPr>
          <w:p w14:paraId="50D4F35B">
            <w:pPr>
              <w:spacing w:after="0" w:line="240" w:lineRule="auto"/>
              <w:ind w:firstLine="0"/>
              <w:jc w:val="center"/>
              <w:rPr>
                <w:color w:val="000000"/>
                <w:sz w:val="20"/>
                <w:szCs w:val="20"/>
              </w:rPr>
            </w:pPr>
            <w:r>
              <w:rPr>
                <w:color w:val="000000"/>
                <w:sz w:val="20"/>
                <w:szCs w:val="20"/>
              </w:rPr>
              <w:t>87,61</w:t>
            </w:r>
          </w:p>
        </w:tc>
      </w:tr>
      <w:tr w14:paraId="4930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tcMar>
              <w:left w:w="28" w:type="dxa"/>
              <w:right w:w="28" w:type="dxa"/>
            </w:tcMar>
            <w:vAlign w:val="center"/>
          </w:tcPr>
          <w:p w14:paraId="4A158F59">
            <w:pPr>
              <w:spacing w:after="0" w:line="240" w:lineRule="auto"/>
              <w:ind w:firstLine="0"/>
              <w:rPr>
                <w:color w:val="000000"/>
                <w:sz w:val="20"/>
                <w:szCs w:val="20"/>
              </w:rPr>
            </w:pPr>
            <w:r>
              <w:rPr>
                <w:color w:val="000000"/>
                <w:sz w:val="20"/>
                <w:szCs w:val="20"/>
              </w:rPr>
              <w:t>Выработано тепловой энергии</w:t>
            </w:r>
          </w:p>
        </w:tc>
        <w:tc>
          <w:tcPr>
            <w:tcW w:w="1505" w:type="dxa"/>
            <w:shd w:val="clear" w:color="auto" w:fill="auto"/>
            <w:noWrap/>
            <w:tcMar>
              <w:left w:w="28" w:type="dxa"/>
              <w:right w:w="28" w:type="dxa"/>
            </w:tcMar>
            <w:vAlign w:val="center"/>
          </w:tcPr>
          <w:p w14:paraId="50AEC178">
            <w:pPr>
              <w:spacing w:after="0" w:line="240" w:lineRule="auto"/>
              <w:ind w:firstLine="0"/>
              <w:jc w:val="center"/>
              <w:rPr>
                <w:color w:val="000000"/>
                <w:sz w:val="20"/>
                <w:szCs w:val="20"/>
              </w:rPr>
            </w:pPr>
            <w:r>
              <w:rPr>
                <w:color w:val="000000"/>
                <w:sz w:val="20"/>
                <w:szCs w:val="20"/>
              </w:rPr>
              <w:t>Гкал</w:t>
            </w:r>
          </w:p>
        </w:tc>
        <w:tc>
          <w:tcPr>
            <w:tcW w:w="1156" w:type="dxa"/>
            <w:shd w:val="clear" w:color="auto" w:fill="auto"/>
            <w:noWrap/>
            <w:tcMar>
              <w:left w:w="28" w:type="dxa"/>
              <w:right w:w="28" w:type="dxa"/>
            </w:tcMar>
            <w:vAlign w:val="center"/>
          </w:tcPr>
          <w:p w14:paraId="47CB9E4E">
            <w:pPr>
              <w:spacing w:after="0" w:line="240" w:lineRule="auto"/>
              <w:ind w:firstLine="0"/>
              <w:jc w:val="center"/>
              <w:rPr>
                <w:color w:val="000000"/>
                <w:sz w:val="20"/>
                <w:szCs w:val="20"/>
              </w:rPr>
            </w:pPr>
            <w:r>
              <w:rPr>
                <w:bCs/>
                <w:color w:val="000000"/>
                <w:sz w:val="20"/>
                <w:szCs w:val="20"/>
              </w:rPr>
              <w:t>3217,822</w:t>
            </w:r>
          </w:p>
        </w:tc>
        <w:tc>
          <w:tcPr>
            <w:tcW w:w="1108" w:type="dxa"/>
            <w:shd w:val="clear" w:color="auto" w:fill="auto"/>
            <w:noWrap/>
            <w:tcMar>
              <w:left w:w="28" w:type="dxa"/>
              <w:right w:w="28" w:type="dxa"/>
            </w:tcMar>
            <w:vAlign w:val="center"/>
          </w:tcPr>
          <w:p w14:paraId="6BD6BA56">
            <w:pPr>
              <w:spacing w:after="0" w:line="240" w:lineRule="auto"/>
              <w:ind w:firstLine="0"/>
              <w:jc w:val="center"/>
              <w:rPr>
                <w:color w:val="000000"/>
                <w:sz w:val="20"/>
                <w:szCs w:val="20"/>
              </w:rPr>
            </w:pPr>
            <w:r>
              <w:rPr>
                <w:bCs/>
                <w:color w:val="000000"/>
                <w:sz w:val="20"/>
                <w:szCs w:val="20"/>
              </w:rPr>
              <w:t>3265,805</w:t>
            </w:r>
          </w:p>
        </w:tc>
        <w:tc>
          <w:tcPr>
            <w:tcW w:w="1108" w:type="dxa"/>
            <w:shd w:val="clear" w:color="auto" w:fill="auto"/>
            <w:noWrap/>
            <w:tcMar>
              <w:left w:w="28" w:type="dxa"/>
              <w:right w:w="28" w:type="dxa"/>
            </w:tcMar>
            <w:vAlign w:val="center"/>
          </w:tcPr>
          <w:p w14:paraId="670125F3">
            <w:pPr>
              <w:spacing w:after="0" w:line="240" w:lineRule="auto"/>
              <w:ind w:firstLine="0"/>
              <w:jc w:val="center"/>
              <w:rPr>
                <w:color w:val="000000"/>
                <w:sz w:val="20"/>
                <w:szCs w:val="20"/>
              </w:rPr>
            </w:pPr>
            <w:r>
              <w:rPr>
                <w:bCs/>
                <w:color w:val="000000"/>
                <w:sz w:val="20"/>
                <w:szCs w:val="20"/>
              </w:rPr>
              <w:t>3265,805</w:t>
            </w:r>
          </w:p>
        </w:tc>
        <w:tc>
          <w:tcPr>
            <w:tcW w:w="1107" w:type="dxa"/>
            <w:shd w:val="clear" w:color="auto" w:fill="auto"/>
            <w:noWrap/>
            <w:tcMar>
              <w:left w:w="28" w:type="dxa"/>
              <w:right w:w="28" w:type="dxa"/>
            </w:tcMar>
            <w:vAlign w:val="center"/>
          </w:tcPr>
          <w:p w14:paraId="6423AC09">
            <w:pPr>
              <w:spacing w:after="0" w:line="240" w:lineRule="auto"/>
              <w:ind w:firstLine="0"/>
              <w:jc w:val="center"/>
              <w:rPr>
                <w:color w:val="000000"/>
                <w:sz w:val="20"/>
                <w:szCs w:val="20"/>
              </w:rPr>
            </w:pPr>
            <w:r>
              <w:rPr>
                <w:bCs/>
                <w:color w:val="000000"/>
                <w:sz w:val="20"/>
                <w:szCs w:val="20"/>
              </w:rPr>
              <w:t>3265,805</w:t>
            </w:r>
          </w:p>
        </w:tc>
        <w:tc>
          <w:tcPr>
            <w:tcW w:w="1107" w:type="dxa"/>
            <w:shd w:val="clear" w:color="auto" w:fill="auto"/>
            <w:noWrap/>
            <w:tcMar>
              <w:left w:w="28" w:type="dxa"/>
              <w:right w:w="28" w:type="dxa"/>
            </w:tcMar>
            <w:vAlign w:val="center"/>
          </w:tcPr>
          <w:p w14:paraId="13988D01">
            <w:pPr>
              <w:spacing w:after="0" w:line="240" w:lineRule="auto"/>
              <w:ind w:firstLine="0"/>
              <w:jc w:val="center"/>
              <w:rPr>
                <w:color w:val="000000"/>
                <w:sz w:val="20"/>
                <w:szCs w:val="20"/>
              </w:rPr>
            </w:pPr>
            <w:r>
              <w:rPr>
                <w:bCs/>
                <w:color w:val="000000"/>
                <w:sz w:val="20"/>
                <w:szCs w:val="20"/>
              </w:rPr>
              <w:t>3265,805</w:t>
            </w:r>
          </w:p>
        </w:tc>
        <w:tc>
          <w:tcPr>
            <w:tcW w:w="1108" w:type="dxa"/>
            <w:shd w:val="clear" w:color="auto" w:fill="auto"/>
            <w:noWrap/>
            <w:tcMar>
              <w:left w:w="28" w:type="dxa"/>
              <w:right w:w="28" w:type="dxa"/>
            </w:tcMar>
            <w:vAlign w:val="center"/>
          </w:tcPr>
          <w:p w14:paraId="41557896">
            <w:pPr>
              <w:spacing w:after="0" w:line="240" w:lineRule="auto"/>
              <w:ind w:firstLine="0"/>
              <w:jc w:val="center"/>
              <w:rPr>
                <w:color w:val="000000"/>
                <w:sz w:val="20"/>
                <w:szCs w:val="20"/>
              </w:rPr>
            </w:pPr>
            <w:r>
              <w:rPr>
                <w:bCs/>
                <w:color w:val="000000"/>
                <w:sz w:val="20"/>
                <w:szCs w:val="20"/>
              </w:rPr>
              <w:t>3265,805</w:t>
            </w:r>
          </w:p>
        </w:tc>
        <w:tc>
          <w:tcPr>
            <w:tcW w:w="1246" w:type="dxa"/>
            <w:shd w:val="clear" w:color="auto" w:fill="auto"/>
            <w:noWrap/>
            <w:tcMar>
              <w:left w:w="28" w:type="dxa"/>
              <w:right w:w="28" w:type="dxa"/>
            </w:tcMar>
            <w:vAlign w:val="center"/>
          </w:tcPr>
          <w:p w14:paraId="11D3CCDB">
            <w:pPr>
              <w:spacing w:after="0" w:line="240" w:lineRule="auto"/>
              <w:ind w:firstLine="0"/>
              <w:jc w:val="center"/>
              <w:rPr>
                <w:color w:val="000000"/>
                <w:sz w:val="20"/>
                <w:szCs w:val="20"/>
              </w:rPr>
            </w:pPr>
            <w:r>
              <w:rPr>
                <w:bCs/>
                <w:color w:val="000000"/>
                <w:sz w:val="20"/>
                <w:szCs w:val="20"/>
              </w:rPr>
              <w:t>3265,805</w:t>
            </w:r>
          </w:p>
        </w:tc>
      </w:tr>
      <w:tr w14:paraId="442E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tcMar>
              <w:left w:w="28" w:type="dxa"/>
              <w:right w:w="28" w:type="dxa"/>
            </w:tcMar>
            <w:vAlign w:val="center"/>
          </w:tcPr>
          <w:p w14:paraId="08A33F29">
            <w:pPr>
              <w:spacing w:after="0" w:line="240" w:lineRule="auto"/>
              <w:ind w:firstLine="0"/>
              <w:rPr>
                <w:color w:val="000000"/>
                <w:sz w:val="20"/>
                <w:szCs w:val="20"/>
              </w:rPr>
            </w:pPr>
            <w:r>
              <w:rPr>
                <w:color w:val="000000"/>
                <w:sz w:val="20"/>
                <w:szCs w:val="20"/>
              </w:rPr>
              <w:t>Отпуск в сеть</w:t>
            </w:r>
          </w:p>
        </w:tc>
        <w:tc>
          <w:tcPr>
            <w:tcW w:w="1505" w:type="dxa"/>
            <w:shd w:val="clear" w:color="auto" w:fill="auto"/>
            <w:noWrap/>
            <w:tcMar>
              <w:left w:w="28" w:type="dxa"/>
              <w:right w:w="28" w:type="dxa"/>
            </w:tcMar>
            <w:vAlign w:val="center"/>
          </w:tcPr>
          <w:p w14:paraId="5EF1FF08">
            <w:pPr>
              <w:spacing w:after="0" w:line="240" w:lineRule="auto"/>
              <w:ind w:firstLine="0"/>
              <w:jc w:val="center"/>
              <w:rPr>
                <w:color w:val="000000"/>
                <w:sz w:val="20"/>
                <w:szCs w:val="20"/>
              </w:rPr>
            </w:pPr>
            <w:r>
              <w:rPr>
                <w:color w:val="000000"/>
                <w:sz w:val="20"/>
                <w:szCs w:val="20"/>
              </w:rPr>
              <w:t>Гкал</w:t>
            </w:r>
          </w:p>
        </w:tc>
        <w:tc>
          <w:tcPr>
            <w:tcW w:w="1156" w:type="dxa"/>
            <w:shd w:val="clear" w:color="auto" w:fill="auto"/>
            <w:noWrap/>
            <w:tcMar>
              <w:left w:w="28" w:type="dxa"/>
              <w:right w:w="28" w:type="dxa"/>
            </w:tcMar>
            <w:vAlign w:val="center"/>
          </w:tcPr>
          <w:p w14:paraId="68FCFABB">
            <w:pPr>
              <w:spacing w:after="0" w:line="240" w:lineRule="auto"/>
              <w:ind w:firstLine="0"/>
              <w:jc w:val="center"/>
              <w:rPr>
                <w:color w:val="000000"/>
                <w:sz w:val="20"/>
                <w:szCs w:val="20"/>
              </w:rPr>
            </w:pPr>
            <w:r>
              <w:rPr>
                <w:bCs/>
                <w:color w:val="000000"/>
                <w:sz w:val="20"/>
                <w:szCs w:val="20"/>
              </w:rPr>
              <w:t>3145,100</w:t>
            </w:r>
          </w:p>
        </w:tc>
        <w:tc>
          <w:tcPr>
            <w:tcW w:w="1108" w:type="dxa"/>
            <w:shd w:val="clear" w:color="auto" w:fill="auto"/>
            <w:noWrap/>
            <w:tcMar>
              <w:left w:w="28" w:type="dxa"/>
              <w:right w:w="28" w:type="dxa"/>
            </w:tcMar>
            <w:vAlign w:val="center"/>
          </w:tcPr>
          <w:p w14:paraId="36F51FB4">
            <w:pPr>
              <w:spacing w:after="0" w:line="240" w:lineRule="auto"/>
              <w:ind w:firstLine="0"/>
              <w:jc w:val="center"/>
              <w:rPr>
                <w:color w:val="000000"/>
                <w:sz w:val="20"/>
                <w:szCs w:val="20"/>
              </w:rPr>
            </w:pPr>
            <w:r>
              <w:rPr>
                <w:bCs/>
                <w:color w:val="000000"/>
                <w:sz w:val="20"/>
                <w:szCs w:val="20"/>
              </w:rPr>
              <w:t>3192,000</w:t>
            </w:r>
          </w:p>
        </w:tc>
        <w:tc>
          <w:tcPr>
            <w:tcW w:w="1108" w:type="dxa"/>
            <w:shd w:val="clear" w:color="auto" w:fill="auto"/>
            <w:noWrap/>
            <w:tcMar>
              <w:left w:w="28" w:type="dxa"/>
              <w:right w:w="28" w:type="dxa"/>
            </w:tcMar>
            <w:vAlign w:val="center"/>
          </w:tcPr>
          <w:p w14:paraId="6BA86966">
            <w:pPr>
              <w:spacing w:after="0" w:line="240" w:lineRule="auto"/>
              <w:ind w:firstLine="0"/>
              <w:jc w:val="center"/>
              <w:rPr>
                <w:color w:val="000000"/>
                <w:sz w:val="20"/>
                <w:szCs w:val="20"/>
              </w:rPr>
            </w:pPr>
            <w:r>
              <w:rPr>
                <w:bCs/>
                <w:color w:val="000000"/>
                <w:sz w:val="20"/>
                <w:szCs w:val="20"/>
              </w:rPr>
              <w:t>3192,000</w:t>
            </w:r>
          </w:p>
        </w:tc>
        <w:tc>
          <w:tcPr>
            <w:tcW w:w="1107" w:type="dxa"/>
            <w:shd w:val="clear" w:color="auto" w:fill="auto"/>
            <w:noWrap/>
            <w:tcMar>
              <w:left w:w="28" w:type="dxa"/>
              <w:right w:w="28" w:type="dxa"/>
            </w:tcMar>
            <w:vAlign w:val="center"/>
          </w:tcPr>
          <w:p w14:paraId="00950A3A">
            <w:pPr>
              <w:spacing w:after="0" w:line="240" w:lineRule="auto"/>
              <w:ind w:firstLine="0"/>
              <w:jc w:val="center"/>
              <w:rPr>
                <w:color w:val="000000"/>
                <w:sz w:val="20"/>
                <w:szCs w:val="20"/>
              </w:rPr>
            </w:pPr>
            <w:r>
              <w:rPr>
                <w:bCs/>
                <w:color w:val="000000"/>
                <w:sz w:val="20"/>
                <w:szCs w:val="20"/>
              </w:rPr>
              <w:t>3192,000</w:t>
            </w:r>
          </w:p>
        </w:tc>
        <w:tc>
          <w:tcPr>
            <w:tcW w:w="1107" w:type="dxa"/>
            <w:shd w:val="clear" w:color="auto" w:fill="auto"/>
            <w:noWrap/>
            <w:tcMar>
              <w:left w:w="28" w:type="dxa"/>
              <w:right w:w="28" w:type="dxa"/>
            </w:tcMar>
            <w:vAlign w:val="center"/>
          </w:tcPr>
          <w:p w14:paraId="6F4A4F84">
            <w:pPr>
              <w:spacing w:after="0" w:line="240" w:lineRule="auto"/>
              <w:ind w:firstLine="0"/>
              <w:jc w:val="center"/>
              <w:rPr>
                <w:color w:val="000000"/>
                <w:sz w:val="20"/>
                <w:szCs w:val="20"/>
              </w:rPr>
            </w:pPr>
            <w:r>
              <w:rPr>
                <w:bCs/>
                <w:color w:val="000000"/>
                <w:sz w:val="20"/>
                <w:szCs w:val="20"/>
              </w:rPr>
              <w:t>3192,000</w:t>
            </w:r>
          </w:p>
        </w:tc>
        <w:tc>
          <w:tcPr>
            <w:tcW w:w="1108" w:type="dxa"/>
            <w:shd w:val="clear" w:color="auto" w:fill="auto"/>
            <w:noWrap/>
            <w:tcMar>
              <w:left w:w="28" w:type="dxa"/>
              <w:right w:w="28" w:type="dxa"/>
            </w:tcMar>
            <w:vAlign w:val="center"/>
          </w:tcPr>
          <w:p w14:paraId="751F4BD0">
            <w:pPr>
              <w:spacing w:after="0" w:line="240" w:lineRule="auto"/>
              <w:ind w:firstLine="0"/>
              <w:jc w:val="center"/>
              <w:rPr>
                <w:color w:val="000000"/>
                <w:sz w:val="20"/>
                <w:szCs w:val="20"/>
              </w:rPr>
            </w:pPr>
            <w:r>
              <w:rPr>
                <w:bCs/>
                <w:color w:val="000000"/>
                <w:sz w:val="20"/>
                <w:szCs w:val="20"/>
              </w:rPr>
              <w:t>3192,000</w:t>
            </w:r>
          </w:p>
        </w:tc>
        <w:tc>
          <w:tcPr>
            <w:tcW w:w="1246" w:type="dxa"/>
            <w:shd w:val="clear" w:color="auto" w:fill="auto"/>
            <w:noWrap/>
            <w:tcMar>
              <w:left w:w="28" w:type="dxa"/>
              <w:right w:w="28" w:type="dxa"/>
            </w:tcMar>
            <w:vAlign w:val="center"/>
          </w:tcPr>
          <w:p w14:paraId="2E81CC3C">
            <w:pPr>
              <w:spacing w:after="0" w:line="240" w:lineRule="auto"/>
              <w:ind w:firstLine="0"/>
              <w:jc w:val="center"/>
              <w:rPr>
                <w:color w:val="000000"/>
                <w:sz w:val="20"/>
                <w:szCs w:val="20"/>
              </w:rPr>
            </w:pPr>
            <w:r>
              <w:rPr>
                <w:bCs/>
                <w:color w:val="000000"/>
                <w:sz w:val="20"/>
                <w:szCs w:val="20"/>
              </w:rPr>
              <w:t>3192,000</w:t>
            </w:r>
          </w:p>
        </w:tc>
      </w:tr>
      <w:tr w14:paraId="50CD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7475B37D">
            <w:pPr>
              <w:spacing w:after="0" w:line="240" w:lineRule="auto"/>
              <w:ind w:firstLine="0"/>
              <w:jc w:val="center"/>
              <w:rPr>
                <w:color w:val="000000"/>
                <w:sz w:val="20"/>
                <w:szCs w:val="20"/>
              </w:rPr>
            </w:pPr>
            <w:r>
              <w:rPr>
                <w:color w:val="000000"/>
                <w:sz w:val="20"/>
                <w:szCs w:val="20"/>
              </w:rPr>
              <w:t>КС «Верхнеказымская», котельные «Вирбекс», «2БВК»</w:t>
            </w:r>
          </w:p>
        </w:tc>
        <w:tc>
          <w:tcPr>
            <w:tcW w:w="1505" w:type="dxa"/>
            <w:shd w:val="clear" w:color="auto" w:fill="auto"/>
            <w:noWrap/>
            <w:tcMar>
              <w:left w:w="28" w:type="dxa"/>
              <w:right w:w="28" w:type="dxa"/>
            </w:tcMar>
            <w:vAlign w:val="center"/>
          </w:tcPr>
          <w:p w14:paraId="7188F239">
            <w:pPr>
              <w:spacing w:after="0" w:line="240" w:lineRule="auto"/>
              <w:ind w:firstLine="0"/>
              <w:rPr>
                <w:color w:val="000000"/>
                <w:sz w:val="20"/>
                <w:szCs w:val="20"/>
              </w:rPr>
            </w:pPr>
            <w:r>
              <w:rPr>
                <w:color w:val="000000"/>
                <w:sz w:val="20"/>
                <w:szCs w:val="20"/>
              </w:rPr>
              <w:t> </w:t>
            </w:r>
          </w:p>
        </w:tc>
        <w:tc>
          <w:tcPr>
            <w:tcW w:w="1156" w:type="dxa"/>
            <w:shd w:val="clear" w:color="auto" w:fill="auto"/>
            <w:noWrap/>
            <w:tcMar>
              <w:left w:w="28" w:type="dxa"/>
              <w:right w:w="28" w:type="dxa"/>
            </w:tcMar>
            <w:vAlign w:val="center"/>
          </w:tcPr>
          <w:p w14:paraId="66EE6F7F">
            <w:pPr>
              <w:spacing w:after="0" w:line="240" w:lineRule="auto"/>
              <w:ind w:firstLine="0"/>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2BDB1422">
            <w:pPr>
              <w:spacing w:after="0" w:line="240" w:lineRule="auto"/>
              <w:ind w:firstLine="0"/>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588E682B">
            <w:pPr>
              <w:spacing w:after="0" w:line="240" w:lineRule="auto"/>
              <w:ind w:firstLine="0"/>
              <w:rPr>
                <w:color w:val="000000"/>
                <w:sz w:val="20"/>
                <w:szCs w:val="20"/>
              </w:rPr>
            </w:pPr>
            <w:r>
              <w:rPr>
                <w:color w:val="000000"/>
                <w:sz w:val="20"/>
                <w:szCs w:val="20"/>
              </w:rPr>
              <w:t> </w:t>
            </w:r>
          </w:p>
        </w:tc>
        <w:tc>
          <w:tcPr>
            <w:tcW w:w="1107" w:type="dxa"/>
            <w:shd w:val="clear" w:color="auto" w:fill="auto"/>
            <w:noWrap/>
            <w:tcMar>
              <w:left w:w="28" w:type="dxa"/>
              <w:right w:w="28" w:type="dxa"/>
            </w:tcMar>
            <w:vAlign w:val="center"/>
          </w:tcPr>
          <w:p w14:paraId="28962074">
            <w:pPr>
              <w:spacing w:after="0" w:line="240" w:lineRule="auto"/>
              <w:ind w:firstLine="0"/>
              <w:rPr>
                <w:color w:val="000000"/>
                <w:sz w:val="20"/>
                <w:szCs w:val="20"/>
              </w:rPr>
            </w:pPr>
            <w:r>
              <w:rPr>
                <w:color w:val="000000"/>
                <w:sz w:val="20"/>
                <w:szCs w:val="20"/>
              </w:rPr>
              <w:t> </w:t>
            </w:r>
          </w:p>
        </w:tc>
        <w:tc>
          <w:tcPr>
            <w:tcW w:w="1107" w:type="dxa"/>
            <w:shd w:val="clear" w:color="auto" w:fill="auto"/>
            <w:noWrap/>
            <w:tcMar>
              <w:left w:w="28" w:type="dxa"/>
              <w:right w:w="28" w:type="dxa"/>
            </w:tcMar>
            <w:vAlign w:val="center"/>
          </w:tcPr>
          <w:p w14:paraId="22DCCA75">
            <w:pPr>
              <w:spacing w:after="0" w:line="240" w:lineRule="auto"/>
              <w:ind w:firstLine="0"/>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6963BD81">
            <w:pPr>
              <w:spacing w:after="0" w:line="240" w:lineRule="auto"/>
              <w:ind w:firstLine="0"/>
              <w:rPr>
                <w:color w:val="000000"/>
                <w:sz w:val="20"/>
                <w:szCs w:val="20"/>
              </w:rPr>
            </w:pPr>
            <w:r>
              <w:rPr>
                <w:color w:val="000000"/>
                <w:sz w:val="20"/>
                <w:szCs w:val="20"/>
              </w:rPr>
              <w:t> </w:t>
            </w:r>
          </w:p>
        </w:tc>
        <w:tc>
          <w:tcPr>
            <w:tcW w:w="1246" w:type="dxa"/>
            <w:shd w:val="clear" w:color="auto" w:fill="auto"/>
            <w:noWrap/>
            <w:tcMar>
              <w:left w:w="28" w:type="dxa"/>
              <w:right w:w="28" w:type="dxa"/>
            </w:tcMar>
            <w:vAlign w:val="center"/>
          </w:tcPr>
          <w:p w14:paraId="092210F3">
            <w:pPr>
              <w:spacing w:after="0" w:line="240" w:lineRule="auto"/>
              <w:ind w:firstLine="0"/>
              <w:rPr>
                <w:color w:val="000000"/>
                <w:sz w:val="20"/>
                <w:szCs w:val="20"/>
              </w:rPr>
            </w:pPr>
            <w:r>
              <w:rPr>
                <w:color w:val="000000"/>
                <w:sz w:val="20"/>
                <w:szCs w:val="20"/>
              </w:rPr>
              <w:t> </w:t>
            </w:r>
          </w:p>
        </w:tc>
      </w:tr>
      <w:tr w14:paraId="63F7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0D36997E">
            <w:pPr>
              <w:spacing w:after="0" w:line="240" w:lineRule="auto"/>
              <w:ind w:firstLine="0"/>
              <w:rPr>
                <w:color w:val="000000"/>
                <w:sz w:val="20"/>
                <w:szCs w:val="20"/>
              </w:rPr>
            </w:pPr>
            <w:r>
              <w:rPr>
                <w:color w:val="000000"/>
                <w:sz w:val="20"/>
                <w:szCs w:val="20"/>
              </w:rPr>
              <w:t>Установленная мощность</w:t>
            </w:r>
          </w:p>
        </w:tc>
        <w:tc>
          <w:tcPr>
            <w:tcW w:w="1505" w:type="dxa"/>
            <w:shd w:val="clear" w:color="auto" w:fill="auto"/>
            <w:tcMar>
              <w:left w:w="28" w:type="dxa"/>
              <w:right w:w="28" w:type="dxa"/>
            </w:tcMar>
            <w:vAlign w:val="center"/>
          </w:tcPr>
          <w:p w14:paraId="7DB2CB8D">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615679AD">
            <w:pPr>
              <w:spacing w:after="0" w:line="240" w:lineRule="auto"/>
              <w:ind w:firstLine="0"/>
              <w:jc w:val="center"/>
              <w:rPr>
                <w:color w:val="000000"/>
                <w:sz w:val="20"/>
                <w:szCs w:val="20"/>
              </w:rPr>
            </w:pPr>
            <w:r>
              <w:rPr>
                <w:color w:val="000000"/>
                <w:sz w:val="20"/>
                <w:szCs w:val="20"/>
              </w:rPr>
              <w:t>47,72</w:t>
            </w:r>
          </w:p>
        </w:tc>
        <w:tc>
          <w:tcPr>
            <w:tcW w:w="1108" w:type="dxa"/>
            <w:shd w:val="clear" w:color="auto" w:fill="auto"/>
            <w:noWrap/>
            <w:tcMar>
              <w:left w:w="28" w:type="dxa"/>
              <w:right w:w="28" w:type="dxa"/>
            </w:tcMar>
            <w:vAlign w:val="center"/>
          </w:tcPr>
          <w:p w14:paraId="25943599">
            <w:pPr>
              <w:spacing w:after="0" w:line="240" w:lineRule="auto"/>
              <w:ind w:firstLine="0"/>
              <w:jc w:val="center"/>
              <w:rPr>
                <w:color w:val="000000"/>
                <w:sz w:val="20"/>
                <w:szCs w:val="20"/>
              </w:rPr>
            </w:pPr>
            <w:r>
              <w:rPr>
                <w:color w:val="000000"/>
                <w:sz w:val="20"/>
                <w:szCs w:val="20"/>
              </w:rPr>
              <w:t>47,72</w:t>
            </w:r>
          </w:p>
        </w:tc>
        <w:tc>
          <w:tcPr>
            <w:tcW w:w="1108" w:type="dxa"/>
            <w:shd w:val="clear" w:color="auto" w:fill="auto"/>
            <w:noWrap/>
            <w:tcMar>
              <w:left w:w="28" w:type="dxa"/>
              <w:right w:w="28" w:type="dxa"/>
            </w:tcMar>
            <w:vAlign w:val="center"/>
          </w:tcPr>
          <w:p w14:paraId="0245D0CD">
            <w:pPr>
              <w:spacing w:after="0" w:line="240" w:lineRule="auto"/>
              <w:ind w:firstLine="0"/>
              <w:jc w:val="center"/>
              <w:rPr>
                <w:color w:val="000000"/>
                <w:sz w:val="20"/>
                <w:szCs w:val="20"/>
              </w:rPr>
            </w:pPr>
            <w:r>
              <w:rPr>
                <w:color w:val="000000"/>
                <w:sz w:val="20"/>
                <w:szCs w:val="20"/>
              </w:rPr>
              <w:t>47,72</w:t>
            </w:r>
          </w:p>
        </w:tc>
        <w:tc>
          <w:tcPr>
            <w:tcW w:w="1107" w:type="dxa"/>
            <w:shd w:val="clear" w:color="auto" w:fill="auto"/>
            <w:noWrap/>
            <w:tcMar>
              <w:left w:w="28" w:type="dxa"/>
              <w:right w:w="28" w:type="dxa"/>
            </w:tcMar>
            <w:vAlign w:val="center"/>
          </w:tcPr>
          <w:p w14:paraId="58CE91F6">
            <w:pPr>
              <w:spacing w:after="0" w:line="240" w:lineRule="auto"/>
              <w:ind w:firstLine="0"/>
              <w:jc w:val="center"/>
              <w:rPr>
                <w:color w:val="000000"/>
                <w:sz w:val="20"/>
                <w:szCs w:val="20"/>
              </w:rPr>
            </w:pPr>
            <w:r>
              <w:rPr>
                <w:color w:val="000000"/>
                <w:sz w:val="20"/>
                <w:szCs w:val="20"/>
              </w:rPr>
              <w:t>47,72</w:t>
            </w:r>
          </w:p>
        </w:tc>
        <w:tc>
          <w:tcPr>
            <w:tcW w:w="1107" w:type="dxa"/>
            <w:shd w:val="clear" w:color="auto" w:fill="auto"/>
            <w:noWrap/>
            <w:tcMar>
              <w:left w:w="28" w:type="dxa"/>
              <w:right w:w="28" w:type="dxa"/>
            </w:tcMar>
            <w:vAlign w:val="center"/>
          </w:tcPr>
          <w:p w14:paraId="37ADFF68">
            <w:pPr>
              <w:spacing w:after="0" w:line="240" w:lineRule="auto"/>
              <w:ind w:firstLine="0"/>
              <w:jc w:val="center"/>
              <w:rPr>
                <w:color w:val="000000"/>
                <w:sz w:val="20"/>
                <w:szCs w:val="20"/>
              </w:rPr>
            </w:pPr>
            <w:r>
              <w:rPr>
                <w:color w:val="000000"/>
                <w:sz w:val="20"/>
                <w:szCs w:val="20"/>
              </w:rPr>
              <w:t>47,72</w:t>
            </w:r>
          </w:p>
        </w:tc>
        <w:tc>
          <w:tcPr>
            <w:tcW w:w="1108" w:type="dxa"/>
            <w:shd w:val="clear" w:color="auto" w:fill="auto"/>
            <w:noWrap/>
            <w:tcMar>
              <w:left w:w="28" w:type="dxa"/>
              <w:right w:w="28" w:type="dxa"/>
            </w:tcMar>
            <w:vAlign w:val="center"/>
          </w:tcPr>
          <w:p w14:paraId="0B6C5A36">
            <w:pPr>
              <w:spacing w:after="0" w:line="240" w:lineRule="auto"/>
              <w:ind w:firstLine="0"/>
              <w:jc w:val="center"/>
              <w:rPr>
                <w:color w:val="000000"/>
                <w:sz w:val="20"/>
                <w:szCs w:val="20"/>
              </w:rPr>
            </w:pPr>
            <w:r>
              <w:rPr>
                <w:color w:val="000000"/>
                <w:sz w:val="20"/>
                <w:szCs w:val="20"/>
              </w:rPr>
              <w:t>47,72</w:t>
            </w:r>
          </w:p>
        </w:tc>
        <w:tc>
          <w:tcPr>
            <w:tcW w:w="1246" w:type="dxa"/>
            <w:shd w:val="clear" w:color="auto" w:fill="auto"/>
            <w:noWrap/>
            <w:tcMar>
              <w:left w:w="28" w:type="dxa"/>
              <w:right w:w="28" w:type="dxa"/>
            </w:tcMar>
            <w:vAlign w:val="center"/>
          </w:tcPr>
          <w:p w14:paraId="3BA792EC">
            <w:pPr>
              <w:spacing w:after="0" w:line="240" w:lineRule="auto"/>
              <w:ind w:firstLine="0"/>
              <w:jc w:val="center"/>
              <w:rPr>
                <w:color w:val="000000"/>
                <w:sz w:val="20"/>
                <w:szCs w:val="20"/>
              </w:rPr>
            </w:pPr>
            <w:r>
              <w:rPr>
                <w:color w:val="000000"/>
                <w:sz w:val="20"/>
                <w:szCs w:val="20"/>
              </w:rPr>
              <w:t>47,72</w:t>
            </w:r>
          </w:p>
        </w:tc>
      </w:tr>
      <w:tr w14:paraId="22CB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0AB5AF32">
            <w:pPr>
              <w:spacing w:after="0" w:line="240" w:lineRule="auto"/>
              <w:ind w:firstLine="0"/>
              <w:rPr>
                <w:color w:val="000000"/>
                <w:sz w:val="20"/>
                <w:szCs w:val="20"/>
              </w:rPr>
            </w:pPr>
            <w:r>
              <w:rPr>
                <w:color w:val="000000"/>
                <w:sz w:val="20"/>
                <w:szCs w:val="20"/>
              </w:rPr>
              <w:t>Ограничение тепловой мощности</w:t>
            </w:r>
          </w:p>
        </w:tc>
        <w:tc>
          <w:tcPr>
            <w:tcW w:w="1505" w:type="dxa"/>
            <w:shd w:val="clear" w:color="auto" w:fill="auto"/>
            <w:tcMar>
              <w:left w:w="28" w:type="dxa"/>
              <w:right w:w="28" w:type="dxa"/>
            </w:tcMar>
            <w:vAlign w:val="center"/>
          </w:tcPr>
          <w:p w14:paraId="4E0917C8">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4905D9E3">
            <w:pPr>
              <w:spacing w:after="0" w:line="240" w:lineRule="auto"/>
              <w:ind w:firstLine="0"/>
              <w:jc w:val="center"/>
              <w:rPr>
                <w:color w:val="000000"/>
                <w:sz w:val="20"/>
                <w:szCs w:val="20"/>
              </w:rPr>
            </w:pPr>
            <w:r>
              <w:rPr>
                <w:color w:val="000000"/>
                <w:sz w:val="20"/>
                <w:szCs w:val="20"/>
              </w:rPr>
              <w:t>35,32</w:t>
            </w:r>
          </w:p>
        </w:tc>
        <w:tc>
          <w:tcPr>
            <w:tcW w:w="1108" w:type="dxa"/>
            <w:shd w:val="clear" w:color="auto" w:fill="auto"/>
            <w:noWrap/>
            <w:tcMar>
              <w:left w:w="28" w:type="dxa"/>
              <w:right w:w="28" w:type="dxa"/>
            </w:tcMar>
            <w:vAlign w:val="center"/>
          </w:tcPr>
          <w:p w14:paraId="6B60DC17">
            <w:pPr>
              <w:spacing w:after="0" w:line="240" w:lineRule="auto"/>
              <w:ind w:firstLine="0"/>
              <w:jc w:val="center"/>
              <w:rPr>
                <w:color w:val="000000"/>
                <w:sz w:val="20"/>
                <w:szCs w:val="20"/>
              </w:rPr>
            </w:pPr>
            <w:r>
              <w:rPr>
                <w:color w:val="000000"/>
                <w:sz w:val="20"/>
                <w:szCs w:val="20"/>
              </w:rPr>
              <w:t>35,32</w:t>
            </w:r>
          </w:p>
        </w:tc>
        <w:tc>
          <w:tcPr>
            <w:tcW w:w="1108" w:type="dxa"/>
            <w:shd w:val="clear" w:color="auto" w:fill="auto"/>
            <w:noWrap/>
            <w:tcMar>
              <w:left w:w="28" w:type="dxa"/>
              <w:right w:w="28" w:type="dxa"/>
            </w:tcMar>
            <w:vAlign w:val="center"/>
          </w:tcPr>
          <w:p w14:paraId="33EB1542">
            <w:pPr>
              <w:spacing w:after="0" w:line="240" w:lineRule="auto"/>
              <w:ind w:firstLine="0"/>
              <w:jc w:val="center"/>
              <w:rPr>
                <w:color w:val="000000"/>
                <w:sz w:val="20"/>
                <w:szCs w:val="20"/>
              </w:rPr>
            </w:pPr>
            <w:r>
              <w:rPr>
                <w:color w:val="000000"/>
                <w:sz w:val="20"/>
                <w:szCs w:val="20"/>
              </w:rPr>
              <w:t>35,32</w:t>
            </w:r>
          </w:p>
        </w:tc>
        <w:tc>
          <w:tcPr>
            <w:tcW w:w="1107" w:type="dxa"/>
            <w:shd w:val="clear" w:color="auto" w:fill="auto"/>
            <w:noWrap/>
            <w:tcMar>
              <w:left w:w="28" w:type="dxa"/>
              <w:right w:w="28" w:type="dxa"/>
            </w:tcMar>
            <w:vAlign w:val="center"/>
          </w:tcPr>
          <w:p w14:paraId="4D4C282B">
            <w:pPr>
              <w:spacing w:after="0" w:line="240" w:lineRule="auto"/>
              <w:ind w:firstLine="0"/>
              <w:jc w:val="center"/>
              <w:rPr>
                <w:color w:val="000000"/>
                <w:sz w:val="20"/>
                <w:szCs w:val="20"/>
              </w:rPr>
            </w:pPr>
            <w:r>
              <w:rPr>
                <w:color w:val="000000"/>
                <w:sz w:val="20"/>
                <w:szCs w:val="20"/>
              </w:rPr>
              <w:t>35,32</w:t>
            </w:r>
          </w:p>
        </w:tc>
        <w:tc>
          <w:tcPr>
            <w:tcW w:w="1107" w:type="dxa"/>
            <w:shd w:val="clear" w:color="auto" w:fill="auto"/>
            <w:noWrap/>
            <w:tcMar>
              <w:left w:w="28" w:type="dxa"/>
              <w:right w:w="28" w:type="dxa"/>
            </w:tcMar>
            <w:vAlign w:val="center"/>
          </w:tcPr>
          <w:p w14:paraId="5781428D">
            <w:pPr>
              <w:spacing w:after="0" w:line="240" w:lineRule="auto"/>
              <w:ind w:firstLine="0"/>
              <w:jc w:val="center"/>
              <w:rPr>
                <w:color w:val="000000"/>
                <w:sz w:val="20"/>
                <w:szCs w:val="20"/>
              </w:rPr>
            </w:pPr>
            <w:r>
              <w:rPr>
                <w:color w:val="000000"/>
                <w:sz w:val="20"/>
                <w:szCs w:val="20"/>
              </w:rPr>
              <w:t>35,32</w:t>
            </w:r>
          </w:p>
        </w:tc>
        <w:tc>
          <w:tcPr>
            <w:tcW w:w="1108" w:type="dxa"/>
            <w:shd w:val="clear" w:color="auto" w:fill="auto"/>
            <w:noWrap/>
            <w:tcMar>
              <w:left w:w="28" w:type="dxa"/>
              <w:right w:w="28" w:type="dxa"/>
            </w:tcMar>
            <w:vAlign w:val="center"/>
          </w:tcPr>
          <w:p w14:paraId="7709AFA8">
            <w:pPr>
              <w:spacing w:after="0" w:line="240" w:lineRule="auto"/>
              <w:ind w:firstLine="0"/>
              <w:jc w:val="center"/>
              <w:rPr>
                <w:color w:val="000000"/>
                <w:sz w:val="20"/>
                <w:szCs w:val="20"/>
              </w:rPr>
            </w:pPr>
            <w:r>
              <w:rPr>
                <w:color w:val="000000"/>
                <w:sz w:val="20"/>
                <w:szCs w:val="20"/>
              </w:rPr>
              <w:t>35,32</w:t>
            </w:r>
          </w:p>
        </w:tc>
        <w:tc>
          <w:tcPr>
            <w:tcW w:w="1246" w:type="dxa"/>
            <w:shd w:val="clear" w:color="auto" w:fill="auto"/>
            <w:noWrap/>
            <w:tcMar>
              <w:left w:w="28" w:type="dxa"/>
              <w:right w:w="28" w:type="dxa"/>
            </w:tcMar>
            <w:vAlign w:val="center"/>
          </w:tcPr>
          <w:p w14:paraId="3D47C43C">
            <w:pPr>
              <w:spacing w:after="0" w:line="240" w:lineRule="auto"/>
              <w:ind w:firstLine="0"/>
              <w:jc w:val="center"/>
              <w:rPr>
                <w:color w:val="000000"/>
                <w:sz w:val="20"/>
                <w:szCs w:val="20"/>
              </w:rPr>
            </w:pPr>
            <w:r>
              <w:rPr>
                <w:color w:val="000000"/>
                <w:sz w:val="20"/>
                <w:szCs w:val="20"/>
              </w:rPr>
              <w:t>35,32</w:t>
            </w:r>
          </w:p>
        </w:tc>
      </w:tr>
      <w:tr w14:paraId="2A06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78EF0CF7">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2AA97D64">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0BD5479D">
            <w:pPr>
              <w:spacing w:after="0" w:line="240" w:lineRule="auto"/>
              <w:ind w:firstLine="0"/>
              <w:jc w:val="center"/>
              <w:rPr>
                <w:color w:val="000000"/>
                <w:sz w:val="20"/>
                <w:szCs w:val="20"/>
              </w:rPr>
            </w:pPr>
            <w:r>
              <w:rPr>
                <w:color w:val="000000"/>
                <w:sz w:val="20"/>
                <w:szCs w:val="20"/>
              </w:rPr>
              <w:t>74,02</w:t>
            </w:r>
          </w:p>
        </w:tc>
        <w:tc>
          <w:tcPr>
            <w:tcW w:w="1108" w:type="dxa"/>
            <w:shd w:val="clear" w:color="auto" w:fill="auto"/>
            <w:noWrap/>
            <w:tcMar>
              <w:left w:w="28" w:type="dxa"/>
              <w:right w:w="28" w:type="dxa"/>
            </w:tcMar>
            <w:vAlign w:val="center"/>
          </w:tcPr>
          <w:p w14:paraId="78D943CD">
            <w:pPr>
              <w:spacing w:after="0" w:line="240" w:lineRule="auto"/>
              <w:ind w:firstLine="0"/>
              <w:jc w:val="center"/>
              <w:rPr>
                <w:color w:val="000000"/>
                <w:sz w:val="20"/>
                <w:szCs w:val="20"/>
              </w:rPr>
            </w:pPr>
            <w:r>
              <w:rPr>
                <w:color w:val="000000"/>
                <w:sz w:val="20"/>
                <w:szCs w:val="20"/>
              </w:rPr>
              <w:t>74,02</w:t>
            </w:r>
          </w:p>
        </w:tc>
        <w:tc>
          <w:tcPr>
            <w:tcW w:w="1108" w:type="dxa"/>
            <w:shd w:val="clear" w:color="auto" w:fill="auto"/>
            <w:noWrap/>
            <w:tcMar>
              <w:left w:w="28" w:type="dxa"/>
              <w:right w:w="28" w:type="dxa"/>
            </w:tcMar>
            <w:vAlign w:val="center"/>
          </w:tcPr>
          <w:p w14:paraId="195D3E03">
            <w:pPr>
              <w:spacing w:after="0" w:line="240" w:lineRule="auto"/>
              <w:ind w:firstLine="0"/>
              <w:jc w:val="center"/>
              <w:rPr>
                <w:color w:val="000000"/>
                <w:sz w:val="20"/>
                <w:szCs w:val="20"/>
              </w:rPr>
            </w:pPr>
            <w:r>
              <w:rPr>
                <w:color w:val="000000"/>
                <w:sz w:val="20"/>
                <w:szCs w:val="20"/>
              </w:rPr>
              <w:t>74,02</w:t>
            </w:r>
          </w:p>
        </w:tc>
        <w:tc>
          <w:tcPr>
            <w:tcW w:w="1107" w:type="dxa"/>
            <w:shd w:val="clear" w:color="auto" w:fill="auto"/>
            <w:noWrap/>
            <w:tcMar>
              <w:left w:w="28" w:type="dxa"/>
              <w:right w:w="28" w:type="dxa"/>
            </w:tcMar>
            <w:vAlign w:val="center"/>
          </w:tcPr>
          <w:p w14:paraId="3B307B9D">
            <w:pPr>
              <w:spacing w:after="0" w:line="240" w:lineRule="auto"/>
              <w:ind w:firstLine="0"/>
              <w:jc w:val="center"/>
              <w:rPr>
                <w:color w:val="000000"/>
                <w:sz w:val="20"/>
                <w:szCs w:val="20"/>
              </w:rPr>
            </w:pPr>
            <w:r>
              <w:rPr>
                <w:color w:val="000000"/>
                <w:sz w:val="20"/>
                <w:szCs w:val="20"/>
              </w:rPr>
              <w:t>74,02</w:t>
            </w:r>
          </w:p>
        </w:tc>
        <w:tc>
          <w:tcPr>
            <w:tcW w:w="1107" w:type="dxa"/>
            <w:shd w:val="clear" w:color="auto" w:fill="auto"/>
            <w:noWrap/>
            <w:tcMar>
              <w:left w:w="28" w:type="dxa"/>
              <w:right w:w="28" w:type="dxa"/>
            </w:tcMar>
            <w:vAlign w:val="center"/>
          </w:tcPr>
          <w:p w14:paraId="709788D8">
            <w:pPr>
              <w:spacing w:after="0" w:line="240" w:lineRule="auto"/>
              <w:ind w:firstLine="0"/>
              <w:jc w:val="center"/>
              <w:rPr>
                <w:color w:val="000000"/>
                <w:sz w:val="20"/>
                <w:szCs w:val="20"/>
              </w:rPr>
            </w:pPr>
            <w:r>
              <w:rPr>
                <w:color w:val="000000"/>
                <w:sz w:val="20"/>
                <w:szCs w:val="20"/>
              </w:rPr>
              <w:t>74,02</w:t>
            </w:r>
          </w:p>
        </w:tc>
        <w:tc>
          <w:tcPr>
            <w:tcW w:w="1108" w:type="dxa"/>
            <w:shd w:val="clear" w:color="auto" w:fill="auto"/>
            <w:noWrap/>
            <w:tcMar>
              <w:left w:w="28" w:type="dxa"/>
              <w:right w:w="28" w:type="dxa"/>
            </w:tcMar>
            <w:vAlign w:val="center"/>
          </w:tcPr>
          <w:p w14:paraId="4BA81D1B">
            <w:pPr>
              <w:spacing w:after="0" w:line="240" w:lineRule="auto"/>
              <w:ind w:firstLine="0"/>
              <w:jc w:val="center"/>
              <w:rPr>
                <w:color w:val="000000"/>
                <w:sz w:val="20"/>
                <w:szCs w:val="20"/>
              </w:rPr>
            </w:pPr>
            <w:r>
              <w:rPr>
                <w:color w:val="000000"/>
                <w:sz w:val="20"/>
                <w:szCs w:val="20"/>
              </w:rPr>
              <w:t>74,02</w:t>
            </w:r>
          </w:p>
        </w:tc>
        <w:tc>
          <w:tcPr>
            <w:tcW w:w="1246" w:type="dxa"/>
            <w:shd w:val="clear" w:color="auto" w:fill="auto"/>
            <w:noWrap/>
            <w:tcMar>
              <w:left w:w="28" w:type="dxa"/>
              <w:right w:w="28" w:type="dxa"/>
            </w:tcMar>
            <w:vAlign w:val="center"/>
          </w:tcPr>
          <w:p w14:paraId="4F1AD84F">
            <w:pPr>
              <w:spacing w:after="0" w:line="240" w:lineRule="auto"/>
              <w:ind w:firstLine="0"/>
              <w:jc w:val="center"/>
              <w:rPr>
                <w:color w:val="000000"/>
                <w:sz w:val="20"/>
                <w:szCs w:val="20"/>
              </w:rPr>
            </w:pPr>
            <w:r>
              <w:rPr>
                <w:color w:val="000000"/>
                <w:sz w:val="20"/>
                <w:szCs w:val="20"/>
              </w:rPr>
              <w:t>74,02</w:t>
            </w:r>
          </w:p>
        </w:tc>
      </w:tr>
      <w:tr w14:paraId="7F2E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744E4781">
            <w:pPr>
              <w:spacing w:after="0" w:line="240" w:lineRule="auto"/>
              <w:ind w:firstLine="0"/>
              <w:rPr>
                <w:color w:val="000000"/>
                <w:sz w:val="20"/>
                <w:szCs w:val="20"/>
              </w:rPr>
            </w:pPr>
            <w:r>
              <w:rPr>
                <w:color w:val="000000"/>
                <w:sz w:val="20"/>
                <w:szCs w:val="20"/>
              </w:rPr>
              <w:t>Располагаемая тепловая мощность</w:t>
            </w:r>
          </w:p>
        </w:tc>
        <w:tc>
          <w:tcPr>
            <w:tcW w:w="1505" w:type="dxa"/>
            <w:shd w:val="clear" w:color="auto" w:fill="auto"/>
            <w:tcMar>
              <w:left w:w="28" w:type="dxa"/>
              <w:right w:w="28" w:type="dxa"/>
            </w:tcMar>
            <w:vAlign w:val="center"/>
          </w:tcPr>
          <w:p w14:paraId="732CD992">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5F7DFA5E">
            <w:pPr>
              <w:spacing w:after="0" w:line="240" w:lineRule="auto"/>
              <w:ind w:firstLine="0"/>
              <w:jc w:val="center"/>
              <w:rPr>
                <w:color w:val="000000"/>
                <w:sz w:val="20"/>
                <w:szCs w:val="20"/>
              </w:rPr>
            </w:pPr>
            <w:r>
              <w:rPr>
                <w:color w:val="000000"/>
                <w:sz w:val="20"/>
                <w:szCs w:val="20"/>
              </w:rPr>
              <w:t>12,40</w:t>
            </w:r>
          </w:p>
        </w:tc>
        <w:tc>
          <w:tcPr>
            <w:tcW w:w="1108" w:type="dxa"/>
            <w:shd w:val="clear" w:color="auto" w:fill="auto"/>
            <w:noWrap/>
            <w:tcMar>
              <w:left w:w="28" w:type="dxa"/>
              <w:right w:w="28" w:type="dxa"/>
            </w:tcMar>
            <w:vAlign w:val="center"/>
          </w:tcPr>
          <w:p w14:paraId="04FD82B6">
            <w:pPr>
              <w:spacing w:after="0" w:line="240" w:lineRule="auto"/>
              <w:ind w:firstLine="0"/>
              <w:jc w:val="center"/>
              <w:rPr>
                <w:color w:val="000000"/>
                <w:sz w:val="20"/>
                <w:szCs w:val="20"/>
              </w:rPr>
            </w:pPr>
            <w:r>
              <w:rPr>
                <w:color w:val="000000"/>
                <w:sz w:val="20"/>
                <w:szCs w:val="20"/>
              </w:rPr>
              <w:t>12,40</w:t>
            </w:r>
          </w:p>
        </w:tc>
        <w:tc>
          <w:tcPr>
            <w:tcW w:w="1108" w:type="dxa"/>
            <w:shd w:val="clear" w:color="auto" w:fill="auto"/>
            <w:noWrap/>
            <w:tcMar>
              <w:left w:w="28" w:type="dxa"/>
              <w:right w:w="28" w:type="dxa"/>
            </w:tcMar>
            <w:vAlign w:val="center"/>
          </w:tcPr>
          <w:p w14:paraId="0758A868">
            <w:pPr>
              <w:spacing w:after="0" w:line="240" w:lineRule="auto"/>
              <w:ind w:firstLine="0"/>
              <w:jc w:val="center"/>
              <w:rPr>
                <w:color w:val="000000"/>
                <w:sz w:val="20"/>
                <w:szCs w:val="20"/>
              </w:rPr>
            </w:pPr>
            <w:r>
              <w:rPr>
                <w:color w:val="000000"/>
                <w:sz w:val="20"/>
                <w:szCs w:val="20"/>
              </w:rPr>
              <w:t>12,40</w:t>
            </w:r>
          </w:p>
        </w:tc>
        <w:tc>
          <w:tcPr>
            <w:tcW w:w="1107" w:type="dxa"/>
            <w:shd w:val="clear" w:color="auto" w:fill="auto"/>
            <w:noWrap/>
            <w:tcMar>
              <w:left w:w="28" w:type="dxa"/>
              <w:right w:w="28" w:type="dxa"/>
            </w:tcMar>
            <w:vAlign w:val="center"/>
          </w:tcPr>
          <w:p w14:paraId="760A6AEB">
            <w:pPr>
              <w:spacing w:after="0" w:line="240" w:lineRule="auto"/>
              <w:ind w:firstLine="0"/>
              <w:jc w:val="center"/>
              <w:rPr>
                <w:color w:val="000000"/>
                <w:sz w:val="20"/>
                <w:szCs w:val="20"/>
              </w:rPr>
            </w:pPr>
            <w:r>
              <w:rPr>
                <w:color w:val="000000"/>
                <w:sz w:val="20"/>
                <w:szCs w:val="20"/>
              </w:rPr>
              <w:t>12,40</w:t>
            </w:r>
          </w:p>
        </w:tc>
        <w:tc>
          <w:tcPr>
            <w:tcW w:w="1107" w:type="dxa"/>
            <w:shd w:val="clear" w:color="auto" w:fill="auto"/>
            <w:noWrap/>
            <w:tcMar>
              <w:left w:w="28" w:type="dxa"/>
              <w:right w:w="28" w:type="dxa"/>
            </w:tcMar>
            <w:vAlign w:val="center"/>
          </w:tcPr>
          <w:p w14:paraId="09CF95C8">
            <w:pPr>
              <w:spacing w:after="0" w:line="240" w:lineRule="auto"/>
              <w:ind w:firstLine="0"/>
              <w:jc w:val="center"/>
              <w:rPr>
                <w:color w:val="000000"/>
                <w:sz w:val="20"/>
                <w:szCs w:val="20"/>
              </w:rPr>
            </w:pPr>
            <w:r>
              <w:rPr>
                <w:color w:val="000000"/>
                <w:sz w:val="20"/>
                <w:szCs w:val="20"/>
              </w:rPr>
              <w:t>12,40</w:t>
            </w:r>
          </w:p>
        </w:tc>
        <w:tc>
          <w:tcPr>
            <w:tcW w:w="1108" w:type="dxa"/>
            <w:shd w:val="clear" w:color="auto" w:fill="auto"/>
            <w:noWrap/>
            <w:tcMar>
              <w:left w:w="28" w:type="dxa"/>
              <w:right w:w="28" w:type="dxa"/>
            </w:tcMar>
            <w:vAlign w:val="center"/>
          </w:tcPr>
          <w:p w14:paraId="4320A703">
            <w:pPr>
              <w:spacing w:after="0" w:line="240" w:lineRule="auto"/>
              <w:ind w:firstLine="0"/>
              <w:jc w:val="center"/>
              <w:rPr>
                <w:color w:val="000000"/>
                <w:sz w:val="20"/>
                <w:szCs w:val="20"/>
              </w:rPr>
            </w:pPr>
            <w:r>
              <w:rPr>
                <w:color w:val="000000"/>
                <w:sz w:val="20"/>
                <w:szCs w:val="20"/>
              </w:rPr>
              <w:t>12,40</w:t>
            </w:r>
          </w:p>
        </w:tc>
        <w:tc>
          <w:tcPr>
            <w:tcW w:w="1246" w:type="dxa"/>
            <w:shd w:val="clear" w:color="auto" w:fill="auto"/>
            <w:noWrap/>
            <w:tcMar>
              <w:left w:w="28" w:type="dxa"/>
              <w:right w:w="28" w:type="dxa"/>
            </w:tcMar>
            <w:vAlign w:val="center"/>
          </w:tcPr>
          <w:p w14:paraId="25CCF88E">
            <w:pPr>
              <w:spacing w:after="0" w:line="240" w:lineRule="auto"/>
              <w:ind w:firstLine="0"/>
              <w:jc w:val="center"/>
              <w:rPr>
                <w:color w:val="000000"/>
                <w:sz w:val="20"/>
                <w:szCs w:val="20"/>
              </w:rPr>
            </w:pPr>
            <w:r>
              <w:rPr>
                <w:color w:val="000000"/>
                <w:sz w:val="20"/>
                <w:szCs w:val="20"/>
              </w:rPr>
              <w:t>12,40</w:t>
            </w:r>
          </w:p>
        </w:tc>
      </w:tr>
      <w:tr w14:paraId="06C4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6D8F0D3A">
            <w:pPr>
              <w:spacing w:after="0" w:line="240" w:lineRule="auto"/>
              <w:ind w:firstLine="0"/>
              <w:rPr>
                <w:color w:val="000000"/>
                <w:sz w:val="20"/>
                <w:szCs w:val="20"/>
              </w:rPr>
            </w:pPr>
            <w:r>
              <w:rPr>
                <w:color w:val="000000"/>
                <w:sz w:val="20"/>
                <w:szCs w:val="20"/>
              </w:rPr>
              <w:t>Собственные и хозяйственные нужды</w:t>
            </w:r>
          </w:p>
        </w:tc>
        <w:tc>
          <w:tcPr>
            <w:tcW w:w="1505" w:type="dxa"/>
            <w:shd w:val="clear" w:color="auto" w:fill="auto"/>
            <w:tcMar>
              <w:left w:w="28" w:type="dxa"/>
              <w:right w:w="28" w:type="dxa"/>
            </w:tcMar>
            <w:vAlign w:val="center"/>
          </w:tcPr>
          <w:p w14:paraId="760F338E">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32DE3A49">
            <w:pPr>
              <w:spacing w:after="0" w:line="240" w:lineRule="auto"/>
              <w:ind w:firstLine="0"/>
              <w:jc w:val="center"/>
              <w:rPr>
                <w:color w:val="000000"/>
                <w:sz w:val="20"/>
                <w:szCs w:val="20"/>
              </w:rPr>
            </w:pPr>
            <w:r>
              <w:rPr>
                <w:color w:val="000000"/>
                <w:sz w:val="20"/>
                <w:szCs w:val="20"/>
              </w:rPr>
              <w:t>0,23</w:t>
            </w:r>
          </w:p>
        </w:tc>
        <w:tc>
          <w:tcPr>
            <w:tcW w:w="1108" w:type="dxa"/>
            <w:shd w:val="clear" w:color="auto" w:fill="auto"/>
            <w:noWrap/>
            <w:tcMar>
              <w:left w:w="28" w:type="dxa"/>
              <w:right w:w="28" w:type="dxa"/>
            </w:tcMar>
            <w:vAlign w:val="center"/>
          </w:tcPr>
          <w:p w14:paraId="4A382FEE">
            <w:pPr>
              <w:spacing w:after="0" w:line="240" w:lineRule="auto"/>
              <w:ind w:firstLine="0"/>
              <w:jc w:val="center"/>
              <w:rPr>
                <w:color w:val="000000"/>
                <w:sz w:val="20"/>
                <w:szCs w:val="20"/>
              </w:rPr>
            </w:pPr>
            <w:r>
              <w:rPr>
                <w:color w:val="000000"/>
                <w:sz w:val="20"/>
                <w:szCs w:val="20"/>
              </w:rPr>
              <w:t>0,23</w:t>
            </w:r>
          </w:p>
        </w:tc>
        <w:tc>
          <w:tcPr>
            <w:tcW w:w="1108" w:type="dxa"/>
            <w:shd w:val="clear" w:color="auto" w:fill="auto"/>
            <w:noWrap/>
            <w:tcMar>
              <w:left w:w="28" w:type="dxa"/>
              <w:right w:w="28" w:type="dxa"/>
            </w:tcMar>
            <w:vAlign w:val="center"/>
          </w:tcPr>
          <w:p w14:paraId="041E92F0">
            <w:pPr>
              <w:spacing w:after="0" w:line="240" w:lineRule="auto"/>
              <w:ind w:firstLine="0"/>
              <w:jc w:val="center"/>
              <w:rPr>
                <w:color w:val="000000"/>
                <w:sz w:val="20"/>
                <w:szCs w:val="20"/>
              </w:rPr>
            </w:pPr>
            <w:r>
              <w:rPr>
                <w:color w:val="000000"/>
                <w:sz w:val="20"/>
                <w:szCs w:val="20"/>
              </w:rPr>
              <w:t>0,23</w:t>
            </w:r>
          </w:p>
        </w:tc>
        <w:tc>
          <w:tcPr>
            <w:tcW w:w="1107" w:type="dxa"/>
            <w:shd w:val="clear" w:color="auto" w:fill="auto"/>
            <w:noWrap/>
            <w:tcMar>
              <w:left w:w="28" w:type="dxa"/>
              <w:right w:w="28" w:type="dxa"/>
            </w:tcMar>
            <w:vAlign w:val="center"/>
          </w:tcPr>
          <w:p w14:paraId="5367621D">
            <w:pPr>
              <w:spacing w:after="0" w:line="240" w:lineRule="auto"/>
              <w:ind w:firstLine="0"/>
              <w:jc w:val="center"/>
              <w:rPr>
                <w:color w:val="000000"/>
                <w:sz w:val="20"/>
                <w:szCs w:val="20"/>
              </w:rPr>
            </w:pPr>
            <w:r>
              <w:rPr>
                <w:color w:val="000000"/>
                <w:sz w:val="20"/>
                <w:szCs w:val="20"/>
              </w:rPr>
              <w:t>0,23</w:t>
            </w:r>
          </w:p>
        </w:tc>
        <w:tc>
          <w:tcPr>
            <w:tcW w:w="1107" w:type="dxa"/>
            <w:shd w:val="clear" w:color="auto" w:fill="auto"/>
            <w:noWrap/>
            <w:tcMar>
              <w:left w:w="28" w:type="dxa"/>
              <w:right w:w="28" w:type="dxa"/>
            </w:tcMar>
            <w:vAlign w:val="center"/>
          </w:tcPr>
          <w:p w14:paraId="79F25B7F">
            <w:pPr>
              <w:spacing w:after="0" w:line="240" w:lineRule="auto"/>
              <w:ind w:firstLine="0"/>
              <w:jc w:val="center"/>
              <w:rPr>
                <w:color w:val="000000"/>
                <w:sz w:val="20"/>
                <w:szCs w:val="20"/>
              </w:rPr>
            </w:pPr>
            <w:r>
              <w:rPr>
                <w:color w:val="000000"/>
                <w:sz w:val="20"/>
                <w:szCs w:val="20"/>
              </w:rPr>
              <w:t>0,23</w:t>
            </w:r>
          </w:p>
        </w:tc>
        <w:tc>
          <w:tcPr>
            <w:tcW w:w="1108" w:type="dxa"/>
            <w:shd w:val="clear" w:color="auto" w:fill="auto"/>
            <w:noWrap/>
            <w:tcMar>
              <w:left w:w="28" w:type="dxa"/>
              <w:right w:w="28" w:type="dxa"/>
            </w:tcMar>
            <w:vAlign w:val="center"/>
          </w:tcPr>
          <w:p w14:paraId="292BD4BC">
            <w:pPr>
              <w:spacing w:after="0" w:line="240" w:lineRule="auto"/>
              <w:ind w:firstLine="0"/>
              <w:jc w:val="center"/>
              <w:rPr>
                <w:color w:val="000000"/>
                <w:sz w:val="20"/>
                <w:szCs w:val="20"/>
              </w:rPr>
            </w:pPr>
            <w:r>
              <w:rPr>
                <w:color w:val="000000"/>
                <w:sz w:val="20"/>
                <w:szCs w:val="20"/>
              </w:rPr>
              <w:t>0,23</w:t>
            </w:r>
          </w:p>
        </w:tc>
        <w:tc>
          <w:tcPr>
            <w:tcW w:w="1246" w:type="dxa"/>
            <w:shd w:val="clear" w:color="auto" w:fill="auto"/>
            <w:noWrap/>
            <w:tcMar>
              <w:left w:w="28" w:type="dxa"/>
              <w:right w:w="28" w:type="dxa"/>
            </w:tcMar>
            <w:vAlign w:val="center"/>
          </w:tcPr>
          <w:p w14:paraId="7104E022">
            <w:pPr>
              <w:spacing w:after="0" w:line="240" w:lineRule="auto"/>
              <w:ind w:firstLine="0"/>
              <w:jc w:val="center"/>
              <w:rPr>
                <w:color w:val="000000"/>
                <w:sz w:val="20"/>
                <w:szCs w:val="20"/>
              </w:rPr>
            </w:pPr>
            <w:r>
              <w:rPr>
                <w:color w:val="000000"/>
                <w:sz w:val="20"/>
                <w:szCs w:val="20"/>
              </w:rPr>
              <w:t>0,23</w:t>
            </w:r>
          </w:p>
        </w:tc>
      </w:tr>
      <w:tr w14:paraId="637C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0FA50F16">
            <w:pPr>
              <w:spacing w:after="0" w:line="240" w:lineRule="auto"/>
              <w:ind w:firstLine="0"/>
              <w:rPr>
                <w:color w:val="000000"/>
                <w:sz w:val="20"/>
                <w:szCs w:val="20"/>
              </w:rPr>
            </w:pPr>
            <w:r>
              <w:rPr>
                <w:color w:val="000000"/>
                <w:sz w:val="20"/>
                <w:szCs w:val="20"/>
              </w:rPr>
              <w:t>Тепловая мощность нетто</w:t>
            </w:r>
          </w:p>
        </w:tc>
        <w:tc>
          <w:tcPr>
            <w:tcW w:w="1505" w:type="dxa"/>
            <w:shd w:val="clear" w:color="auto" w:fill="auto"/>
            <w:tcMar>
              <w:left w:w="28" w:type="dxa"/>
              <w:right w:w="28" w:type="dxa"/>
            </w:tcMar>
            <w:vAlign w:val="center"/>
          </w:tcPr>
          <w:p w14:paraId="3476EAB2">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4C3C3C55">
            <w:pPr>
              <w:spacing w:after="0" w:line="240" w:lineRule="auto"/>
              <w:ind w:firstLine="0"/>
              <w:jc w:val="center"/>
              <w:rPr>
                <w:color w:val="000000"/>
                <w:sz w:val="20"/>
                <w:szCs w:val="20"/>
              </w:rPr>
            </w:pPr>
            <w:r>
              <w:rPr>
                <w:color w:val="000000"/>
                <w:sz w:val="20"/>
                <w:szCs w:val="20"/>
              </w:rPr>
              <w:t>12,17</w:t>
            </w:r>
          </w:p>
        </w:tc>
        <w:tc>
          <w:tcPr>
            <w:tcW w:w="1108" w:type="dxa"/>
            <w:shd w:val="clear" w:color="auto" w:fill="auto"/>
            <w:noWrap/>
            <w:tcMar>
              <w:left w:w="28" w:type="dxa"/>
              <w:right w:w="28" w:type="dxa"/>
            </w:tcMar>
            <w:vAlign w:val="center"/>
          </w:tcPr>
          <w:p w14:paraId="7355BAAC">
            <w:pPr>
              <w:spacing w:after="0" w:line="240" w:lineRule="auto"/>
              <w:ind w:firstLine="0"/>
              <w:jc w:val="center"/>
              <w:rPr>
                <w:color w:val="000000"/>
                <w:sz w:val="20"/>
                <w:szCs w:val="20"/>
              </w:rPr>
            </w:pPr>
            <w:r>
              <w:rPr>
                <w:color w:val="000000"/>
                <w:sz w:val="20"/>
                <w:szCs w:val="20"/>
              </w:rPr>
              <w:t>12,17</w:t>
            </w:r>
          </w:p>
        </w:tc>
        <w:tc>
          <w:tcPr>
            <w:tcW w:w="1108" w:type="dxa"/>
            <w:shd w:val="clear" w:color="auto" w:fill="auto"/>
            <w:noWrap/>
            <w:tcMar>
              <w:left w:w="28" w:type="dxa"/>
              <w:right w:w="28" w:type="dxa"/>
            </w:tcMar>
            <w:vAlign w:val="center"/>
          </w:tcPr>
          <w:p w14:paraId="7648C464">
            <w:pPr>
              <w:spacing w:after="0" w:line="240" w:lineRule="auto"/>
              <w:ind w:firstLine="0"/>
              <w:jc w:val="center"/>
              <w:rPr>
                <w:color w:val="000000"/>
                <w:sz w:val="20"/>
                <w:szCs w:val="20"/>
              </w:rPr>
            </w:pPr>
            <w:r>
              <w:rPr>
                <w:color w:val="000000"/>
                <w:sz w:val="20"/>
                <w:szCs w:val="20"/>
              </w:rPr>
              <w:t>12,17</w:t>
            </w:r>
          </w:p>
        </w:tc>
        <w:tc>
          <w:tcPr>
            <w:tcW w:w="1107" w:type="dxa"/>
            <w:shd w:val="clear" w:color="auto" w:fill="auto"/>
            <w:noWrap/>
            <w:tcMar>
              <w:left w:w="28" w:type="dxa"/>
              <w:right w:w="28" w:type="dxa"/>
            </w:tcMar>
            <w:vAlign w:val="center"/>
          </w:tcPr>
          <w:p w14:paraId="1A830D35">
            <w:pPr>
              <w:spacing w:after="0" w:line="240" w:lineRule="auto"/>
              <w:ind w:firstLine="0"/>
              <w:jc w:val="center"/>
              <w:rPr>
                <w:color w:val="000000"/>
                <w:sz w:val="20"/>
                <w:szCs w:val="20"/>
              </w:rPr>
            </w:pPr>
            <w:r>
              <w:rPr>
                <w:color w:val="000000"/>
                <w:sz w:val="20"/>
                <w:szCs w:val="20"/>
              </w:rPr>
              <w:t>12,17</w:t>
            </w:r>
          </w:p>
        </w:tc>
        <w:tc>
          <w:tcPr>
            <w:tcW w:w="1107" w:type="dxa"/>
            <w:shd w:val="clear" w:color="auto" w:fill="auto"/>
            <w:noWrap/>
            <w:tcMar>
              <w:left w:w="28" w:type="dxa"/>
              <w:right w:w="28" w:type="dxa"/>
            </w:tcMar>
            <w:vAlign w:val="center"/>
          </w:tcPr>
          <w:p w14:paraId="3028DAA6">
            <w:pPr>
              <w:spacing w:after="0" w:line="240" w:lineRule="auto"/>
              <w:ind w:firstLine="0"/>
              <w:jc w:val="center"/>
              <w:rPr>
                <w:color w:val="000000"/>
                <w:sz w:val="20"/>
                <w:szCs w:val="20"/>
              </w:rPr>
            </w:pPr>
            <w:r>
              <w:rPr>
                <w:color w:val="000000"/>
                <w:sz w:val="20"/>
                <w:szCs w:val="20"/>
              </w:rPr>
              <w:t>12,17</w:t>
            </w:r>
          </w:p>
        </w:tc>
        <w:tc>
          <w:tcPr>
            <w:tcW w:w="1108" w:type="dxa"/>
            <w:shd w:val="clear" w:color="auto" w:fill="auto"/>
            <w:noWrap/>
            <w:tcMar>
              <w:left w:w="28" w:type="dxa"/>
              <w:right w:w="28" w:type="dxa"/>
            </w:tcMar>
            <w:vAlign w:val="center"/>
          </w:tcPr>
          <w:p w14:paraId="7AECD017">
            <w:pPr>
              <w:spacing w:after="0" w:line="240" w:lineRule="auto"/>
              <w:ind w:firstLine="0"/>
              <w:jc w:val="center"/>
              <w:rPr>
                <w:color w:val="000000"/>
                <w:sz w:val="20"/>
                <w:szCs w:val="20"/>
              </w:rPr>
            </w:pPr>
            <w:r>
              <w:rPr>
                <w:color w:val="000000"/>
                <w:sz w:val="20"/>
                <w:szCs w:val="20"/>
              </w:rPr>
              <w:t>12,17</w:t>
            </w:r>
          </w:p>
        </w:tc>
        <w:tc>
          <w:tcPr>
            <w:tcW w:w="1246" w:type="dxa"/>
            <w:shd w:val="clear" w:color="auto" w:fill="auto"/>
            <w:noWrap/>
            <w:tcMar>
              <w:left w:w="28" w:type="dxa"/>
              <w:right w:w="28" w:type="dxa"/>
            </w:tcMar>
            <w:vAlign w:val="center"/>
          </w:tcPr>
          <w:p w14:paraId="132615F0">
            <w:pPr>
              <w:spacing w:after="0" w:line="240" w:lineRule="auto"/>
              <w:ind w:firstLine="0"/>
              <w:jc w:val="center"/>
              <w:rPr>
                <w:color w:val="000000"/>
                <w:sz w:val="20"/>
                <w:szCs w:val="20"/>
              </w:rPr>
            </w:pPr>
            <w:r>
              <w:rPr>
                <w:color w:val="000000"/>
                <w:sz w:val="20"/>
                <w:szCs w:val="20"/>
              </w:rPr>
              <w:t>12,17</w:t>
            </w:r>
          </w:p>
        </w:tc>
      </w:tr>
      <w:tr w14:paraId="75C2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335B9A93">
            <w:pPr>
              <w:spacing w:after="0" w:line="240" w:lineRule="auto"/>
              <w:ind w:firstLine="0"/>
              <w:rPr>
                <w:color w:val="000000"/>
                <w:sz w:val="20"/>
                <w:szCs w:val="20"/>
              </w:rPr>
            </w:pPr>
            <w:r>
              <w:rPr>
                <w:color w:val="000000"/>
                <w:sz w:val="20"/>
                <w:szCs w:val="20"/>
              </w:rPr>
              <w:t>Нагрузка на коллекторах</w:t>
            </w:r>
          </w:p>
        </w:tc>
        <w:tc>
          <w:tcPr>
            <w:tcW w:w="1505" w:type="dxa"/>
            <w:shd w:val="clear" w:color="auto" w:fill="auto"/>
            <w:tcMar>
              <w:left w:w="28" w:type="dxa"/>
              <w:right w:w="28" w:type="dxa"/>
            </w:tcMar>
            <w:vAlign w:val="center"/>
          </w:tcPr>
          <w:p w14:paraId="2D4A2B40">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4ACEB434">
            <w:pPr>
              <w:spacing w:after="0" w:line="240" w:lineRule="auto"/>
              <w:ind w:firstLine="0"/>
              <w:jc w:val="center"/>
              <w:rPr>
                <w:color w:val="000000"/>
                <w:sz w:val="20"/>
                <w:szCs w:val="20"/>
              </w:rPr>
            </w:pPr>
            <w:r>
              <w:rPr>
                <w:color w:val="000000"/>
                <w:sz w:val="20"/>
                <w:szCs w:val="20"/>
              </w:rPr>
              <w:t>2,30</w:t>
            </w:r>
          </w:p>
        </w:tc>
        <w:tc>
          <w:tcPr>
            <w:tcW w:w="1108" w:type="dxa"/>
            <w:shd w:val="clear" w:color="auto" w:fill="auto"/>
            <w:noWrap/>
            <w:tcMar>
              <w:left w:w="28" w:type="dxa"/>
              <w:right w:w="28" w:type="dxa"/>
            </w:tcMar>
            <w:vAlign w:val="center"/>
          </w:tcPr>
          <w:p w14:paraId="2CC29779">
            <w:pPr>
              <w:spacing w:after="0" w:line="240" w:lineRule="auto"/>
              <w:ind w:firstLine="0"/>
              <w:jc w:val="center"/>
              <w:rPr>
                <w:color w:val="000000"/>
                <w:sz w:val="20"/>
                <w:szCs w:val="20"/>
              </w:rPr>
            </w:pPr>
            <w:r>
              <w:rPr>
                <w:color w:val="000000"/>
                <w:sz w:val="20"/>
                <w:szCs w:val="20"/>
              </w:rPr>
              <w:t>2,43</w:t>
            </w:r>
          </w:p>
        </w:tc>
        <w:tc>
          <w:tcPr>
            <w:tcW w:w="1108" w:type="dxa"/>
            <w:shd w:val="clear" w:color="auto" w:fill="auto"/>
            <w:noWrap/>
            <w:tcMar>
              <w:left w:w="28" w:type="dxa"/>
              <w:right w:w="28" w:type="dxa"/>
            </w:tcMar>
            <w:vAlign w:val="center"/>
          </w:tcPr>
          <w:p w14:paraId="2EF231ED">
            <w:pPr>
              <w:spacing w:after="0" w:line="240" w:lineRule="auto"/>
              <w:ind w:firstLine="0"/>
              <w:jc w:val="center"/>
              <w:rPr>
                <w:color w:val="000000"/>
                <w:sz w:val="20"/>
                <w:szCs w:val="20"/>
              </w:rPr>
            </w:pPr>
            <w:r>
              <w:rPr>
                <w:color w:val="000000"/>
                <w:sz w:val="20"/>
                <w:szCs w:val="20"/>
              </w:rPr>
              <w:t>2,57</w:t>
            </w:r>
          </w:p>
        </w:tc>
        <w:tc>
          <w:tcPr>
            <w:tcW w:w="1107" w:type="dxa"/>
            <w:shd w:val="clear" w:color="auto" w:fill="auto"/>
            <w:noWrap/>
            <w:tcMar>
              <w:left w:w="28" w:type="dxa"/>
              <w:right w:w="28" w:type="dxa"/>
            </w:tcMar>
            <w:vAlign w:val="center"/>
          </w:tcPr>
          <w:p w14:paraId="4BEAB3C0">
            <w:pPr>
              <w:spacing w:after="0" w:line="240" w:lineRule="auto"/>
              <w:ind w:firstLine="0"/>
              <w:jc w:val="center"/>
              <w:rPr>
                <w:color w:val="000000"/>
                <w:sz w:val="20"/>
                <w:szCs w:val="20"/>
              </w:rPr>
            </w:pPr>
            <w:r>
              <w:rPr>
                <w:color w:val="000000"/>
                <w:sz w:val="20"/>
                <w:szCs w:val="20"/>
              </w:rPr>
              <w:t>2,73</w:t>
            </w:r>
          </w:p>
        </w:tc>
        <w:tc>
          <w:tcPr>
            <w:tcW w:w="1107" w:type="dxa"/>
            <w:shd w:val="clear" w:color="auto" w:fill="auto"/>
            <w:noWrap/>
            <w:tcMar>
              <w:left w:w="28" w:type="dxa"/>
              <w:right w:w="28" w:type="dxa"/>
            </w:tcMar>
            <w:vAlign w:val="center"/>
          </w:tcPr>
          <w:p w14:paraId="6C5E298D">
            <w:pPr>
              <w:spacing w:after="0" w:line="240" w:lineRule="auto"/>
              <w:ind w:firstLine="0"/>
              <w:jc w:val="center"/>
              <w:rPr>
                <w:color w:val="000000"/>
                <w:sz w:val="20"/>
                <w:szCs w:val="20"/>
              </w:rPr>
            </w:pPr>
            <w:r>
              <w:rPr>
                <w:color w:val="000000"/>
                <w:sz w:val="20"/>
                <w:szCs w:val="20"/>
              </w:rPr>
              <w:t>2,89</w:t>
            </w:r>
          </w:p>
        </w:tc>
        <w:tc>
          <w:tcPr>
            <w:tcW w:w="1108" w:type="dxa"/>
            <w:shd w:val="clear" w:color="auto" w:fill="auto"/>
            <w:noWrap/>
            <w:tcMar>
              <w:left w:w="28" w:type="dxa"/>
              <w:right w:w="28" w:type="dxa"/>
            </w:tcMar>
            <w:vAlign w:val="center"/>
          </w:tcPr>
          <w:p w14:paraId="6EAEA314">
            <w:pPr>
              <w:spacing w:after="0" w:line="240" w:lineRule="auto"/>
              <w:ind w:firstLine="0"/>
              <w:jc w:val="center"/>
              <w:rPr>
                <w:color w:val="000000"/>
                <w:sz w:val="20"/>
                <w:szCs w:val="20"/>
              </w:rPr>
            </w:pPr>
            <w:r>
              <w:rPr>
                <w:color w:val="000000"/>
                <w:sz w:val="20"/>
                <w:szCs w:val="20"/>
              </w:rPr>
              <w:t>3,07</w:t>
            </w:r>
          </w:p>
        </w:tc>
        <w:tc>
          <w:tcPr>
            <w:tcW w:w="1246" w:type="dxa"/>
            <w:shd w:val="clear" w:color="auto" w:fill="auto"/>
            <w:noWrap/>
            <w:tcMar>
              <w:left w:w="28" w:type="dxa"/>
              <w:right w:w="28" w:type="dxa"/>
            </w:tcMar>
            <w:vAlign w:val="center"/>
          </w:tcPr>
          <w:p w14:paraId="506754E4">
            <w:pPr>
              <w:spacing w:after="0" w:line="240" w:lineRule="auto"/>
              <w:ind w:firstLine="0"/>
              <w:jc w:val="center"/>
              <w:rPr>
                <w:color w:val="000000"/>
                <w:sz w:val="20"/>
                <w:szCs w:val="20"/>
              </w:rPr>
            </w:pPr>
            <w:r>
              <w:rPr>
                <w:color w:val="000000"/>
                <w:sz w:val="20"/>
                <w:szCs w:val="20"/>
              </w:rPr>
              <w:t>3,26</w:t>
            </w:r>
          </w:p>
        </w:tc>
      </w:tr>
      <w:tr w14:paraId="708D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5DC64EF8">
            <w:pPr>
              <w:spacing w:after="0" w:line="240" w:lineRule="auto"/>
              <w:ind w:firstLine="0"/>
              <w:rPr>
                <w:color w:val="000000"/>
                <w:sz w:val="20"/>
                <w:szCs w:val="20"/>
              </w:rPr>
            </w:pPr>
            <w:r>
              <w:rPr>
                <w:color w:val="000000"/>
                <w:sz w:val="20"/>
                <w:szCs w:val="20"/>
              </w:rPr>
              <w:t>Потери в сетях</w:t>
            </w:r>
          </w:p>
        </w:tc>
        <w:tc>
          <w:tcPr>
            <w:tcW w:w="1505" w:type="dxa"/>
            <w:shd w:val="clear" w:color="auto" w:fill="auto"/>
            <w:tcMar>
              <w:left w:w="28" w:type="dxa"/>
              <w:right w:w="28" w:type="dxa"/>
            </w:tcMar>
            <w:vAlign w:val="center"/>
          </w:tcPr>
          <w:p w14:paraId="0CDAA60C">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218AED9">
            <w:pPr>
              <w:spacing w:after="0" w:line="240" w:lineRule="auto"/>
              <w:ind w:firstLine="0"/>
              <w:jc w:val="center"/>
              <w:rPr>
                <w:color w:val="000000"/>
                <w:sz w:val="20"/>
                <w:szCs w:val="20"/>
              </w:rPr>
            </w:pPr>
            <w:r>
              <w:rPr>
                <w:color w:val="000000"/>
                <w:sz w:val="20"/>
                <w:szCs w:val="20"/>
              </w:rPr>
              <w:t>0,62</w:t>
            </w:r>
          </w:p>
        </w:tc>
        <w:tc>
          <w:tcPr>
            <w:tcW w:w="1108" w:type="dxa"/>
            <w:shd w:val="clear" w:color="auto" w:fill="auto"/>
            <w:noWrap/>
            <w:tcMar>
              <w:left w:w="28" w:type="dxa"/>
              <w:right w:w="28" w:type="dxa"/>
            </w:tcMar>
            <w:vAlign w:val="center"/>
          </w:tcPr>
          <w:p w14:paraId="09907D74">
            <w:pPr>
              <w:spacing w:after="0" w:line="240" w:lineRule="auto"/>
              <w:ind w:firstLine="0"/>
              <w:jc w:val="center"/>
              <w:rPr>
                <w:color w:val="000000"/>
                <w:sz w:val="20"/>
                <w:szCs w:val="20"/>
              </w:rPr>
            </w:pPr>
            <w:r>
              <w:rPr>
                <w:color w:val="000000"/>
                <w:sz w:val="20"/>
                <w:szCs w:val="20"/>
              </w:rPr>
              <w:t>0,62</w:t>
            </w:r>
          </w:p>
        </w:tc>
        <w:tc>
          <w:tcPr>
            <w:tcW w:w="1108" w:type="dxa"/>
            <w:shd w:val="clear" w:color="auto" w:fill="auto"/>
            <w:noWrap/>
            <w:tcMar>
              <w:left w:w="28" w:type="dxa"/>
              <w:right w:w="28" w:type="dxa"/>
            </w:tcMar>
            <w:vAlign w:val="center"/>
          </w:tcPr>
          <w:p w14:paraId="0A7C687C">
            <w:pPr>
              <w:spacing w:after="0" w:line="240" w:lineRule="auto"/>
              <w:ind w:firstLine="0"/>
              <w:jc w:val="center"/>
              <w:rPr>
                <w:color w:val="000000"/>
                <w:sz w:val="20"/>
                <w:szCs w:val="20"/>
              </w:rPr>
            </w:pPr>
            <w:r>
              <w:rPr>
                <w:color w:val="000000"/>
                <w:sz w:val="20"/>
                <w:szCs w:val="20"/>
              </w:rPr>
              <w:t>0,62</w:t>
            </w:r>
          </w:p>
        </w:tc>
        <w:tc>
          <w:tcPr>
            <w:tcW w:w="1107" w:type="dxa"/>
            <w:shd w:val="clear" w:color="auto" w:fill="auto"/>
            <w:noWrap/>
            <w:tcMar>
              <w:left w:w="28" w:type="dxa"/>
              <w:right w:w="28" w:type="dxa"/>
            </w:tcMar>
            <w:vAlign w:val="center"/>
          </w:tcPr>
          <w:p w14:paraId="7DE1383C">
            <w:pPr>
              <w:spacing w:after="0" w:line="240" w:lineRule="auto"/>
              <w:ind w:firstLine="0"/>
              <w:jc w:val="center"/>
              <w:rPr>
                <w:color w:val="000000"/>
                <w:sz w:val="20"/>
                <w:szCs w:val="20"/>
              </w:rPr>
            </w:pPr>
            <w:r>
              <w:rPr>
                <w:color w:val="000000"/>
                <w:sz w:val="20"/>
                <w:szCs w:val="20"/>
              </w:rPr>
              <w:t>0,62</w:t>
            </w:r>
          </w:p>
        </w:tc>
        <w:tc>
          <w:tcPr>
            <w:tcW w:w="1107" w:type="dxa"/>
            <w:shd w:val="clear" w:color="auto" w:fill="auto"/>
            <w:noWrap/>
            <w:tcMar>
              <w:left w:w="28" w:type="dxa"/>
              <w:right w:w="28" w:type="dxa"/>
            </w:tcMar>
            <w:vAlign w:val="center"/>
          </w:tcPr>
          <w:p w14:paraId="38E747F4">
            <w:pPr>
              <w:spacing w:after="0" w:line="240" w:lineRule="auto"/>
              <w:ind w:firstLine="0"/>
              <w:jc w:val="center"/>
              <w:rPr>
                <w:color w:val="000000"/>
                <w:sz w:val="20"/>
                <w:szCs w:val="20"/>
              </w:rPr>
            </w:pPr>
            <w:r>
              <w:rPr>
                <w:color w:val="000000"/>
                <w:sz w:val="20"/>
                <w:szCs w:val="20"/>
              </w:rPr>
              <w:t>0,62</w:t>
            </w:r>
          </w:p>
        </w:tc>
        <w:tc>
          <w:tcPr>
            <w:tcW w:w="1108" w:type="dxa"/>
            <w:shd w:val="clear" w:color="auto" w:fill="auto"/>
            <w:noWrap/>
            <w:tcMar>
              <w:left w:w="28" w:type="dxa"/>
              <w:right w:w="28" w:type="dxa"/>
            </w:tcMar>
            <w:vAlign w:val="center"/>
          </w:tcPr>
          <w:p w14:paraId="46CB6672">
            <w:pPr>
              <w:spacing w:after="0" w:line="240" w:lineRule="auto"/>
              <w:ind w:firstLine="0"/>
              <w:jc w:val="center"/>
              <w:rPr>
                <w:color w:val="000000"/>
                <w:sz w:val="20"/>
                <w:szCs w:val="20"/>
              </w:rPr>
            </w:pPr>
            <w:r>
              <w:rPr>
                <w:color w:val="000000"/>
                <w:sz w:val="20"/>
                <w:szCs w:val="20"/>
              </w:rPr>
              <w:t>0,62</w:t>
            </w:r>
          </w:p>
        </w:tc>
        <w:tc>
          <w:tcPr>
            <w:tcW w:w="1246" w:type="dxa"/>
            <w:shd w:val="clear" w:color="auto" w:fill="auto"/>
            <w:noWrap/>
            <w:tcMar>
              <w:left w:w="28" w:type="dxa"/>
              <w:right w:w="28" w:type="dxa"/>
            </w:tcMar>
            <w:vAlign w:val="center"/>
          </w:tcPr>
          <w:p w14:paraId="41D4BCA0">
            <w:pPr>
              <w:spacing w:after="0" w:line="240" w:lineRule="auto"/>
              <w:ind w:firstLine="0"/>
              <w:jc w:val="center"/>
              <w:rPr>
                <w:color w:val="000000"/>
                <w:sz w:val="20"/>
                <w:szCs w:val="20"/>
              </w:rPr>
            </w:pPr>
            <w:r>
              <w:rPr>
                <w:color w:val="000000"/>
                <w:sz w:val="20"/>
                <w:szCs w:val="20"/>
              </w:rPr>
              <w:t>0,62</w:t>
            </w:r>
          </w:p>
        </w:tc>
      </w:tr>
      <w:tr w14:paraId="26E0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75E15646">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42B66456">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61897705">
            <w:pPr>
              <w:spacing w:after="0" w:line="240" w:lineRule="auto"/>
              <w:ind w:firstLine="0"/>
              <w:jc w:val="center"/>
              <w:rPr>
                <w:color w:val="000000"/>
                <w:sz w:val="20"/>
                <w:szCs w:val="20"/>
              </w:rPr>
            </w:pPr>
            <w:r>
              <w:rPr>
                <w:color w:val="000000"/>
                <w:sz w:val="20"/>
                <w:szCs w:val="20"/>
              </w:rPr>
              <w:t>26,96</w:t>
            </w:r>
          </w:p>
        </w:tc>
        <w:tc>
          <w:tcPr>
            <w:tcW w:w="1108" w:type="dxa"/>
            <w:shd w:val="clear" w:color="auto" w:fill="auto"/>
            <w:noWrap/>
            <w:tcMar>
              <w:left w:w="28" w:type="dxa"/>
              <w:right w:w="28" w:type="dxa"/>
            </w:tcMar>
            <w:vAlign w:val="center"/>
          </w:tcPr>
          <w:p w14:paraId="574E982A">
            <w:pPr>
              <w:spacing w:after="0" w:line="240" w:lineRule="auto"/>
              <w:ind w:firstLine="0"/>
              <w:jc w:val="center"/>
              <w:rPr>
                <w:color w:val="000000"/>
                <w:sz w:val="20"/>
                <w:szCs w:val="20"/>
              </w:rPr>
            </w:pPr>
            <w:r>
              <w:rPr>
                <w:color w:val="000000"/>
                <w:sz w:val="20"/>
                <w:szCs w:val="20"/>
              </w:rPr>
              <w:t>25,50</w:t>
            </w:r>
          </w:p>
        </w:tc>
        <w:tc>
          <w:tcPr>
            <w:tcW w:w="1108" w:type="dxa"/>
            <w:shd w:val="clear" w:color="auto" w:fill="auto"/>
            <w:noWrap/>
            <w:tcMar>
              <w:left w:w="28" w:type="dxa"/>
              <w:right w:w="28" w:type="dxa"/>
            </w:tcMar>
            <w:vAlign w:val="center"/>
          </w:tcPr>
          <w:p w14:paraId="5B6D2707">
            <w:pPr>
              <w:spacing w:after="0" w:line="240" w:lineRule="auto"/>
              <w:ind w:firstLine="0"/>
              <w:jc w:val="center"/>
              <w:rPr>
                <w:color w:val="000000"/>
                <w:sz w:val="20"/>
                <w:szCs w:val="20"/>
              </w:rPr>
            </w:pPr>
            <w:r>
              <w:rPr>
                <w:color w:val="000000"/>
                <w:sz w:val="20"/>
                <w:szCs w:val="20"/>
              </w:rPr>
              <w:t>24,10</w:t>
            </w:r>
          </w:p>
        </w:tc>
        <w:tc>
          <w:tcPr>
            <w:tcW w:w="1107" w:type="dxa"/>
            <w:shd w:val="clear" w:color="auto" w:fill="auto"/>
            <w:noWrap/>
            <w:tcMar>
              <w:left w:w="28" w:type="dxa"/>
              <w:right w:w="28" w:type="dxa"/>
            </w:tcMar>
            <w:vAlign w:val="center"/>
          </w:tcPr>
          <w:p w14:paraId="3B7F6E2F">
            <w:pPr>
              <w:spacing w:after="0" w:line="240" w:lineRule="auto"/>
              <w:ind w:firstLine="0"/>
              <w:jc w:val="center"/>
              <w:rPr>
                <w:color w:val="000000"/>
                <w:sz w:val="20"/>
                <w:szCs w:val="20"/>
              </w:rPr>
            </w:pPr>
            <w:r>
              <w:rPr>
                <w:color w:val="000000"/>
                <w:sz w:val="20"/>
                <w:szCs w:val="20"/>
              </w:rPr>
              <w:t>22,75</w:t>
            </w:r>
          </w:p>
        </w:tc>
        <w:tc>
          <w:tcPr>
            <w:tcW w:w="1107" w:type="dxa"/>
            <w:shd w:val="clear" w:color="auto" w:fill="auto"/>
            <w:noWrap/>
            <w:tcMar>
              <w:left w:w="28" w:type="dxa"/>
              <w:right w:w="28" w:type="dxa"/>
            </w:tcMar>
            <w:vAlign w:val="center"/>
          </w:tcPr>
          <w:p w14:paraId="47CD76E8">
            <w:pPr>
              <w:spacing w:after="0" w:line="240" w:lineRule="auto"/>
              <w:ind w:firstLine="0"/>
              <w:jc w:val="center"/>
              <w:rPr>
                <w:color w:val="000000"/>
                <w:sz w:val="20"/>
                <w:szCs w:val="20"/>
              </w:rPr>
            </w:pPr>
            <w:r>
              <w:rPr>
                <w:color w:val="000000"/>
                <w:sz w:val="20"/>
                <w:szCs w:val="20"/>
              </w:rPr>
              <w:t>21,45</w:t>
            </w:r>
          </w:p>
        </w:tc>
        <w:tc>
          <w:tcPr>
            <w:tcW w:w="1108" w:type="dxa"/>
            <w:shd w:val="clear" w:color="auto" w:fill="auto"/>
            <w:noWrap/>
            <w:tcMar>
              <w:left w:w="28" w:type="dxa"/>
              <w:right w:w="28" w:type="dxa"/>
            </w:tcMar>
            <w:vAlign w:val="center"/>
          </w:tcPr>
          <w:p w14:paraId="738F0FC2">
            <w:pPr>
              <w:spacing w:after="0" w:line="240" w:lineRule="auto"/>
              <w:ind w:firstLine="0"/>
              <w:jc w:val="center"/>
              <w:rPr>
                <w:color w:val="000000"/>
                <w:sz w:val="20"/>
                <w:szCs w:val="20"/>
              </w:rPr>
            </w:pPr>
            <w:r>
              <w:rPr>
                <w:color w:val="000000"/>
                <w:sz w:val="20"/>
                <w:szCs w:val="20"/>
              </w:rPr>
              <w:t>20,21</w:t>
            </w:r>
          </w:p>
        </w:tc>
        <w:tc>
          <w:tcPr>
            <w:tcW w:w="1246" w:type="dxa"/>
            <w:shd w:val="clear" w:color="auto" w:fill="auto"/>
            <w:noWrap/>
            <w:tcMar>
              <w:left w:w="28" w:type="dxa"/>
              <w:right w:w="28" w:type="dxa"/>
            </w:tcMar>
            <w:vAlign w:val="center"/>
          </w:tcPr>
          <w:p w14:paraId="657DE80E">
            <w:pPr>
              <w:spacing w:after="0" w:line="240" w:lineRule="auto"/>
              <w:ind w:firstLine="0"/>
              <w:jc w:val="center"/>
              <w:rPr>
                <w:color w:val="000000"/>
                <w:sz w:val="20"/>
                <w:szCs w:val="20"/>
              </w:rPr>
            </w:pPr>
            <w:r>
              <w:rPr>
                <w:color w:val="000000"/>
                <w:sz w:val="20"/>
                <w:szCs w:val="20"/>
              </w:rPr>
              <w:t>19,02</w:t>
            </w:r>
          </w:p>
        </w:tc>
      </w:tr>
      <w:tr w14:paraId="6724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7BD005BA">
            <w:pPr>
              <w:spacing w:after="0" w:line="240" w:lineRule="auto"/>
              <w:ind w:firstLine="0"/>
              <w:rPr>
                <w:color w:val="000000"/>
                <w:sz w:val="20"/>
                <w:szCs w:val="20"/>
              </w:rPr>
            </w:pPr>
            <w:r>
              <w:rPr>
                <w:color w:val="000000"/>
                <w:sz w:val="20"/>
                <w:szCs w:val="20"/>
              </w:rPr>
              <w:t>Подключенная нагрузка</w:t>
            </w:r>
          </w:p>
        </w:tc>
        <w:tc>
          <w:tcPr>
            <w:tcW w:w="1505" w:type="dxa"/>
            <w:shd w:val="clear" w:color="auto" w:fill="auto"/>
            <w:tcMar>
              <w:left w:w="28" w:type="dxa"/>
              <w:right w:w="28" w:type="dxa"/>
            </w:tcMar>
            <w:vAlign w:val="center"/>
          </w:tcPr>
          <w:p w14:paraId="65CC461E">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34CDB219">
            <w:pPr>
              <w:spacing w:after="0" w:line="240" w:lineRule="auto"/>
              <w:ind w:firstLine="0"/>
              <w:jc w:val="center"/>
              <w:rPr>
                <w:color w:val="000000"/>
                <w:sz w:val="20"/>
                <w:szCs w:val="20"/>
              </w:rPr>
            </w:pPr>
            <w:r>
              <w:rPr>
                <w:color w:val="000000"/>
                <w:sz w:val="20"/>
                <w:szCs w:val="20"/>
              </w:rPr>
              <w:t>1,68</w:t>
            </w:r>
          </w:p>
        </w:tc>
        <w:tc>
          <w:tcPr>
            <w:tcW w:w="1108" w:type="dxa"/>
            <w:shd w:val="clear" w:color="auto" w:fill="auto"/>
            <w:noWrap/>
            <w:tcMar>
              <w:left w:w="28" w:type="dxa"/>
              <w:right w:w="28" w:type="dxa"/>
            </w:tcMar>
            <w:vAlign w:val="center"/>
          </w:tcPr>
          <w:p w14:paraId="40A66961">
            <w:pPr>
              <w:spacing w:after="0" w:line="240" w:lineRule="auto"/>
              <w:ind w:firstLine="0"/>
              <w:jc w:val="center"/>
              <w:rPr>
                <w:color w:val="000000"/>
                <w:sz w:val="20"/>
                <w:szCs w:val="20"/>
              </w:rPr>
            </w:pPr>
            <w:r>
              <w:rPr>
                <w:color w:val="000000"/>
                <w:sz w:val="20"/>
                <w:szCs w:val="20"/>
              </w:rPr>
              <w:t>1,81</w:t>
            </w:r>
          </w:p>
        </w:tc>
        <w:tc>
          <w:tcPr>
            <w:tcW w:w="1108" w:type="dxa"/>
            <w:shd w:val="clear" w:color="auto" w:fill="auto"/>
            <w:noWrap/>
            <w:tcMar>
              <w:left w:w="28" w:type="dxa"/>
              <w:right w:w="28" w:type="dxa"/>
            </w:tcMar>
            <w:vAlign w:val="center"/>
          </w:tcPr>
          <w:p w14:paraId="42AD044B">
            <w:pPr>
              <w:spacing w:after="0" w:line="240" w:lineRule="auto"/>
              <w:ind w:firstLine="0"/>
              <w:jc w:val="center"/>
              <w:rPr>
                <w:color w:val="000000"/>
                <w:sz w:val="20"/>
                <w:szCs w:val="20"/>
              </w:rPr>
            </w:pPr>
            <w:r>
              <w:rPr>
                <w:color w:val="000000"/>
                <w:sz w:val="20"/>
                <w:szCs w:val="20"/>
              </w:rPr>
              <w:t>1,95</w:t>
            </w:r>
          </w:p>
        </w:tc>
        <w:tc>
          <w:tcPr>
            <w:tcW w:w="1107" w:type="dxa"/>
            <w:shd w:val="clear" w:color="auto" w:fill="auto"/>
            <w:noWrap/>
            <w:tcMar>
              <w:left w:w="28" w:type="dxa"/>
              <w:right w:w="28" w:type="dxa"/>
            </w:tcMar>
            <w:vAlign w:val="center"/>
          </w:tcPr>
          <w:p w14:paraId="20E68230">
            <w:pPr>
              <w:spacing w:after="0" w:line="240" w:lineRule="auto"/>
              <w:ind w:firstLine="0"/>
              <w:jc w:val="center"/>
              <w:rPr>
                <w:color w:val="000000"/>
                <w:sz w:val="20"/>
                <w:szCs w:val="20"/>
              </w:rPr>
            </w:pPr>
            <w:r>
              <w:rPr>
                <w:color w:val="000000"/>
                <w:sz w:val="20"/>
                <w:szCs w:val="20"/>
              </w:rPr>
              <w:t>2,11</w:t>
            </w:r>
          </w:p>
        </w:tc>
        <w:tc>
          <w:tcPr>
            <w:tcW w:w="1107" w:type="dxa"/>
            <w:shd w:val="clear" w:color="auto" w:fill="auto"/>
            <w:noWrap/>
            <w:tcMar>
              <w:left w:w="28" w:type="dxa"/>
              <w:right w:w="28" w:type="dxa"/>
            </w:tcMar>
            <w:vAlign w:val="center"/>
          </w:tcPr>
          <w:p w14:paraId="2B9D48BF">
            <w:pPr>
              <w:spacing w:after="0" w:line="240" w:lineRule="auto"/>
              <w:ind w:firstLine="0"/>
              <w:jc w:val="center"/>
              <w:rPr>
                <w:color w:val="000000"/>
                <w:sz w:val="20"/>
                <w:szCs w:val="20"/>
              </w:rPr>
            </w:pPr>
            <w:r>
              <w:rPr>
                <w:color w:val="000000"/>
                <w:sz w:val="20"/>
                <w:szCs w:val="20"/>
              </w:rPr>
              <w:t>2,27</w:t>
            </w:r>
          </w:p>
        </w:tc>
        <w:tc>
          <w:tcPr>
            <w:tcW w:w="1108" w:type="dxa"/>
            <w:shd w:val="clear" w:color="auto" w:fill="auto"/>
            <w:noWrap/>
            <w:tcMar>
              <w:left w:w="28" w:type="dxa"/>
              <w:right w:w="28" w:type="dxa"/>
            </w:tcMar>
            <w:vAlign w:val="center"/>
          </w:tcPr>
          <w:p w14:paraId="67AAA465">
            <w:pPr>
              <w:spacing w:after="0" w:line="240" w:lineRule="auto"/>
              <w:ind w:firstLine="0"/>
              <w:jc w:val="center"/>
              <w:rPr>
                <w:color w:val="000000"/>
                <w:sz w:val="20"/>
                <w:szCs w:val="20"/>
              </w:rPr>
            </w:pPr>
            <w:r>
              <w:rPr>
                <w:color w:val="000000"/>
                <w:sz w:val="20"/>
                <w:szCs w:val="20"/>
              </w:rPr>
              <w:t>2,45</w:t>
            </w:r>
          </w:p>
        </w:tc>
        <w:tc>
          <w:tcPr>
            <w:tcW w:w="1246" w:type="dxa"/>
            <w:shd w:val="clear" w:color="auto" w:fill="auto"/>
            <w:noWrap/>
            <w:tcMar>
              <w:left w:w="28" w:type="dxa"/>
              <w:right w:w="28" w:type="dxa"/>
            </w:tcMar>
            <w:vAlign w:val="center"/>
          </w:tcPr>
          <w:p w14:paraId="062ECB23">
            <w:pPr>
              <w:spacing w:after="0" w:line="240" w:lineRule="auto"/>
              <w:ind w:firstLine="0"/>
              <w:jc w:val="center"/>
              <w:rPr>
                <w:color w:val="000000"/>
                <w:sz w:val="20"/>
                <w:szCs w:val="20"/>
              </w:rPr>
            </w:pPr>
            <w:r>
              <w:rPr>
                <w:color w:val="000000"/>
                <w:sz w:val="20"/>
                <w:szCs w:val="20"/>
              </w:rPr>
              <w:t>2,64</w:t>
            </w:r>
          </w:p>
        </w:tc>
      </w:tr>
      <w:tr w14:paraId="3D88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7E3B2504">
            <w:pPr>
              <w:spacing w:after="0" w:line="240" w:lineRule="auto"/>
              <w:ind w:firstLine="0"/>
              <w:rPr>
                <w:color w:val="000000"/>
                <w:sz w:val="20"/>
                <w:szCs w:val="20"/>
              </w:rPr>
            </w:pPr>
            <w:r>
              <w:rPr>
                <w:color w:val="000000"/>
                <w:sz w:val="20"/>
                <w:szCs w:val="20"/>
              </w:rPr>
              <w:t>Резерв (+)/ Дефицит (-) мощности</w:t>
            </w:r>
          </w:p>
        </w:tc>
        <w:tc>
          <w:tcPr>
            <w:tcW w:w="1505" w:type="dxa"/>
            <w:shd w:val="clear" w:color="auto" w:fill="auto"/>
            <w:tcMar>
              <w:left w:w="28" w:type="dxa"/>
              <w:right w:w="28" w:type="dxa"/>
            </w:tcMar>
            <w:vAlign w:val="center"/>
          </w:tcPr>
          <w:p w14:paraId="70A04C0F">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579017B2">
            <w:pPr>
              <w:spacing w:after="0" w:line="240" w:lineRule="auto"/>
              <w:ind w:firstLine="0"/>
              <w:jc w:val="center"/>
              <w:rPr>
                <w:color w:val="000000"/>
                <w:sz w:val="20"/>
                <w:szCs w:val="20"/>
              </w:rPr>
            </w:pPr>
            <w:r>
              <w:rPr>
                <w:color w:val="000000"/>
                <w:sz w:val="20"/>
                <w:szCs w:val="20"/>
              </w:rPr>
              <w:t>9,87</w:t>
            </w:r>
          </w:p>
        </w:tc>
        <w:tc>
          <w:tcPr>
            <w:tcW w:w="1108" w:type="dxa"/>
            <w:shd w:val="clear" w:color="auto" w:fill="auto"/>
            <w:noWrap/>
            <w:tcMar>
              <w:left w:w="28" w:type="dxa"/>
              <w:right w:w="28" w:type="dxa"/>
            </w:tcMar>
            <w:vAlign w:val="center"/>
          </w:tcPr>
          <w:p w14:paraId="091EE820">
            <w:pPr>
              <w:spacing w:after="0" w:line="240" w:lineRule="auto"/>
              <w:ind w:firstLine="0"/>
              <w:jc w:val="center"/>
              <w:rPr>
                <w:color w:val="000000"/>
                <w:sz w:val="20"/>
                <w:szCs w:val="20"/>
              </w:rPr>
            </w:pPr>
            <w:r>
              <w:rPr>
                <w:color w:val="000000"/>
                <w:sz w:val="20"/>
                <w:szCs w:val="20"/>
              </w:rPr>
              <w:t>9,74</w:t>
            </w:r>
          </w:p>
        </w:tc>
        <w:tc>
          <w:tcPr>
            <w:tcW w:w="1108" w:type="dxa"/>
            <w:shd w:val="clear" w:color="auto" w:fill="auto"/>
            <w:noWrap/>
            <w:tcMar>
              <w:left w:w="28" w:type="dxa"/>
              <w:right w:w="28" w:type="dxa"/>
            </w:tcMar>
            <w:vAlign w:val="center"/>
          </w:tcPr>
          <w:p w14:paraId="1885A346">
            <w:pPr>
              <w:spacing w:after="0" w:line="240" w:lineRule="auto"/>
              <w:ind w:firstLine="0"/>
              <w:jc w:val="center"/>
              <w:rPr>
                <w:color w:val="000000"/>
                <w:sz w:val="20"/>
                <w:szCs w:val="20"/>
              </w:rPr>
            </w:pPr>
            <w:r>
              <w:rPr>
                <w:color w:val="000000"/>
                <w:sz w:val="20"/>
                <w:szCs w:val="20"/>
              </w:rPr>
              <w:t>9,60</w:t>
            </w:r>
          </w:p>
        </w:tc>
        <w:tc>
          <w:tcPr>
            <w:tcW w:w="1107" w:type="dxa"/>
            <w:shd w:val="clear" w:color="auto" w:fill="auto"/>
            <w:noWrap/>
            <w:tcMar>
              <w:left w:w="28" w:type="dxa"/>
              <w:right w:w="28" w:type="dxa"/>
            </w:tcMar>
            <w:vAlign w:val="center"/>
          </w:tcPr>
          <w:p w14:paraId="13F2538E">
            <w:pPr>
              <w:spacing w:after="0" w:line="240" w:lineRule="auto"/>
              <w:ind w:firstLine="0"/>
              <w:jc w:val="center"/>
              <w:rPr>
                <w:color w:val="000000"/>
                <w:sz w:val="20"/>
                <w:szCs w:val="20"/>
              </w:rPr>
            </w:pPr>
            <w:r>
              <w:rPr>
                <w:color w:val="000000"/>
                <w:sz w:val="20"/>
                <w:szCs w:val="20"/>
              </w:rPr>
              <w:t>9,44</w:t>
            </w:r>
          </w:p>
        </w:tc>
        <w:tc>
          <w:tcPr>
            <w:tcW w:w="1107" w:type="dxa"/>
            <w:shd w:val="clear" w:color="auto" w:fill="auto"/>
            <w:noWrap/>
            <w:tcMar>
              <w:left w:w="28" w:type="dxa"/>
              <w:right w:w="28" w:type="dxa"/>
            </w:tcMar>
            <w:vAlign w:val="center"/>
          </w:tcPr>
          <w:p w14:paraId="0A3288B7">
            <w:pPr>
              <w:spacing w:after="0" w:line="240" w:lineRule="auto"/>
              <w:ind w:firstLine="0"/>
              <w:jc w:val="center"/>
              <w:rPr>
                <w:color w:val="000000"/>
                <w:sz w:val="20"/>
                <w:szCs w:val="20"/>
              </w:rPr>
            </w:pPr>
            <w:r>
              <w:rPr>
                <w:color w:val="000000"/>
                <w:sz w:val="20"/>
                <w:szCs w:val="20"/>
              </w:rPr>
              <w:t>9,28</w:t>
            </w:r>
          </w:p>
        </w:tc>
        <w:tc>
          <w:tcPr>
            <w:tcW w:w="1108" w:type="dxa"/>
            <w:shd w:val="clear" w:color="auto" w:fill="auto"/>
            <w:noWrap/>
            <w:tcMar>
              <w:left w:w="28" w:type="dxa"/>
              <w:right w:w="28" w:type="dxa"/>
            </w:tcMar>
            <w:vAlign w:val="center"/>
          </w:tcPr>
          <w:p w14:paraId="52AAD912">
            <w:pPr>
              <w:spacing w:after="0" w:line="240" w:lineRule="auto"/>
              <w:ind w:firstLine="0"/>
              <w:jc w:val="center"/>
              <w:rPr>
                <w:color w:val="000000"/>
                <w:sz w:val="20"/>
                <w:szCs w:val="20"/>
              </w:rPr>
            </w:pPr>
            <w:r>
              <w:rPr>
                <w:color w:val="000000"/>
                <w:sz w:val="20"/>
                <w:szCs w:val="20"/>
              </w:rPr>
              <w:t>9,10</w:t>
            </w:r>
          </w:p>
        </w:tc>
        <w:tc>
          <w:tcPr>
            <w:tcW w:w="1246" w:type="dxa"/>
            <w:shd w:val="clear" w:color="auto" w:fill="auto"/>
            <w:noWrap/>
            <w:tcMar>
              <w:left w:w="28" w:type="dxa"/>
              <w:right w:w="28" w:type="dxa"/>
            </w:tcMar>
            <w:vAlign w:val="center"/>
          </w:tcPr>
          <w:p w14:paraId="728A45F7">
            <w:pPr>
              <w:spacing w:after="0" w:line="240" w:lineRule="auto"/>
              <w:ind w:firstLine="0"/>
              <w:jc w:val="center"/>
              <w:rPr>
                <w:color w:val="000000"/>
                <w:sz w:val="20"/>
                <w:szCs w:val="20"/>
              </w:rPr>
            </w:pPr>
            <w:r>
              <w:rPr>
                <w:color w:val="000000"/>
                <w:sz w:val="20"/>
                <w:szCs w:val="20"/>
              </w:rPr>
              <w:t>8,91</w:t>
            </w:r>
          </w:p>
        </w:tc>
      </w:tr>
      <w:tr w14:paraId="3D5E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7DA7AC1A">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2A9C20CD">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1EFB1173">
            <w:pPr>
              <w:spacing w:after="0" w:line="240" w:lineRule="auto"/>
              <w:ind w:firstLine="0"/>
              <w:jc w:val="center"/>
              <w:rPr>
                <w:color w:val="000000"/>
                <w:sz w:val="20"/>
                <w:szCs w:val="20"/>
              </w:rPr>
            </w:pPr>
            <w:r>
              <w:rPr>
                <w:color w:val="000000"/>
                <w:sz w:val="20"/>
                <w:szCs w:val="20"/>
              </w:rPr>
              <w:t>81,10</w:t>
            </w:r>
          </w:p>
        </w:tc>
        <w:tc>
          <w:tcPr>
            <w:tcW w:w="1108" w:type="dxa"/>
            <w:shd w:val="clear" w:color="auto" w:fill="auto"/>
            <w:noWrap/>
            <w:tcMar>
              <w:left w:w="28" w:type="dxa"/>
              <w:right w:w="28" w:type="dxa"/>
            </w:tcMar>
            <w:vAlign w:val="center"/>
          </w:tcPr>
          <w:p w14:paraId="10F8C5DE">
            <w:pPr>
              <w:spacing w:after="0" w:line="240" w:lineRule="auto"/>
              <w:ind w:firstLine="0"/>
              <w:jc w:val="center"/>
              <w:rPr>
                <w:color w:val="000000"/>
                <w:sz w:val="20"/>
                <w:szCs w:val="20"/>
              </w:rPr>
            </w:pPr>
            <w:r>
              <w:rPr>
                <w:color w:val="000000"/>
                <w:sz w:val="20"/>
                <w:szCs w:val="20"/>
              </w:rPr>
              <w:t>80,02</w:t>
            </w:r>
          </w:p>
        </w:tc>
        <w:tc>
          <w:tcPr>
            <w:tcW w:w="1108" w:type="dxa"/>
            <w:shd w:val="clear" w:color="auto" w:fill="auto"/>
            <w:noWrap/>
            <w:tcMar>
              <w:left w:w="28" w:type="dxa"/>
              <w:right w:w="28" w:type="dxa"/>
            </w:tcMar>
            <w:vAlign w:val="center"/>
          </w:tcPr>
          <w:p w14:paraId="33E4E236">
            <w:pPr>
              <w:spacing w:after="0" w:line="240" w:lineRule="auto"/>
              <w:ind w:firstLine="0"/>
              <w:jc w:val="center"/>
              <w:rPr>
                <w:color w:val="000000"/>
                <w:sz w:val="20"/>
                <w:szCs w:val="20"/>
              </w:rPr>
            </w:pPr>
            <w:r>
              <w:rPr>
                <w:color w:val="000000"/>
                <w:sz w:val="20"/>
                <w:szCs w:val="20"/>
              </w:rPr>
              <w:t>78,86</w:t>
            </w:r>
          </w:p>
        </w:tc>
        <w:tc>
          <w:tcPr>
            <w:tcW w:w="1107" w:type="dxa"/>
            <w:shd w:val="clear" w:color="auto" w:fill="auto"/>
            <w:noWrap/>
            <w:tcMar>
              <w:left w:w="28" w:type="dxa"/>
              <w:right w:w="28" w:type="dxa"/>
            </w:tcMar>
            <w:vAlign w:val="center"/>
          </w:tcPr>
          <w:p w14:paraId="0130D32E">
            <w:pPr>
              <w:spacing w:after="0" w:line="240" w:lineRule="auto"/>
              <w:ind w:firstLine="0"/>
              <w:jc w:val="center"/>
              <w:rPr>
                <w:color w:val="000000"/>
                <w:sz w:val="20"/>
                <w:szCs w:val="20"/>
              </w:rPr>
            </w:pPr>
            <w:r>
              <w:rPr>
                <w:color w:val="000000"/>
                <w:sz w:val="20"/>
                <w:szCs w:val="20"/>
              </w:rPr>
              <w:t>77,60</w:t>
            </w:r>
          </w:p>
        </w:tc>
        <w:tc>
          <w:tcPr>
            <w:tcW w:w="1107" w:type="dxa"/>
            <w:shd w:val="clear" w:color="auto" w:fill="auto"/>
            <w:noWrap/>
            <w:tcMar>
              <w:left w:w="28" w:type="dxa"/>
              <w:right w:w="28" w:type="dxa"/>
            </w:tcMar>
            <w:vAlign w:val="center"/>
          </w:tcPr>
          <w:p w14:paraId="332FE1A4">
            <w:pPr>
              <w:spacing w:after="0" w:line="240" w:lineRule="auto"/>
              <w:ind w:firstLine="0"/>
              <w:jc w:val="center"/>
              <w:rPr>
                <w:color w:val="000000"/>
                <w:sz w:val="20"/>
                <w:szCs w:val="20"/>
              </w:rPr>
            </w:pPr>
            <w:r>
              <w:rPr>
                <w:color w:val="000000"/>
                <w:sz w:val="20"/>
                <w:szCs w:val="20"/>
              </w:rPr>
              <w:t>76,25</w:t>
            </w:r>
          </w:p>
        </w:tc>
        <w:tc>
          <w:tcPr>
            <w:tcW w:w="1108" w:type="dxa"/>
            <w:shd w:val="clear" w:color="auto" w:fill="auto"/>
            <w:noWrap/>
            <w:tcMar>
              <w:left w:w="28" w:type="dxa"/>
              <w:right w:w="28" w:type="dxa"/>
            </w:tcMar>
            <w:vAlign w:val="center"/>
          </w:tcPr>
          <w:p w14:paraId="4400B613">
            <w:pPr>
              <w:spacing w:after="0" w:line="240" w:lineRule="auto"/>
              <w:ind w:firstLine="0"/>
              <w:jc w:val="center"/>
              <w:rPr>
                <w:color w:val="000000"/>
                <w:sz w:val="20"/>
                <w:szCs w:val="20"/>
              </w:rPr>
            </w:pPr>
            <w:r>
              <w:rPr>
                <w:color w:val="000000"/>
                <w:sz w:val="20"/>
                <w:szCs w:val="20"/>
              </w:rPr>
              <w:t>74,79</w:t>
            </w:r>
          </w:p>
        </w:tc>
        <w:tc>
          <w:tcPr>
            <w:tcW w:w="1246" w:type="dxa"/>
            <w:shd w:val="clear" w:color="auto" w:fill="auto"/>
            <w:noWrap/>
            <w:tcMar>
              <w:left w:w="28" w:type="dxa"/>
              <w:right w:w="28" w:type="dxa"/>
            </w:tcMar>
            <w:vAlign w:val="center"/>
          </w:tcPr>
          <w:p w14:paraId="00FA5E50">
            <w:pPr>
              <w:spacing w:after="0" w:line="240" w:lineRule="auto"/>
              <w:ind w:firstLine="0"/>
              <w:jc w:val="center"/>
              <w:rPr>
                <w:color w:val="000000"/>
                <w:sz w:val="20"/>
                <w:szCs w:val="20"/>
              </w:rPr>
            </w:pPr>
            <w:r>
              <w:rPr>
                <w:color w:val="000000"/>
                <w:sz w:val="20"/>
                <w:szCs w:val="20"/>
              </w:rPr>
              <w:t>73,22</w:t>
            </w:r>
          </w:p>
        </w:tc>
      </w:tr>
      <w:tr w14:paraId="2DD3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noWrap/>
            <w:tcMar>
              <w:left w:w="28" w:type="dxa"/>
              <w:right w:w="28" w:type="dxa"/>
            </w:tcMar>
            <w:vAlign w:val="center"/>
          </w:tcPr>
          <w:p w14:paraId="6046F8CD">
            <w:pPr>
              <w:spacing w:after="0" w:line="240" w:lineRule="auto"/>
              <w:ind w:firstLine="0"/>
              <w:rPr>
                <w:color w:val="000000"/>
                <w:sz w:val="20"/>
                <w:szCs w:val="20"/>
              </w:rPr>
            </w:pPr>
            <w:r>
              <w:rPr>
                <w:color w:val="000000"/>
                <w:sz w:val="20"/>
                <w:szCs w:val="20"/>
              </w:rPr>
              <w:t>Выработано тепловой энергии</w:t>
            </w:r>
          </w:p>
        </w:tc>
        <w:tc>
          <w:tcPr>
            <w:tcW w:w="1505" w:type="dxa"/>
            <w:shd w:val="clear" w:color="auto" w:fill="auto"/>
            <w:noWrap/>
            <w:tcMar>
              <w:left w:w="28" w:type="dxa"/>
              <w:right w:w="28" w:type="dxa"/>
            </w:tcMar>
            <w:vAlign w:val="center"/>
          </w:tcPr>
          <w:p w14:paraId="11C26AB2">
            <w:pPr>
              <w:spacing w:after="0" w:line="240" w:lineRule="auto"/>
              <w:ind w:firstLine="0"/>
              <w:jc w:val="center"/>
              <w:rPr>
                <w:color w:val="000000"/>
                <w:sz w:val="20"/>
                <w:szCs w:val="20"/>
              </w:rPr>
            </w:pPr>
            <w:r>
              <w:rPr>
                <w:color w:val="000000"/>
                <w:sz w:val="20"/>
                <w:szCs w:val="20"/>
              </w:rPr>
              <w:t>Гкал</w:t>
            </w:r>
          </w:p>
        </w:tc>
        <w:tc>
          <w:tcPr>
            <w:tcW w:w="115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3C38F4C3">
            <w:pPr>
              <w:spacing w:after="0" w:line="240" w:lineRule="auto"/>
              <w:ind w:firstLine="0"/>
              <w:jc w:val="center"/>
              <w:rPr>
                <w:color w:val="000000"/>
                <w:sz w:val="20"/>
                <w:szCs w:val="20"/>
              </w:rPr>
            </w:pPr>
            <w:r>
              <w:rPr>
                <w:color w:val="000000"/>
                <w:sz w:val="20"/>
                <w:szCs w:val="20"/>
              </w:rPr>
              <w:t>18 022,50</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0A31C176">
            <w:pPr>
              <w:spacing w:after="0" w:line="240" w:lineRule="auto"/>
              <w:ind w:firstLine="0"/>
              <w:jc w:val="center"/>
              <w:rPr>
                <w:color w:val="000000"/>
                <w:sz w:val="20"/>
                <w:szCs w:val="20"/>
              </w:rPr>
            </w:pPr>
            <w:r>
              <w:rPr>
                <w:color w:val="000000"/>
                <w:sz w:val="20"/>
                <w:szCs w:val="20"/>
              </w:rPr>
              <w:t>19 431,37</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1AC797E4">
            <w:pPr>
              <w:spacing w:after="0" w:line="240" w:lineRule="auto"/>
              <w:ind w:firstLine="0"/>
              <w:jc w:val="center"/>
              <w:rPr>
                <w:color w:val="000000"/>
                <w:sz w:val="20"/>
                <w:szCs w:val="20"/>
              </w:rPr>
            </w:pPr>
            <w:r>
              <w:rPr>
                <w:color w:val="000000"/>
                <w:sz w:val="20"/>
                <w:szCs w:val="20"/>
              </w:rPr>
              <w:t>20 840,23</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4FD556A2">
            <w:pPr>
              <w:spacing w:after="0" w:line="240" w:lineRule="auto"/>
              <w:ind w:firstLine="0"/>
              <w:jc w:val="center"/>
              <w:rPr>
                <w:color w:val="000000"/>
                <w:sz w:val="20"/>
                <w:szCs w:val="20"/>
              </w:rPr>
            </w:pPr>
            <w:r>
              <w:rPr>
                <w:color w:val="000000"/>
                <w:sz w:val="20"/>
                <w:szCs w:val="20"/>
              </w:rPr>
              <w:t>22 249,10</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7B324191">
            <w:pPr>
              <w:spacing w:after="0" w:line="240" w:lineRule="auto"/>
              <w:ind w:firstLine="0"/>
              <w:jc w:val="center"/>
              <w:rPr>
                <w:color w:val="000000"/>
                <w:sz w:val="20"/>
                <w:szCs w:val="20"/>
              </w:rPr>
            </w:pPr>
            <w:r>
              <w:rPr>
                <w:color w:val="000000"/>
                <w:sz w:val="20"/>
                <w:szCs w:val="20"/>
              </w:rPr>
              <w:t>23 657,97</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2EBA9B77">
            <w:pPr>
              <w:spacing w:after="0" w:line="240" w:lineRule="auto"/>
              <w:ind w:firstLine="0"/>
              <w:jc w:val="center"/>
              <w:rPr>
                <w:color w:val="000000"/>
                <w:sz w:val="20"/>
                <w:szCs w:val="20"/>
              </w:rPr>
            </w:pPr>
            <w:r>
              <w:rPr>
                <w:color w:val="000000"/>
                <w:sz w:val="20"/>
                <w:szCs w:val="20"/>
              </w:rPr>
              <w:t>25 066,83</w:t>
            </w:r>
          </w:p>
        </w:tc>
        <w:tc>
          <w:tcPr>
            <w:tcW w:w="124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00B83D7B">
            <w:pPr>
              <w:spacing w:after="0" w:line="240" w:lineRule="auto"/>
              <w:ind w:firstLine="0"/>
              <w:jc w:val="center"/>
              <w:rPr>
                <w:color w:val="000000"/>
                <w:sz w:val="20"/>
                <w:szCs w:val="20"/>
              </w:rPr>
            </w:pPr>
            <w:r>
              <w:rPr>
                <w:color w:val="000000"/>
                <w:sz w:val="20"/>
                <w:szCs w:val="20"/>
              </w:rPr>
              <w:t>26 475,70</w:t>
            </w:r>
          </w:p>
        </w:tc>
      </w:tr>
      <w:tr w14:paraId="7E36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noWrap/>
            <w:tcMar>
              <w:left w:w="28" w:type="dxa"/>
              <w:right w:w="28" w:type="dxa"/>
            </w:tcMar>
            <w:vAlign w:val="center"/>
          </w:tcPr>
          <w:p w14:paraId="4C1555A2">
            <w:pPr>
              <w:spacing w:after="0" w:line="240" w:lineRule="auto"/>
              <w:ind w:firstLine="0"/>
              <w:rPr>
                <w:color w:val="000000"/>
                <w:sz w:val="20"/>
                <w:szCs w:val="20"/>
              </w:rPr>
            </w:pPr>
            <w:r>
              <w:rPr>
                <w:color w:val="000000"/>
                <w:sz w:val="20"/>
                <w:szCs w:val="20"/>
              </w:rPr>
              <w:t>Отпуск в сеть</w:t>
            </w:r>
          </w:p>
        </w:tc>
        <w:tc>
          <w:tcPr>
            <w:tcW w:w="1505" w:type="dxa"/>
            <w:shd w:val="clear" w:color="auto" w:fill="auto"/>
            <w:noWrap/>
            <w:tcMar>
              <w:left w:w="28" w:type="dxa"/>
              <w:right w:w="28" w:type="dxa"/>
            </w:tcMar>
            <w:vAlign w:val="center"/>
          </w:tcPr>
          <w:p w14:paraId="016D6F75">
            <w:pPr>
              <w:spacing w:after="0" w:line="240" w:lineRule="auto"/>
              <w:ind w:firstLine="0"/>
              <w:jc w:val="center"/>
              <w:rPr>
                <w:color w:val="000000"/>
                <w:sz w:val="20"/>
                <w:szCs w:val="20"/>
              </w:rPr>
            </w:pPr>
            <w:r>
              <w:rPr>
                <w:color w:val="000000"/>
                <w:sz w:val="20"/>
                <w:szCs w:val="20"/>
              </w:rPr>
              <w:t>Гкал</w:t>
            </w:r>
          </w:p>
        </w:tc>
        <w:tc>
          <w:tcPr>
            <w:tcW w:w="115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5E9C0160">
            <w:pPr>
              <w:spacing w:after="0" w:line="240" w:lineRule="auto"/>
              <w:ind w:firstLine="0"/>
              <w:jc w:val="center"/>
              <w:rPr>
                <w:color w:val="000000"/>
                <w:sz w:val="20"/>
                <w:szCs w:val="20"/>
              </w:rPr>
            </w:pPr>
            <w:r>
              <w:rPr>
                <w:color w:val="000000"/>
                <w:sz w:val="20"/>
                <w:szCs w:val="20"/>
              </w:rPr>
              <w:t>18 022,50</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73CBF91A">
            <w:pPr>
              <w:spacing w:after="0" w:line="240" w:lineRule="auto"/>
              <w:ind w:firstLine="0"/>
              <w:jc w:val="center"/>
              <w:rPr>
                <w:color w:val="000000"/>
                <w:sz w:val="20"/>
                <w:szCs w:val="20"/>
              </w:rPr>
            </w:pPr>
            <w:r>
              <w:rPr>
                <w:color w:val="000000"/>
                <w:sz w:val="20"/>
                <w:szCs w:val="20"/>
              </w:rPr>
              <w:t>19 431,37</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5B90BDFB">
            <w:pPr>
              <w:spacing w:after="0" w:line="240" w:lineRule="auto"/>
              <w:ind w:firstLine="0"/>
              <w:jc w:val="center"/>
              <w:rPr>
                <w:color w:val="000000"/>
                <w:sz w:val="20"/>
                <w:szCs w:val="20"/>
              </w:rPr>
            </w:pPr>
            <w:r>
              <w:rPr>
                <w:color w:val="000000"/>
                <w:sz w:val="20"/>
                <w:szCs w:val="20"/>
              </w:rPr>
              <w:t>20 840,23</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31B100C1">
            <w:pPr>
              <w:spacing w:after="0" w:line="240" w:lineRule="auto"/>
              <w:ind w:firstLine="0"/>
              <w:jc w:val="center"/>
              <w:rPr>
                <w:color w:val="000000"/>
                <w:sz w:val="20"/>
                <w:szCs w:val="20"/>
              </w:rPr>
            </w:pPr>
            <w:r>
              <w:rPr>
                <w:color w:val="000000"/>
                <w:sz w:val="20"/>
                <w:szCs w:val="20"/>
              </w:rPr>
              <w:t>22 249,10</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53B8A6B1">
            <w:pPr>
              <w:spacing w:after="0" w:line="240" w:lineRule="auto"/>
              <w:ind w:firstLine="0"/>
              <w:jc w:val="center"/>
              <w:rPr>
                <w:color w:val="000000"/>
                <w:sz w:val="20"/>
                <w:szCs w:val="20"/>
              </w:rPr>
            </w:pPr>
            <w:r>
              <w:rPr>
                <w:color w:val="000000"/>
                <w:sz w:val="20"/>
                <w:szCs w:val="20"/>
              </w:rPr>
              <w:t>23 657,97</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70D64A92">
            <w:pPr>
              <w:spacing w:after="0" w:line="240" w:lineRule="auto"/>
              <w:ind w:firstLine="0"/>
              <w:jc w:val="center"/>
              <w:rPr>
                <w:color w:val="000000"/>
                <w:sz w:val="20"/>
                <w:szCs w:val="20"/>
              </w:rPr>
            </w:pPr>
            <w:r>
              <w:rPr>
                <w:color w:val="000000"/>
                <w:sz w:val="20"/>
                <w:szCs w:val="20"/>
              </w:rPr>
              <w:t>25 066,83</w:t>
            </w:r>
          </w:p>
        </w:tc>
        <w:tc>
          <w:tcPr>
            <w:tcW w:w="124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2345D280">
            <w:pPr>
              <w:spacing w:after="0" w:line="240" w:lineRule="auto"/>
              <w:ind w:firstLine="0"/>
              <w:jc w:val="center"/>
              <w:rPr>
                <w:color w:val="000000"/>
                <w:sz w:val="20"/>
                <w:szCs w:val="20"/>
              </w:rPr>
            </w:pPr>
            <w:r>
              <w:rPr>
                <w:color w:val="000000"/>
                <w:sz w:val="20"/>
                <w:szCs w:val="20"/>
              </w:rPr>
              <w:t>26 475,70</w:t>
            </w:r>
          </w:p>
        </w:tc>
      </w:tr>
      <w:tr w14:paraId="607F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noWrap/>
            <w:tcMar>
              <w:left w:w="28" w:type="dxa"/>
              <w:right w:w="28" w:type="dxa"/>
            </w:tcMar>
            <w:vAlign w:val="center"/>
          </w:tcPr>
          <w:p w14:paraId="7C109E92">
            <w:pPr>
              <w:spacing w:after="0" w:line="240" w:lineRule="auto"/>
              <w:ind w:firstLine="0"/>
              <w:jc w:val="center"/>
              <w:rPr>
                <w:color w:val="000000"/>
                <w:sz w:val="20"/>
                <w:szCs w:val="20"/>
              </w:rPr>
            </w:pPr>
            <w:r>
              <w:rPr>
                <w:color w:val="000000"/>
                <w:sz w:val="20"/>
                <w:szCs w:val="20"/>
              </w:rPr>
              <w:t>Итого по с.п. Верхнеказымский</w:t>
            </w:r>
          </w:p>
        </w:tc>
        <w:tc>
          <w:tcPr>
            <w:tcW w:w="1505" w:type="dxa"/>
            <w:shd w:val="clear" w:color="auto" w:fill="auto"/>
            <w:noWrap/>
            <w:tcMar>
              <w:left w:w="28" w:type="dxa"/>
              <w:right w:w="28" w:type="dxa"/>
            </w:tcMar>
            <w:vAlign w:val="center"/>
          </w:tcPr>
          <w:p w14:paraId="44D3B4E0">
            <w:pPr>
              <w:spacing w:after="0" w:line="240" w:lineRule="auto"/>
              <w:ind w:firstLine="0"/>
              <w:rPr>
                <w:color w:val="000000"/>
                <w:sz w:val="20"/>
                <w:szCs w:val="20"/>
              </w:rPr>
            </w:pPr>
            <w:r>
              <w:rPr>
                <w:color w:val="000000"/>
                <w:sz w:val="20"/>
                <w:szCs w:val="20"/>
              </w:rPr>
              <w:t> </w:t>
            </w:r>
          </w:p>
        </w:tc>
        <w:tc>
          <w:tcPr>
            <w:tcW w:w="1156" w:type="dxa"/>
            <w:shd w:val="clear" w:color="auto" w:fill="auto"/>
            <w:noWrap/>
            <w:tcMar>
              <w:left w:w="28" w:type="dxa"/>
              <w:right w:w="28" w:type="dxa"/>
            </w:tcMar>
            <w:vAlign w:val="center"/>
          </w:tcPr>
          <w:p w14:paraId="57AC69E2">
            <w:pPr>
              <w:spacing w:after="0" w:line="240" w:lineRule="auto"/>
              <w:ind w:firstLine="0"/>
              <w:jc w:val="center"/>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190EC918">
            <w:pPr>
              <w:spacing w:after="0" w:line="240" w:lineRule="auto"/>
              <w:ind w:firstLine="0"/>
              <w:jc w:val="center"/>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1C3B8CCA">
            <w:pPr>
              <w:spacing w:after="0" w:line="240" w:lineRule="auto"/>
              <w:ind w:firstLine="0"/>
              <w:jc w:val="center"/>
              <w:rPr>
                <w:color w:val="000000"/>
                <w:sz w:val="20"/>
                <w:szCs w:val="20"/>
              </w:rPr>
            </w:pPr>
            <w:r>
              <w:rPr>
                <w:color w:val="000000"/>
                <w:sz w:val="20"/>
                <w:szCs w:val="20"/>
              </w:rPr>
              <w:t> </w:t>
            </w:r>
          </w:p>
        </w:tc>
        <w:tc>
          <w:tcPr>
            <w:tcW w:w="1107" w:type="dxa"/>
            <w:shd w:val="clear" w:color="auto" w:fill="auto"/>
            <w:noWrap/>
            <w:tcMar>
              <w:left w:w="28" w:type="dxa"/>
              <w:right w:w="28" w:type="dxa"/>
            </w:tcMar>
            <w:vAlign w:val="center"/>
          </w:tcPr>
          <w:p w14:paraId="73B48FF8">
            <w:pPr>
              <w:spacing w:after="0" w:line="240" w:lineRule="auto"/>
              <w:ind w:firstLine="0"/>
              <w:jc w:val="center"/>
              <w:rPr>
                <w:color w:val="000000"/>
                <w:sz w:val="20"/>
                <w:szCs w:val="20"/>
              </w:rPr>
            </w:pPr>
            <w:r>
              <w:rPr>
                <w:color w:val="000000"/>
                <w:sz w:val="20"/>
                <w:szCs w:val="20"/>
              </w:rPr>
              <w:t> </w:t>
            </w:r>
          </w:p>
        </w:tc>
        <w:tc>
          <w:tcPr>
            <w:tcW w:w="1107" w:type="dxa"/>
            <w:shd w:val="clear" w:color="auto" w:fill="auto"/>
            <w:noWrap/>
            <w:tcMar>
              <w:left w:w="28" w:type="dxa"/>
              <w:right w:w="28" w:type="dxa"/>
            </w:tcMar>
            <w:vAlign w:val="center"/>
          </w:tcPr>
          <w:p w14:paraId="398E1306">
            <w:pPr>
              <w:spacing w:after="0" w:line="240" w:lineRule="auto"/>
              <w:ind w:firstLine="0"/>
              <w:jc w:val="center"/>
              <w:rPr>
                <w:color w:val="000000"/>
                <w:sz w:val="20"/>
                <w:szCs w:val="20"/>
              </w:rPr>
            </w:pPr>
            <w:r>
              <w:rPr>
                <w:color w:val="000000"/>
                <w:sz w:val="20"/>
                <w:szCs w:val="20"/>
              </w:rPr>
              <w:t> </w:t>
            </w:r>
          </w:p>
        </w:tc>
        <w:tc>
          <w:tcPr>
            <w:tcW w:w="1108" w:type="dxa"/>
            <w:shd w:val="clear" w:color="auto" w:fill="auto"/>
            <w:noWrap/>
            <w:tcMar>
              <w:left w:w="28" w:type="dxa"/>
              <w:right w:w="28" w:type="dxa"/>
            </w:tcMar>
            <w:vAlign w:val="center"/>
          </w:tcPr>
          <w:p w14:paraId="2CD695BE">
            <w:pPr>
              <w:spacing w:after="0" w:line="240" w:lineRule="auto"/>
              <w:ind w:firstLine="0"/>
              <w:jc w:val="center"/>
              <w:rPr>
                <w:color w:val="000000"/>
                <w:sz w:val="20"/>
                <w:szCs w:val="20"/>
              </w:rPr>
            </w:pPr>
            <w:r>
              <w:rPr>
                <w:color w:val="000000"/>
                <w:sz w:val="20"/>
                <w:szCs w:val="20"/>
              </w:rPr>
              <w:t> </w:t>
            </w:r>
          </w:p>
        </w:tc>
        <w:tc>
          <w:tcPr>
            <w:tcW w:w="1246" w:type="dxa"/>
            <w:shd w:val="clear" w:color="auto" w:fill="auto"/>
            <w:noWrap/>
            <w:tcMar>
              <w:left w:w="28" w:type="dxa"/>
              <w:right w:w="28" w:type="dxa"/>
            </w:tcMar>
            <w:vAlign w:val="center"/>
          </w:tcPr>
          <w:p w14:paraId="4389D1ED">
            <w:pPr>
              <w:spacing w:after="0" w:line="240" w:lineRule="auto"/>
              <w:ind w:firstLine="0"/>
              <w:jc w:val="center"/>
              <w:rPr>
                <w:color w:val="000000"/>
                <w:sz w:val="20"/>
                <w:szCs w:val="20"/>
              </w:rPr>
            </w:pPr>
            <w:r>
              <w:rPr>
                <w:color w:val="000000"/>
                <w:sz w:val="20"/>
                <w:szCs w:val="20"/>
              </w:rPr>
              <w:t> </w:t>
            </w:r>
          </w:p>
        </w:tc>
      </w:tr>
      <w:tr w14:paraId="7083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6C231E82">
            <w:pPr>
              <w:spacing w:after="0" w:line="240" w:lineRule="auto"/>
              <w:ind w:firstLine="0"/>
              <w:rPr>
                <w:color w:val="000000"/>
                <w:sz w:val="20"/>
                <w:szCs w:val="20"/>
              </w:rPr>
            </w:pPr>
            <w:r>
              <w:rPr>
                <w:color w:val="000000"/>
                <w:sz w:val="20"/>
                <w:szCs w:val="20"/>
              </w:rPr>
              <w:t>Установленная мощность</w:t>
            </w:r>
          </w:p>
        </w:tc>
        <w:tc>
          <w:tcPr>
            <w:tcW w:w="1505" w:type="dxa"/>
            <w:shd w:val="clear" w:color="auto" w:fill="auto"/>
            <w:tcMar>
              <w:left w:w="28" w:type="dxa"/>
              <w:right w:w="28" w:type="dxa"/>
            </w:tcMar>
            <w:vAlign w:val="center"/>
          </w:tcPr>
          <w:p w14:paraId="484CA8B2">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2E06596">
            <w:pPr>
              <w:spacing w:after="0" w:line="240" w:lineRule="auto"/>
              <w:ind w:firstLine="0"/>
              <w:jc w:val="center"/>
              <w:rPr>
                <w:color w:val="000000"/>
                <w:sz w:val="20"/>
                <w:szCs w:val="20"/>
              </w:rPr>
            </w:pPr>
            <w:r>
              <w:rPr>
                <w:color w:val="000000"/>
                <w:sz w:val="20"/>
                <w:szCs w:val="20"/>
              </w:rPr>
              <w:t>53,74</w:t>
            </w:r>
          </w:p>
        </w:tc>
        <w:tc>
          <w:tcPr>
            <w:tcW w:w="1108" w:type="dxa"/>
            <w:shd w:val="clear" w:color="auto" w:fill="auto"/>
            <w:noWrap/>
            <w:tcMar>
              <w:left w:w="28" w:type="dxa"/>
              <w:right w:w="28" w:type="dxa"/>
            </w:tcMar>
            <w:vAlign w:val="center"/>
          </w:tcPr>
          <w:p w14:paraId="347B99A6">
            <w:pPr>
              <w:spacing w:after="0" w:line="240" w:lineRule="auto"/>
              <w:ind w:firstLine="0"/>
              <w:jc w:val="center"/>
              <w:rPr>
                <w:color w:val="000000"/>
                <w:sz w:val="20"/>
                <w:szCs w:val="20"/>
              </w:rPr>
            </w:pPr>
            <w:r>
              <w:rPr>
                <w:color w:val="000000"/>
                <w:sz w:val="20"/>
                <w:szCs w:val="20"/>
              </w:rPr>
              <w:t>53,74</w:t>
            </w:r>
          </w:p>
        </w:tc>
        <w:tc>
          <w:tcPr>
            <w:tcW w:w="1108" w:type="dxa"/>
            <w:shd w:val="clear" w:color="auto" w:fill="auto"/>
            <w:noWrap/>
            <w:tcMar>
              <w:left w:w="28" w:type="dxa"/>
              <w:right w:w="28" w:type="dxa"/>
            </w:tcMar>
            <w:vAlign w:val="center"/>
          </w:tcPr>
          <w:p w14:paraId="4B7F861F">
            <w:pPr>
              <w:spacing w:after="0" w:line="240" w:lineRule="auto"/>
              <w:ind w:firstLine="0"/>
              <w:jc w:val="center"/>
              <w:rPr>
                <w:color w:val="000000"/>
                <w:sz w:val="20"/>
                <w:szCs w:val="20"/>
              </w:rPr>
            </w:pPr>
            <w:r>
              <w:rPr>
                <w:color w:val="000000"/>
                <w:sz w:val="20"/>
                <w:szCs w:val="20"/>
              </w:rPr>
              <w:t>53,74</w:t>
            </w:r>
          </w:p>
        </w:tc>
        <w:tc>
          <w:tcPr>
            <w:tcW w:w="1107" w:type="dxa"/>
            <w:shd w:val="clear" w:color="auto" w:fill="auto"/>
            <w:noWrap/>
            <w:tcMar>
              <w:left w:w="28" w:type="dxa"/>
              <w:right w:w="28" w:type="dxa"/>
            </w:tcMar>
            <w:vAlign w:val="center"/>
          </w:tcPr>
          <w:p w14:paraId="528DEB54">
            <w:pPr>
              <w:spacing w:after="0" w:line="240" w:lineRule="auto"/>
              <w:ind w:firstLine="0"/>
              <w:jc w:val="center"/>
              <w:rPr>
                <w:color w:val="000000"/>
                <w:sz w:val="20"/>
                <w:szCs w:val="20"/>
              </w:rPr>
            </w:pPr>
            <w:r>
              <w:rPr>
                <w:color w:val="000000"/>
                <w:sz w:val="20"/>
                <w:szCs w:val="20"/>
              </w:rPr>
              <w:t>53,74</w:t>
            </w:r>
          </w:p>
        </w:tc>
        <w:tc>
          <w:tcPr>
            <w:tcW w:w="1107" w:type="dxa"/>
            <w:shd w:val="clear" w:color="auto" w:fill="auto"/>
            <w:noWrap/>
            <w:tcMar>
              <w:left w:w="28" w:type="dxa"/>
              <w:right w:w="28" w:type="dxa"/>
            </w:tcMar>
            <w:vAlign w:val="center"/>
          </w:tcPr>
          <w:p w14:paraId="6FA28353">
            <w:pPr>
              <w:spacing w:after="0" w:line="240" w:lineRule="auto"/>
              <w:ind w:firstLine="0"/>
              <w:jc w:val="center"/>
              <w:rPr>
                <w:color w:val="000000"/>
                <w:sz w:val="20"/>
                <w:szCs w:val="20"/>
              </w:rPr>
            </w:pPr>
            <w:r>
              <w:rPr>
                <w:color w:val="000000"/>
                <w:sz w:val="20"/>
                <w:szCs w:val="20"/>
              </w:rPr>
              <w:t>53,74</w:t>
            </w:r>
          </w:p>
        </w:tc>
        <w:tc>
          <w:tcPr>
            <w:tcW w:w="1108" w:type="dxa"/>
            <w:shd w:val="clear" w:color="auto" w:fill="auto"/>
            <w:noWrap/>
            <w:tcMar>
              <w:left w:w="28" w:type="dxa"/>
              <w:right w:w="28" w:type="dxa"/>
            </w:tcMar>
            <w:vAlign w:val="center"/>
          </w:tcPr>
          <w:p w14:paraId="77CEA0A6">
            <w:pPr>
              <w:spacing w:after="0" w:line="240" w:lineRule="auto"/>
              <w:ind w:firstLine="0"/>
              <w:jc w:val="center"/>
              <w:rPr>
                <w:color w:val="000000"/>
                <w:sz w:val="20"/>
                <w:szCs w:val="20"/>
              </w:rPr>
            </w:pPr>
            <w:r>
              <w:rPr>
                <w:color w:val="000000"/>
                <w:sz w:val="20"/>
                <w:szCs w:val="20"/>
              </w:rPr>
              <w:t>53,74</w:t>
            </w:r>
          </w:p>
        </w:tc>
        <w:tc>
          <w:tcPr>
            <w:tcW w:w="1246" w:type="dxa"/>
            <w:shd w:val="clear" w:color="auto" w:fill="auto"/>
            <w:noWrap/>
            <w:tcMar>
              <w:left w:w="28" w:type="dxa"/>
              <w:right w:w="28" w:type="dxa"/>
            </w:tcMar>
            <w:vAlign w:val="center"/>
          </w:tcPr>
          <w:p w14:paraId="5E3B4CEE">
            <w:pPr>
              <w:spacing w:after="0" w:line="240" w:lineRule="auto"/>
              <w:ind w:firstLine="0"/>
              <w:jc w:val="center"/>
              <w:rPr>
                <w:color w:val="000000"/>
                <w:sz w:val="20"/>
                <w:szCs w:val="20"/>
              </w:rPr>
            </w:pPr>
            <w:r>
              <w:rPr>
                <w:color w:val="000000"/>
                <w:sz w:val="20"/>
                <w:szCs w:val="20"/>
              </w:rPr>
              <w:t>53,74</w:t>
            </w:r>
          </w:p>
        </w:tc>
      </w:tr>
      <w:tr w14:paraId="7127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30A8F6AE">
            <w:pPr>
              <w:spacing w:after="0" w:line="240" w:lineRule="auto"/>
              <w:ind w:firstLine="0"/>
              <w:rPr>
                <w:color w:val="000000"/>
                <w:sz w:val="20"/>
                <w:szCs w:val="20"/>
              </w:rPr>
            </w:pPr>
            <w:r>
              <w:rPr>
                <w:color w:val="000000"/>
                <w:sz w:val="20"/>
                <w:szCs w:val="20"/>
              </w:rPr>
              <w:t>Ограничение тепловой мощности</w:t>
            </w:r>
          </w:p>
        </w:tc>
        <w:tc>
          <w:tcPr>
            <w:tcW w:w="1505" w:type="dxa"/>
            <w:shd w:val="clear" w:color="auto" w:fill="auto"/>
            <w:tcMar>
              <w:left w:w="28" w:type="dxa"/>
              <w:right w:w="28" w:type="dxa"/>
            </w:tcMar>
            <w:vAlign w:val="center"/>
          </w:tcPr>
          <w:p w14:paraId="3F5E54A7">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0317DE60">
            <w:pPr>
              <w:spacing w:after="0" w:line="240" w:lineRule="auto"/>
              <w:ind w:firstLine="0"/>
              <w:jc w:val="center"/>
              <w:rPr>
                <w:color w:val="000000"/>
                <w:sz w:val="20"/>
                <w:szCs w:val="20"/>
              </w:rPr>
            </w:pPr>
            <w:r>
              <w:rPr>
                <w:color w:val="000000"/>
                <w:sz w:val="20"/>
                <w:szCs w:val="20"/>
              </w:rPr>
              <w:t>35,40</w:t>
            </w:r>
          </w:p>
        </w:tc>
        <w:tc>
          <w:tcPr>
            <w:tcW w:w="1108" w:type="dxa"/>
            <w:shd w:val="clear" w:color="auto" w:fill="auto"/>
            <w:noWrap/>
            <w:tcMar>
              <w:left w:w="28" w:type="dxa"/>
              <w:right w:w="28" w:type="dxa"/>
            </w:tcMar>
            <w:vAlign w:val="center"/>
          </w:tcPr>
          <w:p w14:paraId="758C2D1E">
            <w:pPr>
              <w:spacing w:after="0" w:line="240" w:lineRule="auto"/>
              <w:ind w:firstLine="0"/>
              <w:jc w:val="center"/>
              <w:rPr>
                <w:color w:val="000000"/>
                <w:sz w:val="20"/>
                <w:szCs w:val="20"/>
              </w:rPr>
            </w:pPr>
            <w:r>
              <w:rPr>
                <w:color w:val="000000"/>
                <w:sz w:val="20"/>
                <w:szCs w:val="20"/>
              </w:rPr>
              <w:t>35,40</w:t>
            </w:r>
          </w:p>
        </w:tc>
        <w:tc>
          <w:tcPr>
            <w:tcW w:w="1108" w:type="dxa"/>
            <w:shd w:val="clear" w:color="auto" w:fill="auto"/>
            <w:noWrap/>
            <w:tcMar>
              <w:left w:w="28" w:type="dxa"/>
              <w:right w:w="28" w:type="dxa"/>
            </w:tcMar>
            <w:vAlign w:val="center"/>
          </w:tcPr>
          <w:p w14:paraId="403184A6">
            <w:pPr>
              <w:spacing w:after="0" w:line="240" w:lineRule="auto"/>
              <w:ind w:firstLine="0"/>
              <w:jc w:val="center"/>
              <w:rPr>
                <w:color w:val="000000"/>
                <w:sz w:val="20"/>
                <w:szCs w:val="20"/>
              </w:rPr>
            </w:pPr>
            <w:r>
              <w:rPr>
                <w:color w:val="000000"/>
                <w:sz w:val="20"/>
                <w:szCs w:val="20"/>
              </w:rPr>
              <w:t>35,40</w:t>
            </w:r>
          </w:p>
        </w:tc>
        <w:tc>
          <w:tcPr>
            <w:tcW w:w="1107" w:type="dxa"/>
            <w:shd w:val="clear" w:color="auto" w:fill="auto"/>
            <w:noWrap/>
            <w:tcMar>
              <w:left w:w="28" w:type="dxa"/>
              <w:right w:w="28" w:type="dxa"/>
            </w:tcMar>
            <w:vAlign w:val="center"/>
          </w:tcPr>
          <w:p w14:paraId="32337FDD">
            <w:pPr>
              <w:spacing w:after="0" w:line="240" w:lineRule="auto"/>
              <w:ind w:firstLine="0"/>
              <w:jc w:val="center"/>
              <w:rPr>
                <w:color w:val="000000"/>
                <w:sz w:val="20"/>
                <w:szCs w:val="20"/>
              </w:rPr>
            </w:pPr>
            <w:r>
              <w:rPr>
                <w:color w:val="000000"/>
                <w:sz w:val="20"/>
                <w:szCs w:val="20"/>
              </w:rPr>
              <w:t>35,40</w:t>
            </w:r>
          </w:p>
        </w:tc>
        <w:tc>
          <w:tcPr>
            <w:tcW w:w="1107" w:type="dxa"/>
            <w:shd w:val="clear" w:color="auto" w:fill="auto"/>
            <w:noWrap/>
            <w:tcMar>
              <w:left w:w="28" w:type="dxa"/>
              <w:right w:w="28" w:type="dxa"/>
            </w:tcMar>
            <w:vAlign w:val="center"/>
          </w:tcPr>
          <w:p w14:paraId="7326BB7C">
            <w:pPr>
              <w:spacing w:after="0" w:line="240" w:lineRule="auto"/>
              <w:ind w:firstLine="0"/>
              <w:jc w:val="center"/>
              <w:rPr>
                <w:color w:val="000000"/>
                <w:sz w:val="20"/>
                <w:szCs w:val="20"/>
              </w:rPr>
            </w:pPr>
            <w:r>
              <w:rPr>
                <w:color w:val="000000"/>
                <w:sz w:val="20"/>
                <w:szCs w:val="20"/>
              </w:rPr>
              <w:t>35,40</w:t>
            </w:r>
          </w:p>
        </w:tc>
        <w:tc>
          <w:tcPr>
            <w:tcW w:w="1108" w:type="dxa"/>
            <w:shd w:val="clear" w:color="auto" w:fill="auto"/>
            <w:noWrap/>
            <w:tcMar>
              <w:left w:w="28" w:type="dxa"/>
              <w:right w:w="28" w:type="dxa"/>
            </w:tcMar>
            <w:vAlign w:val="center"/>
          </w:tcPr>
          <w:p w14:paraId="6885BEAC">
            <w:pPr>
              <w:spacing w:after="0" w:line="240" w:lineRule="auto"/>
              <w:ind w:firstLine="0"/>
              <w:jc w:val="center"/>
              <w:rPr>
                <w:color w:val="000000"/>
                <w:sz w:val="20"/>
                <w:szCs w:val="20"/>
              </w:rPr>
            </w:pPr>
            <w:r>
              <w:rPr>
                <w:color w:val="000000"/>
                <w:sz w:val="20"/>
                <w:szCs w:val="20"/>
              </w:rPr>
              <w:t>35,40</w:t>
            </w:r>
          </w:p>
        </w:tc>
        <w:tc>
          <w:tcPr>
            <w:tcW w:w="1246" w:type="dxa"/>
            <w:shd w:val="clear" w:color="auto" w:fill="auto"/>
            <w:noWrap/>
            <w:tcMar>
              <w:left w:w="28" w:type="dxa"/>
              <w:right w:w="28" w:type="dxa"/>
            </w:tcMar>
            <w:vAlign w:val="center"/>
          </w:tcPr>
          <w:p w14:paraId="614D6030">
            <w:pPr>
              <w:spacing w:after="0" w:line="240" w:lineRule="auto"/>
              <w:ind w:firstLine="0"/>
              <w:jc w:val="center"/>
              <w:rPr>
                <w:color w:val="000000"/>
                <w:sz w:val="20"/>
                <w:szCs w:val="20"/>
              </w:rPr>
            </w:pPr>
            <w:r>
              <w:rPr>
                <w:color w:val="000000"/>
                <w:sz w:val="20"/>
                <w:szCs w:val="20"/>
              </w:rPr>
              <w:t>35,40</w:t>
            </w:r>
          </w:p>
        </w:tc>
      </w:tr>
      <w:tr w14:paraId="53E6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6C03A49E">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08A0D534">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456548C3">
            <w:pPr>
              <w:spacing w:after="0" w:line="240" w:lineRule="auto"/>
              <w:ind w:firstLine="0"/>
              <w:jc w:val="center"/>
              <w:rPr>
                <w:color w:val="000000"/>
                <w:sz w:val="20"/>
                <w:szCs w:val="20"/>
              </w:rPr>
            </w:pPr>
            <w:r>
              <w:rPr>
                <w:color w:val="000000"/>
                <w:sz w:val="20"/>
                <w:szCs w:val="20"/>
              </w:rPr>
              <w:t>65,87</w:t>
            </w:r>
          </w:p>
        </w:tc>
        <w:tc>
          <w:tcPr>
            <w:tcW w:w="1108" w:type="dxa"/>
            <w:shd w:val="clear" w:color="auto" w:fill="auto"/>
            <w:noWrap/>
            <w:tcMar>
              <w:left w:w="28" w:type="dxa"/>
              <w:right w:w="28" w:type="dxa"/>
            </w:tcMar>
            <w:vAlign w:val="center"/>
          </w:tcPr>
          <w:p w14:paraId="78F44A76">
            <w:pPr>
              <w:spacing w:after="0" w:line="240" w:lineRule="auto"/>
              <w:ind w:firstLine="0"/>
              <w:jc w:val="center"/>
              <w:rPr>
                <w:color w:val="000000"/>
                <w:sz w:val="20"/>
                <w:szCs w:val="20"/>
              </w:rPr>
            </w:pPr>
            <w:r>
              <w:rPr>
                <w:color w:val="000000"/>
                <w:sz w:val="20"/>
                <w:szCs w:val="20"/>
              </w:rPr>
              <w:t>65,87</w:t>
            </w:r>
          </w:p>
        </w:tc>
        <w:tc>
          <w:tcPr>
            <w:tcW w:w="1108" w:type="dxa"/>
            <w:shd w:val="clear" w:color="auto" w:fill="auto"/>
            <w:noWrap/>
            <w:tcMar>
              <w:left w:w="28" w:type="dxa"/>
              <w:right w:w="28" w:type="dxa"/>
            </w:tcMar>
            <w:vAlign w:val="center"/>
          </w:tcPr>
          <w:p w14:paraId="5EC91E66">
            <w:pPr>
              <w:spacing w:after="0" w:line="240" w:lineRule="auto"/>
              <w:ind w:firstLine="0"/>
              <w:jc w:val="center"/>
              <w:rPr>
                <w:color w:val="000000"/>
                <w:sz w:val="20"/>
                <w:szCs w:val="20"/>
              </w:rPr>
            </w:pPr>
            <w:r>
              <w:rPr>
                <w:color w:val="000000"/>
                <w:sz w:val="20"/>
                <w:szCs w:val="20"/>
              </w:rPr>
              <w:t>65,87</w:t>
            </w:r>
          </w:p>
        </w:tc>
        <w:tc>
          <w:tcPr>
            <w:tcW w:w="1107" w:type="dxa"/>
            <w:shd w:val="clear" w:color="auto" w:fill="auto"/>
            <w:noWrap/>
            <w:tcMar>
              <w:left w:w="28" w:type="dxa"/>
              <w:right w:w="28" w:type="dxa"/>
            </w:tcMar>
            <w:vAlign w:val="center"/>
          </w:tcPr>
          <w:p w14:paraId="1AFA9657">
            <w:pPr>
              <w:spacing w:after="0" w:line="240" w:lineRule="auto"/>
              <w:ind w:firstLine="0"/>
              <w:jc w:val="center"/>
              <w:rPr>
                <w:color w:val="000000"/>
                <w:sz w:val="20"/>
                <w:szCs w:val="20"/>
              </w:rPr>
            </w:pPr>
            <w:r>
              <w:rPr>
                <w:color w:val="000000"/>
                <w:sz w:val="20"/>
                <w:szCs w:val="20"/>
              </w:rPr>
              <w:t>65,87</w:t>
            </w:r>
          </w:p>
        </w:tc>
        <w:tc>
          <w:tcPr>
            <w:tcW w:w="1107" w:type="dxa"/>
            <w:shd w:val="clear" w:color="auto" w:fill="auto"/>
            <w:noWrap/>
            <w:tcMar>
              <w:left w:w="28" w:type="dxa"/>
              <w:right w:w="28" w:type="dxa"/>
            </w:tcMar>
            <w:vAlign w:val="center"/>
          </w:tcPr>
          <w:p w14:paraId="0A7C1529">
            <w:pPr>
              <w:spacing w:after="0" w:line="240" w:lineRule="auto"/>
              <w:ind w:firstLine="0"/>
              <w:jc w:val="center"/>
              <w:rPr>
                <w:color w:val="000000"/>
                <w:sz w:val="20"/>
                <w:szCs w:val="20"/>
              </w:rPr>
            </w:pPr>
            <w:r>
              <w:rPr>
                <w:color w:val="000000"/>
                <w:sz w:val="20"/>
                <w:szCs w:val="20"/>
              </w:rPr>
              <w:t>65,87</w:t>
            </w:r>
          </w:p>
        </w:tc>
        <w:tc>
          <w:tcPr>
            <w:tcW w:w="1108" w:type="dxa"/>
            <w:shd w:val="clear" w:color="auto" w:fill="auto"/>
            <w:noWrap/>
            <w:tcMar>
              <w:left w:w="28" w:type="dxa"/>
              <w:right w:w="28" w:type="dxa"/>
            </w:tcMar>
            <w:vAlign w:val="center"/>
          </w:tcPr>
          <w:p w14:paraId="01D4B4F5">
            <w:pPr>
              <w:spacing w:after="0" w:line="240" w:lineRule="auto"/>
              <w:ind w:firstLine="0"/>
              <w:jc w:val="center"/>
              <w:rPr>
                <w:color w:val="000000"/>
                <w:sz w:val="20"/>
                <w:szCs w:val="20"/>
              </w:rPr>
            </w:pPr>
            <w:r>
              <w:rPr>
                <w:color w:val="000000"/>
                <w:sz w:val="20"/>
                <w:szCs w:val="20"/>
              </w:rPr>
              <w:t>65,87</w:t>
            </w:r>
          </w:p>
        </w:tc>
        <w:tc>
          <w:tcPr>
            <w:tcW w:w="1246" w:type="dxa"/>
            <w:shd w:val="clear" w:color="auto" w:fill="auto"/>
            <w:noWrap/>
            <w:tcMar>
              <w:left w:w="28" w:type="dxa"/>
              <w:right w:w="28" w:type="dxa"/>
            </w:tcMar>
            <w:vAlign w:val="center"/>
          </w:tcPr>
          <w:p w14:paraId="2C859A0A">
            <w:pPr>
              <w:spacing w:after="0" w:line="240" w:lineRule="auto"/>
              <w:ind w:firstLine="0"/>
              <w:jc w:val="center"/>
              <w:rPr>
                <w:color w:val="000000"/>
                <w:sz w:val="20"/>
                <w:szCs w:val="20"/>
              </w:rPr>
            </w:pPr>
            <w:r>
              <w:rPr>
                <w:color w:val="000000"/>
                <w:sz w:val="20"/>
                <w:szCs w:val="20"/>
              </w:rPr>
              <w:t>65,87</w:t>
            </w:r>
          </w:p>
        </w:tc>
      </w:tr>
      <w:tr w14:paraId="6C00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3F335BFC">
            <w:pPr>
              <w:spacing w:after="0" w:line="240" w:lineRule="auto"/>
              <w:ind w:firstLine="0"/>
              <w:rPr>
                <w:color w:val="000000"/>
                <w:sz w:val="20"/>
                <w:szCs w:val="20"/>
              </w:rPr>
            </w:pPr>
            <w:r>
              <w:rPr>
                <w:color w:val="000000"/>
                <w:sz w:val="20"/>
                <w:szCs w:val="20"/>
              </w:rPr>
              <w:t>Располагаемая тепловая мощность</w:t>
            </w:r>
          </w:p>
        </w:tc>
        <w:tc>
          <w:tcPr>
            <w:tcW w:w="1505" w:type="dxa"/>
            <w:shd w:val="clear" w:color="auto" w:fill="auto"/>
            <w:tcMar>
              <w:left w:w="28" w:type="dxa"/>
              <w:right w:w="28" w:type="dxa"/>
            </w:tcMar>
            <w:vAlign w:val="center"/>
          </w:tcPr>
          <w:p w14:paraId="7F0E7303">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199259E">
            <w:pPr>
              <w:spacing w:after="0" w:line="240" w:lineRule="auto"/>
              <w:ind w:firstLine="0"/>
              <w:jc w:val="center"/>
              <w:rPr>
                <w:color w:val="000000"/>
                <w:sz w:val="20"/>
                <w:szCs w:val="20"/>
              </w:rPr>
            </w:pPr>
            <w:r>
              <w:rPr>
                <w:color w:val="000000"/>
                <w:sz w:val="20"/>
                <w:szCs w:val="20"/>
              </w:rPr>
              <w:t>18,34</w:t>
            </w:r>
          </w:p>
        </w:tc>
        <w:tc>
          <w:tcPr>
            <w:tcW w:w="1108" w:type="dxa"/>
            <w:shd w:val="clear" w:color="auto" w:fill="auto"/>
            <w:noWrap/>
            <w:tcMar>
              <w:left w:w="28" w:type="dxa"/>
              <w:right w:w="28" w:type="dxa"/>
            </w:tcMar>
            <w:vAlign w:val="center"/>
          </w:tcPr>
          <w:p w14:paraId="5842EBD7">
            <w:pPr>
              <w:spacing w:after="0" w:line="240" w:lineRule="auto"/>
              <w:ind w:firstLine="0"/>
              <w:jc w:val="center"/>
              <w:rPr>
                <w:color w:val="000000"/>
                <w:sz w:val="20"/>
                <w:szCs w:val="20"/>
              </w:rPr>
            </w:pPr>
            <w:r>
              <w:rPr>
                <w:color w:val="000000"/>
                <w:sz w:val="20"/>
                <w:szCs w:val="20"/>
              </w:rPr>
              <w:t>18,34</w:t>
            </w:r>
          </w:p>
        </w:tc>
        <w:tc>
          <w:tcPr>
            <w:tcW w:w="1108" w:type="dxa"/>
            <w:shd w:val="clear" w:color="auto" w:fill="auto"/>
            <w:noWrap/>
            <w:tcMar>
              <w:left w:w="28" w:type="dxa"/>
              <w:right w:w="28" w:type="dxa"/>
            </w:tcMar>
            <w:vAlign w:val="center"/>
          </w:tcPr>
          <w:p w14:paraId="0B613A00">
            <w:pPr>
              <w:spacing w:after="0" w:line="240" w:lineRule="auto"/>
              <w:ind w:firstLine="0"/>
              <w:jc w:val="center"/>
              <w:rPr>
                <w:color w:val="000000"/>
                <w:sz w:val="20"/>
                <w:szCs w:val="20"/>
              </w:rPr>
            </w:pPr>
            <w:r>
              <w:rPr>
                <w:color w:val="000000"/>
                <w:sz w:val="20"/>
                <w:szCs w:val="20"/>
              </w:rPr>
              <w:t>18,34</w:t>
            </w:r>
          </w:p>
        </w:tc>
        <w:tc>
          <w:tcPr>
            <w:tcW w:w="1107" w:type="dxa"/>
            <w:shd w:val="clear" w:color="auto" w:fill="auto"/>
            <w:noWrap/>
            <w:tcMar>
              <w:left w:w="28" w:type="dxa"/>
              <w:right w:w="28" w:type="dxa"/>
            </w:tcMar>
            <w:vAlign w:val="center"/>
          </w:tcPr>
          <w:p w14:paraId="06C2B6BC">
            <w:pPr>
              <w:spacing w:after="0" w:line="240" w:lineRule="auto"/>
              <w:ind w:firstLine="0"/>
              <w:jc w:val="center"/>
              <w:rPr>
                <w:color w:val="000000"/>
                <w:sz w:val="20"/>
                <w:szCs w:val="20"/>
              </w:rPr>
            </w:pPr>
            <w:r>
              <w:rPr>
                <w:color w:val="000000"/>
                <w:sz w:val="20"/>
                <w:szCs w:val="20"/>
              </w:rPr>
              <w:t>18,34</w:t>
            </w:r>
          </w:p>
        </w:tc>
        <w:tc>
          <w:tcPr>
            <w:tcW w:w="1107" w:type="dxa"/>
            <w:shd w:val="clear" w:color="auto" w:fill="auto"/>
            <w:noWrap/>
            <w:tcMar>
              <w:left w:w="28" w:type="dxa"/>
              <w:right w:w="28" w:type="dxa"/>
            </w:tcMar>
            <w:vAlign w:val="center"/>
          </w:tcPr>
          <w:p w14:paraId="2689CFED">
            <w:pPr>
              <w:spacing w:after="0" w:line="240" w:lineRule="auto"/>
              <w:ind w:firstLine="0"/>
              <w:jc w:val="center"/>
              <w:rPr>
                <w:color w:val="000000"/>
                <w:sz w:val="20"/>
                <w:szCs w:val="20"/>
              </w:rPr>
            </w:pPr>
            <w:r>
              <w:rPr>
                <w:color w:val="000000"/>
                <w:sz w:val="20"/>
                <w:szCs w:val="20"/>
              </w:rPr>
              <w:t>18,34</w:t>
            </w:r>
          </w:p>
        </w:tc>
        <w:tc>
          <w:tcPr>
            <w:tcW w:w="1108" w:type="dxa"/>
            <w:shd w:val="clear" w:color="auto" w:fill="auto"/>
            <w:noWrap/>
            <w:tcMar>
              <w:left w:w="28" w:type="dxa"/>
              <w:right w:w="28" w:type="dxa"/>
            </w:tcMar>
            <w:vAlign w:val="center"/>
          </w:tcPr>
          <w:p w14:paraId="23F0AA67">
            <w:pPr>
              <w:spacing w:after="0" w:line="240" w:lineRule="auto"/>
              <w:ind w:firstLine="0"/>
              <w:jc w:val="center"/>
              <w:rPr>
                <w:color w:val="000000"/>
                <w:sz w:val="20"/>
                <w:szCs w:val="20"/>
              </w:rPr>
            </w:pPr>
            <w:r>
              <w:rPr>
                <w:color w:val="000000"/>
                <w:sz w:val="20"/>
                <w:szCs w:val="20"/>
              </w:rPr>
              <w:t>18,34</w:t>
            </w:r>
          </w:p>
        </w:tc>
        <w:tc>
          <w:tcPr>
            <w:tcW w:w="1246" w:type="dxa"/>
            <w:shd w:val="clear" w:color="auto" w:fill="auto"/>
            <w:noWrap/>
            <w:tcMar>
              <w:left w:w="28" w:type="dxa"/>
              <w:right w:w="28" w:type="dxa"/>
            </w:tcMar>
            <w:vAlign w:val="center"/>
          </w:tcPr>
          <w:p w14:paraId="79395551">
            <w:pPr>
              <w:spacing w:after="0" w:line="240" w:lineRule="auto"/>
              <w:ind w:firstLine="0"/>
              <w:jc w:val="center"/>
              <w:rPr>
                <w:color w:val="000000"/>
                <w:sz w:val="20"/>
                <w:szCs w:val="20"/>
              </w:rPr>
            </w:pPr>
            <w:r>
              <w:rPr>
                <w:color w:val="000000"/>
                <w:sz w:val="20"/>
                <w:szCs w:val="20"/>
              </w:rPr>
              <w:t>18,34</w:t>
            </w:r>
          </w:p>
        </w:tc>
      </w:tr>
      <w:tr w14:paraId="3EE5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5B9FFF5A">
            <w:pPr>
              <w:spacing w:after="0" w:line="240" w:lineRule="auto"/>
              <w:ind w:firstLine="0"/>
              <w:rPr>
                <w:color w:val="000000"/>
                <w:sz w:val="20"/>
                <w:szCs w:val="20"/>
              </w:rPr>
            </w:pPr>
            <w:r>
              <w:rPr>
                <w:color w:val="000000"/>
                <w:sz w:val="20"/>
                <w:szCs w:val="20"/>
              </w:rPr>
              <w:t>Собственные и хозяйственные нужды</w:t>
            </w:r>
          </w:p>
        </w:tc>
        <w:tc>
          <w:tcPr>
            <w:tcW w:w="1505" w:type="dxa"/>
            <w:shd w:val="clear" w:color="auto" w:fill="auto"/>
            <w:tcMar>
              <w:left w:w="28" w:type="dxa"/>
              <w:right w:w="28" w:type="dxa"/>
            </w:tcMar>
            <w:vAlign w:val="center"/>
          </w:tcPr>
          <w:p w14:paraId="6D963F9E">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421FF6EA">
            <w:pPr>
              <w:spacing w:after="0" w:line="240" w:lineRule="auto"/>
              <w:ind w:firstLine="0"/>
              <w:jc w:val="center"/>
              <w:rPr>
                <w:color w:val="000000"/>
                <w:sz w:val="20"/>
                <w:szCs w:val="20"/>
              </w:rPr>
            </w:pPr>
            <w:r>
              <w:rPr>
                <w:color w:val="000000"/>
                <w:sz w:val="20"/>
                <w:szCs w:val="20"/>
              </w:rPr>
              <w:t>0,36</w:t>
            </w:r>
          </w:p>
        </w:tc>
        <w:tc>
          <w:tcPr>
            <w:tcW w:w="1108" w:type="dxa"/>
            <w:shd w:val="clear" w:color="auto" w:fill="auto"/>
            <w:noWrap/>
            <w:tcMar>
              <w:left w:w="28" w:type="dxa"/>
              <w:right w:w="28" w:type="dxa"/>
            </w:tcMar>
            <w:vAlign w:val="center"/>
          </w:tcPr>
          <w:p w14:paraId="427F44F4">
            <w:pPr>
              <w:spacing w:after="0" w:line="240" w:lineRule="auto"/>
              <w:ind w:firstLine="0"/>
              <w:jc w:val="center"/>
              <w:rPr>
                <w:color w:val="000000"/>
                <w:sz w:val="20"/>
                <w:szCs w:val="20"/>
              </w:rPr>
            </w:pPr>
            <w:r>
              <w:rPr>
                <w:color w:val="000000"/>
                <w:sz w:val="20"/>
                <w:szCs w:val="20"/>
              </w:rPr>
              <w:t>0,36</w:t>
            </w:r>
          </w:p>
        </w:tc>
        <w:tc>
          <w:tcPr>
            <w:tcW w:w="1108" w:type="dxa"/>
            <w:shd w:val="clear" w:color="auto" w:fill="auto"/>
            <w:noWrap/>
            <w:tcMar>
              <w:left w:w="28" w:type="dxa"/>
              <w:right w:w="28" w:type="dxa"/>
            </w:tcMar>
            <w:vAlign w:val="center"/>
          </w:tcPr>
          <w:p w14:paraId="52878B0F">
            <w:pPr>
              <w:spacing w:after="0" w:line="240" w:lineRule="auto"/>
              <w:ind w:firstLine="0"/>
              <w:jc w:val="center"/>
              <w:rPr>
                <w:color w:val="000000"/>
                <w:sz w:val="20"/>
                <w:szCs w:val="20"/>
              </w:rPr>
            </w:pPr>
            <w:r>
              <w:rPr>
                <w:color w:val="000000"/>
                <w:sz w:val="20"/>
                <w:szCs w:val="20"/>
              </w:rPr>
              <w:t>0,36</w:t>
            </w:r>
          </w:p>
        </w:tc>
        <w:tc>
          <w:tcPr>
            <w:tcW w:w="1107" w:type="dxa"/>
            <w:shd w:val="clear" w:color="auto" w:fill="auto"/>
            <w:noWrap/>
            <w:tcMar>
              <w:left w:w="28" w:type="dxa"/>
              <w:right w:w="28" w:type="dxa"/>
            </w:tcMar>
            <w:vAlign w:val="center"/>
          </w:tcPr>
          <w:p w14:paraId="0A41FACE">
            <w:pPr>
              <w:spacing w:after="0" w:line="240" w:lineRule="auto"/>
              <w:ind w:firstLine="0"/>
              <w:jc w:val="center"/>
              <w:rPr>
                <w:color w:val="000000"/>
                <w:sz w:val="20"/>
                <w:szCs w:val="20"/>
              </w:rPr>
            </w:pPr>
            <w:r>
              <w:rPr>
                <w:color w:val="000000"/>
                <w:sz w:val="20"/>
                <w:szCs w:val="20"/>
              </w:rPr>
              <w:t>0,36</w:t>
            </w:r>
          </w:p>
        </w:tc>
        <w:tc>
          <w:tcPr>
            <w:tcW w:w="1107" w:type="dxa"/>
            <w:shd w:val="clear" w:color="auto" w:fill="auto"/>
            <w:noWrap/>
            <w:tcMar>
              <w:left w:w="28" w:type="dxa"/>
              <w:right w:w="28" w:type="dxa"/>
            </w:tcMar>
            <w:vAlign w:val="center"/>
          </w:tcPr>
          <w:p w14:paraId="42CF2B0B">
            <w:pPr>
              <w:spacing w:after="0" w:line="240" w:lineRule="auto"/>
              <w:ind w:firstLine="0"/>
              <w:jc w:val="center"/>
              <w:rPr>
                <w:color w:val="000000"/>
                <w:sz w:val="20"/>
                <w:szCs w:val="20"/>
              </w:rPr>
            </w:pPr>
            <w:r>
              <w:rPr>
                <w:color w:val="000000"/>
                <w:sz w:val="20"/>
                <w:szCs w:val="20"/>
              </w:rPr>
              <w:t>0,36</w:t>
            </w:r>
          </w:p>
        </w:tc>
        <w:tc>
          <w:tcPr>
            <w:tcW w:w="1108" w:type="dxa"/>
            <w:shd w:val="clear" w:color="auto" w:fill="auto"/>
            <w:noWrap/>
            <w:tcMar>
              <w:left w:w="28" w:type="dxa"/>
              <w:right w:w="28" w:type="dxa"/>
            </w:tcMar>
            <w:vAlign w:val="center"/>
          </w:tcPr>
          <w:p w14:paraId="2BE792A0">
            <w:pPr>
              <w:spacing w:after="0" w:line="240" w:lineRule="auto"/>
              <w:ind w:firstLine="0"/>
              <w:jc w:val="center"/>
              <w:rPr>
                <w:color w:val="000000"/>
                <w:sz w:val="20"/>
                <w:szCs w:val="20"/>
              </w:rPr>
            </w:pPr>
            <w:r>
              <w:rPr>
                <w:color w:val="000000"/>
                <w:sz w:val="20"/>
                <w:szCs w:val="20"/>
              </w:rPr>
              <w:t>0,36</w:t>
            </w:r>
          </w:p>
        </w:tc>
        <w:tc>
          <w:tcPr>
            <w:tcW w:w="1246" w:type="dxa"/>
            <w:shd w:val="clear" w:color="auto" w:fill="auto"/>
            <w:noWrap/>
            <w:tcMar>
              <w:left w:w="28" w:type="dxa"/>
              <w:right w:w="28" w:type="dxa"/>
            </w:tcMar>
            <w:vAlign w:val="center"/>
          </w:tcPr>
          <w:p w14:paraId="1FBF0604">
            <w:pPr>
              <w:spacing w:after="0" w:line="240" w:lineRule="auto"/>
              <w:ind w:firstLine="0"/>
              <w:jc w:val="center"/>
              <w:rPr>
                <w:color w:val="000000"/>
                <w:sz w:val="20"/>
                <w:szCs w:val="20"/>
              </w:rPr>
            </w:pPr>
            <w:r>
              <w:rPr>
                <w:color w:val="000000"/>
                <w:sz w:val="20"/>
                <w:szCs w:val="20"/>
              </w:rPr>
              <w:t>0,36</w:t>
            </w:r>
          </w:p>
        </w:tc>
      </w:tr>
      <w:tr w14:paraId="1FED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297E8B45">
            <w:pPr>
              <w:spacing w:after="0" w:line="240" w:lineRule="auto"/>
              <w:ind w:firstLine="0"/>
              <w:rPr>
                <w:color w:val="000000"/>
                <w:sz w:val="20"/>
                <w:szCs w:val="20"/>
              </w:rPr>
            </w:pPr>
            <w:r>
              <w:rPr>
                <w:color w:val="000000"/>
                <w:sz w:val="20"/>
                <w:szCs w:val="20"/>
              </w:rPr>
              <w:t>Тепловая мощность нетто</w:t>
            </w:r>
          </w:p>
        </w:tc>
        <w:tc>
          <w:tcPr>
            <w:tcW w:w="1505" w:type="dxa"/>
            <w:shd w:val="clear" w:color="auto" w:fill="auto"/>
            <w:tcMar>
              <w:left w:w="28" w:type="dxa"/>
              <w:right w:w="28" w:type="dxa"/>
            </w:tcMar>
            <w:vAlign w:val="center"/>
          </w:tcPr>
          <w:p w14:paraId="5B064B37">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2E9C91F">
            <w:pPr>
              <w:spacing w:after="0" w:line="240" w:lineRule="auto"/>
              <w:ind w:firstLine="0"/>
              <w:jc w:val="center"/>
              <w:rPr>
                <w:color w:val="000000"/>
                <w:sz w:val="20"/>
                <w:szCs w:val="20"/>
              </w:rPr>
            </w:pPr>
            <w:r>
              <w:rPr>
                <w:color w:val="000000"/>
                <w:sz w:val="20"/>
                <w:szCs w:val="20"/>
              </w:rPr>
              <w:t>17,98</w:t>
            </w:r>
          </w:p>
        </w:tc>
        <w:tc>
          <w:tcPr>
            <w:tcW w:w="1108" w:type="dxa"/>
            <w:shd w:val="clear" w:color="auto" w:fill="auto"/>
            <w:noWrap/>
            <w:tcMar>
              <w:left w:w="28" w:type="dxa"/>
              <w:right w:w="28" w:type="dxa"/>
            </w:tcMar>
            <w:vAlign w:val="center"/>
          </w:tcPr>
          <w:p w14:paraId="3CCF464F">
            <w:pPr>
              <w:spacing w:after="0" w:line="240" w:lineRule="auto"/>
              <w:ind w:firstLine="0"/>
              <w:jc w:val="center"/>
              <w:rPr>
                <w:color w:val="000000"/>
                <w:sz w:val="20"/>
                <w:szCs w:val="20"/>
              </w:rPr>
            </w:pPr>
            <w:r>
              <w:rPr>
                <w:color w:val="000000"/>
                <w:sz w:val="20"/>
                <w:szCs w:val="20"/>
              </w:rPr>
              <w:t>17,98</w:t>
            </w:r>
          </w:p>
        </w:tc>
        <w:tc>
          <w:tcPr>
            <w:tcW w:w="1108" w:type="dxa"/>
            <w:shd w:val="clear" w:color="auto" w:fill="auto"/>
            <w:noWrap/>
            <w:tcMar>
              <w:left w:w="28" w:type="dxa"/>
              <w:right w:w="28" w:type="dxa"/>
            </w:tcMar>
            <w:vAlign w:val="center"/>
          </w:tcPr>
          <w:p w14:paraId="0746AFD2">
            <w:pPr>
              <w:spacing w:after="0" w:line="240" w:lineRule="auto"/>
              <w:ind w:firstLine="0"/>
              <w:jc w:val="center"/>
              <w:rPr>
                <w:color w:val="000000"/>
                <w:sz w:val="20"/>
                <w:szCs w:val="20"/>
              </w:rPr>
            </w:pPr>
            <w:r>
              <w:rPr>
                <w:color w:val="000000"/>
                <w:sz w:val="20"/>
                <w:szCs w:val="20"/>
              </w:rPr>
              <w:t>17,98</w:t>
            </w:r>
          </w:p>
        </w:tc>
        <w:tc>
          <w:tcPr>
            <w:tcW w:w="1107" w:type="dxa"/>
            <w:shd w:val="clear" w:color="auto" w:fill="auto"/>
            <w:noWrap/>
            <w:tcMar>
              <w:left w:w="28" w:type="dxa"/>
              <w:right w:w="28" w:type="dxa"/>
            </w:tcMar>
            <w:vAlign w:val="center"/>
          </w:tcPr>
          <w:p w14:paraId="3043F332">
            <w:pPr>
              <w:spacing w:after="0" w:line="240" w:lineRule="auto"/>
              <w:ind w:firstLine="0"/>
              <w:jc w:val="center"/>
              <w:rPr>
                <w:color w:val="000000"/>
                <w:sz w:val="20"/>
                <w:szCs w:val="20"/>
              </w:rPr>
            </w:pPr>
            <w:r>
              <w:rPr>
                <w:color w:val="000000"/>
                <w:sz w:val="20"/>
                <w:szCs w:val="20"/>
              </w:rPr>
              <w:t>17,98</w:t>
            </w:r>
          </w:p>
        </w:tc>
        <w:tc>
          <w:tcPr>
            <w:tcW w:w="1107" w:type="dxa"/>
            <w:shd w:val="clear" w:color="auto" w:fill="auto"/>
            <w:noWrap/>
            <w:tcMar>
              <w:left w:w="28" w:type="dxa"/>
              <w:right w:w="28" w:type="dxa"/>
            </w:tcMar>
            <w:vAlign w:val="center"/>
          </w:tcPr>
          <w:p w14:paraId="26B02DCB">
            <w:pPr>
              <w:spacing w:after="0" w:line="240" w:lineRule="auto"/>
              <w:ind w:firstLine="0"/>
              <w:jc w:val="center"/>
              <w:rPr>
                <w:color w:val="000000"/>
                <w:sz w:val="20"/>
                <w:szCs w:val="20"/>
              </w:rPr>
            </w:pPr>
            <w:r>
              <w:rPr>
                <w:color w:val="000000"/>
                <w:sz w:val="20"/>
                <w:szCs w:val="20"/>
              </w:rPr>
              <w:t>17,98</w:t>
            </w:r>
          </w:p>
        </w:tc>
        <w:tc>
          <w:tcPr>
            <w:tcW w:w="1108" w:type="dxa"/>
            <w:shd w:val="clear" w:color="auto" w:fill="auto"/>
            <w:noWrap/>
            <w:tcMar>
              <w:left w:w="28" w:type="dxa"/>
              <w:right w:w="28" w:type="dxa"/>
            </w:tcMar>
            <w:vAlign w:val="center"/>
          </w:tcPr>
          <w:p w14:paraId="1FE5376B">
            <w:pPr>
              <w:spacing w:after="0" w:line="240" w:lineRule="auto"/>
              <w:ind w:firstLine="0"/>
              <w:jc w:val="center"/>
              <w:rPr>
                <w:color w:val="000000"/>
                <w:sz w:val="20"/>
                <w:szCs w:val="20"/>
              </w:rPr>
            </w:pPr>
            <w:r>
              <w:rPr>
                <w:color w:val="000000"/>
                <w:sz w:val="20"/>
                <w:szCs w:val="20"/>
              </w:rPr>
              <w:t>17,98</w:t>
            </w:r>
          </w:p>
        </w:tc>
        <w:tc>
          <w:tcPr>
            <w:tcW w:w="1246" w:type="dxa"/>
            <w:shd w:val="clear" w:color="auto" w:fill="auto"/>
            <w:noWrap/>
            <w:tcMar>
              <w:left w:w="28" w:type="dxa"/>
              <w:right w:w="28" w:type="dxa"/>
            </w:tcMar>
            <w:vAlign w:val="center"/>
          </w:tcPr>
          <w:p w14:paraId="6F0F6519">
            <w:pPr>
              <w:spacing w:after="0" w:line="240" w:lineRule="auto"/>
              <w:ind w:firstLine="0"/>
              <w:jc w:val="center"/>
              <w:rPr>
                <w:color w:val="000000"/>
                <w:sz w:val="20"/>
                <w:szCs w:val="20"/>
              </w:rPr>
            </w:pPr>
            <w:r>
              <w:rPr>
                <w:color w:val="000000"/>
                <w:sz w:val="20"/>
                <w:szCs w:val="20"/>
              </w:rPr>
              <w:t>17,98</w:t>
            </w:r>
          </w:p>
        </w:tc>
      </w:tr>
      <w:tr w14:paraId="1179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76012A13">
            <w:pPr>
              <w:spacing w:after="0" w:line="240" w:lineRule="auto"/>
              <w:ind w:firstLine="0"/>
              <w:rPr>
                <w:color w:val="000000"/>
                <w:sz w:val="20"/>
                <w:szCs w:val="20"/>
              </w:rPr>
            </w:pPr>
            <w:r>
              <w:rPr>
                <w:color w:val="000000"/>
                <w:sz w:val="20"/>
                <w:szCs w:val="20"/>
              </w:rPr>
              <w:t>Нагрузка на коллекторах</w:t>
            </w:r>
          </w:p>
        </w:tc>
        <w:tc>
          <w:tcPr>
            <w:tcW w:w="1505" w:type="dxa"/>
            <w:shd w:val="clear" w:color="auto" w:fill="auto"/>
            <w:tcMar>
              <w:left w:w="28" w:type="dxa"/>
              <w:right w:w="28" w:type="dxa"/>
            </w:tcMar>
            <w:vAlign w:val="center"/>
          </w:tcPr>
          <w:p w14:paraId="113303CD">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40AD85DA">
            <w:pPr>
              <w:spacing w:after="0" w:line="240" w:lineRule="auto"/>
              <w:ind w:firstLine="0"/>
              <w:jc w:val="center"/>
              <w:rPr>
                <w:color w:val="000000"/>
                <w:sz w:val="20"/>
                <w:szCs w:val="20"/>
              </w:rPr>
            </w:pPr>
            <w:r>
              <w:rPr>
                <w:color w:val="000000"/>
                <w:sz w:val="20"/>
                <w:szCs w:val="20"/>
              </w:rPr>
              <w:t>3,02</w:t>
            </w:r>
          </w:p>
        </w:tc>
        <w:tc>
          <w:tcPr>
            <w:tcW w:w="1108" w:type="dxa"/>
            <w:shd w:val="clear" w:color="auto" w:fill="auto"/>
            <w:noWrap/>
            <w:tcMar>
              <w:left w:w="28" w:type="dxa"/>
              <w:right w:w="28" w:type="dxa"/>
            </w:tcMar>
            <w:vAlign w:val="center"/>
          </w:tcPr>
          <w:p w14:paraId="404EF910">
            <w:pPr>
              <w:spacing w:after="0" w:line="240" w:lineRule="auto"/>
              <w:ind w:firstLine="0"/>
              <w:jc w:val="center"/>
              <w:rPr>
                <w:color w:val="000000"/>
                <w:sz w:val="20"/>
                <w:szCs w:val="20"/>
              </w:rPr>
            </w:pPr>
            <w:r>
              <w:rPr>
                <w:color w:val="000000"/>
                <w:sz w:val="20"/>
                <w:szCs w:val="20"/>
              </w:rPr>
              <w:t>3,15</w:t>
            </w:r>
          </w:p>
        </w:tc>
        <w:tc>
          <w:tcPr>
            <w:tcW w:w="1108" w:type="dxa"/>
            <w:shd w:val="clear" w:color="auto" w:fill="auto"/>
            <w:noWrap/>
            <w:tcMar>
              <w:left w:w="28" w:type="dxa"/>
              <w:right w:w="28" w:type="dxa"/>
            </w:tcMar>
            <w:vAlign w:val="center"/>
          </w:tcPr>
          <w:p w14:paraId="0A3114C6">
            <w:pPr>
              <w:spacing w:after="0" w:line="240" w:lineRule="auto"/>
              <w:ind w:firstLine="0"/>
              <w:jc w:val="center"/>
              <w:rPr>
                <w:color w:val="000000"/>
                <w:sz w:val="20"/>
                <w:szCs w:val="20"/>
              </w:rPr>
            </w:pPr>
            <w:r>
              <w:rPr>
                <w:color w:val="000000"/>
                <w:sz w:val="20"/>
                <w:szCs w:val="20"/>
              </w:rPr>
              <w:t>3,29</w:t>
            </w:r>
          </w:p>
        </w:tc>
        <w:tc>
          <w:tcPr>
            <w:tcW w:w="1107" w:type="dxa"/>
            <w:shd w:val="clear" w:color="auto" w:fill="auto"/>
            <w:noWrap/>
            <w:tcMar>
              <w:left w:w="28" w:type="dxa"/>
              <w:right w:w="28" w:type="dxa"/>
            </w:tcMar>
            <w:vAlign w:val="center"/>
          </w:tcPr>
          <w:p w14:paraId="2ADB0BC2">
            <w:pPr>
              <w:spacing w:after="0" w:line="240" w:lineRule="auto"/>
              <w:ind w:firstLine="0"/>
              <w:jc w:val="center"/>
              <w:rPr>
                <w:color w:val="000000"/>
                <w:sz w:val="20"/>
                <w:szCs w:val="20"/>
              </w:rPr>
            </w:pPr>
            <w:r>
              <w:rPr>
                <w:color w:val="000000"/>
                <w:sz w:val="20"/>
                <w:szCs w:val="20"/>
              </w:rPr>
              <w:t>3,45</w:t>
            </w:r>
          </w:p>
        </w:tc>
        <w:tc>
          <w:tcPr>
            <w:tcW w:w="1107" w:type="dxa"/>
            <w:shd w:val="clear" w:color="auto" w:fill="auto"/>
            <w:noWrap/>
            <w:tcMar>
              <w:left w:w="28" w:type="dxa"/>
              <w:right w:w="28" w:type="dxa"/>
            </w:tcMar>
            <w:vAlign w:val="center"/>
          </w:tcPr>
          <w:p w14:paraId="43BE644B">
            <w:pPr>
              <w:spacing w:after="0" w:line="240" w:lineRule="auto"/>
              <w:ind w:firstLine="0"/>
              <w:jc w:val="center"/>
              <w:rPr>
                <w:color w:val="000000"/>
                <w:sz w:val="20"/>
                <w:szCs w:val="20"/>
              </w:rPr>
            </w:pPr>
            <w:r>
              <w:rPr>
                <w:color w:val="000000"/>
                <w:sz w:val="20"/>
                <w:szCs w:val="20"/>
              </w:rPr>
              <w:t>3,61</w:t>
            </w:r>
          </w:p>
        </w:tc>
        <w:tc>
          <w:tcPr>
            <w:tcW w:w="1108" w:type="dxa"/>
            <w:shd w:val="clear" w:color="auto" w:fill="auto"/>
            <w:noWrap/>
            <w:tcMar>
              <w:left w:w="28" w:type="dxa"/>
              <w:right w:w="28" w:type="dxa"/>
            </w:tcMar>
            <w:vAlign w:val="center"/>
          </w:tcPr>
          <w:p w14:paraId="198854B6">
            <w:pPr>
              <w:spacing w:after="0" w:line="240" w:lineRule="auto"/>
              <w:ind w:firstLine="0"/>
              <w:jc w:val="center"/>
              <w:rPr>
                <w:color w:val="000000"/>
                <w:sz w:val="20"/>
                <w:szCs w:val="20"/>
              </w:rPr>
            </w:pPr>
            <w:r>
              <w:rPr>
                <w:color w:val="000000"/>
                <w:sz w:val="20"/>
                <w:szCs w:val="20"/>
              </w:rPr>
              <w:t>3,79</w:t>
            </w:r>
          </w:p>
        </w:tc>
        <w:tc>
          <w:tcPr>
            <w:tcW w:w="1246" w:type="dxa"/>
            <w:shd w:val="clear" w:color="auto" w:fill="auto"/>
            <w:noWrap/>
            <w:tcMar>
              <w:left w:w="28" w:type="dxa"/>
              <w:right w:w="28" w:type="dxa"/>
            </w:tcMar>
            <w:vAlign w:val="center"/>
          </w:tcPr>
          <w:p w14:paraId="5617CFB4">
            <w:pPr>
              <w:spacing w:after="0" w:line="240" w:lineRule="auto"/>
              <w:ind w:firstLine="0"/>
              <w:jc w:val="center"/>
              <w:rPr>
                <w:color w:val="000000"/>
                <w:sz w:val="20"/>
                <w:szCs w:val="20"/>
              </w:rPr>
            </w:pPr>
            <w:r>
              <w:rPr>
                <w:color w:val="000000"/>
                <w:sz w:val="20"/>
                <w:szCs w:val="20"/>
              </w:rPr>
              <w:t>3,98</w:t>
            </w:r>
          </w:p>
        </w:tc>
      </w:tr>
      <w:tr w14:paraId="44CE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4565056C">
            <w:pPr>
              <w:spacing w:after="0" w:line="240" w:lineRule="auto"/>
              <w:ind w:firstLine="0"/>
              <w:rPr>
                <w:color w:val="000000"/>
                <w:sz w:val="20"/>
                <w:szCs w:val="20"/>
              </w:rPr>
            </w:pPr>
            <w:r>
              <w:rPr>
                <w:color w:val="000000"/>
                <w:sz w:val="20"/>
                <w:szCs w:val="20"/>
              </w:rPr>
              <w:t>Потери в сетях</w:t>
            </w:r>
          </w:p>
        </w:tc>
        <w:tc>
          <w:tcPr>
            <w:tcW w:w="1505" w:type="dxa"/>
            <w:shd w:val="clear" w:color="auto" w:fill="auto"/>
            <w:tcMar>
              <w:left w:w="28" w:type="dxa"/>
              <w:right w:w="28" w:type="dxa"/>
            </w:tcMar>
            <w:vAlign w:val="center"/>
          </w:tcPr>
          <w:p w14:paraId="742F7F1B">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9EEA6E2">
            <w:pPr>
              <w:spacing w:after="0" w:line="240" w:lineRule="auto"/>
              <w:ind w:firstLine="0"/>
              <w:jc w:val="center"/>
              <w:rPr>
                <w:color w:val="000000"/>
                <w:sz w:val="20"/>
                <w:szCs w:val="20"/>
              </w:rPr>
            </w:pPr>
            <w:r>
              <w:rPr>
                <w:color w:val="000000"/>
                <w:sz w:val="20"/>
                <w:szCs w:val="20"/>
              </w:rPr>
              <w:t>0,84</w:t>
            </w:r>
          </w:p>
        </w:tc>
        <w:tc>
          <w:tcPr>
            <w:tcW w:w="1108" w:type="dxa"/>
            <w:shd w:val="clear" w:color="auto" w:fill="auto"/>
            <w:noWrap/>
            <w:tcMar>
              <w:left w:w="28" w:type="dxa"/>
              <w:right w:w="28" w:type="dxa"/>
            </w:tcMar>
            <w:vAlign w:val="center"/>
          </w:tcPr>
          <w:p w14:paraId="2FD7CFDA">
            <w:pPr>
              <w:spacing w:after="0" w:line="240" w:lineRule="auto"/>
              <w:ind w:firstLine="0"/>
              <w:jc w:val="center"/>
              <w:rPr>
                <w:color w:val="000000"/>
                <w:sz w:val="20"/>
                <w:szCs w:val="20"/>
              </w:rPr>
            </w:pPr>
            <w:r>
              <w:rPr>
                <w:color w:val="000000"/>
                <w:sz w:val="20"/>
                <w:szCs w:val="20"/>
              </w:rPr>
              <w:t>0,84</w:t>
            </w:r>
          </w:p>
        </w:tc>
        <w:tc>
          <w:tcPr>
            <w:tcW w:w="1108" w:type="dxa"/>
            <w:shd w:val="clear" w:color="auto" w:fill="auto"/>
            <w:noWrap/>
            <w:tcMar>
              <w:left w:w="28" w:type="dxa"/>
              <w:right w:w="28" w:type="dxa"/>
            </w:tcMar>
            <w:vAlign w:val="center"/>
          </w:tcPr>
          <w:p w14:paraId="15366DCD">
            <w:pPr>
              <w:spacing w:after="0" w:line="240" w:lineRule="auto"/>
              <w:ind w:firstLine="0"/>
              <w:jc w:val="center"/>
              <w:rPr>
                <w:color w:val="000000"/>
                <w:sz w:val="20"/>
                <w:szCs w:val="20"/>
              </w:rPr>
            </w:pPr>
            <w:r>
              <w:rPr>
                <w:color w:val="000000"/>
                <w:sz w:val="20"/>
                <w:szCs w:val="20"/>
              </w:rPr>
              <w:t>0,84</w:t>
            </w:r>
          </w:p>
        </w:tc>
        <w:tc>
          <w:tcPr>
            <w:tcW w:w="1107" w:type="dxa"/>
            <w:shd w:val="clear" w:color="auto" w:fill="auto"/>
            <w:noWrap/>
            <w:tcMar>
              <w:left w:w="28" w:type="dxa"/>
              <w:right w:w="28" w:type="dxa"/>
            </w:tcMar>
            <w:vAlign w:val="center"/>
          </w:tcPr>
          <w:p w14:paraId="5F19A8D1">
            <w:pPr>
              <w:spacing w:after="0" w:line="240" w:lineRule="auto"/>
              <w:ind w:firstLine="0"/>
              <w:jc w:val="center"/>
              <w:rPr>
                <w:color w:val="000000"/>
                <w:sz w:val="20"/>
                <w:szCs w:val="20"/>
              </w:rPr>
            </w:pPr>
            <w:r>
              <w:rPr>
                <w:color w:val="000000"/>
                <w:sz w:val="20"/>
                <w:szCs w:val="20"/>
              </w:rPr>
              <w:t>0,84</w:t>
            </w:r>
          </w:p>
        </w:tc>
        <w:tc>
          <w:tcPr>
            <w:tcW w:w="1107" w:type="dxa"/>
            <w:shd w:val="clear" w:color="auto" w:fill="auto"/>
            <w:noWrap/>
            <w:tcMar>
              <w:left w:w="28" w:type="dxa"/>
              <w:right w:w="28" w:type="dxa"/>
            </w:tcMar>
            <w:vAlign w:val="center"/>
          </w:tcPr>
          <w:p w14:paraId="72DBF46D">
            <w:pPr>
              <w:spacing w:after="0" w:line="240" w:lineRule="auto"/>
              <w:ind w:firstLine="0"/>
              <w:jc w:val="center"/>
              <w:rPr>
                <w:color w:val="000000"/>
                <w:sz w:val="20"/>
                <w:szCs w:val="20"/>
              </w:rPr>
            </w:pPr>
            <w:r>
              <w:rPr>
                <w:color w:val="000000"/>
                <w:sz w:val="20"/>
                <w:szCs w:val="20"/>
              </w:rPr>
              <w:t>0,84</w:t>
            </w:r>
          </w:p>
        </w:tc>
        <w:tc>
          <w:tcPr>
            <w:tcW w:w="1108" w:type="dxa"/>
            <w:shd w:val="clear" w:color="auto" w:fill="auto"/>
            <w:noWrap/>
            <w:tcMar>
              <w:left w:w="28" w:type="dxa"/>
              <w:right w:w="28" w:type="dxa"/>
            </w:tcMar>
            <w:vAlign w:val="center"/>
          </w:tcPr>
          <w:p w14:paraId="298746A9">
            <w:pPr>
              <w:spacing w:after="0" w:line="240" w:lineRule="auto"/>
              <w:ind w:firstLine="0"/>
              <w:jc w:val="center"/>
              <w:rPr>
                <w:color w:val="000000"/>
                <w:sz w:val="20"/>
                <w:szCs w:val="20"/>
              </w:rPr>
            </w:pPr>
            <w:r>
              <w:rPr>
                <w:color w:val="000000"/>
                <w:sz w:val="20"/>
                <w:szCs w:val="20"/>
              </w:rPr>
              <w:t>0,84</w:t>
            </w:r>
          </w:p>
        </w:tc>
        <w:tc>
          <w:tcPr>
            <w:tcW w:w="1246" w:type="dxa"/>
            <w:shd w:val="clear" w:color="auto" w:fill="auto"/>
            <w:noWrap/>
            <w:tcMar>
              <w:left w:w="28" w:type="dxa"/>
              <w:right w:w="28" w:type="dxa"/>
            </w:tcMar>
            <w:vAlign w:val="center"/>
          </w:tcPr>
          <w:p w14:paraId="4A3BF5EA">
            <w:pPr>
              <w:spacing w:after="0" w:line="240" w:lineRule="auto"/>
              <w:ind w:firstLine="0"/>
              <w:jc w:val="center"/>
              <w:rPr>
                <w:color w:val="000000"/>
                <w:sz w:val="20"/>
                <w:szCs w:val="20"/>
              </w:rPr>
            </w:pPr>
            <w:r>
              <w:rPr>
                <w:color w:val="000000"/>
                <w:sz w:val="20"/>
                <w:szCs w:val="20"/>
              </w:rPr>
              <w:t>0,84</w:t>
            </w:r>
          </w:p>
        </w:tc>
      </w:tr>
      <w:tr w14:paraId="4F4C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24E05147">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013B8902">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5129F07E">
            <w:pPr>
              <w:spacing w:after="0" w:line="240" w:lineRule="auto"/>
              <w:ind w:firstLine="0"/>
              <w:jc w:val="center"/>
              <w:rPr>
                <w:color w:val="000000"/>
                <w:sz w:val="20"/>
                <w:szCs w:val="20"/>
              </w:rPr>
            </w:pPr>
            <w:r>
              <w:rPr>
                <w:color w:val="000000"/>
                <w:sz w:val="20"/>
                <w:szCs w:val="20"/>
              </w:rPr>
              <w:t>27,81</w:t>
            </w:r>
          </w:p>
        </w:tc>
        <w:tc>
          <w:tcPr>
            <w:tcW w:w="1108" w:type="dxa"/>
            <w:shd w:val="clear" w:color="auto" w:fill="auto"/>
            <w:noWrap/>
            <w:tcMar>
              <w:left w:w="28" w:type="dxa"/>
              <w:right w:w="28" w:type="dxa"/>
            </w:tcMar>
            <w:vAlign w:val="center"/>
          </w:tcPr>
          <w:p w14:paraId="2774A8D2">
            <w:pPr>
              <w:spacing w:after="0" w:line="240" w:lineRule="auto"/>
              <w:ind w:firstLine="0"/>
              <w:jc w:val="center"/>
              <w:rPr>
                <w:color w:val="000000"/>
                <w:sz w:val="20"/>
                <w:szCs w:val="20"/>
              </w:rPr>
            </w:pPr>
            <w:r>
              <w:rPr>
                <w:color w:val="000000"/>
                <w:sz w:val="20"/>
                <w:szCs w:val="20"/>
              </w:rPr>
              <w:t>26,66</w:t>
            </w:r>
          </w:p>
        </w:tc>
        <w:tc>
          <w:tcPr>
            <w:tcW w:w="1108" w:type="dxa"/>
            <w:shd w:val="clear" w:color="auto" w:fill="auto"/>
            <w:noWrap/>
            <w:tcMar>
              <w:left w:w="28" w:type="dxa"/>
              <w:right w:w="28" w:type="dxa"/>
            </w:tcMar>
            <w:vAlign w:val="center"/>
          </w:tcPr>
          <w:p w14:paraId="72ECDC8F">
            <w:pPr>
              <w:spacing w:after="0" w:line="240" w:lineRule="auto"/>
              <w:ind w:firstLine="0"/>
              <w:jc w:val="center"/>
              <w:rPr>
                <w:color w:val="000000"/>
                <w:sz w:val="20"/>
                <w:szCs w:val="20"/>
              </w:rPr>
            </w:pPr>
            <w:r>
              <w:rPr>
                <w:color w:val="000000"/>
                <w:sz w:val="20"/>
                <w:szCs w:val="20"/>
              </w:rPr>
              <w:t>25,51</w:t>
            </w:r>
          </w:p>
        </w:tc>
        <w:tc>
          <w:tcPr>
            <w:tcW w:w="1107" w:type="dxa"/>
            <w:shd w:val="clear" w:color="auto" w:fill="auto"/>
            <w:noWrap/>
            <w:tcMar>
              <w:left w:w="28" w:type="dxa"/>
              <w:right w:w="28" w:type="dxa"/>
            </w:tcMar>
            <w:vAlign w:val="center"/>
          </w:tcPr>
          <w:p w14:paraId="7510951C">
            <w:pPr>
              <w:spacing w:after="0" w:line="240" w:lineRule="auto"/>
              <w:ind w:firstLine="0"/>
              <w:jc w:val="center"/>
              <w:rPr>
                <w:color w:val="000000"/>
                <w:sz w:val="20"/>
                <w:szCs w:val="20"/>
              </w:rPr>
            </w:pPr>
            <w:r>
              <w:rPr>
                <w:color w:val="000000"/>
                <w:sz w:val="20"/>
                <w:szCs w:val="20"/>
              </w:rPr>
              <w:t>24,38</w:t>
            </w:r>
          </w:p>
        </w:tc>
        <w:tc>
          <w:tcPr>
            <w:tcW w:w="1107" w:type="dxa"/>
            <w:shd w:val="clear" w:color="auto" w:fill="auto"/>
            <w:noWrap/>
            <w:tcMar>
              <w:left w:w="28" w:type="dxa"/>
              <w:right w:w="28" w:type="dxa"/>
            </w:tcMar>
            <w:vAlign w:val="center"/>
          </w:tcPr>
          <w:p w14:paraId="402EF29D">
            <w:pPr>
              <w:spacing w:after="0" w:line="240" w:lineRule="auto"/>
              <w:ind w:firstLine="0"/>
              <w:jc w:val="center"/>
              <w:rPr>
                <w:color w:val="000000"/>
                <w:sz w:val="20"/>
                <w:szCs w:val="20"/>
              </w:rPr>
            </w:pPr>
            <w:r>
              <w:rPr>
                <w:color w:val="000000"/>
                <w:sz w:val="20"/>
                <w:szCs w:val="20"/>
              </w:rPr>
              <w:t>23,27</w:t>
            </w:r>
          </w:p>
        </w:tc>
        <w:tc>
          <w:tcPr>
            <w:tcW w:w="1108" w:type="dxa"/>
            <w:shd w:val="clear" w:color="auto" w:fill="auto"/>
            <w:noWrap/>
            <w:tcMar>
              <w:left w:w="28" w:type="dxa"/>
              <w:right w:w="28" w:type="dxa"/>
            </w:tcMar>
            <w:vAlign w:val="center"/>
          </w:tcPr>
          <w:p w14:paraId="20F2F657">
            <w:pPr>
              <w:spacing w:after="0" w:line="240" w:lineRule="auto"/>
              <w:ind w:firstLine="0"/>
              <w:jc w:val="center"/>
              <w:rPr>
                <w:color w:val="000000"/>
                <w:sz w:val="20"/>
                <w:szCs w:val="20"/>
              </w:rPr>
            </w:pPr>
            <w:r>
              <w:rPr>
                <w:color w:val="000000"/>
                <w:sz w:val="20"/>
                <w:szCs w:val="20"/>
              </w:rPr>
              <w:t>22,18</w:t>
            </w:r>
          </w:p>
        </w:tc>
        <w:tc>
          <w:tcPr>
            <w:tcW w:w="1246" w:type="dxa"/>
            <w:shd w:val="clear" w:color="auto" w:fill="auto"/>
            <w:noWrap/>
            <w:tcMar>
              <w:left w:w="28" w:type="dxa"/>
              <w:right w:w="28" w:type="dxa"/>
            </w:tcMar>
            <w:vAlign w:val="center"/>
          </w:tcPr>
          <w:p w14:paraId="6D504B92">
            <w:pPr>
              <w:spacing w:after="0" w:line="240" w:lineRule="auto"/>
              <w:ind w:firstLine="0"/>
              <w:jc w:val="center"/>
              <w:rPr>
                <w:color w:val="000000"/>
                <w:sz w:val="20"/>
                <w:szCs w:val="20"/>
              </w:rPr>
            </w:pPr>
            <w:r>
              <w:rPr>
                <w:color w:val="000000"/>
                <w:sz w:val="20"/>
                <w:szCs w:val="20"/>
              </w:rPr>
              <w:t>21,11</w:t>
            </w:r>
          </w:p>
        </w:tc>
      </w:tr>
      <w:tr w14:paraId="5BD1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shd w:val="clear" w:color="auto" w:fill="auto"/>
            <w:tcMar>
              <w:left w:w="28" w:type="dxa"/>
              <w:right w:w="28" w:type="dxa"/>
            </w:tcMar>
            <w:vAlign w:val="center"/>
          </w:tcPr>
          <w:p w14:paraId="7A412F7B">
            <w:pPr>
              <w:spacing w:after="0" w:line="240" w:lineRule="auto"/>
              <w:ind w:firstLine="0"/>
              <w:rPr>
                <w:color w:val="000000"/>
                <w:sz w:val="20"/>
                <w:szCs w:val="20"/>
              </w:rPr>
            </w:pPr>
            <w:r>
              <w:rPr>
                <w:color w:val="000000"/>
                <w:sz w:val="20"/>
                <w:szCs w:val="20"/>
              </w:rPr>
              <w:t>Подключенная нагрузка</w:t>
            </w:r>
          </w:p>
        </w:tc>
        <w:tc>
          <w:tcPr>
            <w:tcW w:w="1505" w:type="dxa"/>
            <w:shd w:val="clear" w:color="auto" w:fill="auto"/>
            <w:tcMar>
              <w:left w:w="28" w:type="dxa"/>
              <w:right w:w="28" w:type="dxa"/>
            </w:tcMar>
            <w:vAlign w:val="center"/>
          </w:tcPr>
          <w:p w14:paraId="1244B969">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16C3A2CF">
            <w:pPr>
              <w:spacing w:after="0" w:line="240" w:lineRule="auto"/>
              <w:ind w:firstLine="0"/>
              <w:jc w:val="center"/>
              <w:rPr>
                <w:color w:val="000000"/>
                <w:sz w:val="20"/>
                <w:szCs w:val="20"/>
              </w:rPr>
            </w:pPr>
            <w:r>
              <w:rPr>
                <w:color w:val="000000"/>
                <w:sz w:val="20"/>
                <w:szCs w:val="20"/>
              </w:rPr>
              <w:t>2,18</w:t>
            </w:r>
          </w:p>
        </w:tc>
        <w:tc>
          <w:tcPr>
            <w:tcW w:w="1108" w:type="dxa"/>
            <w:shd w:val="clear" w:color="auto" w:fill="auto"/>
            <w:noWrap/>
            <w:tcMar>
              <w:left w:w="28" w:type="dxa"/>
              <w:right w:w="28" w:type="dxa"/>
            </w:tcMar>
            <w:vAlign w:val="center"/>
          </w:tcPr>
          <w:p w14:paraId="423546A3">
            <w:pPr>
              <w:spacing w:after="0" w:line="240" w:lineRule="auto"/>
              <w:ind w:firstLine="0"/>
              <w:jc w:val="center"/>
              <w:rPr>
                <w:color w:val="000000"/>
                <w:sz w:val="20"/>
                <w:szCs w:val="20"/>
              </w:rPr>
            </w:pPr>
            <w:r>
              <w:rPr>
                <w:color w:val="000000"/>
                <w:sz w:val="20"/>
                <w:szCs w:val="20"/>
              </w:rPr>
              <w:t>2,31</w:t>
            </w:r>
          </w:p>
        </w:tc>
        <w:tc>
          <w:tcPr>
            <w:tcW w:w="1108" w:type="dxa"/>
            <w:shd w:val="clear" w:color="auto" w:fill="auto"/>
            <w:noWrap/>
            <w:tcMar>
              <w:left w:w="28" w:type="dxa"/>
              <w:right w:w="28" w:type="dxa"/>
            </w:tcMar>
            <w:vAlign w:val="center"/>
          </w:tcPr>
          <w:p w14:paraId="03B2D307">
            <w:pPr>
              <w:spacing w:after="0" w:line="240" w:lineRule="auto"/>
              <w:ind w:firstLine="0"/>
              <w:jc w:val="center"/>
              <w:rPr>
                <w:color w:val="000000"/>
                <w:sz w:val="20"/>
                <w:szCs w:val="20"/>
              </w:rPr>
            </w:pPr>
            <w:r>
              <w:rPr>
                <w:color w:val="000000"/>
                <w:sz w:val="20"/>
                <w:szCs w:val="20"/>
              </w:rPr>
              <w:t>2,45</w:t>
            </w:r>
          </w:p>
        </w:tc>
        <w:tc>
          <w:tcPr>
            <w:tcW w:w="1107" w:type="dxa"/>
            <w:shd w:val="clear" w:color="auto" w:fill="auto"/>
            <w:noWrap/>
            <w:tcMar>
              <w:left w:w="28" w:type="dxa"/>
              <w:right w:w="28" w:type="dxa"/>
            </w:tcMar>
            <w:vAlign w:val="center"/>
          </w:tcPr>
          <w:p w14:paraId="0FD925C0">
            <w:pPr>
              <w:spacing w:after="0" w:line="240" w:lineRule="auto"/>
              <w:ind w:firstLine="0"/>
              <w:jc w:val="center"/>
              <w:rPr>
                <w:color w:val="000000"/>
                <w:sz w:val="20"/>
                <w:szCs w:val="20"/>
              </w:rPr>
            </w:pPr>
            <w:r>
              <w:rPr>
                <w:color w:val="000000"/>
                <w:sz w:val="20"/>
                <w:szCs w:val="20"/>
              </w:rPr>
              <w:t>2,61</w:t>
            </w:r>
          </w:p>
        </w:tc>
        <w:tc>
          <w:tcPr>
            <w:tcW w:w="1107" w:type="dxa"/>
            <w:shd w:val="clear" w:color="auto" w:fill="auto"/>
            <w:noWrap/>
            <w:tcMar>
              <w:left w:w="28" w:type="dxa"/>
              <w:right w:w="28" w:type="dxa"/>
            </w:tcMar>
            <w:vAlign w:val="center"/>
          </w:tcPr>
          <w:p w14:paraId="177FEB18">
            <w:pPr>
              <w:spacing w:after="0" w:line="240" w:lineRule="auto"/>
              <w:ind w:firstLine="0"/>
              <w:jc w:val="center"/>
              <w:rPr>
                <w:color w:val="000000"/>
                <w:sz w:val="20"/>
                <w:szCs w:val="20"/>
              </w:rPr>
            </w:pPr>
            <w:r>
              <w:rPr>
                <w:color w:val="000000"/>
                <w:sz w:val="20"/>
                <w:szCs w:val="20"/>
              </w:rPr>
              <w:t>2,77</w:t>
            </w:r>
          </w:p>
        </w:tc>
        <w:tc>
          <w:tcPr>
            <w:tcW w:w="1108" w:type="dxa"/>
            <w:shd w:val="clear" w:color="auto" w:fill="auto"/>
            <w:noWrap/>
            <w:tcMar>
              <w:left w:w="28" w:type="dxa"/>
              <w:right w:w="28" w:type="dxa"/>
            </w:tcMar>
            <w:vAlign w:val="center"/>
          </w:tcPr>
          <w:p w14:paraId="468FA3A4">
            <w:pPr>
              <w:spacing w:after="0" w:line="240" w:lineRule="auto"/>
              <w:ind w:firstLine="0"/>
              <w:jc w:val="center"/>
              <w:rPr>
                <w:color w:val="000000"/>
                <w:sz w:val="20"/>
                <w:szCs w:val="20"/>
              </w:rPr>
            </w:pPr>
            <w:r>
              <w:rPr>
                <w:color w:val="000000"/>
                <w:sz w:val="20"/>
                <w:szCs w:val="20"/>
              </w:rPr>
              <w:t>2,95</w:t>
            </w:r>
          </w:p>
        </w:tc>
        <w:tc>
          <w:tcPr>
            <w:tcW w:w="1246" w:type="dxa"/>
            <w:shd w:val="clear" w:color="auto" w:fill="auto"/>
            <w:noWrap/>
            <w:tcMar>
              <w:left w:w="28" w:type="dxa"/>
              <w:right w:w="28" w:type="dxa"/>
            </w:tcMar>
            <w:vAlign w:val="center"/>
          </w:tcPr>
          <w:p w14:paraId="39458107">
            <w:pPr>
              <w:spacing w:after="0" w:line="240" w:lineRule="auto"/>
              <w:ind w:firstLine="0"/>
              <w:jc w:val="center"/>
              <w:rPr>
                <w:color w:val="000000"/>
                <w:sz w:val="20"/>
                <w:szCs w:val="20"/>
              </w:rPr>
            </w:pPr>
            <w:r>
              <w:rPr>
                <w:color w:val="000000"/>
                <w:sz w:val="20"/>
                <w:szCs w:val="20"/>
              </w:rPr>
              <w:t>3,14</w:t>
            </w:r>
          </w:p>
        </w:tc>
      </w:tr>
      <w:tr w14:paraId="753B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restart"/>
            <w:shd w:val="clear" w:color="auto" w:fill="auto"/>
            <w:tcMar>
              <w:left w:w="28" w:type="dxa"/>
              <w:right w:w="28" w:type="dxa"/>
            </w:tcMar>
            <w:vAlign w:val="center"/>
          </w:tcPr>
          <w:p w14:paraId="6FFB8E90">
            <w:pPr>
              <w:spacing w:after="0" w:line="240" w:lineRule="auto"/>
              <w:ind w:firstLine="0"/>
              <w:rPr>
                <w:color w:val="000000"/>
                <w:sz w:val="20"/>
                <w:szCs w:val="20"/>
              </w:rPr>
            </w:pPr>
            <w:r>
              <w:rPr>
                <w:color w:val="000000"/>
                <w:sz w:val="20"/>
                <w:szCs w:val="20"/>
              </w:rPr>
              <w:t>Резерв (+)/ Дефицит (-) мощности</w:t>
            </w:r>
          </w:p>
        </w:tc>
        <w:tc>
          <w:tcPr>
            <w:tcW w:w="1505" w:type="dxa"/>
            <w:shd w:val="clear" w:color="auto" w:fill="auto"/>
            <w:tcMar>
              <w:left w:w="28" w:type="dxa"/>
              <w:right w:w="28" w:type="dxa"/>
            </w:tcMar>
            <w:vAlign w:val="center"/>
          </w:tcPr>
          <w:p w14:paraId="2A97BD5D">
            <w:pPr>
              <w:spacing w:after="0" w:line="240" w:lineRule="auto"/>
              <w:ind w:firstLine="0"/>
              <w:jc w:val="center"/>
              <w:rPr>
                <w:color w:val="000000"/>
                <w:sz w:val="20"/>
                <w:szCs w:val="20"/>
              </w:rPr>
            </w:pPr>
            <w:r>
              <w:rPr>
                <w:color w:val="000000"/>
                <w:sz w:val="20"/>
                <w:szCs w:val="20"/>
              </w:rPr>
              <w:t>Гкал/ч</w:t>
            </w:r>
          </w:p>
        </w:tc>
        <w:tc>
          <w:tcPr>
            <w:tcW w:w="1156" w:type="dxa"/>
            <w:shd w:val="clear" w:color="auto" w:fill="auto"/>
            <w:noWrap/>
            <w:tcMar>
              <w:left w:w="28" w:type="dxa"/>
              <w:right w:w="28" w:type="dxa"/>
            </w:tcMar>
            <w:vAlign w:val="center"/>
          </w:tcPr>
          <w:p w14:paraId="260B4624">
            <w:pPr>
              <w:spacing w:after="0" w:line="240" w:lineRule="auto"/>
              <w:ind w:firstLine="0"/>
              <w:jc w:val="center"/>
              <w:rPr>
                <w:color w:val="000000"/>
                <w:sz w:val="20"/>
                <w:szCs w:val="20"/>
              </w:rPr>
            </w:pPr>
            <w:r>
              <w:rPr>
                <w:color w:val="000000"/>
                <w:sz w:val="20"/>
                <w:szCs w:val="20"/>
              </w:rPr>
              <w:t>14,96</w:t>
            </w:r>
          </w:p>
        </w:tc>
        <w:tc>
          <w:tcPr>
            <w:tcW w:w="1108" w:type="dxa"/>
            <w:shd w:val="clear" w:color="auto" w:fill="auto"/>
            <w:noWrap/>
            <w:tcMar>
              <w:left w:w="28" w:type="dxa"/>
              <w:right w:w="28" w:type="dxa"/>
            </w:tcMar>
            <w:vAlign w:val="center"/>
          </w:tcPr>
          <w:p w14:paraId="77C3823B">
            <w:pPr>
              <w:spacing w:after="0" w:line="240" w:lineRule="auto"/>
              <w:ind w:firstLine="0"/>
              <w:jc w:val="center"/>
              <w:rPr>
                <w:color w:val="000000"/>
                <w:sz w:val="20"/>
                <w:szCs w:val="20"/>
              </w:rPr>
            </w:pPr>
            <w:r>
              <w:rPr>
                <w:color w:val="000000"/>
                <w:sz w:val="20"/>
                <w:szCs w:val="20"/>
              </w:rPr>
              <w:t>14,83</w:t>
            </w:r>
          </w:p>
        </w:tc>
        <w:tc>
          <w:tcPr>
            <w:tcW w:w="1108" w:type="dxa"/>
            <w:shd w:val="clear" w:color="auto" w:fill="auto"/>
            <w:noWrap/>
            <w:tcMar>
              <w:left w:w="28" w:type="dxa"/>
              <w:right w:w="28" w:type="dxa"/>
            </w:tcMar>
            <w:vAlign w:val="center"/>
          </w:tcPr>
          <w:p w14:paraId="2FDA6BD9">
            <w:pPr>
              <w:spacing w:after="0" w:line="240" w:lineRule="auto"/>
              <w:ind w:firstLine="0"/>
              <w:jc w:val="center"/>
              <w:rPr>
                <w:color w:val="000000"/>
                <w:sz w:val="20"/>
                <w:szCs w:val="20"/>
              </w:rPr>
            </w:pPr>
            <w:r>
              <w:rPr>
                <w:color w:val="000000"/>
                <w:sz w:val="20"/>
                <w:szCs w:val="20"/>
              </w:rPr>
              <w:t>14,69</w:t>
            </w:r>
          </w:p>
        </w:tc>
        <w:tc>
          <w:tcPr>
            <w:tcW w:w="1107" w:type="dxa"/>
            <w:shd w:val="clear" w:color="auto" w:fill="auto"/>
            <w:noWrap/>
            <w:tcMar>
              <w:left w:w="28" w:type="dxa"/>
              <w:right w:w="28" w:type="dxa"/>
            </w:tcMar>
            <w:vAlign w:val="center"/>
          </w:tcPr>
          <w:p w14:paraId="406E1F40">
            <w:pPr>
              <w:spacing w:after="0" w:line="240" w:lineRule="auto"/>
              <w:ind w:firstLine="0"/>
              <w:jc w:val="center"/>
              <w:rPr>
                <w:color w:val="000000"/>
                <w:sz w:val="20"/>
                <w:szCs w:val="20"/>
              </w:rPr>
            </w:pPr>
            <w:r>
              <w:rPr>
                <w:color w:val="000000"/>
                <w:sz w:val="20"/>
                <w:szCs w:val="20"/>
              </w:rPr>
              <w:t>14,53</w:t>
            </w:r>
          </w:p>
        </w:tc>
        <w:tc>
          <w:tcPr>
            <w:tcW w:w="1107" w:type="dxa"/>
            <w:shd w:val="clear" w:color="auto" w:fill="auto"/>
            <w:noWrap/>
            <w:tcMar>
              <w:left w:w="28" w:type="dxa"/>
              <w:right w:w="28" w:type="dxa"/>
            </w:tcMar>
            <w:vAlign w:val="center"/>
          </w:tcPr>
          <w:p w14:paraId="34EEFD89">
            <w:pPr>
              <w:spacing w:after="0" w:line="240" w:lineRule="auto"/>
              <w:ind w:firstLine="0"/>
              <w:jc w:val="center"/>
              <w:rPr>
                <w:color w:val="000000"/>
                <w:sz w:val="20"/>
                <w:szCs w:val="20"/>
              </w:rPr>
            </w:pPr>
            <w:r>
              <w:rPr>
                <w:color w:val="000000"/>
                <w:sz w:val="20"/>
                <w:szCs w:val="20"/>
              </w:rPr>
              <w:t>14,37</w:t>
            </w:r>
          </w:p>
        </w:tc>
        <w:tc>
          <w:tcPr>
            <w:tcW w:w="1108" w:type="dxa"/>
            <w:shd w:val="clear" w:color="auto" w:fill="auto"/>
            <w:noWrap/>
            <w:tcMar>
              <w:left w:w="28" w:type="dxa"/>
              <w:right w:w="28" w:type="dxa"/>
            </w:tcMar>
            <w:vAlign w:val="center"/>
          </w:tcPr>
          <w:p w14:paraId="307D2F2D">
            <w:pPr>
              <w:spacing w:after="0" w:line="240" w:lineRule="auto"/>
              <w:ind w:firstLine="0"/>
              <w:jc w:val="center"/>
              <w:rPr>
                <w:color w:val="000000"/>
                <w:sz w:val="20"/>
                <w:szCs w:val="20"/>
              </w:rPr>
            </w:pPr>
            <w:r>
              <w:rPr>
                <w:color w:val="000000"/>
                <w:sz w:val="20"/>
                <w:szCs w:val="20"/>
              </w:rPr>
              <w:t>14,19</w:t>
            </w:r>
          </w:p>
        </w:tc>
        <w:tc>
          <w:tcPr>
            <w:tcW w:w="1246" w:type="dxa"/>
            <w:shd w:val="clear" w:color="auto" w:fill="auto"/>
            <w:noWrap/>
            <w:tcMar>
              <w:left w:w="28" w:type="dxa"/>
              <w:right w:w="28" w:type="dxa"/>
            </w:tcMar>
            <w:vAlign w:val="center"/>
          </w:tcPr>
          <w:p w14:paraId="301537C3">
            <w:pPr>
              <w:spacing w:after="0" w:line="240" w:lineRule="auto"/>
              <w:ind w:firstLine="0"/>
              <w:jc w:val="center"/>
              <w:rPr>
                <w:color w:val="000000"/>
                <w:sz w:val="20"/>
                <w:szCs w:val="20"/>
              </w:rPr>
            </w:pPr>
            <w:r>
              <w:rPr>
                <w:color w:val="000000"/>
                <w:sz w:val="20"/>
                <w:szCs w:val="20"/>
              </w:rPr>
              <w:t>14,00</w:t>
            </w:r>
          </w:p>
        </w:tc>
      </w:tr>
      <w:tr w14:paraId="472C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vMerge w:val="continue"/>
            <w:tcMar>
              <w:left w:w="28" w:type="dxa"/>
              <w:right w:w="28" w:type="dxa"/>
            </w:tcMar>
            <w:vAlign w:val="center"/>
          </w:tcPr>
          <w:p w14:paraId="3386F4BE">
            <w:pPr>
              <w:spacing w:after="0" w:line="240" w:lineRule="auto"/>
              <w:ind w:firstLine="0"/>
              <w:rPr>
                <w:color w:val="000000"/>
                <w:sz w:val="20"/>
                <w:szCs w:val="20"/>
              </w:rPr>
            </w:pPr>
          </w:p>
        </w:tc>
        <w:tc>
          <w:tcPr>
            <w:tcW w:w="1505" w:type="dxa"/>
            <w:shd w:val="clear" w:color="auto" w:fill="auto"/>
            <w:tcMar>
              <w:left w:w="28" w:type="dxa"/>
              <w:right w:w="28" w:type="dxa"/>
            </w:tcMar>
            <w:vAlign w:val="center"/>
          </w:tcPr>
          <w:p w14:paraId="046EE479">
            <w:pPr>
              <w:spacing w:after="0" w:line="240" w:lineRule="auto"/>
              <w:ind w:firstLine="0"/>
              <w:jc w:val="center"/>
              <w:rPr>
                <w:color w:val="000000"/>
                <w:sz w:val="20"/>
                <w:szCs w:val="20"/>
              </w:rPr>
            </w:pPr>
            <w:r>
              <w:rPr>
                <w:color w:val="000000"/>
                <w:sz w:val="20"/>
                <w:szCs w:val="20"/>
              </w:rPr>
              <w:t>%</w:t>
            </w:r>
          </w:p>
        </w:tc>
        <w:tc>
          <w:tcPr>
            <w:tcW w:w="1156" w:type="dxa"/>
            <w:shd w:val="clear" w:color="auto" w:fill="auto"/>
            <w:noWrap/>
            <w:tcMar>
              <w:left w:w="28" w:type="dxa"/>
              <w:right w:w="28" w:type="dxa"/>
            </w:tcMar>
            <w:vAlign w:val="center"/>
          </w:tcPr>
          <w:p w14:paraId="0AF8A57C">
            <w:pPr>
              <w:spacing w:after="0" w:line="240" w:lineRule="auto"/>
              <w:ind w:firstLine="0"/>
              <w:jc w:val="center"/>
              <w:rPr>
                <w:color w:val="000000"/>
                <w:sz w:val="20"/>
                <w:szCs w:val="20"/>
              </w:rPr>
            </w:pPr>
            <w:r>
              <w:rPr>
                <w:color w:val="000000"/>
                <w:sz w:val="20"/>
                <w:szCs w:val="20"/>
              </w:rPr>
              <w:t>83,20</w:t>
            </w:r>
          </w:p>
        </w:tc>
        <w:tc>
          <w:tcPr>
            <w:tcW w:w="1108" w:type="dxa"/>
            <w:shd w:val="clear" w:color="auto" w:fill="auto"/>
            <w:noWrap/>
            <w:tcMar>
              <w:left w:w="28" w:type="dxa"/>
              <w:right w:w="28" w:type="dxa"/>
            </w:tcMar>
            <w:vAlign w:val="center"/>
          </w:tcPr>
          <w:p w14:paraId="5D9EC4AE">
            <w:pPr>
              <w:spacing w:after="0" w:line="240" w:lineRule="auto"/>
              <w:ind w:firstLine="0"/>
              <w:jc w:val="center"/>
              <w:rPr>
                <w:color w:val="000000"/>
                <w:sz w:val="20"/>
                <w:szCs w:val="20"/>
              </w:rPr>
            </w:pPr>
            <w:r>
              <w:rPr>
                <w:color w:val="000000"/>
                <w:sz w:val="20"/>
                <w:szCs w:val="20"/>
              </w:rPr>
              <w:t>82,47</w:t>
            </w:r>
          </w:p>
        </w:tc>
        <w:tc>
          <w:tcPr>
            <w:tcW w:w="1108" w:type="dxa"/>
            <w:shd w:val="clear" w:color="auto" w:fill="auto"/>
            <w:noWrap/>
            <w:tcMar>
              <w:left w:w="28" w:type="dxa"/>
              <w:right w:w="28" w:type="dxa"/>
            </w:tcMar>
            <w:vAlign w:val="center"/>
          </w:tcPr>
          <w:p w14:paraId="3E6F984B">
            <w:pPr>
              <w:spacing w:after="0" w:line="240" w:lineRule="auto"/>
              <w:ind w:firstLine="0"/>
              <w:jc w:val="center"/>
              <w:rPr>
                <w:color w:val="000000"/>
                <w:sz w:val="20"/>
                <w:szCs w:val="20"/>
              </w:rPr>
            </w:pPr>
            <w:r>
              <w:rPr>
                <w:color w:val="000000"/>
                <w:sz w:val="20"/>
                <w:szCs w:val="20"/>
              </w:rPr>
              <w:t>81,69</w:t>
            </w:r>
          </w:p>
        </w:tc>
        <w:tc>
          <w:tcPr>
            <w:tcW w:w="1107" w:type="dxa"/>
            <w:shd w:val="clear" w:color="auto" w:fill="auto"/>
            <w:noWrap/>
            <w:tcMar>
              <w:left w:w="28" w:type="dxa"/>
              <w:right w:w="28" w:type="dxa"/>
            </w:tcMar>
            <w:vAlign w:val="center"/>
          </w:tcPr>
          <w:p w14:paraId="0B39ACD9">
            <w:pPr>
              <w:spacing w:after="0" w:line="240" w:lineRule="auto"/>
              <w:ind w:firstLine="0"/>
              <w:jc w:val="center"/>
              <w:rPr>
                <w:color w:val="000000"/>
                <w:sz w:val="20"/>
                <w:szCs w:val="20"/>
              </w:rPr>
            </w:pPr>
            <w:r>
              <w:rPr>
                <w:color w:val="000000"/>
                <w:sz w:val="20"/>
                <w:szCs w:val="20"/>
              </w:rPr>
              <w:t>80,84</w:t>
            </w:r>
          </w:p>
        </w:tc>
        <w:tc>
          <w:tcPr>
            <w:tcW w:w="1107" w:type="dxa"/>
            <w:shd w:val="clear" w:color="auto" w:fill="auto"/>
            <w:noWrap/>
            <w:tcMar>
              <w:left w:w="28" w:type="dxa"/>
              <w:right w:w="28" w:type="dxa"/>
            </w:tcMar>
            <w:vAlign w:val="center"/>
          </w:tcPr>
          <w:p w14:paraId="363A94DE">
            <w:pPr>
              <w:spacing w:after="0" w:line="240" w:lineRule="auto"/>
              <w:ind w:firstLine="0"/>
              <w:jc w:val="center"/>
              <w:rPr>
                <w:color w:val="000000"/>
                <w:sz w:val="20"/>
                <w:szCs w:val="20"/>
              </w:rPr>
            </w:pPr>
            <w:r>
              <w:rPr>
                <w:color w:val="000000"/>
                <w:sz w:val="20"/>
                <w:szCs w:val="20"/>
              </w:rPr>
              <w:t>79,92</w:t>
            </w:r>
          </w:p>
        </w:tc>
        <w:tc>
          <w:tcPr>
            <w:tcW w:w="1108" w:type="dxa"/>
            <w:shd w:val="clear" w:color="auto" w:fill="auto"/>
            <w:noWrap/>
            <w:tcMar>
              <w:left w:w="28" w:type="dxa"/>
              <w:right w:w="28" w:type="dxa"/>
            </w:tcMar>
            <w:vAlign w:val="center"/>
          </w:tcPr>
          <w:p w14:paraId="344FA56B">
            <w:pPr>
              <w:spacing w:after="0" w:line="240" w:lineRule="auto"/>
              <w:ind w:firstLine="0"/>
              <w:jc w:val="center"/>
              <w:rPr>
                <w:color w:val="000000"/>
                <w:sz w:val="20"/>
                <w:szCs w:val="20"/>
              </w:rPr>
            </w:pPr>
            <w:r>
              <w:rPr>
                <w:color w:val="000000"/>
                <w:sz w:val="20"/>
                <w:szCs w:val="20"/>
              </w:rPr>
              <w:t>78,93</w:t>
            </w:r>
          </w:p>
        </w:tc>
        <w:tc>
          <w:tcPr>
            <w:tcW w:w="1246" w:type="dxa"/>
            <w:shd w:val="clear" w:color="auto" w:fill="auto"/>
            <w:noWrap/>
            <w:tcMar>
              <w:left w:w="28" w:type="dxa"/>
              <w:right w:w="28" w:type="dxa"/>
            </w:tcMar>
            <w:vAlign w:val="center"/>
          </w:tcPr>
          <w:p w14:paraId="0F51CF00">
            <w:pPr>
              <w:spacing w:after="0" w:line="240" w:lineRule="auto"/>
              <w:ind w:firstLine="0"/>
              <w:jc w:val="center"/>
              <w:rPr>
                <w:color w:val="000000"/>
                <w:sz w:val="20"/>
                <w:szCs w:val="20"/>
              </w:rPr>
            </w:pPr>
            <w:r>
              <w:rPr>
                <w:color w:val="000000"/>
                <w:sz w:val="20"/>
                <w:szCs w:val="20"/>
              </w:rPr>
              <w:t>77,87</w:t>
            </w:r>
          </w:p>
        </w:tc>
      </w:tr>
      <w:tr w14:paraId="5570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tcMar>
              <w:left w:w="28" w:type="dxa"/>
              <w:right w:w="28" w:type="dxa"/>
            </w:tcMar>
            <w:vAlign w:val="center"/>
          </w:tcPr>
          <w:p w14:paraId="4610A9B7">
            <w:pPr>
              <w:spacing w:after="0" w:line="240" w:lineRule="auto"/>
              <w:ind w:firstLine="0"/>
              <w:rPr>
                <w:color w:val="000000"/>
                <w:sz w:val="20"/>
                <w:szCs w:val="20"/>
              </w:rPr>
            </w:pPr>
            <w:r>
              <w:rPr>
                <w:color w:val="000000"/>
                <w:sz w:val="20"/>
                <w:szCs w:val="20"/>
              </w:rPr>
              <w:t>Выработано тепловой энергии</w:t>
            </w:r>
          </w:p>
        </w:tc>
        <w:tc>
          <w:tcPr>
            <w:tcW w:w="1505" w:type="dxa"/>
            <w:shd w:val="clear" w:color="auto" w:fill="auto"/>
            <w:tcMar>
              <w:left w:w="28" w:type="dxa"/>
              <w:right w:w="28" w:type="dxa"/>
            </w:tcMar>
            <w:vAlign w:val="center"/>
          </w:tcPr>
          <w:p w14:paraId="5F21B13D">
            <w:pPr>
              <w:spacing w:after="0" w:line="240" w:lineRule="auto"/>
              <w:ind w:firstLine="0"/>
              <w:jc w:val="center"/>
              <w:rPr>
                <w:color w:val="000000"/>
                <w:sz w:val="20"/>
                <w:szCs w:val="20"/>
              </w:rPr>
            </w:pPr>
            <w:r>
              <w:rPr>
                <w:color w:val="000000"/>
                <w:sz w:val="20"/>
                <w:szCs w:val="20"/>
              </w:rPr>
              <w:t>Гкал</w:t>
            </w:r>
          </w:p>
        </w:tc>
        <w:tc>
          <w:tcPr>
            <w:tcW w:w="115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45535588">
            <w:pPr>
              <w:spacing w:after="0" w:line="240" w:lineRule="auto"/>
              <w:ind w:firstLine="0"/>
              <w:jc w:val="center"/>
              <w:rPr>
                <w:color w:val="000000"/>
                <w:sz w:val="20"/>
                <w:szCs w:val="20"/>
              </w:rPr>
            </w:pPr>
            <w:r>
              <w:rPr>
                <w:color w:val="000000"/>
                <w:sz w:val="20"/>
                <w:szCs w:val="20"/>
              </w:rPr>
              <w:t>21240,322</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6063FBE0">
            <w:pPr>
              <w:spacing w:after="0" w:line="240" w:lineRule="auto"/>
              <w:ind w:firstLine="0"/>
              <w:jc w:val="center"/>
              <w:rPr>
                <w:color w:val="000000"/>
                <w:sz w:val="20"/>
                <w:szCs w:val="20"/>
              </w:rPr>
            </w:pPr>
            <w:r>
              <w:rPr>
                <w:color w:val="000000"/>
                <w:sz w:val="20"/>
                <w:szCs w:val="20"/>
              </w:rPr>
              <w:t>22697,175</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2FD43730">
            <w:pPr>
              <w:spacing w:after="0" w:line="240" w:lineRule="auto"/>
              <w:ind w:firstLine="0"/>
              <w:jc w:val="center"/>
              <w:rPr>
                <w:color w:val="000000"/>
                <w:sz w:val="20"/>
                <w:szCs w:val="20"/>
              </w:rPr>
            </w:pPr>
            <w:r>
              <w:rPr>
                <w:color w:val="000000"/>
                <w:sz w:val="20"/>
                <w:szCs w:val="20"/>
              </w:rPr>
              <w:t>24106,035</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64B5B538">
            <w:pPr>
              <w:spacing w:after="0" w:line="240" w:lineRule="auto"/>
              <w:ind w:firstLine="0"/>
              <w:jc w:val="center"/>
              <w:rPr>
                <w:color w:val="000000"/>
                <w:sz w:val="20"/>
                <w:szCs w:val="20"/>
              </w:rPr>
            </w:pPr>
            <w:r>
              <w:rPr>
                <w:color w:val="000000"/>
                <w:sz w:val="20"/>
                <w:szCs w:val="20"/>
              </w:rPr>
              <w:t>25514,905</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0BF5A4D2">
            <w:pPr>
              <w:spacing w:after="0" w:line="240" w:lineRule="auto"/>
              <w:ind w:firstLine="0"/>
              <w:jc w:val="center"/>
              <w:rPr>
                <w:color w:val="000000"/>
                <w:sz w:val="20"/>
                <w:szCs w:val="20"/>
              </w:rPr>
            </w:pPr>
            <w:r>
              <w:rPr>
                <w:color w:val="000000"/>
                <w:sz w:val="20"/>
                <w:szCs w:val="20"/>
              </w:rPr>
              <w:t>26923,775</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2412DCC7">
            <w:pPr>
              <w:spacing w:after="0" w:line="240" w:lineRule="auto"/>
              <w:ind w:firstLine="0"/>
              <w:jc w:val="center"/>
              <w:rPr>
                <w:color w:val="000000"/>
                <w:sz w:val="20"/>
                <w:szCs w:val="20"/>
              </w:rPr>
            </w:pPr>
            <w:r>
              <w:rPr>
                <w:color w:val="000000"/>
                <w:sz w:val="20"/>
                <w:szCs w:val="20"/>
              </w:rPr>
              <w:t>28332,635</w:t>
            </w:r>
          </w:p>
        </w:tc>
        <w:tc>
          <w:tcPr>
            <w:tcW w:w="124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05DA2C13">
            <w:pPr>
              <w:spacing w:after="0" w:line="240" w:lineRule="auto"/>
              <w:ind w:firstLine="0"/>
              <w:jc w:val="center"/>
              <w:rPr>
                <w:color w:val="000000"/>
                <w:sz w:val="20"/>
                <w:szCs w:val="20"/>
              </w:rPr>
            </w:pPr>
            <w:r>
              <w:rPr>
                <w:color w:val="000000"/>
                <w:sz w:val="20"/>
                <w:szCs w:val="20"/>
              </w:rPr>
              <w:t>29741,505</w:t>
            </w:r>
          </w:p>
        </w:tc>
      </w:tr>
      <w:tr w14:paraId="3526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21" w:type="dxa"/>
            <w:tcMar>
              <w:left w:w="28" w:type="dxa"/>
              <w:right w:w="28" w:type="dxa"/>
            </w:tcMar>
            <w:vAlign w:val="center"/>
          </w:tcPr>
          <w:p w14:paraId="6545F231">
            <w:pPr>
              <w:spacing w:after="0" w:line="240" w:lineRule="auto"/>
              <w:ind w:firstLine="0"/>
              <w:rPr>
                <w:color w:val="000000"/>
                <w:sz w:val="20"/>
                <w:szCs w:val="20"/>
              </w:rPr>
            </w:pPr>
            <w:r>
              <w:rPr>
                <w:color w:val="000000"/>
                <w:sz w:val="20"/>
                <w:szCs w:val="20"/>
              </w:rPr>
              <w:t>Отпуск в сеть</w:t>
            </w:r>
          </w:p>
        </w:tc>
        <w:tc>
          <w:tcPr>
            <w:tcW w:w="1505" w:type="dxa"/>
            <w:shd w:val="clear" w:color="auto" w:fill="auto"/>
            <w:tcMar>
              <w:left w:w="28" w:type="dxa"/>
              <w:right w:w="28" w:type="dxa"/>
            </w:tcMar>
            <w:vAlign w:val="center"/>
          </w:tcPr>
          <w:p w14:paraId="727BAD8B">
            <w:pPr>
              <w:spacing w:after="0" w:line="240" w:lineRule="auto"/>
              <w:ind w:firstLine="0"/>
              <w:jc w:val="center"/>
              <w:rPr>
                <w:color w:val="000000"/>
                <w:sz w:val="20"/>
                <w:szCs w:val="20"/>
              </w:rPr>
            </w:pPr>
            <w:r>
              <w:rPr>
                <w:color w:val="000000"/>
                <w:sz w:val="20"/>
                <w:szCs w:val="20"/>
              </w:rPr>
              <w:t>Гкал</w:t>
            </w:r>
          </w:p>
        </w:tc>
        <w:tc>
          <w:tcPr>
            <w:tcW w:w="115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59A460C5">
            <w:pPr>
              <w:spacing w:after="0" w:line="240" w:lineRule="auto"/>
              <w:ind w:firstLine="0"/>
              <w:jc w:val="center"/>
              <w:rPr>
                <w:color w:val="000000"/>
                <w:sz w:val="20"/>
                <w:szCs w:val="20"/>
              </w:rPr>
            </w:pPr>
            <w:r>
              <w:rPr>
                <w:color w:val="000000"/>
                <w:sz w:val="20"/>
                <w:szCs w:val="20"/>
              </w:rPr>
              <w:t>21167,600</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3188F867">
            <w:pPr>
              <w:spacing w:after="0" w:line="240" w:lineRule="auto"/>
              <w:ind w:firstLine="0"/>
              <w:jc w:val="center"/>
              <w:rPr>
                <w:color w:val="000000"/>
                <w:sz w:val="20"/>
                <w:szCs w:val="20"/>
              </w:rPr>
            </w:pPr>
            <w:r>
              <w:rPr>
                <w:color w:val="000000"/>
                <w:sz w:val="20"/>
                <w:szCs w:val="20"/>
              </w:rPr>
              <w:t>22623,370</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77C5461C">
            <w:pPr>
              <w:spacing w:after="0" w:line="240" w:lineRule="auto"/>
              <w:ind w:firstLine="0"/>
              <w:jc w:val="center"/>
              <w:rPr>
                <w:color w:val="000000"/>
                <w:sz w:val="20"/>
                <w:szCs w:val="20"/>
              </w:rPr>
            </w:pPr>
            <w:r>
              <w:rPr>
                <w:color w:val="000000"/>
                <w:sz w:val="20"/>
                <w:szCs w:val="20"/>
              </w:rPr>
              <w:t>24032,230</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41C3EC30">
            <w:pPr>
              <w:spacing w:after="0" w:line="240" w:lineRule="auto"/>
              <w:ind w:firstLine="0"/>
              <w:jc w:val="center"/>
              <w:rPr>
                <w:color w:val="000000"/>
                <w:sz w:val="20"/>
                <w:szCs w:val="20"/>
              </w:rPr>
            </w:pPr>
            <w:r>
              <w:rPr>
                <w:color w:val="000000"/>
                <w:sz w:val="20"/>
                <w:szCs w:val="20"/>
              </w:rPr>
              <w:t>25441,100</w:t>
            </w:r>
          </w:p>
        </w:tc>
        <w:tc>
          <w:tcPr>
            <w:tcW w:w="1107"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7DDF38C0">
            <w:pPr>
              <w:spacing w:after="0" w:line="240" w:lineRule="auto"/>
              <w:ind w:firstLine="0"/>
              <w:jc w:val="center"/>
              <w:rPr>
                <w:color w:val="000000"/>
                <w:sz w:val="20"/>
                <w:szCs w:val="20"/>
              </w:rPr>
            </w:pPr>
            <w:r>
              <w:rPr>
                <w:color w:val="000000"/>
                <w:sz w:val="20"/>
                <w:szCs w:val="20"/>
              </w:rPr>
              <w:t>26849,970</w:t>
            </w:r>
          </w:p>
        </w:tc>
        <w:tc>
          <w:tcPr>
            <w:tcW w:w="1108"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084A0C11">
            <w:pPr>
              <w:spacing w:after="0" w:line="240" w:lineRule="auto"/>
              <w:ind w:firstLine="0"/>
              <w:jc w:val="center"/>
              <w:rPr>
                <w:color w:val="000000"/>
                <w:sz w:val="20"/>
                <w:szCs w:val="20"/>
              </w:rPr>
            </w:pPr>
            <w:r>
              <w:rPr>
                <w:color w:val="000000"/>
                <w:sz w:val="20"/>
                <w:szCs w:val="20"/>
              </w:rPr>
              <w:t>28258,830</w:t>
            </w:r>
          </w:p>
        </w:tc>
        <w:tc>
          <w:tcPr>
            <w:tcW w:w="1246" w:type="dxa"/>
            <w:tcBorders>
              <w:top w:val="nil"/>
              <w:left w:val="nil"/>
              <w:bottom w:val="single" w:color="auto" w:sz="8" w:space="0"/>
              <w:right w:val="single" w:color="auto" w:sz="8" w:space="0"/>
            </w:tcBorders>
            <w:shd w:val="clear" w:color="auto" w:fill="auto"/>
            <w:noWrap/>
            <w:tcMar>
              <w:left w:w="28" w:type="dxa"/>
              <w:right w:w="28" w:type="dxa"/>
            </w:tcMar>
            <w:vAlign w:val="center"/>
          </w:tcPr>
          <w:p w14:paraId="47A0E032">
            <w:pPr>
              <w:spacing w:after="0" w:line="240" w:lineRule="auto"/>
              <w:ind w:firstLine="0"/>
              <w:jc w:val="center"/>
              <w:rPr>
                <w:color w:val="000000"/>
                <w:sz w:val="20"/>
                <w:szCs w:val="20"/>
              </w:rPr>
            </w:pPr>
            <w:r>
              <w:rPr>
                <w:color w:val="000000"/>
                <w:sz w:val="20"/>
                <w:szCs w:val="20"/>
              </w:rPr>
              <w:t>29667,700</w:t>
            </w:r>
          </w:p>
        </w:tc>
      </w:tr>
      <w:bookmarkEnd w:id="782"/>
    </w:tbl>
    <w:p w14:paraId="75CD8C8C">
      <w:pPr>
        <w:spacing w:after="0" w:line="240" w:lineRule="auto"/>
        <w:ind w:firstLine="0"/>
        <w:contextualSpacing/>
        <w:jc w:val="both"/>
        <w:rPr>
          <w:bCs/>
          <w:sz w:val="24"/>
          <w:szCs w:val="24"/>
        </w:rPr>
      </w:pPr>
    </w:p>
    <w:bookmarkEnd w:id="781"/>
    <w:p w14:paraId="3B3A4396">
      <w:pPr>
        <w:spacing w:after="0" w:line="240" w:lineRule="auto"/>
        <w:contextualSpacing/>
        <w:jc w:val="both"/>
        <w:rPr>
          <w:sz w:val="24"/>
          <w:szCs w:val="24"/>
        </w:rPr>
      </w:pPr>
    </w:p>
    <w:p w14:paraId="7A66D476">
      <w:pPr>
        <w:spacing w:after="0" w:line="240" w:lineRule="auto"/>
        <w:contextualSpacing/>
        <w:jc w:val="both"/>
        <w:rPr>
          <w:sz w:val="24"/>
          <w:szCs w:val="24"/>
        </w:rPr>
        <w:sectPr>
          <w:pgSz w:w="16838" w:h="11906" w:orient="landscape"/>
          <w:pgMar w:top="1418" w:right="1134" w:bottom="567" w:left="1134" w:header="709" w:footer="709" w:gutter="0"/>
          <w:cols w:space="708" w:num="1"/>
          <w:docGrid w:linePitch="381" w:charSpace="0"/>
        </w:sectPr>
      </w:pPr>
    </w:p>
    <w:p w14:paraId="50B610CE">
      <w:pPr>
        <w:pStyle w:val="3"/>
        <w:spacing w:before="0" w:line="240" w:lineRule="auto"/>
        <w:ind w:left="0" w:firstLine="709"/>
        <w:contextualSpacing/>
        <w:rPr>
          <w:rFonts w:cs="Times New Roman"/>
          <w:b w:val="0"/>
          <w:sz w:val="24"/>
          <w:szCs w:val="24"/>
        </w:rPr>
      </w:pPr>
      <w:bookmarkStart w:id="783" w:name="_Toc524615140"/>
      <w:bookmarkStart w:id="784" w:name="_Toc524614924"/>
      <w:bookmarkStart w:id="785" w:name="_Toc182814087"/>
      <w:r>
        <w:rPr>
          <w:rFonts w:cs="Times New Roman"/>
          <w:b w:val="0"/>
          <w:sz w:val="24"/>
          <w:szCs w:val="24"/>
        </w:rPr>
        <w:t>Тарифно-балансовые расчетные модели теплоснабжения потребителей по каждой единой теплоснабжающей организации</w:t>
      </w:r>
      <w:bookmarkEnd w:id="783"/>
      <w:bookmarkEnd w:id="784"/>
      <w:bookmarkEnd w:id="785"/>
    </w:p>
    <w:p w14:paraId="42CD5C90">
      <w:pPr>
        <w:spacing w:after="0" w:line="240" w:lineRule="auto"/>
        <w:contextualSpacing/>
        <w:jc w:val="both"/>
        <w:rPr>
          <w:sz w:val="24"/>
          <w:szCs w:val="24"/>
        </w:rPr>
      </w:pPr>
      <w:r>
        <w:rPr>
          <w:sz w:val="24"/>
          <w:szCs w:val="24"/>
        </w:rPr>
        <w:t>Прогнозная тарифно-балансовая расчетная модель по ресурсоснабжающим организациям представлена в таблице 71.</w:t>
      </w:r>
    </w:p>
    <w:p w14:paraId="58A00A6B">
      <w:pPr>
        <w:spacing w:after="0" w:line="240" w:lineRule="auto"/>
        <w:contextualSpacing/>
        <w:jc w:val="both"/>
        <w:rPr>
          <w:sz w:val="24"/>
          <w:szCs w:val="24"/>
        </w:rPr>
      </w:pPr>
    </w:p>
    <w:p w14:paraId="4B4E7EF5">
      <w:pPr>
        <w:pStyle w:val="3"/>
        <w:spacing w:before="0" w:line="240" w:lineRule="auto"/>
        <w:ind w:left="0" w:firstLine="709"/>
        <w:contextualSpacing/>
        <w:rPr>
          <w:rFonts w:cs="Times New Roman"/>
          <w:b w:val="0"/>
          <w:sz w:val="24"/>
          <w:szCs w:val="24"/>
        </w:rPr>
      </w:pPr>
      <w:bookmarkStart w:id="786" w:name="_Toc524615141"/>
      <w:bookmarkStart w:id="787" w:name="_Toc524614925"/>
      <w:bookmarkStart w:id="788" w:name="_Toc182814088"/>
      <w:r>
        <w:rPr>
          <w:rFonts w:cs="Times New Roman"/>
          <w:b w:val="0"/>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86"/>
      <w:bookmarkEnd w:id="787"/>
      <w:bookmarkEnd w:id="788"/>
    </w:p>
    <w:p w14:paraId="19BC9097">
      <w:pPr>
        <w:widowControl w:val="0"/>
        <w:spacing w:after="0" w:line="240" w:lineRule="auto"/>
        <w:ind w:right="2"/>
        <w:contextualSpacing/>
        <w:jc w:val="both"/>
        <w:rPr>
          <w:sz w:val="24"/>
          <w:szCs w:val="24"/>
          <w:lang w:eastAsia="en-US"/>
        </w:rPr>
      </w:pPr>
      <w:bookmarkStart w:id="789" w:name="_Hlk37161031"/>
      <w:r>
        <w:rPr>
          <w:sz w:val="24"/>
          <w:szCs w:val="24"/>
          <w:lang w:eastAsia="en-US"/>
        </w:rPr>
        <w:t xml:space="preserve">Общая стоимость мероприятий перспективной схемы теплоснабжения муниципального образования с.п. </w:t>
      </w:r>
      <w:r>
        <w:rPr>
          <w:sz w:val="24"/>
          <w:szCs w:val="24"/>
        </w:rPr>
        <w:t>Верхнеказымский</w:t>
      </w:r>
      <w:r>
        <w:rPr>
          <w:sz w:val="24"/>
          <w:szCs w:val="24"/>
          <w:lang w:eastAsia="en-US"/>
        </w:rPr>
        <w:t xml:space="preserve"> на период до 2029 года составляет </w:t>
      </w:r>
      <w:r>
        <w:rPr>
          <w:bCs/>
          <w:color w:val="000000"/>
          <w:sz w:val="24"/>
          <w:szCs w:val="24"/>
        </w:rPr>
        <w:t xml:space="preserve">40501,67 </w:t>
      </w:r>
      <w:r>
        <w:rPr>
          <w:sz w:val="24"/>
          <w:szCs w:val="24"/>
          <w:lang w:eastAsia="en-US"/>
        </w:rPr>
        <w:t>тыс. руб.</w:t>
      </w:r>
    </w:p>
    <w:p w14:paraId="7DE9EEFC">
      <w:pPr>
        <w:widowControl w:val="0"/>
        <w:spacing w:after="0" w:line="240" w:lineRule="auto"/>
        <w:ind w:right="2"/>
        <w:contextualSpacing/>
        <w:jc w:val="both"/>
        <w:rPr>
          <w:sz w:val="24"/>
          <w:szCs w:val="24"/>
          <w:lang w:eastAsia="en-US"/>
        </w:rPr>
      </w:pPr>
      <w:r>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72):</w:t>
      </w:r>
    </w:p>
    <w:p w14:paraId="4BCD8CC6">
      <w:pPr>
        <w:widowControl w:val="0"/>
        <w:numPr>
          <w:ilvl w:val="3"/>
          <w:numId w:val="50"/>
        </w:numPr>
        <w:tabs>
          <w:tab w:val="left" w:pos="993"/>
        </w:tabs>
        <w:spacing w:after="0" w:line="240" w:lineRule="auto"/>
        <w:ind w:left="0" w:right="2" w:firstLine="709"/>
        <w:contextualSpacing/>
        <w:jc w:val="both"/>
        <w:rPr>
          <w:sz w:val="24"/>
          <w:szCs w:val="24"/>
          <w:lang w:eastAsia="en-US"/>
        </w:rPr>
      </w:pPr>
      <w:r>
        <w:rPr>
          <w:sz w:val="24"/>
          <w:szCs w:val="24"/>
          <w:lang w:eastAsia="en-US"/>
        </w:rPr>
        <w:t>Прогноз долгосрочного социально-экономического развития РФ на период до 2036 года (опубликован на сайте Минэкономразвития РФ, сентябрь 2024 г.).</w:t>
      </w:r>
    </w:p>
    <w:p w14:paraId="4D616D16">
      <w:pPr>
        <w:tabs>
          <w:tab w:val="left" w:pos="993"/>
        </w:tabs>
        <w:autoSpaceDE w:val="0"/>
        <w:autoSpaceDN w:val="0"/>
        <w:adjustRightInd w:val="0"/>
        <w:spacing w:after="0" w:line="240" w:lineRule="auto"/>
        <w:ind w:firstLine="0"/>
        <w:contextualSpacing/>
        <w:jc w:val="both"/>
        <w:rPr>
          <w:sz w:val="24"/>
          <w:szCs w:val="24"/>
        </w:rPr>
      </w:pPr>
    </w:p>
    <w:p w14:paraId="6E06AADD">
      <w:pPr>
        <w:tabs>
          <w:tab w:val="left" w:pos="1276"/>
        </w:tabs>
        <w:spacing w:after="0" w:line="240" w:lineRule="auto"/>
        <w:ind w:firstLine="0"/>
        <w:contextualSpacing/>
        <w:jc w:val="both"/>
        <w:rPr>
          <w:sz w:val="24"/>
          <w:szCs w:val="24"/>
        </w:rPr>
      </w:pPr>
      <w:r>
        <w:rPr>
          <w:bCs/>
          <w:sz w:val="24"/>
          <w:szCs w:val="24"/>
        </w:rPr>
        <w:t xml:space="preserve">Таблица </w:t>
      </w:r>
      <w:r>
        <w:rPr>
          <w:bCs/>
          <w:sz w:val="24"/>
          <w:szCs w:val="24"/>
        </w:rPr>
        <w:fldChar w:fldCharType="begin"/>
      </w:r>
      <w:r>
        <w:rPr>
          <w:bCs/>
          <w:sz w:val="24"/>
          <w:szCs w:val="24"/>
        </w:rPr>
        <w:instrText xml:space="preserve"> SEQ Таблица \* ARABIC </w:instrText>
      </w:r>
      <w:r>
        <w:rPr>
          <w:bCs/>
          <w:sz w:val="24"/>
          <w:szCs w:val="24"/>
        </w:rPr>
        <w:fldChar w:fldCharType="separate"/>
      </w:r>
      <w:r>
        <w:rPr>
          <w:bCs/>
          <w:sz w:val="24"/>
          <w:szCs w:val="24"/>
        </w:rPr>
        <w:t>72</w:t>
      </w:r>
      <w:r>
        <w:rPr>
          <w:sz w:val="24"/>
          <w:szCs w:val="24"/>
        </w:rPr>
        <w:fldChar w:fldCharType="end"/>
      </w:r>
      <w:r>
        <w:rPr>
          <w:bCs/>
          <w:sz w:val="24"/>
          <w:szCs w:val="24"/>
        </w:rPr>
        <w:t xml:space="preserve"> </w:t>
      </w:r>
      <w:r>
        <w:rPr>
          <w:sz w:val="24"/>
          <w:szCs w:val="24"/>
        </w:rPr>
        <w:t>– Основные показатели прогноза социально-экономического развития Российской Федерации</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3135"/>
        <w:gridCol w:w="857"/>
        <w:gridCol w:w="857"/>
        <w:gridCol w:w="855"/>
        <w:gridCol w:w="1000"/>
        <w:gridCol w:w="855"/>
        <w:gridCol w:w="998"/>
        <w:gridCol w:w="1137"/>
      </w:tblGrid>
      <w:tr w14:paraId="1F9BF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trPr>
        <w:tc>
          <w:tcPr>
            <w:tcW w:w="1617" w:type="pct"/>
            <w:vAlign w:val="center"/>
          </w:tcPr>
          <w:p w14:paraId="412512BE">
            <w:pPr>
              <w:widowControl w:val="0"/>
              <w:spacing w:after="0" w:line="240" w:lineRule="auto"/>
              <w:ind w:firstLine="0"/>
              <w:jc w:val="center"/>
              <w:rPr>
                <w:sz w:val="20"/>
                <w:szCs w:val="20"/>
                <w:lang w:eastAsia="en-US"/>
              </w:rPr>
            </w:pPr>
            <w:r>
              <w:rPr>
                <w:sz w:val="20"/>
                <w:szCs w:val="20"/>
                <w:lang w:eastAsia="en-US"/>
              </w:rPr>
              <w:t>Индексы-дефляторы</w:t>
            </w:r>
          </w:p>
        </w:tc>
        <w:tc>
          <w:tcPr>
            <w:tcW w:w="442" w:type="pct"/>
            <w:vAlign w:val="center"/>
          </w:tcPr>
          <w:p w14:paraId="45D4A4A6">
            <w:pPr>
              <w:widowControl w:val="0"/>
              <w:spacing w:after="0" w:line="240" w:lineRule="auto"/>
              <w:ind w:firstLine="0"/>
              <w:jc w:val="center"/>
              <w:rPr>
                <w:sz w:val="20"/>
                <w:szCs w:val="20"/>
                <w:lang w:eastAsia="en-US"/>
              </w:rPr>
            </w:pPr>
            <w:r>
              <w:rPr>
                <w:w w:val="99"/>
                <w:sz w:val="20"/>
                <w:szCs w:val="20"/>
                <w:lang w:eastAsia="en-US"/>
              </w:rPr>
              <w:t>2023</w:t>
            </w:r>
            <w:r>
              <w:rPr>
                <w:sz w:val="20"/>
                <w:szCs w:val="20"/>
                <w:lang w:eastAsia="en-US"/>
              </w:rPr>
              <w:t xml:space="preserve"> </w:t>
            </w:r>
            <w:r>
              <w:rPr>
                <w:w w:val="99"/>
                <w:sz w:val="20"/>
                <w:szCs w:val="20"/>
                <w:lang w:eastAsia="en-US"/>
              </w:rPr>
              <w:t>год</w:t>
            </w:r>
          </w:p>
        </w:tc>
        <w:tc>
          <w:tcPr>
            <w:tcW w:w="442" w:type="pct"/>
            <w:vAlign w:val="center"/>
          </w:tcPr>
          <w:p w14:paraId="3F110B2D">
            <w:pPr>
              <w:widowControl w:val="0"/>
              <w:spacing w:after="0" w:line="240" w:lineRule="auto"/>
              <w:ind w:firstLine="0"/>
              <w:jc w:val="center"/>
              <w:rPr>
                <w:sz w:val="20"/>
                <w:szCs w:val="20"/>
                <w:lang w:eastAsia="en-US"/>
              </w:rPr>
            </w:pPr>
            <w:r>
              <w:rPr>
                <w:w w:val="99"/>
                <w:sz w:val="20"/>
                <w:szCs w:val="20"/>
                <w:lang w:eastAsia="en-US"/>
              </w:rPr>
              <w:t>2024</w:t>
            </w:r>
            <w:r>
              <w:rPr>
                <w:sz w:val="20"/>
                <w:szCs w:val="20"/>
                <w:lang w:eastAsia="en-US"/>
              </w:rPr>
              <w:t xml:space="preserve"> </w:t>
            </w:r>
            <w:r>
              <w:rPr>
                <w:w w:val="99"/>
                <w:sz w:val="20"/>
                <w:szCs w:val="20"/>
                <w:lang w:eastAsia="en-US"/>
              </w:rPr>
              <w:t>год</w:t>
            </w:r>
          </w:p>
        </w:tc>
        <w:tc>
          <w:tcPr>
            <w:tcW w:w="441" w:type="pct"/>
            <w:vAlign w:val="center"/>
          </w:tcPr>
          <w:p w14:paraId="3D2BCD40">
            <w:pPr>
              <w:widowControl w:val="0"/>
              <w:spacing w:after="0" w:line="240" w:lineRule="auto"/>
              <w:ind w:firstLine="0"/>
              <w:jc w:val="center"/>
              <w:rPr>
                <w:sz w:val="20"/>
                <w:szCs w:val="20"/>
                <w:lang w:eastAsia="en-US"/>
              </w:rPr>
            </w:pPr>
            <w:r>
              <w:rPr>
                <w:w w:val="99"/>
                <w:sz w:val="20"/>
                <w:szCs w:val="20"/>
                <w:lang w:eastAsia="en-US"/>
              </w:rPr>
              <w:t>2025</w:t>
            </w:r>
            <w:r>
              <w:rPr>
                <w:sz w:val="20"/>
                <w:szCs w:val="20"/>
                <w:lang w:eastAsia="en-US"/>
              </w:rPr>
              <w:t xml:space="preserve"> </w:t>
            </w:r>
            <w:r>
              <w:rPr>
                <w:w w:val="99"/>
                <w:sz w:val="20"/>
                <w:szCs w:val="20"/>
                <w:lang w:eastAsia="en-US"/>
              </w:rPr>
              <w:t>год</w:t>
            </w:r>
          </w:p>
        </w:tc>
        <w:tc>
          <w:tcPr>
            <w:tcW w:w="516" w:type="pct"/>
            <w:vAlign w:val="center"/>
          </w:tcPr>
          <w:p w14:paraId="29FCDC98">
            <w:pPr>
              <w:widowControl w:val="0"/>
              <w:spacing w:after="0" w:line="240" w:lineRule="auto"/>
              <w:ind w:firstLine="0"/>
              <w:jc w:val="center"/>
              <w:rPr>
                <w:sz w:val="20"/>
                <w:szCs w:val="20"/>
                <w:lang w:eastAsia="en-US"/>
              </w:rPr>
            </w:pPr>
            <w:r>
              <w:rPr>
                <w:w w:val="99"/>
                <w:sz w:val="20"/>
                <w:szCs w:val="20"/>
                <w:lang w:eastAsia="en-US"/>
              </w:rPr>
              <w:t>2026</w:t>
            </w:r>
            <w:r>
              <w:rPr>
                <w:sz w:val="20"/>
                <w:szCs w:val="20"/>
                <w:lang w:eastAsia="en-US"/>
              </w:rPr>
              <w:t xml:space="preserve"> </w:t>
            </w:r>
            <w:r>
              <w:rPr>
                <w:w w:val="99"/>
                <w:sz w:val="20"/>
                <w:szCs w:val="20"/>
                <w:lang w:eastAsia="en-US"/>
              </w:rPr>
              <w:t>год</w:t>
            </w:r>
          </w:p>
        </w:tc>
        <w:tc>
          <w:tcPr>
            <w:tcW w:w="441" w:type="pct"/>
            <w:vAlign w:val="center"/>
          </w:tcPr>
          <w:p w14:paraId="538553F2">
            <w:pPr>
              <w:widowControl w:val="0"/>
              <w:spacing w:after="0" w:line="240" w:lineRule="auto"/>
              <w:ind w:firstLine="0"/>
              <w:jc w:val="center"/>
              <w:rPr>
                <w:sz w:val="20"/>
                <w:szCs w:val="20"/>
                <w:lang w:eastAsia="en-US"/>
              </w:rPr>
            </w:pPr>
            <w:r>
              <w:rPr>
                <w:w w:val="99"/>
                <w:sz w:val="20"/>
                <w:szCs w:val="20"/>
                <w:lang w:eastAsia="en-US"/>
              </w:rPr>
              <w:t>2027</w:t>
            </w:r>
            <w:r>
              <w:rPr>
                <w:sz w:val="20"/>
                <w:szCs w:val="20"/>
                <w:lang w:eastAsia="en-US"/>
              </w:rPr>
              <w:t xml:space="preserve"> </w:t>
            </w:r>
            <w:r>
              <w:rPr>
                <w:w w:val="99"/>
                <w:sz w:val="20"/>
                <w:szCs w:val="20"/>
                <w:lang w:eastAsia="en-US"/>
              </w:rPr>
              <w:t>год</w:t>
            </w:r>
          </w:p>
        </w:tc>
        <w:tc>
          <w:tcPr>
            <w:tcW w:w="515" w:type="pct"/>
            <w:vAlign w:val="center"/>
          </w:tcPr>
          <w:p w14:paraId="6B55DD3D">
            <w:pPr>
              <w:widowControl w:val="0"/>
              <w:spacing w:after="0" w:line="240" w:lineRule="auto"/>
              <w:ind w:firstLine="0"/>
              <w:jc w:val="center"/>
              <w:rPr>
                <w:sz w:val="20"/>
                <w:szCs w:val="20"/>
                <w:lang w:eastAsia="en-US"/>
              </w:rPr>
            </w:pPr>
            <w:r>
              <w:rPr>
                <w:w w:val="99"/>
                <w:sz w:val="20"/>
                <w:szCs w:val="20"/>
                <w:lang w:eastAsia="en-US"/>
              </w:rPr>
              <w:t>2028-2030</w:t>
            </w:r>
            <w:r>
              <w:rPr>
                <w:sz w:val="20"/>
                <w:szCs w:val="20"/>
                <w:lang w:eastAsia="en-US"/>
              </w:rPr>
              <w:t xml:space="preserve"> </w:t>
            </w:r>
            <w:r>
              <w:rPr>
                <w:w w:val="99"/>
                <w:sz w:val="20"/>
                <w:szCs w:val="20"/>
                <w:lang w:eastAsia="en-US"/>
              </w:rPr>
              <w:t>гг.</w:t>
            </w:r>
          </w:p>
        </w:tc>
        <w:tc>
          <w:tcPr>
            <w:tcW w:w="586" w:type="pct"/>
            <w:vAlign w:val="center"/>
          </w:tcPr>
          <w:p w14:paraId="1EFD9D51">
            <w:pPr>
              <w:widowControl w:val="0"/>
              <w:spacing w:after="0" w:line="240" w:lineRule="auto"/>
              <w:ind w:firstLine="0"/>
              <w:jc w:val="center"/>
              <w:rPr>
                <w:sz w:val="20"/>
                <w:szCs w:val="20"/>
                <w:lang w:eastAsia="en-US"/>
              </w:rPr>
            </w:pPr>
            <w:r>
              <w:rPr>
                <w:w w:val="99"/>
                <w:sz w:val="20"/>
                <w:szCs w:val="20"/>
                <w:lang w:eastAsia="en-US"/>
              </w:rPr>
              <w:t>2031-2036</w:t>
            </w:r>
            <w:r>
              <w:rPr>
                <w:sz w:val="20"/>
                <w:szCs w:val="20"/>
                <w:lang w:eastAsia="en-US"/>
              </w:rPr>
              <w:t xml:space="preserve"> </w:t>
            </w:r>
            <w:r>
              <w:rPr>
                <w:w w:val="99"/>
                <w:sz w:val="20"/>
                <w:szCs w:val="20"/>
                <w:lang w:eastAsia="en-US"/>
              </w:rPr>
              <w:t>гг.</w:t>
            </w:r>
          </w:p>
        </w:tc>
      </w:tr>
      <w:tr w14:paraId="010C1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trPr>
        <w:tc>
          <w:tcPr>
            <w:tcW w:w="1617" w:type="pct"/>
            <w:vAlign w:val="center"/>
          </w:tcPr>
          <w:p w14:paraId="7AC36C0B">
            <w:pPr>
              <w:widowControl w:val="0"/>
              <w:spacing w:after="0" w:line="240" w:lineRule="auto"/>
              <w:ind w:firstLine="0"/>
              <w:rPr>
                <w:sz w:val="20"/>
                <w:szCs w:val="20"/>
                <w:lang w:eastAsia="en-US"/>
              </w:rPr>
            </w:pPr>
            <w:r>
              <w:rPr>
                <w:sz w:val="20"/>
                <w:szCs w:val="20"/>
                <w:lang w:eastAsia="en-US"/>
              </w:rPr>
              <w:t>Инвестиции в основной капитал (базовый), %</w:t>
            </w:r>
          </w:p>
        </w:tc>
        <w:tc>
          <w:tcPr>
            <w:tcW w:w="442" w:type="pct"/>
            <w:vAlign w:val="center"/>
          </w:tcPr>
          <w:p w14:paraId="3FA62D23">
            <w:pPr>
              <w:widowControl w:val="0"/>
              <w:spacing w:after="0" w:line="240" w:lineRule="auto"/>
              <w:ind w:firstLine="0"/>
              <w:jc w:val="center"/>
              <w:rPr>
                <w:sz w:val="20"/>
                <w:szCs w:val="20"/>
                <w:lang w:eastAsia="en-US"/>
              </w:rPr>
            </w:pPr>
            <w:r>
              <w:rPr>
                <w:sz w:val="20"/>
                <w:szCs w:val="20"/>
                <w:lang w:eastAsia="en-US"/>
              </w:rPr>
              <w:t>9,8</w:t>
            </w:r>
          </w:p>
        </w:tc>
        <w:tc>
          <w:tcPr>
            <w:tcW w:w="442" w:type="pct"/>
            <w:vAlign w:val="center"/>
          </w:tcPr>
          <w:p w14:paraId="2354CEA6">
            <w:pPr>
              <w:widowControl w:val="0"/>
              <w:spacing w:after="0" w:line="240" w:lineRule="auto"/>
              <w:ind w:firstLine="0"/>
              <w:jc w:val="center"/>
              <w:rPr>
                <w:sz w:val="20"/>
                <w:szCs w:val="20"/>
                <w:lang w:eastAsia="en-US"/>
              </w:rPr>
            </w:pPr>
            <w:r>
              <w:rPr>
                <w:sz w:val="20"/>
                <w:szCs w:val="20"/>
                <w:lang w:eastAsia="en-US"/>
              </w:rPr>
              <w:t>7,8</w:t>
            </w:r>
          </w:p>
        </w:tc>
        <w:tc>
          <w:tcPr>
            <w:tcW w:w="441" w:type="pct"/>
            <w:vAlign w:val="center"/>
          </w:tcPr>
          <w:p w14:paraId="52D95AA9">
            <w:pPr>
              <w:widowControl w:val="0"/>
              <w:spacing w:after="0" w:line="240" w:lineRule="auto"/>
              <w:ind w:firstLine="0"/>
              <w:jc w:val="center"/>
              <w:rPr>
                <w:sz w:val="20"/>
                <w:szCs w:val="20"/>
                <w:lang w:eastAsia="en-US"/>
              </w:rPr>
            </w:pPr>
            <w:r>
              <w:rPr>
                <w:sz w:val="20"/>
                <w:szCs w:val="20"/>
                <w:lang w:eastAsia="en-US"/>
              </w:rPr>
              <w:t>2,1</w:t>
            </w:r>
          </w:p>
        </w:tc>
        <w:tc>
          <w:tcPr>
            <w:tcW w:w="516" w:type="pct"/>
            <w:vAlign w:val="center"/>
          </w:tcPr>
          <w:p w14:paraId="2F9EC31C">
            <w:pPr>
              <w:widowControl w:val="0"/>
              <w:spacing w:after="0" w:line="240" w:lineRule="auto"/>
              <w:ind w:firstLine="0"/>
              <w:jc w:val="center"/>
              <w:rPr>
                <w:sz w:val="20"/>
                <w:szCs w:val="20"/>
                <w:lang w:eastAsia="en-US"/>
              </w:rPr>
            </w:pPr>
            <w:r>
              <w:rPr>
                <w:sz w:val="20"/>
                <w:szCs w:val="20"/>
                <w:lang w:eastAsia="en-US"/>
              </w:rPr>
              <w:t>3,0</w:t>
            </w:r>
          </w:p>
        </w:tc>
        <w:tc>
          <w:tcPr>
            <w:tcW w:w="441" w:type="pct"/>
            <w:vAlign w:val="center"/>
          </w:tcPr>
          <w:p w14:paraId="29A85EA7">
            <w:pPr>
              <w:widowControl w:val="0"/>
              <w:spacing w:after="0" w:line="240" w:lineRule="auto"/>
              <w:ind w:firstLine="0"/>
              <w:jc w:val="center"/>
              <w:rPr>
                <w:sz w:val="20"/>
                <w:szCs w:val="20"/>
                <w:lang w:eastAsia="en-US"/>
              </w:rPr>
            </w:pPr>
            <w:r>
              <w:rPr>
                <w:sz w:val="20"/>
                <w:szCs w:val="20"/>
                <w:lang w:eastAsia="en-US"/>
              </w:rPr>
              <w:t>3,3</w:t>
            </w:r>
          </w:p>
        </w:tc>
        <w:tc>
          <w:tcPr>
            <w:tcW w:w="515" w:type="pct"/>
            <w:vAlign w:val="center"/>
          </w:tcPr>
          <w:p w14:paraId="44252D59">
            <w:pPr>
              <w:widowControl w:val="0"/>
              <w:spacing w:after="0" w:line="240" w:lineRule="auto"/>
              <w:ind w:firstLine="0"/>
              <w:jc w:val="center"/>
              <w:rPr>
                <w:sz w:val="20"/>
                <w:szCs w:val="20"/>
                <w:lang w:eastAsia="en-US"/>
              </w:rPr>
            </w:pPr>
            <w:r>
              <w:rPr>
                <w:sz w:val="20"/>
                <w:szCs w:val="20"/>
                <w:lang w:eastAsia="en-US"/>
              </w:rPr>
              <w:t>4,1</w:t>
            </w:r>
          </w:p>
        </w:tc>
        <w:tc>
          <w:tcPr>
            <w:tcW w:w="586" w:type="pct"/>
            <w:vAlign w:val="center"/>
          </w:tcPr>
          <w:p w14:paraId="6CED9F16">
            <w:pPr>
              <w:widowControl w:val="0"/>
              <w:spacing w:after="0" w:line="240" w:lineRule="auto"/>
              <w:ind w:firstLine="0"/>
              <w:jc w:val="center"/>
              <w:rPr>
                <w:sz w:val="20"/>
                <w:szCs w:val="20"/>
                <w:lang w:eastAsia="en-US"/>
              </w:rPr>
            </w:pPr>
            <w:r>
              <w:rPr>
                <w:sz w:val="20"/>
                <w:szCs w:val="20"/>
                <w:lang w:eastAsia="en-US"/>
              </w:rPr>
              <w:t>3,0</w:t>
            </w:r>
          </w:p>
        </w:tc>
      </w:tr>
    </w:tbl>
    <w:p w14:paraId="0B493119">
      <w:pPr>
        <w:tabs>
          <w:tab w:val="left" w:pos="993"/>
        </w:tabs>
        <w:autoSpaceDE w:val="0"/>
        <w:autoSpaceDN w:val="0"/>
        <w:adjustRightInd w:val="0"/>
        <w:spacing w:after="0" w:line="240" w:lineRule="auto"/>
        <w:contextualSpacing/>
        <w:jc w:val="both"/>
        <w:rPr>
          <w:sz w:val="24"/>
          <w:szCs w:val="24"/>
        </w:rPr>
      </w:pPr>
    </w:p>
    <w:p w14:paraId="40C10C9D">
      <w:pPr>
        <w:pStyle w:val="3"/>
        <w:spacing w:before="0" w:line="240" w:lineRule="auto"/>
        <w:ind w:left="0" w:firstLine="709"/>
        <w:contextualSpacing/>
        <w:rPr>
          <w:rFonts w:cs="Times New Roman"/>
          <w:b w:val="0"/>
          <w:sz w:val="24"/>
          <w:szCs w:val="24"/>
        </w:rPr>
      </w:pPr>
      <w:bookmarkStart w:id="790" w:name="_Toc524615142"/>
      <w:bookmarkStart w:id="791" w:name="_Toc524614926"/>
      <w:bookmarkStart w:id="792" w:name="_Toc15640990"/>
      <w:bookmarkStart w:id="793" w:name="_Toc182814089"/>
      <w:bookmarkStart w:id="794" w:name="_Hlk15651923"/>
      <w:r>
        <w:rPr>
          <w:rFonts w:cs="Times New Roman"/>
          <w:b w:val="0"/>
          <w:sz w:val="24"/>
          <w:szCs w:val="24"/>
        </w:rPr>
        <w:t xml:space="preserve">Описание </w:t>
      </w:r>
      <w:bookmarkEnd w:id="790"/>
      <w:bookmarkEnd w:id="791"/>
      <w:r>
        <w:rPr>
          <w:rFonts w:cs="Times New Roman"/>
          <w:b w:val="0"/>
          <w:sz w:val="24"/>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792"/>
      <w:bookmarkEnd w:id="793"/>
    </w:p>
    <w:bookmarkEnd w:id="794"/>
    <w:p w14:paraId="1618780E">
      <w:pPr>
        <w:spacing w:after="0" w:line="240" w:lineRule="auto"/>
        <w:contextualSpacing/>
        <w:jc w:val="both"/>
        <w:rPr>
          <w:sz w:val="24"/>
          <w:szCs w:val="24"/>
        </w:rPr>
      </w:pPr>
      <w:r>
        <w:rPr>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bookmarkEnd w:id="789"/>
    <w:p w14:paraId="0CAC58C4">
      <w:pPr>
        <w:pStyle w:val="2"/>
        <w:keepLines w:val="0"/>
        <w:pageBreakBefore/>
        <w:widowControl w:val="0"/>
        <w:spacing w:before="0" w:line="240" w:lineRule="auto"/>
        <w:ind w:left="0" w:firstLine="709"/>
        <w:contextualSpacing/>
        <w:rPr>
          <w:rFonts w:cs="Times New Roman"/>
          <w:b w:val="0"/>
          <w:sz w:val="24"/>
          <w:szCs w:val="24"/>
        </w:rPr>
      </w:pPr>
      <w:bookmarkStart w:id="795" w:name="_Toc524614927"/>
      <w:bookmarkStart w:id="796" w:name="_Toc524615143"/>
      <w:bookmarkStart w:id="797" w:name="_Toc182814090"/>
      <w:r>
        <w:rPr>
          <w:rFonts w:cs="Times New Roman"/>
          <w:b w:val="0"/>
          <w:sz w:val="24"/>
          <w:szCs w:val="24"/>
        </w:rPr>
        <w:t>Глава 15. Реестр единых теплоснабжающих организаций</w:t>
      </w:r>
      <w:bookmarkEnd w:id="795"/>
      <w:bookmarkEnd w:id="796"/>
      <w:bookmarkEnd w:id="797"/>
    </w:p>
    <w:p w14:paraId="2B3F5229">
      <w:pPr>
        <w:pStyle w:val="3"/>
        <w:spacing w:before="0" w:line="240" w:lineRule="auto"/>
        <w:ind w:left="0" w:firstLine="709"/>
        <w:contextualSpacing/>
        <w:rPr>
          <w:rFonts w:cs="Times New Roman"/>
          <w:b w:val="0"/>
          <w:sz w:val="24"/>
          <w:szCs w:val="24"/>
        </w:rPr>
      </w:pPr>
      <w:bookmarkStart w:id="798" w:name="_Toc524614928"/>
      <w:bookmarkStart w:id="799" w:name="_Toc524615144"/>
      <w:bookmarkStart w:id="800" w:name="_Toc182814091"/>
      <w:r>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798"/>
      <w:bookmarkEnd w:id="799"/>
      <w:r>
        <w:rPr>
          <w:rFonts w:cs="Times New Roman"/>
          <w:b w:val="0"/>
          <w:sz w:val="24"/>
          <w:szCs w:val="24"/>
        </w:rPr>
        <w:t>с.п. Верхнеказымский</w:t>
      </w:r>
      <w:bookmarkEnd w:id="800"/>
    </w:p>
    <w:p w14:paraId="54C3F481">
      <w:pPr>
        <w:spacing w:after="0" w:line="240" w:lineRule="auto"/>
        <w:contextualSpacing/>
        <w:jc w:val="both"/>
        <w:rPr>
          <w:sz w:val="24"/>
          <w:szCs w:val="24"/>
        </w:rPr>
      </w:pPr>
      <w:r>
        <w:rPr>
          <w:sz w:val="24"/>
          <w:szCs w:val="24"/>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27D4C15B">
      <w:pPr>
        <w:spacing w:after="0" w:line="240" w:lineRule="auto"/>
        <w:contextualSpacing/>
        <w:jc w:val="both"/>
        <w:rPr>
          <w:sz w:val="24"/>
          <w:szCs w:val="24"/>
        </w:rPr>
      </w:pPr>
      <w:r>
        <w:rPr>
          <w:sz w:val="24"/>
          <w:szCs w:val="24"/>
        </w:rPr>
        <w:t xml:space="preserve">На территории </w:t>
      </w:r>
      <w:bookmarkStart w:id="801" w:name="_Hlk181783047"/>
      <w:r>
        <w:rPr>
          <w:sz w:val="24"/>
          <w:szCs w:val="24"/>
        </w:rPr>
        <w:t xml:space="preserve">с.п. Верхнеказымский </w:t>
      </w:r>
      <w:bookmarkEnd w:id="801"/>
      <w:r>
        <w:rPr>
          <w:sz w:val="24"/>
          <w:szCs w:val="24"/>
        </w:rPr>
        <w:t>действуют две системы централизованного теплоснабжения (СТС) – МУП «БКС» и ООО «Газпром трансгаз Югорск» Верхнеказымское ЛПУ МГ.</w:t>
      </w:r>
    </w:p>
    <w:p w14:paraId="1B7E60E8">
      <w:pPr>
        <w:spacing w:after="0" w:line="240" w:lineRule="auto"/>
        <w:contextualSpacing/>
        <w:jc w:val="both"/>
        <w:rPr>
          <w:sz w:val="24"/>
          <w:szCs w:val="24"/>
        </w:rPr>
      </w:pPr>
    </w:p>
    <w:p w14:paraId="169D8257">
      <w:pPr>
        <w:pStyle w:val="3"/>
        <w:spacing w:before="0" w:line="240" w:lineRule="auto"/>
        <w:ind w:left="0" w:firstLine="709"/>
        <w:contextualSpacing/>
        <w:rPr>
          <w:rFonts w:cs="Times New Roman"/>
          <w:b w:val="0"/>
          <w:sz w:val="24"/>
          <w:szCs w:val="24"/>
        </w:rPr>
      </w:pPr>
      <w:bookmarkStart w:id="802" w:name="_Toc182814092"/>
      <w:bookmarkStart w:id="803" w:name="_Toc524614929"/>
      <w:bookmarkStart w:id="804" w:name="_Toc524615145"/>
      <w:r>
        <w:rPr>
          <w:rFonts w:cs="Times New Roman"/>
          <w:b w:val="0"/>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02"/>
      <w:bookmarkEnd w:id="803"/>
      <w:bookmarkEnd w:id="804"/>
    </w:p>
    <w:p w14:paraId="5CCA2E44">
      <w:pPr>
        <w:spacing w:after="0" w:line="240" w:lineRule="auto"/>
        <w:contextualSpacing/>
        <w:jc w:val="both"/>
        <w:rPr>
          <w:sz w:val="24"/>
          <w:szCs w:val="24"/>
        </w:rPr>
      </w:pPr>
      <w:r>
        <w:rPr>
          <w:sz w:val="24"/>
          <w:szCs w:val="24"/>
        </w:rPr>
        <w:t>Реестр единых теплоснабжающих организаций (далее – ЕТО), содержащий перечень систем теплоснабжения, представлен в таблице 73.</w:t>
      </w:r>
    </w:p>
    <w:p w14:paraId="65F3773C">
      <w:pPr>
        <w:spacing w:after="0" w:line="240" w:lineRule="auto"/>
        <w:ind w:firstLine="0"/>
        <w:contextualSpacing/>
        <w:jc w:val="both"/>
        <w:rPr>
          <w:sz w:val="24"/>
          <w:szCs w:val="24"/>
        </w:rPr>
      </w:pPr>
    </w:p>
    <w:p w14:paraId="63647434">
      <w:pPr>
        <w:pStyle w:val="43"/>
        <w:keepNext/>
        <w:spacing w:before="0" w:after="0" w:line="240" w:lineRule="auto"/>
        <w:ind w:firstLine="0"/>
        <w:contextualSpacing/>
        <w:rPr>
          <w:rFonts w:cs="Times New Roman"/>
          <w:b w:val="0"/>
          <w:sz w:val="24"/>
          <w:szCs w:val="24"/>
        </w:rPr>
      </w:pPr>
      <w:bookmarkStart w:id="805" w:name="_Toc28125564"/>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73</w:t>
      </w:r>
      <w:r>
        <w:rPr>
          <w:rFonts w:cs="Times New Roman"/>
          <w:b w:val="0"/>
          <w:sz w:val="24"/>
          <w:szCs w:val="24"/>
        </w:rPr>
        <w:fldChar w:fldCharType="end"/>
      </w:r>
      <w:r>
        <w:rPr>
          <w:rFonts w:cs="Times New Roman"/>
          <w:b w:val="0"/>
          <w:sz w:val="24"/>
          <w:szCs w:val="24"/>
        </w:rPr>
        <w:t xml:space="preserve"> – Реестр единых теплоснабжающих организаций, содержащий перечень систем теплоснабжения</w:t>
      </w:r>
      <w:bookmarkEnd w:id="805"/>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2903"/>
        <w:gridCol w:w="2519"/>
        <w:gridCol w:w="3289"/>
      </w:tblGrid>
      <w:tr w14:paraId="1BC0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pct"/>
            <w:shd w:val="clear" w:color="auto" w:fill="auto"/>
            <w:vAlign w:val="center"/>
          </w:tcPr>
          <w:p w14:paraId="1B3202E2">
            <w:pPr>
              <w:spacing w:after="0" w:line="240" w:lineRule="auto"/>
              <w:ind w:firstLine="0"/>
              <w:jc w:val="center"/>
              <w:rPr>
                <w:color w:val="000000"/>
                <w:sz w:val="20"/>
                <w:szCs w:val="20"/>
              </w:rPr>
            </w:pPr>
            <w:r>
              <w:rPr>
                <w:color w:val="000000"/>
                <w:sz w:val="20"/>
                <w:szCs w:val="20"/>
              </w:rPr>
              <w:t>№ п/п</w:t>
            </w:r>
          </w:p>
        </w:tc>
        <w:tc>
          <w:tcPr>
            <w:tcW w:w="1473" w:type="pct"/>
            <w:shd w:val="clear" w:color="auto" w:fill="auto"/>
            <w:vAlign w:val="center"/>
          </w:tcPr>
          <w:p w14:paraId="51675D35">
            <w:pPr>
              <w:spacing w:after="0" w:line="240" w:lineRule="auto"/>
              <w:ind w:firstLine="0"/>
              <w:jc w:val="center"/>
              <w:rPr>
                <w:color w:val="000000"/>
                <w:sz w:val="20"/>
                <w:szCs w:val="20"/>
              </w:rPr>
            </w:pPr>
            <w:r>
              <w:rPr>
                <w:color w:val="000000"/>
                <w:sz w:val="20"/>
                <w:szCs w:val="20"/>
              </w:rPr>
              <w:t>Наименование ЕТО</w:t>
            </w:r>
          </w:p>
        </w:tc>
        <w:tc>
          <w:tcPr>
            <w:tcW w:w="1278" w:type="pct"/>
            <w:shd w:val="clear" w:color="auto" w:fill="auto"/>
            <w:vAlign w:val="center"/>
          </w:tcPr>
          <w:p w14:paraId="49EAAD14">
            <w:pPr>
              <w:spacing w:after="0" w:line="240" w:lineRule="auto"/>
              <w:ind w:firstLine="0"/>
              <w:jc w:val="center"/>
              <w:rPr>
                <w:color w:val="000000"/>
                <w:sz w:val="20"/>
                <w:szCs w:val="20"/>
              </w:rPr>
            </w:pPr>
            <w:r>
              <w:rPr>
                <w:color w:val="000000"/>
                <w:sz w:val="20"/>
                <w:szCs w:val="20"/>
              </w:rPr>
              <w:t>Системы теплоснабжения, входящие в зону действия ЕТО</w:t>
            </w:r>
          </w:p>
        </w:tc>
        <w:tc>
          <w:tcPr>
            <w:tcW w:w="1670" w:type="pct"/>
            <w:shd w:val="clear" w:color="auto" w:fill="auto"/>
            <w:vAlign w:val="center"/>
          </w:tcPr>
          <w:p w14:paraId="69FF4D53">
            <w:pPr>
              <w:spacing w:after="0" w:line="240" w:lineRule="auto"/>
              <w:ind w:firstLine="0"/>
              <w:jc w:val="center"/>
              <w:rPr>
                <w:color w:val="000000"/>
                <w:sz w:val="20"/>
                <w:szCs w:val="20"/>
              </w:rPr>
            </w:pPr>
            <w:r>
              <w:rPr>
                <w:color w:val="000000"/>
                <w:sz w:val="20"/>
                <w:szCs w:val="20"/>
              </w:rPr>
              <w:t>Перечень источников, входящих в систему теплоснабжения</w:t>
            </w:r>
          </w:p>
        </w:tc>
      </w:tr>
      <w:tr w14:paraId="00F6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pct"/>
            <w:shd w:val="clear" w:color="auto" w:fill="auto"/>
            <w:vAlign w:val="center"/>
          </w:tcPr>
          <w:p w14:paraId="2AAD38F0">
            <w:pPr>
              <w:spacing w:after="0" w:line="240" w:lineRule="auto"/>
              <w:ind w:firstLine="0"/>
              <w:jc w:val="center"/>
              <w:rPr>
                <w:color w:val="000000"/>
                <w:sz w:val="20"/>
                <w:szCs w:val="20"/>
              </w:rPr>
            </w:pPr>
            <w:r>
              <w:rPr>
                <w:color w:val="000000"/>
                <w:sz w:val="20"/>
                <w:szCs w:val="20"/>
              </w:rPr>
              <w:t>1</w:t>
            </w:r>
          </w:p>
        </w:tc>
        <w:tc>
          <w:tcPr>
            <w:tcW w:w="1473" w:type="pct"/>
            <w:shd w:val="clear" w:color="auto" w:fill="auto"/>
            <w:vAlign w:val="center"/>
          </w:tcPr>
          <w:p w14:paraId="02414D1D">
            <w:pPr>
              <w:spacing w:after="0" w:line="240" w:lineRule="auto"/>
              <w:ind w:firstLine="0"/>
              <w:jc w:val="center"/>
              <w:rPr>
                <w:color w:val="000000"/>
                <w:sz w:val="20"/>
                <w:szCs w:val="20"/>
              </w:rPr>
            </w:pPr>
            <w:r>
              <w:rPr>
                <w:sz w:val="20"/>
                <w:szCs w:val="20"/>
              </w:rPr>
              <w:t>МУП «БКС»</w:t>
            </w:r>
          </w:p>
        </w:tc>
        <w:tc>
          <w:tcPr>
            <w:tcW w:w="1278" w:type="pct"/>
            <w:vMerge w:val="restart"/>
            <w:shd w:val="clear" w:color="auto" w:fill="auto"/>
            <w:vAlign w:val="center"/>
          </w:tcPr>
          <w:p w14:paraId="435BC400">
            <w:pPr>
              <w:spacing w:after="0" w:line="240" w:lineRule="auto"/>
              <w:ind w:firstLine="0"/>
              <w:jc w:val="center"/>
              <w:rPr>
                <w:color w:val="000000"/>
                <w:sz w:val="20"/>
                <w:szCs w:val="20"/>
              </w:rPr>
            </w:pPr>
            <w:r>
              <w:rPr>
                <w:color w:val="000000"/>
                <w:sz w:val="20"/>
                <w:szCs w:val="20"/>
              </w:rPr>
              <w:t>Система теплоснабжения с.п. Верхнеказымский</w:t>
            </w:r>
          </w:p>
        </w:tc>
        <w:tc>
          <w:tcPr>
            <w:tcW w:w="1670" w:type="pct"/>
            <w:shd w:val="clear" w:color="auto" w:fill="auto"/>
            <w:vAlign w:val="center"/>
          </w:tcPr>
          <w:p w14:paraId="450B654D">
            <w:pPr>
              <w:spacing w:after="0" w:line="240" w:lineRule="auto"/>
              <w:ind w:firstLine="0"/>
              <w:jc w:val="center"/>
              <w:rPr>
                <w:color w:val="000000"/>
                <w:sz w:val="20"/>
                <w:szCs w:val="20"/>
              </w:rPr>
            </w:pPr>
            <w:r>
              <w:rPr>
                <w:sz w:val="20"/>
              </w:rPr>
              <w:t>Котельная №2</w:t>
            </w:r>
          </w:p>
        </w:tc>
      </w:tr>
      <w:tr w14:paraId="75D8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0" w:type="pct"/>
            <w:shd w:val="clear" w:color="auto" w:fill="auto"/>
            <w:vAlign w:val="center"/>
          </w:tcPr>
          <w:p w14:paraId="5FA49F5A">
            <w:pPr>
              <w:spacing w:after="0" w:line="240" w:lineRule="auto"/>
              <w:ind w:firstLine="0"/>
              <w:jc w:val="center"/>
              <w:rPr>
                <w:color w:val="000000"/>
                <w:sz w:val="20"/>
                <w:szCs w:val="20"/>
              </w:rPr>
            </w:pPr>
            <w:r>
              <w:rPr>
                <w:color w:val="000000"/>
                <w:sz w:val="20"/>
                <w:szCs w:val="20"/>
              </w:rPr>
              <w:t>2</w:t>
            </w:r>
          </w:p>
        </w:tc>
        <w:tc>
          <w:tcPr>
            <w:tcW w:w="1473" w:type="pct"/>
            <w:shd w:val="clear" w:color="auto" w:fill="auto"/>
            <w:vAlign w:val="center"/>
          </w:tcPr>
          <w:p w14:paraId="732392AE">
            <w:pPr>
              <w:spacing w:after="0" w:line="240" w:lineRule="auto"/>
              <w:ind w:firstLine="0"/>
              <w:jc w:val="center"/>
              <w:rPr>
                <w:sz w:val="20"/>
                <w:szCs w:val="20"/>
              </w:rPr>
            </w:pPr>
            <w:r>
              <w:rPr>
                <w:sz w:val="20"/>
                <w:szCs w:val="20"/>
              </w:rPr>
              <w:t>ООО «Газпром трансгаз Югорск» Верхнеказымское ЛПУ МГ</w:t>
            </w:r>
          </w:p>
        </w:tc>
        <w:tc>
          <w:tcPr>
            <w:tcW w:w="1278" w:type="pct"/>
            <w:vMerge w:val="continue"/>
            <w:shd w:val="clear" w:color="auto" w:fill="auto"/>
            <w:vAlign w:val="center"/>
          </w:tcPr>
          <w:p w14:paraId="604AF2B2">
            <w:pPr>
              <w:spacing w:after="0" w:line="240" w:lineRule="auto"/>
              <w:ind w:firstLine="0"/>
              <w:jc w:val="center"/>
              <w:rPr>
                <w:color w:val="000000"/>
                <w:sz w:val="20"/>
                <w:szCs w:val="20"/>
              </w:rPr>
            </w:pPr>
          </w:p>
        </w:tc>
        <w:tc>
          <w:tcPr>
            <w:tcW w:w="1670" w:type="pct"/>
            <w:shd w:val="clear" w:color="auto" w:fill="auto"/>
            <w:vAlign w:val="center"/>
          </w:tcPr>
          <w:p w14:paraId="0376AB45">
            <w:pPr>
              <w:spacing w:after="0" w:line="240" w:lineRule="auto"/>
              <w:ind w:firstLine="0"/>
              <w:jc w:val="center"/>
              <w:rPr>
                <w:sz w:val="20"/>
              </w:rPr>
            </w:pPr>
            <w:r>
              <w:rPr>
                <w:sz w:val="20"/>
              </w:rPr>
              <w:t>Теплоутилизационные установки компрессорного цеха КЦ-78 КС «Верхнеказымская»;</w:t>
            </w:r>
          </w:p>
          <w:p w14:paraId="5BCF5CA2">
            <w:pPr>
              <w:spacing w:after="0" w:line="240" w:lineRule="auto"/>
              <w:ind w:firstLine="0"/>
              <w:jc w:val="center"/>
              <w:rPr>
                <w:sz w:val="20"/>
              </w:rPr>
            </w:pPr>
            <w:r>
              <w:rPr>
                <w:sz w:val="20"/>
              </w:rPr>
              <w:t>Котельная «2БВК»;</w:t>
            </w:r>
          </w:p>
          <w:p w14:paraId="554218C7">
            <w:pPr>
              <w:spacing w:after="0" w:line="240" w:lineRule="auto"/>
              <w:ind w:firstLine="0"/>
              <w:jc w:val="center"/>
              <w:rPr>
                <w:sz w:val="20"/>
              </w:rPr>
            </w:pPr>
            <w:r>
              <w:rPr>
                <w:sz w:val="20"/>
              </w:rPr>
              <w:t>Котельная «Вирбекс»</w:t>
            </w:r>
          </w:p>
        </w:tc>
      </w:tr>
    </w:tbl>
    <w:p w14:paraId="389FD215">
      <w:pPr>
        <w:spacing w:after="0" w:line="240" w:lineRule="auto"/>
        <w:contextualSpacing/>
        <w:jc w:val="both"/>
        <w:rPr>
          <w:sz w:val="24"/>
          <w:szCs w:val="24"/>
        </w:rPr>
      </w:pPr>
    </w:p>
    <w:p w14:paraId="01CC435A">
      <w:pPr>
        <w:pStyle w:val="3"/>
        <w:spacing w:before="0" w:line="240" w:lineRule="auto"/>
        <w:ind w:left="0" w:firstLine="709"/>
        <w:contextualSpacing/>
        <w:rPr>
          <w:rFonts w:cs="Times New Roman"/>
          <w:b w:val="0"/>
          <w:sz w:val="24"/>
          <w:szCs w:val="24"/>
        </w:rPr>
      </w:pPr>
      <w:bookmarkStart w:id="806" w:name="_Toc524615146"/>
      <w:bookmarkStart w:id="807" w:name="_Toc524614930"/>
      <w:bookmarkStart w:id="808" w:name="_Toc182814093"/>
      <w:bookmarkStart w:id="809" w:name="_Toc15640994"/>
      <w:bookmarkStart w:id="810" w:name="_Hlk15651938"/>
      <w:bookmarkStart w:id="811" w:name="_Hlk10421036"/>
      <w:r>
        <w:rPr>
          <w:rFonts w:cs="Times New Roman"/>
          <w:b w:val="0"/>
          <w:sz w:val="24"/>
          <w:szCs w:val="24"/>
        </w:rPr>
        <w:t xml:space="preserve">Основания, </w:t>
      </w:r>
      <w:bookmarkEnd w:id="806"/>
      <w:bookmarkEnd w:id="807"/>
      <w:r>
        <w:rPr>
          <w:rFonts w:cs="Times New Roman"/>
          <w:b w:val="0"/>
          <w:sz w:val="24"/>
          <w:szCs w:val="24"/>
        </w:rPr>
        <w:t>в том числе критерии, в соответствии с которыми теплоснабжающей организации присвоен статус единой теплоснабжающей организации</w:t>
      </w:r>
      <w:bookmarkEnd w:id="808"/>
      <w:bookmarkEnd w:id="809"/>
    </w:p>
    <w:bookmarkEnd w:id="810"/>
    <w:p w14:paraId="5B98FA90">
      <w:pPr>
        <w:spacing w:after="0" w:line="240" w:lineRule="auto"/>
        <w:contextualSpacing/>
        <w:jc w:val="both"/>
        <w:rPr>
          <w:sz w:val="24"/>
          <w:szCs w:val="24"/>
        </w:rPr>
      </w:pPr>
      <w:r>
        <w:rPr>
          <w:sz w:val="24"/>
          <w:szCs w:val="24"/>
        </w:rPr>
        <w:t>Критерии определения единой теплоснабжающей организации определены постановлением Правительства Российской Федерации № 808 от 08.08.2012 года «Об организации теплоснабжения в Российской Федерации и о внесении изменений в некоторые акты Правительства Российской Федерации».</w:t>
      </w:r>
    </w:p>
    <w:p w14:paraId="1DFCF92B">
      <w:pPr>
        <w:spacing w:after="0" w:line="240" w:lineRule="auto"/>
        <w:contextualSpacing/>
        <w:jc w:val="both"/>
        <w:rPr>
          <w:sz w:val="24"/>
          <w:szCs w:val="24"/>
        </w:rPr>
      </w:pPr>
      <w:r>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2358D3C1">
      <w:pPr>
        <w:spacing w:after="0" w:line="240" w:lineRule="auto"/>
        <w:contextualSpacing/>
        <w:jc w:val="both"/>
        <w:rPr>
          <w:sz w:val="24"/>
          <w:szCs w:val="24"/>
        </w:rPr>
      </w:pPr>
      <w:r>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66013214">
      <w:pPr>
        <w:spacing w:after="0" w:line="240" w:lineRule="auto"/>
        <w:contextualSpacing/>
        <w:jc w:val="both"/>
        <w:rPr>
          <w:sz w:val="24"/>
          <w:szCs w:val="24"/>
        </w:rPr>
      </w:pPr>
      <w:r>
        <w:rPr>
          <w:sz w:val="24"/>
          <w:szCs w:val="24"/>
        </w:rPr>
        <w:t>В случае если на территории городского округа существуют несколько систем теплоснабжения, уполномоченные органы вправе:</w:t>
      </w:r>
    </w:p>
    <w:p w14:paraId="42D9170B">
      <w:pPr>
        <w:spacing w:after="0" w:line="240" w:lineRule="auto"/>
        <w:contextualSpacing/>
        <w:jc w:val="both"/>
        <w:rPr>
          <w:sz w:val="24"/>
          <w:szCs w:val="24"/>
        </w:rPr>
      </w:pPr>
      <w:r>
        <w:rPr>
          <w:sz w:val="24"/>
          <w:szCs w:val="24"/>
        </w:rPr>
        <w:t>•</w:t>
      </w:r>
      <w:r>
        <w:rPr>
          <w:sz w:val="24"/>
          <w:szCs w:val="24"/>
        </w:rPr>
        <w:tab/>
      </w:r>
      <w:r>
        <w:rPr>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14:paraId="71F263CD">
      <w:pPr>
        <w:spacing w:after="0" w:line="240" w:lineRule="auto"/>
        <w:contextualSpacing/>
        <w:jc w:val="both"/>
        <w:rPr>
          <w:sz w:val="24"/>
          <w:szCs w:val="24"/>
        </w:rPr>
      </w:pPr>
      <w:r>
        <w:rPr>
          <w:sz w:val="24"/>
          <w:szCs w:val="24"/>
        </w:rPr>
        <w:t>•</w:t>
      </w:r>
      <w:r>
        <w:rPr>
          <w:sz w:val="24"/>
          <w:szCs w:val="24"/>
        </w:rPr>
        <w:tab/>
      </w:r>
      <w:r>
        <w:rPr>
          <w:sz w:val="24"/>
          <w:szCs w:val="24"/>
        </w:rPr>
        <w:t>определить на несколько систем теплоснабжения единую теплоснабжающую организацию.</w:t>
      </w:r>
    </w:p>
    <w:p w14:paraId="44A8FF06">
      <w:pPr>
        <w:spacing w:after="0" w:line="240" w:lineRule="auto"/>
        <w:contextualSpacing/>
        <w:jc w:val="both"/>
        <w:rPr>
          <w:sz w:val="24"/>
          <w:szCs w:val="24"/>
        </w:rPr>
      </w:pPr>
    </w:p>
    <w:p w14:paraId="24BAAFD0">
      <w:pPr>
        <w:spacing w:after="0" w:line="240" w:lineRule="auto"/>
        <w:contextualSpacing/>
        <w:jc w:val="both"/>
        <w:rPr>
          <w:sz w:val="24"/>
          <w:szCs w:val="24"/>
        </w:rPr>
      </w:pPr>
      <w:r>
        <w:rPr>
          <w:sz w:val="24"/>
          <w:szCs w:val="24"/>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DB97161">
      <w:pPr>
        <w:spacing w:after="0" w:line="240" w:lineRule="auto"/>
        <w:contextualSpacing/>
        <w:jc w:val="both"/>
        <w:rPr>
          <w:sz w:val="24"/>
          <w:szCs w:val="24"/>
        </w:rPr>
      </w:pPr>
      <w:r>
        <w:rPr>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w:t>
      </w:r>
    </w:p>
    <w:p w14:paraId="5CDDF5F1">
      <w:pPr>
        <w:spacing w:after="0" w:line="240" w:lineRule="auto"/>
        <w:contextualSpacing/>
        <w:jc w:val="both"/>
        <w:rPr>
          <w:sz w:val="24"/>
          <w:szCs w:val="24"/>
        </w:rPr>
      </w:pPr>
      <w:r>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03CC5C9B">
      <w:pPr>
        <w:spacing w:after="0" w:line="240" w:lineRule="auto"/>
        <w:contextualSpacing/>
        <w:jc w:val="both"/>
        <w:rPr>
          <w:sz w:val="24"/>
          <w:szCs w:val="24"/>
        </w:rPr>
      </w:pPr>
      <w:r>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2EB8E92D">
      <w:pPr>
        <w:spacing w:after="0" w:line="240" w:lineRule="auto"/>
        <w:contextualSpacing/>
        <w:jc w:val="both"/>
        <w:rPr>
          <w:sz w:val="24"/>
          <w:szCs w:val="24"/>
        </w:rPr>
      </w:pPr>
      <w:r>
        <w:rPr>
          <w:sz w:val="24"/>
          <w:szCs w:val="24"/>
        </w:rPr>
        <w:t>Критериями определения единой теплоснабжающей организации являются:</w:t>
      </w:r>
    </w:p>
    <w:p w14:paraId="76A0FE2A">
      <w:pPr>
        <w:spacing w:after="0" w:line="240" w:lineRule="auto"/>
        <w:contextualSpacing/>
        <w:jc w:val="both"/>
        <w:rPr>
          <w:sz w:val="24"/>
          <w:szCs w:val="24"/>
        </w:rPr>
      </w:pPr>
      <w:r>
        <w:rPr>
          <w:sz w:val="24"/>
          <w:szCs w:val="24"/>
        </w:rPr>
        <w:t>•</w:t>
      </w:r>
      <w:r>
        <w:rPr>
          <w:sz w:val="24"/>
          <w:szCs w:val="24"/>
        </w:rPr>
        <w:tab/>
      </w:r>
      <w:r>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83623DF">
      <w:pPr>
        <w:spacing w:after="0" w:line="240" w:lineRule="auto"/>
        <w:contextualSpacing/>
        <w:jc w:val="both"/>
        <w:rPr>
          <w:sz w:val="24"/>
          <w:szCs w:val="24"/>
        </w:rPr>
      </w:pPr>
      <w:r>
        <w:rPr>
          <w:sz w:val="24"/>
          <w:szCs w:val="24"/>
        </w:rPr>
        <w:t>•</w:t>
      </w:r>
      <w:r>
        <w:rPr>
          <w:sz w:val="24"/>
          <w:szCs w:val="24"/>
        </w:rPr>
        <w:tab/>
      </w:r>
      <w:r>
        <w:rPr>
          <w:sz w:val="24"/>
          <w:szCs w:val="24"/>
        </w:rPr>
        <w:t>размер собственного капитала;</w:t>
      </w:r>
    </w:p>
    <w:p w14:paraId="49B6F25B">
      <w:pPr>
        <w:spacing w:after="0" w:line="240" w:lineRule="auto"/>
        <w:contextualSpacing/>
        <w:jc w:val="both"/>
        <w:rPr>
          <w:sz w:val="24"/>
          <w:szCs w:val="24"/>
        </w:rPr>
      </w:pPr>
      <w:r>
        <w:rPr>
          <w:sz w:val="24"/>
          <w:szCs w:val="24"/>
        </w:rPr>
        <w:t>•</w:t>
      </w:r>
      <w:r>
        <w:rPr>
          <w:sz w:val="24"/>
          <w:szCs w:val="24"/>
        </w:rPr>
        <w:tab/>
      </w:r>
      <w:r>
        <w:rPr>
          <w:sz w:val="24"/>
          <w:szCs w:val="24"/>
        </w:rPr>
        <w:t>способность в лучшей мере обеспечить надежность теплоснабжения в соответствующей системе теплоснабжения.</w:t>
      </w:r>
    </w:p>
    <w:p w14:paraId="34729210">
      <w:pPr>
        <w:spacing w:after="0" w:line="240" w:lineRule="auto"/>
        <w:contextualSpacing/>
        <w:jc w:val="both"/>
        <w:rPr>
          <w:sz w:val="24"/>
          <w:szCs w:val="24"/>
        </w:rPr>
      </w:pPr>
    </w:p>
    <w:p w14:paraId="65EA46EC">
      <w:pPr>
        <w:spacing w:after="0" w:line="240" w:lineRule="auto"/>
        <w:contextualSpacing/>
        <w:jc w:val="both"/>
        <w:rPr>
          <w:sz w:val="24"/>
          <w:szCs w:val="24"/>
        </w:rPr>
      </w:pPr>
      <w:r>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08DD0B96">
      <w:pPr>
        <w:spacing w:after="0" w:line="240" w:lineRule="auto"/>
        <w:contextualSpacing/>
        <w:jc w:val="both"/>
        <w:rPr>
          <w:sz w:val="24"/>
          <w:szCs w:val="24"/>
        </w:rPr>
      </w:pPr>
      <w:r>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43D15AB">
      <w:pPr>
        <w:spacing w:after="0" w:line="240" w:lineRule="auto"/>
        <w:contextualSpacing/>
        <w:jc w:val="both"/>
        <w:rPr>
          <w:sz w:val="24"/>
          <w:szCs w:val="24"/>
        </w:rPr>
      </w:pPr>
      <w:r>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городского округа.</w:t>
      </w:r>
    </w:p>
    <w:p w14:paraId="0502439F">
      <w:pPr>
        <w:spacing w:after="0" w:line="240" w:lineRule="auto"/>
        <w:contextualSpacing/>
        <w:jc w:val="both"/>
        <w:rPr>
          <w:sz w:val="24"/>
          <w:szCs w:val="24"/>
        </w:rPr>
      </w:pPr>
      <w:r>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5DBEC5D">
      <w:pPr>
        <w:spacing w:after="0" w:line="240" w:lineRule="auto"/>
        <w:contextualSpacing/>
        <w:jc w:val="both"/>
        <w:rPr>
          <w:sz w:val="24"/>
          <w:szCs w:val="24"/>
        </w:rPr>
      </w:pPr>
      <w:r>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4B8616CE">
      <w:pPr>
        <w:spacing w:after="0" w:line="240" w:lineRule="auto"/>
        <w:contextualSpacing/>
        <w:jc w:val="both"/>
        <w:rPr>
          <w:sz w:val="24"/>
          <w:szCs w:val="24"/>
        </w:rPr>
      </w:pPr>
      <w:r>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669A7A5">
      <w:pPr>
        <w:spacing w:after="0" w:line="240" w:lineRule="auto"/>
        <w:contextualSpacing/>
        <w:jc w:val="both"/>
        <w:rPr>
          <w:sz w:val="24"/>
          <w:szCs w:val="24"/>
        </w:rPr>
      </w:pPr>
      <w:r>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467F8EC8">
      <w:pPr>
        <w:spacing w:after="0" w:line="240" w:lineRule="auto"/>
        <w:contextualSpacing/>
        <w:jc w:val="both"/>
        <w:rPr>
          <w:sz w:val="24"/>
          <w:szCs w:val="24"/>
        </w:rPr>
      </w:pPr>
      <w:r>
        <w:rPr>
          <w:sz w:val="24"/>
          <w:szCs w:val="24"/>
        </w:rPr>
        <w:t>Единая теплоснабжающая организация при осуществлении своей деятельности обязана:</w:t>
      </w:r>
    </w:p>
    <w:p w14:paraId="22204F54">
      <w:pPr>
        <w:spacing w:after="0" w:line="240" w:lineRule="auto"/>
        <w:contextualSpacing/>
        <w:jc w:val="both"/>
        <w:rPr>
          <w:sz w:val="24"/>
          <w:szCs w:val="24"/>
        </w:rPr>
      </w:pPr>
      <w:r>
        <w:rPr>
          <w:sz w:val="24"/>
          <w:szCs w:val="24"/>
        </w:rPr>
        <w:t>•</w:t>
      </w:r>
      <w:r>
        <w:rPr>
          <w:sz w:val="24"/>
          <w:szCs w:val="24"/>
        </w:rPr>
        <w:tab/>
      </w:r>
      <w:r>
        <w:rPr>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6972085">
      <w:pPr>
        <w:spacing w:after="0" w:line="240" w:lineRule="auto"/>
        <w:contextualSpacing/>
        <w:jc w:val="both"/>
        <w:rPr>
          <w:sz w:val="24"/>
          <w:szCs w:val="24"/>
        </w:rPr>
      </w:pPr>
      <w:r>
        <w:rPr>
          <w:sz w:val="24"/>
          <w:szCs w:val="24"/>
        </w:rPr>
        <w:t>•</w:t>
      </w:r>
      <w:r>
        <w:rPr>
          <w:sz w:val="24"/>
          <w:szCs w:val="24"/>
        </w:rPr>
        <w:tab/>
      </w:r>
      <w:r>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C08FDEB">
      <w:pPr>
        <w:spacing w:after="0" w:line="240" w:lineRule="auto"/>
        <w:contextualSpacing/>
        <w:jc w:val="both"/>
        <w:rPr>
          <w:sz w:val="24"/>
          <w:szCs w:val="24"/>
        </w:rPr>
      </w:pPr>
      <w:r>
        <w:rPr>
          <w:sz w:val="24"/>
          <w:szCs w:val="24"/>
        </w:rPr>
        <w:t>•</w:t>
      </w:r>
      <w:r>
        <w:rPr>
          <w:sz w:val="24"/>
          <w:szCs w:val="24"/>
        </w:rPr>
        <w:tab/>
      </w:r>
      <w:r>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82303CE">
      <w:pPr>
        <w:spacing w:after="0" w:line="240" w:lineRule="auto"/>
        <w:contextualSpacing/>
        <w:jc w:val="both"/>
        <w:rPr>
          <w:sz w:val="24"/>
          <w:szCs w:val="24"/>
        </w:rPr>
      </w:pPr>
    </w:p>
    <w:p w14:paraId="7CC5E74B">
      <w:pPr>
        <w:spacing w:after="0" w:line="240" w:lineRule="auto"/>
        <w:contextualSpacing/>
        <w:jc w:val="both"/>
        <w:rPr>
          <w:sz w:val="24"/>
          <w:szCs w:val="24"/>
        </w:rPr>
      </w:pPr>
      <w:r>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237A95F5">
      <w:pPr>
        <w:spacing w:after="0" w:line="240" w:lineRule="auto"/>
        <w:contextualSpacing/>
        <w:jc w:val="both"/>
        <w:rPr>
          <w:sz w:val="24"/>
          <w:szCs w:val="24"/>
        </w:rPr>
      </w:pPr>
      <w:r>
        <w:rPr>
          <w:sz w:val="24"/>
          <w:szCs w:val="24"/>
        </w:rPr>
        <w:t>Границы зоны деятельности единой теплоснабжающей организации могут быть изменены в следующих случаях:</w:t>
      </w:r>
    </w:p>
    <w:p w14:paraId="23F4C46B">
      <w:pPr>
        <w:spacing w:after="0" w:line="240" w:lineRule="auto"/>
        <w:contextualSpacing/>
        <w:jc w:val="both"/>
        <w:rPr>
          <w:sz w:val="24"/>
          <w:szCs w:val="24"/>
        </w:rPr>
      </w:pPr>
      <w:r>
        <w:rPr>
          <w:sz w:val="24"/>
          <w:szCs w:val="24"/>
        </w:rPr>
        <w:t>•</w:t>
      </w:r>
      <w:r>
        <w:rPr>
          <w:sz w:val="24"/>
          <w:szCs w:val="24"/>
        </w:rPr>
        <w:tab/>
      </w:r>
      <w:r>
        <w:rPr>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22553BF1">
      <w:pPr>
        <w:spacing w:after="0" w:line="240" w:lineRule="auto"/>
        <w:contextualSpacing/>
        <w:jc w:val="both"/>
        <w:rPr>
          <w:sz w:val="24"/>
          <w:szCs w:val="24"/>
        </w:rPr>
      </w:pPr>
      <w:r>
        <w:rPr>
          <w:sz w:val="24"/>
          <w:szCs w:val="24"/>
        </w:rPr>
        <w:t>•</w:t>
      </w:r>
      <w:r>
        <w:rPr>
          <w:sz w:val="24"/>
          <w:szCs w:val="24"/>
        </w:rPr>
        <w:tab/>
      </w:r>
      <w:r>
        <w:rPr>
          <w:sz w:val="24"/>
          <w:szCs w:val="24"/>
        </w:rPr>
        <w:t>технологическое объединение или разделение систем теплоснабжения.</w:t>
      </w:r>
    </w:p>
    <w:p w14:paraId="72321D45">
      <w:pPr>
        <w:spacing w:after="0" w:line="240" w:lineRule="auto"/>
        <w:contextualSpacing/>
        <w:jc w:val="both"/>
        <w:rPr>
          <w:sz w:val="24"/>
          <w:szCs w:val="24"/>
        </w:rPr>
      </w:pPr>
    </w:p>
    <w:p w14:paraId="6607CB08">
      <w:pPr>
        <w:spacing w:after="0" w:line="240" w:lineRule="auto"/>
        <w:contextualSpacing/>
        <w:jc w:val="both"/>
        <w:rPr>
          <w:sz w:val="24"/>
          <w:szCs w:val="24"/>
        </w:rPr>
      </w:pPr>
      <w:r>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20F605EC">
      <w:pPr>
        <w:spacing w:after="0" w:line="240" w:lineRule="auto"/>
        <w:contextualSpacing/>
        <w:jc w:val="both"/>
        <w:rPr>
          <w:sz w:val="24"/>
          <w:szCs w:val="24"/>
        </w:rPr>
      </w:pPr>
      <w:r>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6E869571">
      <w:pPr>
        <w:spacing w:after="0" w:line="240" w:lineRule="auto"/>
        <w:contextualSpacing/>
        <w:jc w:val="both"/>
        <w:rPr>
          <w:sz w:val="24"/>
          <w:szCs w:val="24"/>
        </w:rPr>
      </w:pPr>
      <w:r>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617E5216">
      <w:pPr>
        <w:spacing w:after="0" w:line="240" w:lineRule="auto"/>
        <w:contextualSpacing/>
        <w:jc w:val="both"/>
        <w:rPr>
          <w:sz w:val="24"/>
          <w:szCs w:val="24"/>
        </w:rPr>
      </w:pPr>
      <w:r>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525483DF">
      <w:pPr>
        <w:spacing w:after="0" w:line="240" w:lineRule="auto"/>
        <w:contextualSpacing/>
        <w:jc w:val="both"/>
        <w:rPr>
          <w:sz w:val="24"/>
          <w:szCs w:val="24"/>
        </w:rPr>
      </w:pPr>
      <w:r>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24BA13D">
      <w:pPr>
        <w:spacing w:after="0" w:line="240" w:lineRule="auto"/>
        <w:contextualSpacing/>
        <w:jc w:val="both"/>
        <w:rPr>
          <w:sz w:val="24"/>
          <w:szCs w:val="24"/>
        </w:rPr>
      </w:pPr>
      <w:r>
        <w:rPr>
          <w:sz w:val="24"/>
          <w:szCs w:val="24"/>
        </w:rPr>
        <w:t>•</w:t>
      </w:r>
      <w:r>
        <w:rPr>
          <w:sz w:val="24"/>
          <w:szCs w:val="24"/>
        </w:rPr>
        <w:tab/>
      </w:r>
      <w:r>
        <w:rPr>
          <w:sz w:val="24"/>
          <w:szCs w:val="24"/>
        </w:rPr>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3D43346E">
      <w:pPr>
        <w:spacing w:after="0" w:line="240" w:lineRule="auto"/>
        <w:contextualSpacing/>
        <w:jc w:val="both"/>
        <w:rPr>
          <w:sz w:val="24"/>
          <w:szCs w:val="24"/>
        </w:rPr>
      </w:pPr>
      <w:r>
        <w:rPr>
          <w:sz w:val="24"/>
          <w:szCs w:val="24"/>
        </w:rPr>
        <w:t>•</w:t>
      </w:r>
      <w:r>
        <w:rPr>
          <w:sz w:val="24"/>
          <w:szCs w:val="24"/>
        </w:rPr>
        <w:tab/>
      </w:r>
      <w:r>
        <w:rPr>
          <w:sz w:val="24"/>
          <w:szCs w:val="24"/>
        </w:rPr>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6E7CC88">
      <w:pPr>
        <w:spacing w:after="0" w:line="240" w:lineRule="auto"/>
        <w:contextualSpacing/>
        <w:jc w:val="both"/>
        <w:rPr>
          <w:sz w:val="24"/>
          <w:szCs w:val="24"/>
        </w:rPr>
      </w:pPr>
      <w:r>
        <w:rPr>
          <w:sz w:val="24"/>
          <w:szCs w:val="24"/>
        </w:rPr>
        <w:t>•</w:t>
      </w:r>
      <w:r>
        <w:rPr>
          <w:sz w:val="24"/>
          <w:szCs w:val="24"/>
        </w:rPr>
        <w:tab/>
      </w:r>
      <w:r>
        <w:rPr>
          <w:sz w:val="24"/>
          <w:szCs w:val="24"/>
        </w:rPr>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1ABF0F1">
      <w:pPr>
        <w:spacing w:after="0" w:line="240" w:lineRule="auto"/>
        <w:contextualSpacing/>
        <w:jc w:val="both"/>
        <w:rPr>
          <w:sz w:val="24"/>
          <w:szCs w:val="24"/>
        </w:rPr>
      </w:pPr>
    </w:p>
    <w:p w14:paraId="6C61BF4E">
      <w:pPr>
        <w:spacing w:after="0" w:line="240" w:lineRule="auto"/>
        <w:contextualSpacing/>
        <w:jc w:val="both"/>
        <w:rPr>
          <w:sz w:val="24"/>
          <w:szCs w:val="24"/>
        </w:rPr>
      </w:pPr>
      <w:r>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4A127B36">
      <w:pPr>
        <w:spacing w:after="0" w:line="240" w:lineRule="auto"/>
        <w:contextualSpacing/>
        <w:jc w:val="both"/>
        <w:rPr>
          <w:sz w:val="24"/>
          <w:szCs w:val="24"/>
        </w:rPr>
      </w:pPr>
      <w:r>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19EA2FF2">
      <w:pPr>
        <w:spacing w:after="0" w:line="240" w:lineRule="auto"/>
        <w:contextualSpacing/>
        <w:jc w:val="both"/>
        <w:rPr>
          <w:sz w:val="24"/>
          <w:szCs w:val="24"/>
        </w:rPr>
      </w:pPr>
      <w:r>
        <w:rPr>
          <w:sz w:val="24"/>
          <w:szCs w:val="24"/>
        </w:rPr>
        <w:t>На территории с.п. Верхнеказымский действуют две системы централизованного теплоснабжения (СТС) – МУП «БКС» и ООО «Газпром трансгаз Югорск» Верхнеказымское ЛПУ МГ.</w:t>
      </w:r>
    </w:p>
    <w:p w14:paraId="0A933354">
      <w:pPr>
        <w:spacing w:after="0" w:line="240" w:lineRule="auto"/>
        <w:contextualSpacing/>
        <w:jc w:val="both"/>
        <w:rPr>
          <w:sz w:val="24"/>
          <w:szCs w:val="24"/>
        </w:rPr>
      </w:pPr>
    </w:p>
    <w:bookmarkEnd w:id="811"/>
    <w:p w14:paraId="2614AA84">
      <w:pPr>
        <w:pStyle w:val="3"/>
        <w:spacing w:before="0" w:line="240" w:lineRule="auto"/>
        <w:ind w:left="0" w:firstLine="709"/>
        <w:contextualSpacing/>
        <w:rPr>
          <w:rFonts w:cs="Times New Roman"/>
          <w:b w:val="0"/>
          <w:sz w:val="24"/>
          <w:szCs w:val="24"/>
        </w:rPr>
      </w:pPr>
      <w:bookmarkStart w:id="812" w:name="_Toc524615147"/>
      <w:bookmarkStart w:id="813" w:name="_Toc524614931"/>
      <w:bookmarkStart w:id="814" w:name="_Toc182814094"/>
      <w:r>
        <w:rPr>
          <w:rFonts w:cs="Times New Roman"/>
          <w:b w:val="0"/>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12"/>
      <w:bookmarkEnd w:id="813"/>
      <w:bookmarkEnd w:id="814"/>
    </w:p>
    <w:p w14:paraId="745DFCB3">
      <w:pPr>
        <w:spacing w:after="0" w:line="240" w:lineRule="auto"/>
        <w:contextualSpacing/>
        <w:jc w:val="both"/>
        <w:rPr>
          <w:sz w:val="24"/>
          <w:szCs w:val="24"/>
        </w:rPr>
      </w:pPr>
      <w:bookmarkStart w:id="815" w:name="_Hlk9970761"/>
      <w:r>
        <w:rPr>
          <w:sz w:val="24"/>
          <w:szCs w:val="24"/>
        </w:rPr>
        <w:t>Заявки на присвоение юридическим лицам статуса единой теплоснабжающей организации, поданные в рамках Разработки схемы теплоснабжения, отсутствуют.</w:t>
      </w:r>
      <w:bookmarkEnd w:id="815"/>
    </w:p>
    <w:p w14:paraId="5B50A8B2">
      <w:pPr>
        <w:spacing w:after="0" w:line="240" w:lineRule="auto"/>
        <w:contextualSpacing/>
        <w:jc w:val="both"/>
        <w:rPr>
          <w:sz w:val="24"/>
          <w:szCs w:val="24"/>
        </w:rPr>
      </w:pPr>
    </w:p>
    <w:p w14:paraId="0F312D5A">
      <w:pPr>
        <w:pStyle w:val="3"/>
        <w:spacing w:before="0" w:line="240" w:lineRule="auto"/>
        <w:ind w:left="0" w:firstLine="709"/>
        <w:contextualSpacing/>
        <w:rPr>
          <w:rFonts w:cs="Times New Roman"/>
          <w:b w:val="0"/>
          <w:sz w:val="24"/>
          <w:szCs w:val="24"/>
        </w:rPr>
      </w:pPr>
      <w:bookmarkStart w:id="816" w:name="_Toc524615148"/>
      <w:bookmarkStart w:id="817" w:name="_Toc524614932"/>
      <w:bookmarkStart w:id="818" w:name="_Toc182814095"/>
      <w:r>
        <w:rPr>
          <w:rFonts w:cs="Times New Roman"/>
          <w:b w:val="0"/>
          <w:sz w:val="24"/>
          <w:szCs w:val="24"/>
        </w:rPr>
        <w:t xml:space="preserve">Описание границ зон деятельности </w:t>
      </w:r>
      <w:bookmarkStart w:id="819" w:name="_Hlk10194756"/>
      <w:r>
        <w:rPr>
          <w:rFonts w:cs="Times New Roman"/>
          <w:b w:val="0"/>
          <w:sz w:val="24"/>
          <w:szCs w:val="24"/>
        </w:rPr>
        <w:t xml:space="preserve">единой теплоснабжающей организации </w:t>
      </w:r>
      <w:bookmarkEnd w:id="819"/>
      <w:r>
        <w:rPr>
          <w:rFonts w:cs="Times New Roman"/>
          <w:b w:val="0"/>
          <w:sz w:val="24"/>
          <w:szCs w:val="24"/>
        </w:rPr>
        <w:t>(организаций)</w:t>
      </w:r>
      <w:bookmarkEnd w:id="816"/>
      <w:bookmarkEnd w:id="817"/>
      <w:bookmarkEnd w:id="818"/>
    </w:p>
    <w:p w14:paraId="6E63111F">
      <w:pPr>
        <w:spacing w:after="0" w:line="240" w:lineRule="auto"/>
        <w:contextualSpacing/>
        <w:jc w:val="both"/>
        <w:rPr>
          <w:sz w:val="24"/>
          <w:szCs w:val="24"/>
        </w:rPr>
      </w:pPr>
      <w:bookmarkStart w:id="820" w:name="_Hlk43230835"/>
      <w:bookmarkStart w:id="821" w:name="_Hlk10420930"/>
      <w:r>
        <w:rPr>
          <w:sz w:val="24"/>
          <w:szCs w:val="24"/>
        </w:rPr>
        <w:t xml:space="preserve">Реестр зон деятельности единой теплоснабжающей организации в существующих зонах действия источников тепловой энергии </w:t>
      </w:r>
      <w:bookmarkEnd w:id="820"/>
      <w:r>
        <w:rPr>
          <w:sz w:val="24"/>
          <w:szCs w:val="24"/>
        </w:rPr>
        <w:t>представлен в таблице</w:t>
      </w:r>
      <w:bookmarkEnd w:id="821"/>
      <w:r>
        <w:rPr>
          <w:sz w:val="24"/>
          <w:szCs w:val="24"/>
        </w:rPr>
        <w:t xml:space="preserve"> 73.</w:t>
      </w:r>
    </w:p>
    <w:p w14:paraId="067AB018">
      <w:pPr>
        <w:spacing w:after="0" w:line="240" w:lineRule="auto"/>
        <w:contextualSpacing/>
        <w:jc w:val="both"/>
        <w:rPr>
          <w:sz w:val="24"/>
          <w:szCs w:val="24"/>
        </w:rPr>
      </w:pPr>
    </w:p>
    <w:p w14:paraId="401E9C6B">
      <w:pPr>
        <w:pStyle w:val="3"/>
        <w:spacing w:before="0" w:line="240" w:lineRule="auto"/>
        <w:ind w:left="0" w:firstLine="709"/>
        <w:contextualSpacing/>
        <w:rPr>
          <w:rFonts w:cs="Times New Roman"/>
          <w:b w:val="0"/>
          <w:sz w:val="24"/>
          <w:szCs w:val="24"/>
        </w:rPr>
      </w:pPr>
      <w:bookmarkStart w:id="822" w:name="_Toc182814096"/>
      <w:bookmarkStart w:id="823" w:name="_Toc524614933"/>
      <w:bookmarkStart w:id="824" w:name="_Toc524615149"/>
      <w:bookmarkStart w:id="825" w:name="_Hlk43280605"/>
      <w:r>
        <w:rPr>
          <w:rFonts w:cs="Times New Roman"/>
          <w:b w:val="0"/>
          <w:sz w:val="24"/>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22"/>
      <w:bookmarkEnd w:id="823"/>
      <w:bookmarkEnd w:id="824"/>
    </w:p>
    <w:bookmarkEnd w:id="825"/>
    <w:p w14:paraId="01CEDC1E">
      <w:pPr>
        <w:spacing w:after="0" w:line="240" w:lineRule="auto"/>
        <w:contextualSpacing/>
        <w:jc w:val="both"/>
        <w:rPr>
          <w:sz w:val="24"/>
          <w:szCs w:val="24"/>
        </w:rPr>
      </w:pPr>
      <w:r>
        <w:rPr>
          <w:sz w:val="24"/>
          <w:szCs w:val="24"/>
        </w:rPr>
        <w:t>В старой Схеме были две ЕТО – АО «ЮКЭК-Белоярский» и ООО «Газпром трансгаз Югорск» Верхнеказымское ЛПУ МГ.</w:t>
      </w:r>
    </w:p>
    <w:p w14:paraId="70BBCE12">
      <w:pPr>
        <w:spacing w:after="0" w:line="240" w:lineRule="auto"/>
        <w:contextualSpacing/>
        <w:jc w:val="both"/>
        <w:rPr>
          <w:sz w:val="24"/>
          <w:szCs w:val="24"/>
        </w:rPr>
      </w:pPr>
      <w:r>
        <w:rPr>
          <w:sz w:val="24"/>
          <w:szCs w:val="24"/>
        </w:rPr>
        <w:t>В новой Схеме две ЕТО – МУП «БКС» и ООО «Газпром трансгаз Югорск» Верхнеказымское ЛПУ МГ.</w:t>
      </w:r>
    </w:p>
    <w:p w14:paraId="47FD85AB">
      <w:pPr>
        <w:spacing w:after="0" w:line="240" w:lineRule="auto"/>
        <w:contextualSpacing/>
        <w:jc w:val="both"/>
        <w:rPr>
          <w:sz w:val="24"/>
          <w:szCs w:val="24"/>
        </w:rPr>
      </w:pPr>
    </w:p>
    <w:p w14:paraId="339CEB01">
      <w:pPr>
        <w:spacing w:after="0" w:line="240" w:lineRule="auto"/>
        <w:contextualSpacing/>
        <w:jc w:val="both"/>
        <w:rPr>
          <w:sz w:val="24"/>
          <w:szCs w:val="24"/>
        </w:rPr>
      </w:pPr>
    </w:p>
    <w:p w14:paraId="3FF8B055">
      <w:pPr>
        <w:pStyle w:val="2"/>
        <w:keepLines w:val="0"/>
        <w:pageBreakBefore/>
        <w:widowControl w:val="0"/>
        <w:spacing w:before="0" w:line="240" w:lineRule="auto"/>
        <w:ind w:left="0" w:firstLine="709"/>
        <w:contextualSpacing/>
        <w:rPr>
          <w:rFonts w:cs="Times New Roman"/>
          <w:b w:val="0"/>
          <w:sz w:val="24"/>
          <w:szCs w:val="24"/>
        </w:rPr>
      </w:pPr>
      <w:bookmarkStart w:id="826" w:name="_Toc524614934"/>
      <w:bookmarkStart w:id="827" w:name="_Toc524615150"/>
      <w:bookmarkStart w:id="828" w:name="_Toc182814097"/>
      <w:r>
        <w:rPr>
          <w:rFonts w:cs="Times New Roman"/>
          <w:b w:val="0"/>
          <w:sz w:val="24"/>
          <w:szCs w:val="24"/>
        </w:rPr>
        <w:t xml:space="preserve">Глава 16. </w:t>
      </w:r>
      <w:bookmarkEnd w:id="826"/>
      <w:bookmarkEnd w:id="827"/>
      <w:bookmarkStart w:id="829" w:name="_Hlk15651954"/>
      <w:r>
        <w:rPr>
          <w:rFonts w:cs="Times New Roman"/>
          <w:b w:val="0"/>
          <w:sz w:val="24"/>
          <w:szCs w:val="24"/>
        </w:rPr>
        <w:t>Реестр мероприятий схемы теплоснабжения</w:t>
      </w:r>
      <w:bookmarkEnd w:id="828"/>
      <w:bookmarkEnd w:id="829"/>
    </w:p>
    <w:p w14:paraId="4F866BE0">
      <w:pPr>
        <w:pStyle w:val="3"/>
        <w:keepLines w:val="0"/>
        <w:widowControl w:val="0"/>
        <w:spacing w:before="0" w:line="240" w:lineRule="auto"/>
        <w:ind w:left="0" w:firstLine="709"/>
        <w:contextualSpacing/>
        <w:rPr>
          <w:rFonts w:cs="Times New Roman"/>
          <w:b w:val="0"/>
          <w:sz w:val="24"/>
          <w:szCs w:val="24"/>
        </w:rPr>
      </w:pPr>
      <w:bookmarkStart w:id="830" w:name="_Hlk528163084"/>
      <w:bookmarkStart w:id="831" w:name="_Toc524614935"/>
      <w:bookmarkStart w:id="832" w:name="_Toc15640999"/>
      <w:bookmarkStart w:id="833" w:name="_Toc524615151"/>
      <w:bookmarkStart w:id="834" w:name="_Toc182814098"/>
      <w:bookmarkStart w:id="835" w:name="_Hlk15651962"/>
      <w:r>
        <w:rPr>
          <w:rFonts w:cs="Times New Roman"/>
          <w:b w:val="0"/>
          <w:sz w:val="24"/>
          <w:szCs w:val="24"/>
        </w:rPr>
        <w:t xml:space="preserve">Перечень </w:t>
      </w:r>
      <w:bookmarkEnd w:id="830"/>
      <w:bookmarkEnd w:id="831"/>
      <w:bookmarkEnd w:id="832"/>
      <w:bookmarkEnd w:id="833"/>
      <w:r>
        <w:rPr>
          <w:rFonts w:cs="Times New Roman"/>
          <w:b w:val="0"/>
          <w:sz w:val="24"/>
          <w:szCs w:val="24"/>
        </w:rPr>
        <w:t>мероприятий по строительству, реконструкции, техническому перевооружению и (или) модернизации источников тепловой энергии</w:t>
      </w:r>
      <w:bookmarkEnd w:id="834"/>
    </w:p>
    <w:bookmarkEnd w:id="835"/>
    <w:p w14:paraId="4A7D94A7">
      <w:pPr>
        <w:spacing w:after="0" w:line="240" w:lineRule="auto"/>
        <w:contextualSpacing/>
        <w:jc w:val="both"/>
        <w:rPr>
          <w:sz w:val="24"/>
          <w:szCs w:val="24"/>
        </w:rPr>
      </w:pPr>
      <w:r>
        <w:rPr>
          <w:sz w:val="24"/>
          <w:szCs w:val="24"/>
        </w:rPr>
        <w:t>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74.</w:t>
      </w:r>
    </w:p>
    <w:p w14:paraId="18C4B8B6">
      <w:pPr>
        <w:spacing w:after="0" w:line="240" w:lineRule="auto"/>
        <w:contextualSpacing/>
        <w:jc w:val="both"/>
        <w:rPr>
          <w:sz w:val="24"/>
          <w:szCs w:val="24"/>
        </w:rPr>
      </w:pPr>
      <w:r>
        <w:rPr>
          <w:sz w:val="24"/>
          <w:szCs w:val="24"/>
        </w:rPr>
        <w:t>Проекты по новому строительству и реконструкции тепловых сетей до 2029 года в с.п. Верхнеказымский представлены в таблице 75.</w:t>
      </w:r>
    </w:p>
    <w:p w14:paraId="1BA544C0">
      <w:pPr>
        <w:spacing w:after="0" w:line="240" w:lineRule="auto"/>
        <w:contextualSpacing/>
        <w:jc w:val="both"/>
        <w:rPr>
          <w:sz w:val="24"/>
          <w:szCs w:val="24"/>
        </w:rPr>
      </w:pPr>
      <w:r>
        <w:rPr>
          <w:sz w:val="24"/>
          <w:szCs w:val="24"/>
        </w:rPr>
        <w:t>Ожидаемые эффекты: возможность присоединение новых потребителей, обеспечение доступности и удовлетворение спроса на тепловую энергию.</w:t>
      </w:r>
    </w:p>
    <w:p w14:paraId="617716F0">
      <w:pPr>
        <w:spacing w:after="0" w:line="240" w:lineRule="auto"/>
        <w:contextualSpacing/>
        <w:jc w:val="both"/>
        <w:rPr>
          <w:sz w:val="24"/>
          <w:szCs w:val="24"/>
        </w:rPr>
      </w:pPr>
    </w:p>
    <w:p w14:paraId="1A37CF1D">
      <w:pPr>
        <w:spacing w:after="0" w:line="240" w:lineRule="auto"/>
        <w:contextualSpacing/>
        <w:jc w:val="both"/>
        <w:rPr>
          <w:sz w:val="24"/>
          <w:szCs w:val="24"/>
        </w:rPr>
      </w:pPr>
    </w:p>
    <w:p w14:paraId="1099D537">
      <w:pPr>
        <w:spacing w:after="0" w:line="240" w:lineRule="auto"/>
        <w:contextualSpacing/>
        <w:jc w:val="both"/>
        <w:rPr>
          <w:sz w:val="24"/>
          <w:szCs w:val="24"/>
        </w:rPr>
      </w:pPr>
    </w:p>
    <w:p w14:paraId="300041A9">
      <w:pPr>
        <w:spacing w:after="0" w:line="240" w:lineRule="auto"/>
        <w:contextualSpacing/>
        <w:jc w:val="both"/>
        <w:rPr>
          <w:sz w:val="24"/>
          <w:szCs w:val="24"/>
        </w:rPr>
      </w:pPr>
    </w:p>
    <w:p w14:paraId="0D7D0503">
      <w:pPr>
        <w:spacing w:after="0" w:line="240" w:lineRule="auto"/>
        <w:contextualSpacing/>
        <w:jc w:val="both"/>
        <w:rPr>
          <w:sz w:val="24"/>
          <w:szCs w:val="24"/>
        </w:rPr>
      </w:pPr>
    </w:p>
    <w:p w14:paraId="4568F25F">
      <w:pPr>
        <w:spacing w:after="0" w:line="240" w:lineRule="auto"/>
        <w:contextualSpacing/>
        <w:jc w:val="both"/>
        <w:rPr>
          <w:sz w:val="24"/>
          <w:szCs w:val="24"/>
        </w:rPr>
      </w:pPr>
    </w:p>
    <w:p w14:paraId="7FE9CBAC">
      <w:pPr>
        <w:spacing w:after="0" w:line="240" w:lineRule="auto"/>
        <w:contextualSpacing/>
        <w:jc w:val="both"/>
        <w:rPr>
          <w:sz w:val="24"/>
          <w:szCs w:val="24"/>
        </w:rPr>
        <w:sectPr>
          <w:pgSz w:w="11906" w:h="16838"/>
          <w:pgMar w:top="1134" w:right="567" w:bottom="1134" w:left="1701" w:header="708" w:footer="708" w:gutter="0"/>
          <w:cols w:space="708" w:num="1"/>
          <w:docGrid w:linePitch="360" w:charSpace="0"/>
        </w:sectPr>
      </w:pPr>
    </w:p>
    <w:p w14:paraId="62A34037">
      <w:pPr>
        <w:spacing w:after="0" w:line="240" w:lineRule="auto"/>
        <w:ind w:firstLine="0"/>
        <w:contextualSpacing/>
        <w:jc w:val="both"/>
        <w:rPr>
          <w:rFonts w:eastAsiaTheme="minorHAnsi"/>
          <w:bCs/>
          <w:sz w:val="24"/>
          <w:szCs w:val="24"/>
          <w:lang w:eastAsia="en-US"/>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74</w:t>
      </w:r>
      <w:r>
        <w:rPr>
          <w:sz w:val="24"/>
          <w:szCs w:val="24"/>
        </w:rPr>
        <w:fldChar w:fldCharType="end"/>
      </w:r>
      <w:r>
        <w:rPr>
          <w:sz w:val="24"/>
          <w:szCs w:val="24"/>
        </w:rPr>
        <w:t xml:space="preserve"> – </w:t>
      </w:r>
      <w:r>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03"/>
        <w:gridCol w:w="728"/>
        <w:gridCol w:w="2074"/>
        <w:gridCol w:w="1884"/>
        <w:gridCol w:w="3156"/>
        <w:gridCol w:w="3548"/>
        <w:gridCol w:w="1633"/>
      </w:tblGrid>
      <w:tr w14:paraId="0C2E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548" w:type="pct"/>
            <w:vMerge w:val="restart"/>
            <w:shd w:val="clear" w:color="auto" w:fill="auto"/>
            <w:vAlign w:val="center"/>
          </w:tcPr>
          <w:p w14:paraId="63933044">
            <w:pPr>
              <w:pStyle w:val="404"/>
              <w:spacing w:line="240" w:lineRule="auto"/>
              <w:ind w:firstLine="0"/>
              <w:contextualSpacing/>
              <w:jc w:val="center"/>
              <w:rPr>
                <w:sz w:val="20"/>
                <w:szCs w:val="20"/>
              </w:rPr>
            </w:pPr>
            <w:r>
              <w:rPr>
                <w:sz w:val="20"/>
                <w:szCs w:val="20"/>
              </w:rPr>
              <w:t>Наименование группы проектов</w:t>
            </w:r>
          </w:p>
        </w:tc>
        <w:tc>
          <w:tcPr>
            <w:tcW w:w="249" w:type="pct"/>
            <w:vMerge w:val="restart"/>
            <w:shd w:val="clear" w:color="auto" w:fill="auto"/>
            <w:vAlign w:val="center"/>
          </w:tcPr>
          <w:p w14:paraId="271DA8E4">
            <w:pPr>
              <w:pStyle w:val="404"/>
              <w:spacing w:line="240" w:lineRule="auto"/>
              <w:ind w:firstLine="0"/>
              <w:contextualSpacing/>
              <w:jc w:val="center"/>
              <w:rPr>
                <w:sz w:val="20"/>
                <w:szCs w:val="20"/>
              </w:rPr>
            </w:pPr>
            <w:r>
              <w:rPr>
                <w:sz w:val="20"/>
                <w:szCs w:val="20"/>
              </w:rPr>
              <w:t>№ проекта</w:t>
            </w:r>
          </w:p>
        </w:tc>
        <w:tc>
          <w:tcPr>
            <w:tcW w:w="709" w:type="pct"/>
            <w:vMerge w:val="restart"/>
            <w:shd w:val="clear" w:color="auto" w:fill="auto"/>
            <w:vAlign w:val="center"/>
          </w:tcPr>
          <w:p w14:paraId="43BA28BF">
            <w:pPr>
              <w:pStyle w:val="404"/>
              <w:spacing w:line="240" w:lineRule="auto"/>
              <w:ind w:firstLine="0"/>
              <w:contextualSpacing/>
              <w:jc w:val="center"/>
              <w:rPr>
                <w:sz w:val="20"/>
                <w:szCs w:val="20"/>
              </w:rPr>
            </w:pPr>
            <w:r>
              <w:rPr>
                <w:sz w:val="20"/>
                <w:szCs w:val="20"/>
              </w:rPr>
              <w:t>Краткое описание, технические параметры проекта</w:t>
            </w:r>
          </w:p>
        </w:tc>
        <w:tc>
          <w:tcPr>
            <w:tcW w:w="644" w:type="pct"/>
            <w:vMerge w:val="restart"/>
            <w:shd w:val="clear" w:color="auto" w:fill="auto"/>
            <w:vAlign w:val="center"/>
          </w:tcPr>
          <w:p w14:paraId="178EFC33">
            <w:pPr>
              <w:pStyle w:val="404"/>
              <w:spacing w:line="240" w:lineRule="auto"/>
              <w:ind w:firstLine="0"/>
              <w:contextualSpacing/>
              <w:jc w:val="center"/>
              <w:rPr>
                <w:sz w:val="20"/>
                <w:szCs w:val="20"/>
              </w:rPr>
            </w:pPr>
            <w:r>
              <w:rPr>
                <w:sz w:val="20"/>
                <w:szCs w:val="20"/>
              </w:rPr>
              <w:t>Цель проекта</w:t>
            </w:r>
          </w:p>
        </w:tc>
        <w:tc>
          <w:tcPr>
            <w:tcW w:w="1079" w:type="pct"/>
            <w:vMerge w:val="restart"/>
            <w:shd w:val="clear" w:color="auto" w:fill="auto"/>
            <w:noWrap/>
            <w:vAlign w:val="center"/>
          </w:tcPr>
          <w:p w14:paraId="1B4FEF94">
            <w:pPr>
              <w:pStyle w:val="404"/>
              <w:spacing w:line="240" w:lineRule="auto"/>
              <w:ind w:firstLine="0"/>
              <w:contextualSpacing/>
              <w:jc w:val="center"/>
              <w:rPr>
                <w:sz w:val="20"/>
                <w:szCs w:val="20"/>
              </w:rPr>
            </w:pPr>
            <w:r>
              <w:rPr>
                <w:sz w:val="20"/>
                <w:szCs w:val="20"/>
              </w:rPr>
              <w:t>Необходимые капитальные</w:t>
            </w:r>
          </w:p>
          <w:p w14:paraId="3E7EE092">
            <w:pPr>
              <w:pStyle w:val="404"/>
              <w:spacing w:line="240" w:lineRule="auto"/>
              <w:ind w:firstLine="0"/>
              <w:contextualSpacing/>
              <w:jc w:val="center"/>
              <w:rPr>
                <w:sz w:val="20"/>
                <w:szCs w:val="20"/>
              </w:rPr>
            </w:pPr>
            <w:r>
              <w:rPr>
                <w:sz w:val="20"/>
                <w:szCs w:val="20"/>
              </w:rPr>
              <w:t>затраты в ценах 2024 года, тыс. руб.</w:t>
            </w:r>
          </w:p>
        </w:tc>
        <w:tc>
          <w:tcPr>
            <w:tcW w:w="1213" w:type="pct"/>
            <w:shd w:val="clear" w:color="auto" w:fill="auto"/>
            <w:noWrap/>
            <w:vAlign w:val="center"/>
          </w:tcPr>
          <w:p w14:paraId="44DA4F50">
            <w:pPr>
              <w:pStyle w:val="404"/>
              <w:spacing w:line="240" w:lineRule="auto"/>
              <w:ind w:firstLine="0"/>
              <w:contextualSpacing/>
              <w:jc w:val="center"/>
              <w:rPr>
                <w:sz w:val="20"/>
                <w:szCs w:val="20"/>
              </w:rPr>
            </w:pPr>
            <w:r>
              <w:rPr>
                <w:sz w:val="20"/>
                <w:szCs w:val="20"/>
              </w:rPr>
              <w:t>Объемы инвестиций и сроки реализации</w:t>
            </w:r>
          </w:p>
        </w:tc>
        <w:tc>
          <w:tcPr>
            <w:tcW w:w="558" w:type="pct"/>
            <w:vMerge w:val="restart"/>
            <w:shd w:val="clear" w:color="auto" w:fill="auto"/>
            <w:vAlign w:val="center"/>
          </w:tcPr>
          <w:p w14:paraId="0004B25E">
            <w:pPr>
              <w:pStyle w:val="404"/>
              <w:spacing w:line="240" w:lineRule="auto"/>
              <w:ind w:firstLine="0"/>
              <w:contextualSpacing/>
              <w:jc w:val="center"/>
              <w:rPr>
                <w:sz w:val="20"/>
                <w:szCs w:val="20"/>
              </w:rPr>
            </w:pPr>
            <w:r>
              <w:rPr>
                <w:sz w:val="20"/>
                <w:szCs w:val="20"/>
              </w:rPr>
              <w:t>Ожидаемые эффекты</w:t>
            </w:r>
          </w:p>
        </w:tc>
      </w:tr>
      <w:tr w14:paraId="28A2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548" w:type="pct"/>
            <w:vMerge w:val="continue"/>
            <w:shd w:val="clear" w:color="auto" w:fill="auto"/>
            <w:vAlign w:val="center"/>
          </w:tcPr>
          <w:p w14:paraId="13AFCBC3">
            <w:pPr>
              <w:pStyle w:val="404"/>
              <w:spacing w:line="240" w:lineRule="auto"/>
              <w:ind w:firstLine="0"/>
              <w:contextualSpacing/>
              <w:jc w:val="center"/>
              <w:rPr>
                <w:sz w:val="20"/>
                <w:szCs w:val="20"/>
              </w:rPr>
            </w:pPr>
          </w:p>
        </w:tc>
        <w:tc>
          <w:tcPr>
            <w:tcW w:w="249" w:type="pct"/>
            <w:vMerge w:val="continue"/>
            <w:shd w:val="clear" w:color="auto" w:fill="auto"/>
            <w:vAlign w:val="center"/>
          </w:tcPr>
          <w:p w14:paraId="4021CBE3">
            <w:pPr>
              <w:pStyle w:val="404"/>
              <w:spacing w:line="240" w:lineRule="auto"/>
              <w:ind w:firstLine="0"/>
              <w:contextualSpacing/>
              <w:jc w:val="center"/>
              <w:rPr>
                <w:sz w:val="20"/>
                <w:szCs w:val="20"/>
              </w:rPr>
            </w:pPr>
          </w:p>
        </w:tc>
        <w:tc>
          <w:tcPr>
            <w:tcW w:w="709" w:type="pct"/>
            <w:vMerge w:val="continue"/>
            <w:shd w:val="clear" w:color="auto" w:fill="auto"/>
            <w:vAlign w:val="center"/>
          </w:tcPr>
          <w:p w14:paraId="0B6A4467">
            <w:pPr>
              <w:pStyle w:val="404"/>
              <w:spacing w:line="240" w:lineRule="auto"/>
              <w:ind w:firstLine="0"/>
              <w:contextualSpacing/>
              <w:jc w:val="center"/>
              <w:rPr>
                <w:sz w:val="20"/>
                <w:szCs w:val="20"/>
              </w:rPr>
            </w:pPr>
          </w:p>
        </w:tc>
        <w:tc>
          <w:tcPr>
            <w:tcW w:w="644" w:type="pct"/>
            <w:vMerge w:val="continue"/>
            <w:shd w:val="clear" w:color="auto" w:fill="auto"/>
            <w:vAlign w:val="center"/>
          </w:tcPr>
          <w:p w14:paraId="4312D1E8">
            <w:pPr>
              <w:pStyle w:val="404"/>
              <w:spacing w:line="240" w:lineRule="auto"/>
              <w:ind w:firstLine="0"/>
              <w:contextualSpacing/>
              <w:jc w:val="center"/>
              <w:rPr>
                <w:sz w:val="20"/>
                <w:szCs w:val="20"/>
              </w:rPr>
            </w:pPr>
          </w:p>
        </w:tc>
        <w:tc>
          <w:tcPr>
            <w:tcW w:w="1079" w:type="pct"/>
            <w:vMerge w:val="continue"/>
            <w:shd w:val="clear" w:color="auto" w:fill="auto"/>
            <w:noWrap/>
            <w:vAlign w:val="center"/>
          </w:tcPr>
          <w:p w14:paraId="03488D36">
            <w:pPr>
              <w:pStyle w:val="404"/>
              <w:spacing w:line="240" w:lineRule="auto"/>
              <w:ind w:firstLine="0"/>
              <w:contextualSpacing/>
              <w:jc w:val="center"/>
              <w:rPr>
                <w:sz w:val="20"/>
                <w:szCs w:val="20"/>
              </w:rPr>
            </w:pPr>
          </w:p>
        </w:tc>
        <w:tc>
          <w:tcPr>
            <w:tcW w:w="1213" w:type="pct"/>
            <w:shd w:val="clear" w:color="auto" w:fill="auto"/>
            <w:noWrap/>
            <w:vAlign w:val="center"/>
          </w:tcPr>
          <w:p w14:paraId="50CDF533">
            <w:pPr>
              <w:pStyle w:val="404"/>
              <w:spacing w:line="240" w:lineRule="auto"/>
              <w:ind w:firstLine="0"/>
              <w:contextualSpacing/>
              <w:jc w:val="center"/>
              <w:rPr>
                <w:sz w:val="20"/>
                <w:szCs w:val="20"/>
              </w:rPr>
            </w:pPr>
            <w:r>
              <w:rPr>
                <w:sz w:val="20"/>
                <w:szCs w:val="20"/>
              </w:rPr>
              <w:t>2024-2029</w:t>
            </w:r>
          </w:p>
        </w:tc>
        <w:tc>
          <w:tcPr>
            <w:tcW w:w="558" w:type="pct"/>
            <w:vMerge w:val="continue"/>
            <w:shd w:val="clear" w:color="auto" w:fill="auto"/>
            <w:vAlign w:val="center"/>
          </w:tcPr>
          <w:p w14:paraId="11970AA1">
            <w:pPr>
              <w:pStyle w:val="404"/>
              <w:spacing w:line="240" w:lineRule="auto"/>
              <w:ind w:firstLine="0"/>
              <w:contextualSpacing/>
              <w:jc w:val="center"/>
              <w:rPr>
                <w:sz w:val="20"/>
                <w:szCs w:val="20"/>
              </w:rPr>
            </w:pPr>
          </w:p>
        </w:tc>
      </w:tr>
      <w:tr w14:paraId="2878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2150" w:type="pct"/>
            <w:gridSpan w:val="4"/>
            <w:shd w:val="clear" w:color="auto" w:fill="auto"/>
            <w:vAlign w:val="center"/>
          </w:tcPr>
          <w:p w14:paraId="2E8D6CCE">
            <w:pPr>
              <w:pStyle w:val="404"/>
              <w:spacing w:line="240" w:lineRule="auto"/>
              <w:ind w:firstLine="0"/>
              <w:contextualSpacing/>
              <w:jc w:val="center"/>
              <w:rPr>
                <w:sz w:val="20"/>
                <w:szCs w:val="20"/>
              </w:rPr>
            </w:pPr>
            <w:r>
              <w:rPr>
                <w:sz w:val="20"/>
                <w:szCs w:val="20"/>
              </w:rPr>
              <w:t>Всего по проектам схемы теплоснабжения, в том числе:</w:t>
            </w:r>
          </w:p>
        </w:tc>
        <w:tc>
          <w:tcPr>
            <w:tcW w:w="1079" w:type="pct"/>
            <w:shd w:val="clear" w:color="auto" w:fill="auto"/>
            <w:noWrap/>
            <w:vAlign w:val="center"/>
          </w:tcPr>
          <w:p w14:paraId="1E60BA2F">
            <w:pPr>
              <w:pStyle w:val="404"/>
              <w:spacing w:line="240" w:lineRule="auto"/>
              <w:ind w:firstLine="0"/>
              <w:contextualSpacing/>
              <w:jc w:val="center"/>
              <w:rPr>
                <w:sz w:val="20"/>
                <w:szCs w:val="20"/>
              </w:rPr>
            </w:pPr>
            <w:r>
              <w:rPr>
                <w:sz w:val="20"/>
                <w:szCs w:val="20"/>
              </w:rPr>
              <w:t>40501,67</w:t>
            </w:r>
          </w:p>
        </w:tc>
        <w:tc>
          <w:tcPr>
            <w:tcW w:w="1213" w:type="pct"/>
            <w:shd w:val="clear" w:color="auto" w:fill="auto"/>
            <w:noWrap/>
            <w:vAlign w:val="center"/>
          </w:tcPr>
          <w:p w14:paraId="4BDF554A">
            <w:pPr>
              <w:pStyle w:val="404"/>
              <w:spacing w:line="240" w:lineRule="auto"/>
              <w:ind w:firstLine="0"/>
              <w:contextualSpacing/>
              <w:jc w:val="center"/>
              <w:rPr>
                <w:sz w:val="20"/>
                <w:szCs w:val="20"/>
              </w:rPr>
            </w:pPr>
            <w:r>
              <w:rPr>
                <w:sz w:val="20"/>
                <w:szCs w:val="20"/>
              </w:rPr>
              <w:t>40501,67</w:t>
            </w:r>
          </w:p>
        </w:tc>
        <w:tc>
          <w:tcPr>
            <w:tcW w:w="558" w:type="pct"/>
            <w:shd w:val="clear" w:color="auto" w:fill="auto"/>
            <w:vAlign w:val="center"/>
          </w:tcPr>
          <w:p w14:paraId="5DDEF67C">
            <w:pPr>
              <w:pStyle w:val="404"/>
              <w:spacing w:line="240" w:lineRule="auto"/>
              <w:ind w:firstLine="0"/>
              <w:contextualSpacing/>
              <w:jc w:val="center"/>
              <w:rPr>
                <w:sz w:val="20"/>
                <w:szCs w:val="20"/>
              </w:rPr>
            </w:pPr>
          </w:p>
        </w:tc>
      </w:tr>
      <w:tr w14:paraId="129A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 w:hRule="atLeast"/>
          <w:jc w:val="center"/>
        </w:trPr>
        <w:tc>
          <w:tcPr>
            <w:tcW w:w="5000" w:type="pct"/>
            <w:gridSpan w:val="7"/>
            <w:shd w:val="clear" w:color="auto" w:fill="auto"/>
            <w:noWrap/>
            <w:vAlign w:val="center"/>
          </w:tcPr>
          <w:p w14:paraId="45E5D92F">
            <w:pPr>
              <w:pStyle w:val="404"/>
              <w:spacing w:line="240" w:lineRule="auto"/>
              <w:ind w:firstLine="0"/>
              <w:contextualSpacing/>
              <w:jc w:val="center"/>
              <w:rPr>
                <w:sz w:val="20"/>
                <w:szCs w:val="20"/>
              </w:rPr>
            </w:pPr>
            <w:r>
              <w:rPr>
                <w:sz w:val="20"/>
                <w:szCs w:val="20"/>
              </w:rPr>
              <w:t>1. Проекты по новому строительству и реконструкции тепловых сетей</w:t>
            </w:r>
          </w:p>
        </w:tc>
      </w:tr>
      <w:tr w14:paraId="6436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48" w:type="pct"/>
            <w:shd w:val="clear" w:color="auto" w:fill="auto"/>
            <w:vAlign w:val="center"/>
          </w:tcPr>
          <w:p w14:paraId="745C137E">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49" w:type="pct"/>
            <w:shd w:val="clear" w:color="auto" w:fill="auto"/>
            <w:vAlign w:val="center"/>
          </w:tcPr>
          <w:p w14:paraId="317CC001">
            <w:pPr>
              <w:pStyle w:val="404"/>
              <w:spacing w:line="240" w:lineRule="auto"/>
              <w:ind w:firstLine="0"/>
              <w:contextualSpacing/>
              <w:jc w:val="center"/>
              <w:rPr>
                <w:sz w:val="20"/>
                <w:szCs w:val="20"/>
              </w:rPr>
            </w:pPr>
            <w:r>
              <w:rPr>
                <w:sz w:val="20"/>
                <w:szCs w:val="20"/>
              </w:rPr>
              <w:t>1.1.</w:t>
            </w:r>
          </w:p>
        </w:tc>
        <w:tc>
          <w:tcPr>
            <w:tcW w:w="709" w:type="pct"/>
            <w:shd w:val="clear" w:color="auto" w:fill="auto"/>
            <w:vAlign w:val="center"/>
          </w:tcPr>
          <w:p w14:paraId="2F02F527">
            <w:pPr>
              <w:pStyle w:val="404"/>
              <w:spacing w:line="240" w:lineRule="auto"/>
              <w:ind w:firstLine="0"/>
              <w:contextualSpacing/>
              <w:jc w:val="center"/>
              <w:rPr>
                <w:sz w:val="20"/>
                <w:szCs w:val="20"/>
              </w:rPr>
            </w:pPr>
            <w:r>
              <w:rPr>
                <w:sz w:val="20"/>
                <w:szCs w:val="20"/>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644" w:type="pct"/>
            <w:shd w:val="clear" w:color="auto" w:fill="auto"/>
            <w:vAlign w:val="center"/>
          </w:tcPr>
          <w:p w14:paraId="4812253C">
            <w:pPr>
              <w:pStyle w:val="404"/>
              <w:spacing w:line="240" w:lineRule="auto"/>
              <w:ind w:firstLine="0"/>
              <w:contextualSpacing/>
              <w:jc w:val="center"/>
              <w:rPr>
                <w:sz w:val="20"/>
                <w:szCs w:val="20"/>
              </w:rPr>
            </w:pPr>
            <w:r>
              <w:rPr>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1079" w:type="pct"/>
            <w:shd w:val="clear" w:color="auto" w:fill="auto"/>
            <w:noWrap/>
            <w:vAlign w:val="center"/>
          </w:tcPr>
          <w:p w14:paraId="05CB63D0">
            <w:pPr>
              <w:pStyle w:val="404"/>
              <w:spacing w:line="240" w:lineRule="auto"/>
              <w:ind w:firstLine="0"/>
              <w:contextualSpacing/>
              <w:jc w:val="center"/>
              <w:rPr>
                <w:sz w:val="20"/>
                <w:szCs w:val="20"/>
              </w:rPr>
            </w:pPr>
            <w:r>
              <w:rPr>
                <w:sz w:val="20"/>
                <w:szCs w:val="20"/>
              </w:rPr>
              <w:t>40501,67</w:t>
            </w:r>
          </w:p>
        </w:tc>
        <w:tc>
          <w:tcPr>
            <w:tcW w:w="1213" w:type="pct"/>
            <w:shd w:val="clear" w:color="auto" w:fill="auto"/>
            <w:noWrap/>
            <w:vAlign w:val="center"/>
          </w:tcPr>
          <w:p w14:paraId="2AFB9DC2">
            <w:pPr>
              <w:pStyle w:val="404"/>
              <w:spacing w:line="240" w:lineRule="auto"/>
              <w:ind w:firstLine="0"/>
              <w:contextualSpacing/>
              <w:jc w:val="center"/>
              <w:rPr>
                <w:sz w:val="20"/>
                <w:szCs w:val="20"/>
              </w:rPr>
            </w:pPr>
            <w:r>
              <w:rPr>
                <w:sz w:val="20"/>
                <w:szCs w:val="20"/>
              </w:rPr>
              <w:t>40501,67</w:t>
            </w:r>
          </w:p>
        </w:tc>
        <w:tc>
          <w:tcPr>
            <w:tcW w:w="558" w:type="pct"/>
            <w:shd w:val="clear" w:color="auto" w:fill="auto"/>
            <w:vAlign w:val="center"/>
          </w:tcPr>
          <w:p w14:paraId="5B2B502D">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14:paraId="4C71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000" w:type="pct"/>
            <w:gridSpan w:val="7"/>
            <w:shd w:val="clear" w:color="auto" w:fill="auto"/>
            <w:vAlign w:val="center"/>
          </w:tcPr>
          <w:p w14:paraId="169FEB85">
            <w:pPr>
              <w:pStyle w:val="404"/>
              <w:spacing w:line="240" w:lineRule="auto"/>
              <w:ind w:firstLine="0"/>
              <w:contextualSpacing/>
              <w:jc w:val="center"/>
              <w:rPr>
                <w:sz w:val="20"/>
                <w:szCs w:val="20"/>
              </w:rPr>
            </w:pPr>
            <w:r>
              <w:rPr>
                <w:sz w:val="20"/>
                <w:szCs w:val="20"/>
              </w:rPr>
              <w:t>2. Проекты по реконструкции источников теплоснабжения</w:t>
            </w:r>
          </w:p>
        </w:tc>
      </w:tr>
      <w:tr w14:paraId="3CA2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548" w:type="pct"/>
            <w:shd w:val="clear" w:color="auto" w:fill="auto"/>
            <w:vAlign w:val="center"/>
          </w:tcPr>
          <w:p w14:paraId="248B1933">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49" w:type="pct"/>
            <w:shd w:val="clear" w:color="auto" w:fill="auto"/>
            <w:vAlign w:val="center"/>
          </w:tcPr>
          <w:p w14:paraId="6EC1AD6A">
            <w:pPr>
              <w:pStyle w:val="404"/>
              <w:spacing w:line="240" w:lineRule="auto"/>
              <w:ind w:firstLine="0"/>
              <w:contextualSpacing/>
              <w:jc w:val="center"/>
              <w:rPr>
                <w:sz w:val="20"/>
                <w:szCs w:val="20"/>
              </w:rPr>
            </w:pPr>
            <w:r>
              <w:rPr>
                <w:sz w:val="20"/>
                <w:szCs w:val="20"/>
              </w:rPr>
              <w:t>2.1</w:t>
            </w:r>
          </w:p>
        </w:tc>
        <w:tc>
          <w:tcPr>
            <w:tcW w:w="709" w:type="pct"/>
            <w:shd w:val="clear" w:color="auto" w:fill="auto"/>
            <w:vAlign w:val="center"/>
          </w:tcPr>
          <w:p w14:paraId="56C8EFD1">
            <w:pPr>
              <w:pStyle w:val="404"/>
              <w:spacing w:line="240" w:lineRule="auto"/>
              <w:ind w:firstLine="0"/>
              <w:contextualSpacing/>
              <w:jc w:val="center"/>
              <w:rPr>
                <w:sz w:val="20"/>
                <w:szCs w:val="20"/>
              </w:rPr>
            </w:pPr>
            <w:r>
              <w:rPr>
                <w:sz w:val="20"/>
                <w:szCs w:val="20"/>
              </w:rPr>
              <w:t>Реконструкция котельных с большим износом котлоагрегатов</w:t>
            </w:r>
          </w:p>
        </w:tc>
        <w:tc>
          <w:tcPr>
            <w:tcW w:w="644" w:type="pct"/>
            <w:shd w:val="clear" w:color="auto" w:fill="auto"/>
            <w:vAlign w:val="center"/>
          </w:tcPr>
          <w:p w14:paraId="54FAFA27">
            <w:pPr>
              <w:pStyle w:val="404"/>
              <w:spacing w:line="240" w:lineRule="auto"/>
              <w:ind w:firstLine="0"/>
              <w:contextualSpacing/>
              <w:jc w:val="center"/>
              <w:rPr>
                <w:sz w:val="20"/>
                <w:szCs w:val="20"/>
              </w:rPr>
            </w:pPr>
            <w:r>
              <w:rPr>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1079" w:type="pct"/>
            <w:shd w:val="clear" w:color="auto" w:fill="auto"/>
            <w:noWrap/>
            <w:vAlign w:val="center"/>
          </w:tcPr>
          <w:p w14:paraId="61B36C1C">
            <w:pPr>
              <w:pStyle w:val="404"/>
              <w:spacing w:line="240" w:lineRule="auto"/>
              <w:ind w:firstLine="0"/>
              <w:contextualSpacing/>
              <w:jc w:val="center"/>
              <w:rPr>
                <w:sz w:val="20"/>
                <w:szCs w:val="20"/>
              </w:rPr>
            </w:pPr>
            <w:r>
              <w:rPr>
                <w:sz w:val="20"/>
                <w:szCs w:val="20"/>
              </w:rPr>
              <w:t>н/д</w:t>
            </w:r>
          </w:p>
        </w:tc>
        <w:tc>
          <w:tcPr>
            <w:tcW w:w="1213" w:type="pct"/>
            <w:shd w:val="clear" w:color="auto" w:fill="auto"/>
            <w:noWrap/>
            <w:vAlign w:val="center"/>
          </w:tcPr>
          <w:p w14:paraId="458EAEB7">
            <w:pPr>
              <w:pStyle w:val="404"/>
              <w:spacing w:line="240" w:lineRule="auto"/>
              <w:ind w:firstLine="0"/>
              <w:contextualSpacing/>
              <w:jc w:val="center"/>
              <w:rPr>
                <w:sz w:val="20"/>
                <w:szCs w:val="20"/>
              </w:rPr>
            </w:pPr>
            <w:r>
              <w:rPr>
                <w:sz w:val="20"/>
                <w:szCs w:val="20"/>
              </w:rPr>
              <w:t>н/д</w:t>
            </w:r>
          </w:p>
        </w:tc>
        <w:tc>
          <w:tcPr>
            <w:tcW w:w="558" w:type="pct"/>
            <w:shd w:val="clear" w:color="auto" w:fill="auto"/>
            <w:vAlign w:val="center"/>
          </w:tcPr>
          <w:p w14:paraId="5A38E38E">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bl>
    <w:p w14:paraId="62DCE475">
      <w:pPr>
        <w:spacing w:after="0" w:line="240" w:lineRule="auto"/>
        <w:ind w:firstLine="0"/>
        <w:contextualSpacing/>
        <w:rPr>
          <w:rFonts w:eastAsiaTheme="minorHAnsi"/>
          <w:bCs/>
          <w:sz w:val="24"/>
          <w:szCs w:val="24"/>
          <w:lang w:eastAsia="en-US"/>
        </w:rPr>
      </w:pPr>
    </w:p>
    <w:p w14:paraId="44AC50AD">
      <w:pPr>
        <w:pStyle w:val="43"/>
        <w:keepNext/>
        <w:keepLines/>
        <w:spacing w:before="0" w:after="0" w:line="240" w:lineRule="auto"/>
        <w:ind w:firstLine="0"/>
        <w:contextualSpacing/>
        <w:rPr>
          <w:rFonts w:cs="Times New Roman"/>
          <w:b w:val="0"/>
          <w:sz w:val="24"/>
          <w:szCs w:val="24"/>
        </w:rPr>
      </w:pPr>
      <w:r>
        <w:rPr>
          <w:rFonts w:cs="Times New Roman"/>
          <w:b w:val="0"/>
          <w:sz w:val="24"/>
          <w:szCs w:val="24"/>
        </w:rPr>
        <w:t xml:space="preserve">Таблица </w:t>
      </w:r>
      <w:r>
        <w:rPr>
          <w:rFonts w:cs="Times New Roman"/>
          <w:b w:val="0"/>
          <w:sz w:val="24"/>
          <w:szCs w:val="24"/>
        </w:rPr>
        <w:fldChar w:fldCharType="begin"/>
      </w:r>
      <w:r>
        <w:rPr>
          <w:rFonts w:cs="Times New Roman"/>
          <w:b w:val="0"/>
          <w:sz w:val="24"/>
          <w:szCs w:val="24"/>
        </w:rPr>
        <w:instrText xml:space="preserve"> SEQ Таблица \* ARABIC </w:instrText>
      </w:r>
      <w:r>
        <w:rPr>
          <w:rFonts w:cs="Times New Roman"/>
          <w:b w:val="0"/>
          <w:sz w:val="24"/>
          <w:szCs w:val="24"/>
        </w:rPr>
        <w:fldChar w:fldCharType="separate"/>
      </w:r>
      <w:r>
        <w:rPr>
          <w:rFonts w:cs="Times New Roman"/>
          <w:b w:val="0"/>
          <w:sz w:val="24"/>
          <w:szCs w:val="24"/>
        </w:rPr>
        <w:t>75</w:t>
      </w:r>
      <w:r>
        <w:rPr>
          <w:rFonts w:cs="Times New Roman"/>
          <w:b w:val="0"/>
          <w:sz w:val="24"/>
          <w:szCs w:val="24"/>
        </w:rPr>
        <w:fldChar w:fldCharType="end"/>
      </w:r>
      <w:r>
        <w:rPr>
          <w:rFonts w:cs="Times New Roman"/>
          <w:b w:val="0"/>
          <w:sz w:val="24"/>
          <w:szCs w:val="24"/>
        </w:rPr>
        <w:t xml:space="preserve"> – Проекты по новому строительству и реконструкции тепловых сетей до 2029 года в с.п. Верхнеказымский</w:t>
      </w:r>
    </w:p>
    <w:tbl>
      <w:tblPr>
        <w:tblStyle w:val="12"/>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90"/>
        <w:gridCol w:w="841"/>
        <w:gridCol w:w="1668"/>
        <w:gridCol w:w="5112"/>
        <w:gridCol w:w="6"/>
        <w:gridCol w:w="1952"/>
        <w:gridCol w:w="6"/>
        <w:gridCol w:w="1518"/>
        <w:gridCol w:w="6"/>
        <w:gridCol w:w="1550"/>
        <w:gridCol w:w="6"/>
      </w:tblGrid>
      <w:tr w14:paraId="1161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167" w:hRule="atLeast"/>
          <w:tblHeader/>
        </w:trPr>
        <w:tc>
          <w:tcPr>
            <w:tcW w:w="679" w:type="pct"/>
            <w:vMerge w:val="restart"/>
            <w:shd w:val="clear" w:color="auto" w:fill="auto"/>
            <w:vAlign w:val="center"/>
          </w:tcPr>
          <w:p w14:paraId="26C08CD1">
            <w:pPr>
              <w:pStyle w:val="404"/>
              <w:spacing w:line="240" w:lineRule="auto"/>
              <w:ind w:firstLine="0"/>
              <w:contextualSpacing/>
              <w:jc w:val="center"/>
              <w:rPr>
                <w:sz w:val="20"/>
                <w:szCs w:val="20"/>
              </w:rPr>
            </w:pPr>
            <w:r>
              <w:rPr>
                <w:sz w:val="20"/>
                <w:szCs w:val="20"/>
              </w:rPr>
              <w:t>Наименование группы проектов</w:t>
            </w:r>
          </w:p>
        </w:tc>
        <w:tc>
          <w:tcPr>
            <w:tcW w:w="287" w:type="pct"/>
            <w:vMerge w:val="restart"/>
            <w:shd w:val="clear" w:color="auto" w:fill="auto"/>
            <w:vAlign w:val="center"/>
          </w:tcPr>
          <w:p w14:paraId="351FD7C8">
            <w:pPr>
              <w:pStyle w:val="404"/>
              <w:spacing w:line="240" w:lineRule="auto"/>
              <w:ind w:firstLine="0"/>
              <w:contextualSpacing/>
              <w:jc w:val="center"/>
              <w:rPr>
                <w:sz w:val="20"/>
                <w:szCs w:val="20"/>
              </w:rPr>
            </w:pPr>
            <w:r>
              <w:rPr>
                <w:sz w:val="20"/>
                <w:szCs w:val="20"/>
              </w:rPr>
              <w:t>№ проекта</w:t>
            </w:r>
          </w:p>
        </w:tc>
        <w:tc>
          <w:tcPr>
            <w:tcW w:w="569" w:type="pct"/>
            <w:vMerge w:val="restart"/>
            <w:shd w:val="clear" w:color="auto" w:fill="auto"/>
            <w:vAlign w:val="center"/>
          </w:tcPr>
          <w:p w14:paraId="6D57EEEC">
            <w:pPr>
              <w:pStyle w:val="404"/>
              <w:spacing w:line="240" w:lineRule="auto"/>
              <w:ind w:firstLine="0"/>
              <w:contextualSpacing/>
              <w:jc w:val="center"/>
              <w:rPr>
                <w:sz w:val="20"/>
                <w:szCs w:val="20"/>
              </w:rPr>
            </w:pPr>
            <w:r>
              <w:rPr>
                <w:sz w:val="20"/>
                <w:szCs w:val="20"/>
              </w:rPr>
              <w:t>Наименование проекта</w:t>
            </w:r>
          </w:p>
        </w:tc>
        <w:tc>
          <w:tcPr>
            <w:tcW w:w="1744" w:type="pct"/>
            <w:vMerge w:val="restart"/>
            <w:shd w:val="clear" w:color="auto" w:fill="auto"/>
            <w:vAlign w:val="center"/>
          </w:tcPr>
          <w:p w14:paraId="683C8345">
            <w:pPr>
              <w:pStyle w:val="404"/>
              <w:spacing w:line="240" w:lineRule="auto"/>
              <w:ind w:firstLine="0"/>
              <w:contextualSpacing/>
              <w:jc w:val="center"/>
              <w:rPr>
                <w:sz w:val="20"/>
                <w:szCs w:val="20"/>
              </w:rPr>
            </w:pPr>
            <w:r>
              <w:rPr>
                <w:sz w:val="20"/>
                <w:szCs w:val="20"/>
              </w:rPr>
              <w:t>Краткое описание, технические параметры проекта</w:t>
            </w:r>
          </w:p>
        </w:tc>
        <w:tc>
          <w:tcPr>
            <w:tcW w:w="668" w:type="pct"/>
            <w:gridSpan w:val="2"/>
            <w:vMerge w:val="restart"/>
            <w:shd w:val="clear" w:color="auto" w:fill="auto"/>
            <w:noWrap/>
            <w:vAlign w:val="center"/>
          </w:tcPr>
          <w:p w14:paraId="0765745F">
            <w:pPr>
              <w:pStyle w:val="404"/>
              <w:spacing w:line="240" w:lineRule="auto"/>
              <w:ind w:firstLine="0"/>
              <w:contextualSpacing/>
              <w:jc w:val="center"/>
              <w:rPr>
                <w:sz w:val="20"/>
                <w:szCs w:val="20"/>
              </w:rPr>
            </w:pPr>
            <w:r>
              <w:rPr>
                <w:sz w:val="20"/>
                <w:szCs w:val="20"/>
              </w:rPr>
              <w:t>Необходимые капитальные</w:t>
            </w:r>
          </w:p>
          <w:p w14:paraId="1712F21B">
            <w:pPr>
              <w:pStyle w:val="404"/>
              <w:spacing w:line="240" w:lineRule="auto"/>
              <w:ind w:firstLine="0"/>
              <w:contextualSpacing/>
              <w:jc w:val="center"/>
              <w:rPr>
                <w:sz w:val="20"/>
                <w:szCs w:val="20"/>
              </w:rPr>
            </w:pPr>
            <w:r>
              <w:rPr>
                <w:sz w:val="20"/>
                <w:szCs w:val="20"/>
              </w:rPr>
              <w:t>затраты в ценах 2024 года, тыс. руб.</w:t>
            </w:r>
          </w:p>
        </w:tc>
        <w:tc>
          <w:tcPr>
            <w:tcW w:w="520" w:type="pct"/>
            <w:gridSpan w:val="2"/>
            <w:shd w:val="clear" w:color="auto" w:fill="auto"/>
            <w:noWrap/>
            <w:vAlign w:val="center"/>
          </w:tcPr>
          <w:p w14:paraId="74DCBCD7">
            <w:pPr>
              <w:pStyle w:val="404"/>
              <w:spacing w:line="240" w:lineRule="auto"/>
              <w:ind w:firstLine="0"/>
              <w:contextualSpacing/>
              <w:jc w:val="center"/>
              <w:rPr>
                <w:sz w:val="20"/>
                <w:szCs w:val="20"/>
              </w:rPr>
            </w:pPr>
            <w:r>
              <w:rPr>
                <w:sz w:val="20"/>
                <w:szCs w:val="20"/>
              </w:rPr>
              <w:t>Объемы инвестиций и сроки реализации</w:t>
            </w:r>
          </w:p>
        </w:tc>
        <w:tc>
          <w:tcPr>
            <w:tcW w:w="531" w:type="pct"/>
            <w:gridSpan w:val="2"/>
            <w:vMerge w:val="restart"/>
            <w:shd w:val="clear" w:color="auto" w:fill="auto"/>
            <w:vAlign w:val="center"/>
          </w:tcPr>
          <w:p w14:paraId="0B562CA6">
            <w:pPr>
              <w:pStyle w:val="404"/>
              <w:spacing w:line="240" w:lineRule="auto"/>
              <w:ind w:firstLine="0"/>
              <w:contextualSpacing/>
              <w:jc w:val="center"/>
              <w:rPr>
                <w:sz w:val="20"/>
                <w:szCs w:val="20"/>
              </w:rPr>
            </w:pPr>
            <w:r>
              <w:rPr>
                <w:sz w:val="20"/>
                <w:szCs w:val="20"/>
              </w:rPr>
              <w:t>Ожидаемые эффекты</w:t>
            </w:r>
          </w:p>
        </w:tc>
      </w:tr>
      <w:tr w14:paraId="241B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167" w:hRule="atLeast"/>
          <w:tblHeader/>
        </w:trPr>
        <w:tc>
          <w:tcPr>
            <w:tcW w:w="679" w:type="pct"/>
            <w:vMerge w:val="continue"/>
            <w:shd w:val="clear" w:color="auto" w:fill="auto"/>
            <w:vAlign w:val="center"/>
          </w:tcPr>
          <w:p w14:paraId="5F3406E8">
            <w:pPr>
              <w:pStyle w:val="404"/>
              <w:spacing w:line="240" w:lineRule="auto"/>
              <w:ind w:firstLine="0"/>
              <w:contextualSpacing/>
              <w:jc w:val="center"/>
              <w:rPr>
                <w:sz w:val="20"/>
                <w:szCs w:val="20"/>
              </w:rPr>
            </w:pPr>
          </w:p>
        </w:tc>
        <w:tc>
          <w:tcPr>
            <w:tcW w:w="287" w:type="pct"/>
            <w:vMerge w:val="continue"/>
            <w:shd w:val="clear" w:color="auto" w:fill="auto"/>
            <w:vAlign w:val="center"/>
          </w:tcPr>
          <w:p w14:paraId="4E8155DE">
            <w:pPr>
              <w:pStyle w:val="404"/>
              <w:spacing w:line="240" w:lineRule="auto"/>
              <w:ind w:firstLine="0"/>
              <w:contextualSpacing/>
              <w:jc w:val="center"/>
              <w:rPr>
                <w:sz w:val="20"/>
                <w:szCs w:val="20"/>
              </w:rPr>
            </w:pPr>
          </w:p>
        </w:tc>
        <w:tc>
          <w:tcPr>
            <w:tcW w:w="569" w:type="pct"/>
            <w:vMerge w:val="continue"/>
            <w:shd w:val="clear" w:color="auto" w:fill="auto"/>
            <w:vAlign w:val="center"/>
          </w:tcPr>
          <w:p w14:paraId="0875BBF2">
            <w:pPr>
              <w:pStyle w:val="404"/>
              <w:spacing w:line="240" w:lineRule="auto"/>
              <w:ind w:firstLine="0"/>
              <w:contextualSpacing/>
              <w:jc w:val="center"/>
              <w:rPr>
                <w:sz w:val="20"/>
                <w:szCs w:val="20"/>
              </w:rPr>
            </w:pPr>
          </w:p>
        </w:tc>
        <w:tc>
          <w:tcPr>
            <w:tcW w:w="1744" w:type="pct"/>
            <w:vMerge w:val="continue"/>
            <w:shd w:val="clear" w:color="auto" w:fill="auto"/>
            <w:vAlign w:val="center"/>
          </w:tcPr>
          <w:p w14:paraId="7772DE3D">
            <w:pPr>
              <w:pStyle w:val="404"/>
              <w:spacing w:line="240" w:lineRule="auto"/>
              <w:ind w:firstLine="0"/>
              <w:contextualSpacing/>
              <w:jc w:val="center"/>
              <w:rPr>
                <w:sz w:val="20"/>
                <w:szCs w:val="20"/>
              </w:rPr>
            </w:pPr>
          </w:p>
        </w:tc>
        <w:tc>
          <w:tcPr>
            <w:tcW w:w="668" w:type="pct"/>
            <w:gridSpan w:val="2"/>
            <w:vMerge w:val="continue"/>
            <w:shd w:val="clear" w:color="auto" w:fill="auto"/>
            <w:noWrap/>
            <w:vAlign w:val="center"/>
          </w:tcPr>
          <w:p w14:paraId="7E20A6DD">
            <w:pPr>
              <w:pStyle w:val="404"/>
              <w:spacing w:line="240" w:lineRule="auto"/>
              <w:ind w:firstLine="0"/>
              <w:contextualSpacing/>
              <w:jc w:val="center"/>
              <w:rPr>
                <w:sz w:val="20"/>
                <w:szCs w:val="20"/>
              </w:rPr>
            </w:pPr>
          </w:p>
        </w:tc>
        <w:tc>
          <w:tcPr>
            <w:tcW w:w="520" w:type="pct"/>
            <w:gridSpan w:val="2"/>
            <w:shd w:val="clear" w:color="auto" w:fill="auto"/>
            <w:noWrap/>
            <w:vAlign w:val="center"/>
          </w:tcPr>
          <w:p w14:paraId="0F0F9F39">
            <w:pPr>
              <w:pStyle w:val="404"/>
              <w:spacing w:line="240" w:lineRule="auto"/>
              <w:ind w:firstLine="0"/>
              <w:contextualSpacing/>
              <w:jc w:val="center"/>
              <w:rPr>
                <w:sz w:val="20"/>
                <w:szCs w:val="20"/>
              </w:rPr>
            </w:pPr>
            <w:r>
              <w:rPr>
                <w:sz w:val="20"/>
                <w:szCs w:val="20"/>
              </w:rPr>
              <w:t>2024-2029</w:t>
            </w:r>
          </w:p>
        </w:tc>
        <w:tc>
          <w:tcPr>
            <w:tcW w:w="531" w:type="pct"/>
            <w:gridSpan w:val="2"/>
            <w:vMerge w:val="continue"/>
            <w:shd w:val="clear" w:color="auto" w:fill="auto"/>
            <w:vAlign w:val="center"/>
          </w:tcPr>
          <w:p w14:paraId="3B696C5B">
            <w:pPr>
              <w:pStyle w:val="404"/>
              <w:spacing w:line="240" w:lineRule="auto"/>
              <w:ind w:firstLine="0"/>
              <w:contextualSpacing/>
              <w:jc w:val="center"/>
              <w:rPr>
                <w:sz w:val="20"/>
                <w:szCs w:val="20"/>
              </w:rPr>
            </w:pPr>
          </w:p>
        </w:tc>
      </w:tr>
      <w:tr w14:paraId="3E42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 w:hRule="atLeast"/>
        </w:trPr>
        <w:tc>
          <w:tcPr>
            <w:tcW w:w="3281" w:type="pct"/>
            <w:gridSpan w:val="5"/>
            <w:shd w:val="clear" w:color="auto" w:fill="auto"/>
            <w:vAlign w:val="center"/>
          </w:tcPr>
          <w:p w14:paraId="4AD1099B">
            <w:pPr>
              <w:pStyle w:val="404"/>
              <w:spacing w:line="240" w:lineRule="auto"/>
              <w:ind w:firstLine="0"/>
              <w:contextualSpacing/>
              <w:jc w:val="center"/>
              <w:rPr>
                <w:sz w:val="20"/>
                <w:szCs w:val="20"/>
              </w:rPr>
            </w:pPr>
            <w:r>
              <w:rPr>
                <w:sz w:val="20"/>
                <w:szCs w:val="20"/>
              </w:rPr>
              <w:t>Всего по проектам схемы теплоснабжения, в том числе:</w:t>
            </w:r>
          </w:p>
        </w:tc>
        <w:tc>
          <w:tcPr>
            <w:tcW w:w="668" w:type="pct"/>
            <w:gridSpan w:val="2"/>
            <w:shd w:val="clear" w:color="auto" w:fill="auto"/>
            <w:noWrap/>
            <w:vAlign w:val="center"/>
          </w:tcPr>
          <w:p w14:paraId="2F20A363">
            <w:pPr>
              <w:pStyle w:val="404"/>
              <w:spacing w:line="240" w:lineRule="auto"/>
              <w:ind w:firstLine="0"/>
              <w:contextualSpacing/>
              <w:jc w:val="center"/>
              <w:rPr>
                <w:sz w:val="20"/>
                <w:szCs w:val="20"/>
              </w:rPr>
            </w:pPr>
            <w:r>
              <w:rPr>
                <w:sz w:val="20"/>
                <w:szCs w:val="20"/>
              </w:rPr>
              <w:t>40501,67</w:t>
            </w:r>
          </w:p>
        </w:tc>
        <w:tc>
          <w:tcPr>
            <w:tcW w:w="520" w:type="pct"/>
            <w:gridSpan w:val="2"/>
            <w:shd w:val="clear" w:color="auto" w:fill="auto"/>
            <w:noWrap/>
            <w:vAlign w:val="center"/>
          </w:tcPr>
          <w:p w14:paraId="59DD21CC">
            <w:pPr>
              <w:pStyle w:val="404"/>
              <w:spacing w:line="240" w:lineRule="auto"/>
              <w:ind w:firstLine="0"/>
              <w:contextualSpacing/>
              <w:jc w:val="center"/>
              <w:rPr>
                <w:sz w:val="20"/>
                <w:szCs w:val="20"/>
              </w:rPr>
            </w:pPr>
            <w:r>
              <w:rPr>
                <w:sz w:val="20"/>
                <w:szCs w:val="20"/>
              </w:rPr>
              <w:t>40501,67</w:t>
            </w:r>
          </w:p>
        </w:tc>
        <w:tc>
          <w:tcPr>
            <w:tcW w:w="531" w:type="pct"/>
            <w:gridSpan w:val="2"/>
            <w:shd w:val="clear" w:color="auto" w:fill="auto"/>
            <w:vAlign w:val="center"/>
          </w:tcPr>
          <w:p w14:paraId="0F72984E">
            <w:pPr>
              <w:pStyle w:val="404"/>
              <w:spacing w:line="240" w:lineRule="auto"/>
              <w:ind w:firstLine="0"/>
              <w:contextualSpacing/>
              <w:jc w:val="center"/>
              <w:rPr>
                <w:sz w:val="20"/>
                <w:szCs w:val="20"/>
              </w:rPr>
            </w:pPr>
          </w:p>
        </w:tc>
      </w:tr>
      <w:tr w14:paraId="4F1A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 w:hRule="atLeast"/>
        </w:trPr>
        <w:tc>
          <w:tcPr>
            <w:tcW w:w="5000" w:type="pct"/>
            <w:gridSpan w:val="11"/>
            <w:shd w:val="clear" w:color="auto" w:fill="auto"/>
            <w:noWrap/>
            <w:vAlign w:val="center"/>
          </w:tcPr>
          <w:p w14:paraId="62CFC290">
            <w:pPr>
              <w:pStyle w:val="404"/>
              <w:spacing w:line="240" w:lineRule="auto"/>
              <w:ind w:firstLine="0"/>
              <w:contextualSpacing/>
              <w:jc w:val="center"/>
              <w:rPr>
                <w:sz w:val="20"/>
                <w:szCs w:val="20"/>
              </w:rPr>
            </w:pPr>
            <w:r>
              <w:rPr>
                <w:sz w:val="20"/>
                <w:szCs w:val="20"/>
              </w:rPr>
              <w:t>1. Проекты по новому строительству и реконструкции тепловых сетей</w:t>
            </w:r>
          </w:p>
        </w:tc>
      </w:tr>
      <w:tr w14:paraId="10AB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1549" w:hRule="atLeast"/>
        </w:trPr>
        <w:tc>
          <w:tcPr>
            <w:tcW w:w="679" w:type="pct"/>
            <w:shd w:val="clear" w:color="auto" w:fill="auto"/>
            <w:vAlign w:val="center"/>
          </w:tcPr>
          <w:p w14:paraId="6DB3A72A">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87" w:type="pct"/>
            <w:shd w:val="clear" w:color="auto" w:fill="auto"/>
            <w:vAlign w:val="center"/>
          </w:tcPr>
          <w:p w14:paraId="1B6AF673">
            <w:pPr>
              <w:pStyle w:val="404"/>
              <w:spacing w:line="240" w:lineRule="auto"/>
              <w:ind w:firstLine="0"/>
              <w:contextualSpacing/>
              <w:jc w:val="center"/>
              <w:rPr>
                <w:sz w:val="20"/>
                <w:szCs w:val="20"/>
              </w:rPr>
            </w:pPr>
            <w:r>
              <w:rPr>
                <w:sz w:val="20"/>
                <w:szCs w:val="20"/>
              </w:rPr>
              <w:t>1.1.</w:t>
            </w:r>
          </w:p>
        </w:tc>
        <w:tc>
          <w:tcPr>
            <w:tcW w:w="569" w:type="pct"/>
            <w:shd w:val="clear" w:color="auto" w:fill="auto"/>
            <w:vAlign w:val="center"/>
          </w:tcPr>
          <w:p w14:paraId="4ACF90B5">
            <w:pPr>
              <w:pStyle w:val="404"/>
              <w:spacing w:line="240" w:lineRule="auto"/>
              <w:ind w:firstLine="0"/>
              <w:contextualSpacing/>
              <w:jc w:val="center"/>
              <w:rPr>
                <w:sz w:val="20"/>
                <w:szCs w:val="20"/>
              </w:rPr>
            </w:pPr>
            <w:r>
              <w:rPr>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744" w:type="pct"/>
            <w:shd w:val="clear" w:color="auto" w:fill="auto"/>
            <w:vAlign w:val="center"/>
          </w:tcPr>
          <w:p w14:paraId="52B93853">
            <w:pPr>
              <w:pStyle w:val="404"/>
              <w:spacing w:line="240" w:lineRule="auto"/>
              <w:ind w:firstLine="0"/>
              <w:contextualSpacing/>
              <w:jc w:val="center"/>
              <w:rPr>
                <w:sz w:val="20"/>
                <w:szCs w:val="20"/>
              </w:rPr>
            </w:pPr>
            <w:r>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0D4A7F7A">
            <w:pPr>
              <w:pStyle w:val="404"/>
              <w:spacing w:line="240" w:lineRule="auto"/>
              <w:ind w:firstLine="0"/>
              <w:contextualSpacing/>
              <w:jc w:val="center"/>
              <w:rPr>
                <w:sz w:val="20"/>
                <w:szCs w:val="20"/>
              </w:rPr>
            </w:pPr>
            <w:r>
              <w:rPr>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668" w:type="pct"/>
            <w:gridSpan w:val="2"/>
            <w:shd w:val="clear" w:color="auto" w:fill="auto"/>
            <w:noWrap/>
            <w:vAlign w:val="center"/>
          </w:tcPr>
          <w:p w14:paraId="7AF3CF53">
            <w:pPr>
              <w:pStyle w:val="404"/>
              <w:spacing w:line="240" w:lineRule="auto"/>
              <w:ind w:firstLine="0"/>
              <w:contextualSpacing/>
              <w:jc w:val="center"/>
              <w:rPr>
                <w:sz w:val="20"/>
                <w:szCs w:val="20"/>
              </w:rPr>
            </w:pPr>
            <w:r>
              <w:rPr>
                <w:sz w:val="20"/>
                <w:szCs w:val="20"/>
              </w:rPr>
              <w:t>40501,67</w:t>
            </w:r>
          </w:p>
        </w:tc>
        <w:tc>
          <w:tcPr>
            <w:tcW w:w="520" w:type="pct"/>
            <w:gridSpan w:val="2"/>
            <w:shd w:val="clear" w:color="auto" w:fill="auto"/>
            <w:noWrap/>
            <w:vAlign w:val="center"/>
          </w:tcPr>
          <w:p w14:paraId="7D1617C0">
            <w:pPr>
              <w:pStyle w:val="404"/>
              <w:spacing w:line="240" w:lineRule="auto"/>
              <w:ind w:firstLine="0"/>
              <w:contextualSpacing/>
              <w:jc w:val="center"/>
              <w:rPr>
                <w:sz w:val="20"/>
                <w:szCs w:val="20"/>
              </w:rPr>
            </w:pPr>
            <w:r>
              <w:rPr>
                <w:sz w:val="20"/>
                <w:szCs w:val="20"/>
              </w:rPr>
              <w:t>40501,67</w:t>
            </w:r>
          </w:p>
        </w:tc>
        <w:tc>
          <w:tcPr>
            <w:tcW w:w="531" w:type="pct"/>
            <w:gridSpan w:val="2"/>
            <w:shd w:val="clear" w:color="auto" w:fill="auto"/>
            <w:vAlign w:val="center"/>
          </w:tcPr>
          <w:p w14:paraId="37225A78">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14:paraId="3F6F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5000" w:type="pct"/>
            <w:gridSpan w:val="11"/>
            <w:shd w:val="clear" w:color="auto" w:fill="auto"/>
            <w:vAlign w:val="center"/>
          </w:tcPr>
          <w:p w14:paraId="2BBE3507">
            <w:pPr>
              <w:pStyle w:val="404"/>
              <w:spacing w:line="240" w:lineRule="auto"/>
              <w:ind w:firstLine="0"/>
              <w:contextualSpacing/>
              <w:jc w:val="left"/>
              <w:rPr>
                <w:sz w:val="20"/>
                <w:szCs w:val="20"/>
              </w:rPr>
            </w:pPr>
            <w:r>
              <w:rPr>
                <w:sz w:val="20"/>
                <w:szCs w:val="20"/>
              </w:rPr>
              <w:t>в том числе:</w:t>
            </w:r>
          </w:p>
        </w:tc>
      </w:tr>
      <w:tr w14:paraId="49D9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85" w:hRule="atLeast"/>
        </w:trPr>
        <w:tc>
          <w:tcPr>
            <w:tcW w:w="679" w:type="pct"/>
            <w:shd w:val="clear" w:color="auto" w:fill="auto"/>
          </w:tcPr>
          <w:p w14:paraId="3AD7FE7E">
            <w:pPr>
              <w:pStyle w:val="404"/>
              <w:spacing w:line="240" w:lineRule="auto"/>
              <w:ind w:firstLine="0"/>
              <w:contextualSpacing/>
              <w:jc w:val="center"/>
              <w:rPr>
                <w:sz w:val="20"/>
                <w:szCs w:val="20"/>
              </w:rPr>
            </w:pPr>
            <w:r>
              <w:rPr>
                <w:sz w:val="20"/>
                <w:szCs w:val="20"/>
              </w:rPr>
              <w:t>Зона действия теплоутилизационных установок КС «Верхнеказымская», котельных «Вирбекс», «2БВК»</w:t>
            </w:r>
          </w:p>
        </w:tc>
        <w:tc>
          <w:tcPr>
            <w:tcW w:w="287" w:type="pct"/>
            <w:shd w:val="clear" w:color="auto" w:fill="auto"/>
            <w:vAlign w:val="center"/>
          </w:tcPr>
          <w:p w14:paraId="51BCB290">
            <w:pPr>
              <w:pStyle w:val="404"/>
              <w:spacing w:line="240" w:lineRule="auto"/>
              <w:ind w:firstLine="0"/>
              <w:contextualSpacing/>
              <w:jc w:val="center"/>
              <w:rPr>
                <w:sz w:val="20"/>
                <w:szCs w:val="20"/>
              </w:rPr>
            </w:pPr>
            <w:r>
              <w:rPr>
                <w:bCs/>
                <w:sz w:val="20"/>
                <w:szCs w:val="20"/>
              </w:rPr>
              <w:t>1.1.1</w:t>
            </w:r>
          </w:p>
        </w:tc>
        <w:tc>
          <w:tcPr>
            <w:tcW w:w="569" w:type="pct"/>
            <w:shd w:val="clear" w:color="auto" w:fill="auto"/>
          </w:tcPr>
          <w:p w14:paraId="07337905">
            <w:pPr>
              <w:pStyle w:val="404"/>
              <w:spacing w:line="240" w:lineRule="auto"/>
              <w:ind w:firstLine="0"/>
              <w:contextualSpacing/>
              <w:jc w:val="center"/>
              <w:rPr>
                <w:sz w:val="20"/>
                <w:szCs w:val="20"/>
              </w:rPr>
            </w:pPr>
            <w:r>
              <w:rPr>
                <w:sz w:val="20"/>
                <w:szCs w:val="20"/>
              </w:rPr>
              <w:t>Строительство распределительных сетей теплоснабжения для обеспечения перспективных приростов тепловой нагрузки.</w:t>
            </w:r>
          </w:p>
        </w:tc>
        <w:tc>
          <w:tcPr>
            <w:tcW w:w="1744" w:type="pct"/>
            <w:shd w:val="clear" w:color="auto" w:fill="auto"/>
          </w:tcPr>
          <w:p w14:paraId="56D6C095">
            <w:pPr>
              <w:pStyle w:val="404"/>
              <w:spacing w:line="240" w:lineRule="auto"/>
              <w:ind w:firstLine="0"/>
              <w:contextualSpacing/>
              <w:jc w:val="center"/>
              <w:rPr>
                <w:sz w:val="20"/>
                <w:szCs w:val="20"/>
              </w:rPr>
            </w:pPr>
            <w:r>
              <w:rPr>
                <w:sz w:val="20"/>
                <w:szCs w:val="20"/>
              </w:rPr>
              <w:t>Строительство теплотрассы к для подключения:</w:t>
            </w:r>
          </w:p>
          <w:p w14:paraId="5FBADF30">
            <w:pPr>
              <w:pStyle w:val="404"/>
              <w:spacing w:line="240" w:lineRule="auto"/>
              <w:ind w:firstLine="0"/>
              <w:contextualSpacing/>
              <w:jc w:val="center"/>
              <w:rPr>
                <w:sz w:val="20"/>
                <w:szCs w:val="20"/>
              </w:rPr>
            </w:pPr>
            <w:r>
              <w:rPr>
                <w:sz w:val="20"/>
                <w:szCs w:val="20"/>
              </w:rPr>
              <w:t xml:space="preserve"> - перспективного здания ФОК Т1, Т2 = Ду 100, протяженностью 86 м;</w:t>
            </w:r>
          </w:p>
          <w:p w14:paraId="4F139FF2">
            <w:pPr>
              <w:pStyle w:val="404"/>
              <w:spacing w:line="240" w:lineRule="auto"/>
              <w:ind w:firstLine="0"/>
              <w:contextualSpacing/>
              <w:jc w:val="center"/>
              <w:rPr>
                <w:sz w:val="20"/>
                <w:szCs w:val="20"/>
              </w:rPr>
            </w:pPr>
            <w:r>
              <w:rPr>
                <w:sz w:val="20"/>
                <w:szCs w:val="20"/>
              </w:rPr>
              <w:t xml:space="preserve"> - 2-х перспективных многокв. ж. домов в 3 мкр -  ж.д.3-6/1 (20 квартир на месте 3-6), ж.д. 3-5/1 (24 квариры на месте 3-5) - Т1,Т2 = Ду 100 L=28 м, Т1,Т2 = Ду 50 L=6 м, Т1,Т2 = Ду 70 L=90 м;</w:t>
            </w:r>
            <w:r>
              <w:rPr>
                <w:sz w:val="20"/>
                <w:szCs w:val="20"/>
              </w:rPr>
              <w:br w:type="textWrapping"/>
            </w:r>
            <w:r>
              <w:rPr>
                <w:sz w:val="20"/>
                <w:szCs w:val="20"/>
              </w:rPr>
              <w:t xml:space="preserve"> - перспективного многокв. ж. дома в 3 мкр: ж.д.3-7/1 (42 квартиры на месте 3-7) - Т1,Т2 = Ду 70 L =30 м;</w:t>
            </w:r>
            <w:r>
              <w:rPr>
                <w:sz w:val="20"/>
                <w:szCs w:val="20"/>
              </w:rPr>
              <w:br w:type="textWrapping"/>
            </w:r>
            <w:r>
              <w:rPr>
                <w:sz w:val="20"/>
                <w:szCs w:val="20"/>
              </w:rPr>
              <w:t xml:space="preserve"> - перспективного многокв. ж. дома во 2 мкр: ж.д.2-15/1 (3-хэт. 24 кв. на месте 3-15) - Т1,Т2 = Ду 80 L =105 м;</w:t>
            </w:r>
            <w:r>
              <w:rPr>
                <w:sz w:val="20"/>
                <w:szCs w:val="20"/>
              </w:rPr>
              <w:br w:type="textWrapping"/>
            </w:r>
            <w:r>
              <w:rPr>
                <w:sz w:val="20"/>
                <w:szCs w:val="20"/>
              </w:rPr>
              <w:t xml:space="preserve"> - перспективного многокв. ж. дома во 2 мкр: ж.д.2-1/1 (3 эт 24 кв. на месте 2-1); и существующих зданий №№ 2-6, 2-6А, 2-6Б - Т1,Т2 = Ду 100 L =70 м, Т1,Т2 = Ду 80 L =40 м;</w:t>
            </w:r>
            <w:r>
              <w:rPr>
                <w:sz w:val="20"/>
                <w:szCs w:val="20"/>
              </w:rPr>
              <w:br w:type="textWrapping"/>
            </w:r>
            <w:r>
              <w:rPr>
                <w:sz w:val="20"/>
                <w:szCs w:val="20"/>
              </w:rPr>
              <w:t xml:space="preserve"> - 2-х перспективных многокв. ж. домов во 2 мкр -  ж.д.2-2/1 (24 кв. на месте 2-2), ж.д. 2-3/1 (24 кв. на месте 2-3) - Т1,Т2 = Ду 100 L =35 м, Т1,Т2 = Ду 80 L =80 м;</w:t>
            </w:r>
            <w:r>
              <w:rPr>
                <w:sz w:val="20"/>
                <w:szCs w:val="20"/>
              </w:rPr>
              <w:br w:type="textWrapping"/>
            </w:r>
            <w:r>
              <w:rPr>
                <w:sz w:val="20"/>
                <w:szCs w:val="20"/>
              </w:rPr>
              <w:t xml:space="preserve"> - перспективного многокв. ж. дома во 2 мкр: ж.д.2-11/1 (24 кв. на месте 2-11) - Т1,Т2 = Ду 150 L =30 м, Т1,Т2 = Ду 70 L =40 м;</w:t>
            </w:r>
            <w:r>
              <w:rPr>
                <w:sz w:val="20"/>
                <w:szCs w:val="20"/>
              </w:rPr>
              <w:br w:type="textWrapping"/>
            </w:r>
            <w:r>
              <w:rPr>
                <w:sz w:val="20"/>
                <w:szCs w:val="20"/>
              </w:rPr>
              <w:t xml:space="preserve"> - перспективного многокв. ж. дома во 2 мкр: ж.д.2-12/1 (24 кв. на месте 2-12) - Т1,Т2 = Ду 70 L =12 м;</w:t>
            </w:r>
            <w:r>
              <w:rPr>
                <w:sz w:val="20"/>
                <w:szCs w:val="20"/>
              </w:rPr>
              <w:br w:type="textWrapping"/>
            </w:r>
            <w:r>
              <w:rPr>
                <w:sz w:val="20"/>
                <w:szCs w:val="20"/>
              </w:rPr>
              <w:t xml:space="preserve"> - 2-х перспективных многокв. ж. домов во 2 мкр -  ж.д.2-13/1 (24 кв. на месте 2-13), ж.д. 2-14/1 (24 кв. на месте 2-14) - Т1,Т2 = Ду 100 L =35 м, Т1,Т2 = Ду 70 L =100 м.</w:t>
            </w:r>
          </w:p>
        </w:tc>
        <w:tc>
          <w:tcPr>
            <w:tcW w:w="668" w:type="pct"/>
            <w:gridSpan w:val="2"/>
            <w:shd w:val="clear" w:color="auto" w:fill="auto"/>
            <w:noWrap/>
            <w:vAlign w:val="center"/>
          </w:tcPr>
          <w:p w14:paraId="0097A4DF">
            <w:pPr>
              <w:pStyle w:val="404"/>
              <w:spacing w:line="240" w:lineRule="auto"/>
              <w:ind w:firstLine="0"/>
              <w:contextualSpacing/>
              <w:jc w:val="center"/>
              <w:rPr>
                <w:sz w:val="20"/>
                <w:szCs w:val="20"/>
              </w:rPr>
            </w:pPr>
            <w:r>
              <w:rPr>
                <w:sz w:val="20"/>
                <w:szCs w:val="20"/>
              </w:rPr>
              <w:t>10921,05</w:t>
            </w:r>
          </w:p>
        </w:tc>
        <w:tc>
          <w:tcPr>
            <w:tcW w:w="520" w:type="pct"/>
            <w:gridSpan w:val="2"/>
            <w:shd w:val="clear" w:color="auto" w:fill="auto"/>
            <w:noWrap/>
            <w:vAlign w:val="center"/>
          </w:tcPr>
          <w:p w14:paraId="178806D2">
            <w:pPr>
              <w:pStyle w:val="404"/>
              <w:spacing w:line="240" w:lineRule="auto"/>
              <w:ind w:firstLine="0"/>
              <w:contextualSpacing/>
              <w:jc w:val="center"/>
              <w:rPr>
                <w:sz w:val="20"/>
                <w:szCs w:val="20"/>
              </w:rPr>
            </w:pPr>
            <w:r>
              <w:rPr>
                <w:sz w:val="20"/>
                <w:szCs w:val="20"/>
              </w:rPr>
              <w:t>10921,05</w:t>
            </w:r>
          </w:p>
        </w:tc>
        <w:tc>
          <w:tcPr>
            <w:tcW w:w="531" w:type="pct"/>
            <w:gridSpan w:val="2"/>
            <w:shd w:val="clear" w:color="auto" w:fill="auto"/>
            <w:vAlign w:val="center"/>
          </w:tcPr>
          <w:p w14:paraId="08AE8C1D">
            <w:pPr>
              <w:pStyle w:val="404"/>
              <w:spacing w:line="240" w:lineRule="auto"/>
              <w:ind w:firstLine="0"/>
              <w:contextualSpacing/>
              <w:jc w:val="center"/>
              <w:rPr>
                <w:sz w:val="20"/>
                <w:szCs w:val="20"/>
              </w:rPr>
            </w:pPr>
            <w:r>
              <w:rPr>
                <w:sz w:val="20"/>
                <w:szCs w:val="20"/>
              </w:rPr>
              <w:t>Качественное и надежное теплоснабжение перспективных потребителей</w:t>
            </w:r>
          </w:p>
        </w:tc>
      </w:tr>
      <w:tr w14:paraId="53A6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85" w:hRule="atLeast"/>
        </w:trPr>
        <w:tc>
          <w:tcPr>
            <w:tcW w:w="679" w:type="pct"/>
            <w:shd w:val="clear" w:color="auto" w:fill="auto"/>
          </w:tcPr>
          <w:p w14:paraId="0EF81789">
            <w:pPr>
              <w:pStyle w:val="404"/>
              <w:spacing w:line="240" w:lineRule="auto"/>
              <w:ind w:firstLine="0"/>
              <w:contextualSpacing/>
              <w:jc w:val="center"/>
              <w:rPr>
                <w:sz w:val="20"/>
                <w:szCs w:val="20"/>
              </w:rPr>
            </w:pPr>
            <w:r>
              <w:rPr>
                <w:sz w:val="20"/>
                <w:szCs w:val="20"/>
              </w:rPr>
              <w:t>Зона действия теплоутилизационных установок КС «Верхнеказымская», котельных «Вирбекс», «2БВК»</w:t>
            </w:r>
          </w:p>
        </w:tc>
        <w:tc>
          <w:tcPr>
            <w:tcW w:w="287" w:type="pct"/>
            <w:shd w:val="clear" w:color="auto" w:fill="auto"/>
          </w:tcPr>
          <w:p w14:paraId="3A3ED30A">
            <w:pPr>
              <w:pStyle w:val="404"/>
              <w:spacing w:line="240" w:lineRule="auto"/>
              <w:ind w:firstLine="0"/>
              <w:contextualSpacing/>
              <w:jc w:val="center"/>
              <w:rPr>
                <w:sz w:val="20"/>
                <w:szCs w:val="20"/>
              </w:rPr>
            </w:pPr>
            <w:r>
              <w:rPr>
                <w:bCs/>
                <w:sz w:val="20"/>
                <w:szCs w:val="20"/>
              </w:rPr>
              <w:t>1.1.2</w:t>
            </w:r>
          </w:p>
        </w:tc>
        <w:tc>
          <w:tcPr>
            <w:tcW w:w="569" w:type="pct"/>
            <w:shd w:val="clear" w:color="auto" w:fill="auto"/>
          </w:tcPr>
          <w:p w14:paraId="55E41786">
            <w:pPr>
              <w:pStyle w:val="404"/>
              <w:spacing w:line="240" w:lineRule="auto"/>
              <w:ind w:firstLine="0"/>
              <w:contextualSpacing/>
              <w:jc w:val="center"/>
              <w:rPr>
                <w:sz w:val="20"/>
                <w:szCs w:val="20"/>
              </w:rPr>
            </w:pPr>
            <w:r>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744" w:type="pct"/>
            <w:shd w:val="clear" w:color="auto" w:fill="auto"/>
          </w:tcPr>
          <w:p w14:paraId="18AC7F74">
            <w:pPr>
              <w:pStyle w:val="404"/>
              <w:spacing w:line="240" w:lineRule="auto"/>
              <w:ind w:firstLine="0"/>
              <w:contextualSpacing/>
              <w:jc w:val="center"/>
              <w:rPr>
                <w:sz w:val="20"/>
                <w:szCs w:val="20"/>
              </w:rPr>
            </w:pPr>
            <w:r>
              <w:rPr>
                <w:sz w:val="20"/>
                <w:szCs w:val="20"/>
              </w:rPr>
              <w:t>Реконструкция теплотрассы от ТК2 до ТК2а и от ТК2а до ТК50 (Т1, Т2 с Ду 100 на Ду 150 протяженностью 90 м; Т3, Т4 с Ду 80 на Ду 80 протяженностью 33 м).</w:t>
            </w:r>
            <w:r>
              <w:rPr>
                <w:sz w:val="20"/>
                <w:szCs w:val="20"/>
              </w:rPr>
              <w:br w:type="textWrapping"/>
            </w:r>
            <w:r>
              <w:rPr>
                <w:sz w:val="20"/>
                <w:szCs w:val="20"/>
              </w:rPr>
              <w:t>Реконструкция (вынос) и строительство,  теплосетей для подключения 2-х 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Pr>
                <w:sz w:val="20"/>
                <w:szCs w:val="20"/>
              </w:rPr>
              <w:br w:type="textWrapping"/>
            </w:r>
            <w:r>
              <w:rPr>
                <w:sz w:val="20"/>
                <w:szCs w:val="20"/>
              </w:rPr>
              <w:t>Реконструкция (вынос) и строительство,  теплосетей для подключения перспективного многокв. ж. дома во 2 мкр: ж.д.2-9/1 (24 кв. на месте 2-9) и существующих зданий №№ 2-23, 2-16, 2-17, 2-18, 2-19, 2-20, 2-21 - Т1,Т2 = Ду 150 L=30 м, Т1,Т2 = Ду 80 L=120 м,  Т3,Т4 = Ду 50 L=80 м.</w:t>
            </w:r>
          </w:p>
        </w:tc>
        <w:tc>
          <w:tcPr>
            <w:tcW w:w="668" w:type="pct"/>
            <w:gridSpan w:val="2"/>
            <w:shd w:val="clear" w:color="auto" w:fill="auto"/>
            <w:noWrap/>
            <w:vAlign w:val="center"/>
          </w:tcPr>
          <w:p w14:paraId="23EB73B1">
            <w:pPr>
              <w:pStyle w:val="404"/>
              <w:spacing w:line="240" w:lineRule="auto"/>
              <w:ind w:firstLine="0"/>
              <w:contextualSpacing/>
              <w:jc w:val="center"/>
              <w:rPr>
                <w:sz w:val="20"/>
                <w:szCs w:val="20"/>
              </w:rPr>
            </w:pPr>
            <w:r>
              <w:rPr>
                <w:sz w:val="20"/>
                <w:szCs w:val="20"/>
              </w:rPr>
              <w:t>29580,62</w:t>
            </w:r>
          </w:p>
        </w:tc>
        <w:tc>
          <w:tcPr>
            <w:tcW w:w="520" w:type="pct"/>
            <w:gridSpan w:val="2"/>
            <w:shd w:val="clear" w:color="auto" w:fill="auto"/>
            <w:noWrap/>
            <w:vAlign w:val="center"/>
          </w:tcPr>
          <w:p w14:paraId="4808C98F">
            <w:pPr>
              <w:pStyle w:val="404"/>
              <w:spacing w:line="240" w:lineRule="auto"/>
              <w:ind w:firstLine="0"/>
              <w:contextualSpacing/>
              <w:jc w:val="center"/>
              <w:rPr>
                <w:sz w:val="20"/>
                <w:szCs w:val="20"/>
              </w:rPr>
            </w:pPr>
            <w:r>
              <w:rPr>
                <w:sz w:val="20"/>
                <w:szCs w:val="20"/>
              </w:rPr>
              <w:t>29580,62</w:t>
            </w:r>
          </w:p>
        </w:tc>
        <w:tc>
          <w:tcPr>
            <w:tcW w:w="531" w:type="pct"/>
            <w:gridSpan w:val="2"/>
            <w:shd w:val="clear" w:color="auto" w:fill="auto"/>
            <w:vAlign w:val="center"/>
          </w:tcPr>
          <w:p w14:paraId="3B28240A">
            <w:pPr>
              <w:pStyle w:val="404"/>
              <w:spacing w:line="240" w:lineRule="auto"/>
              <w:ind w:firstLine="0"/>
              <w:contextualSpacing/>
              <w:jc w:val="center"/>
              <w:rPr>
                <w:sz w:val="20"/>
                <w:szCs w:val="20"/>
              </w:rPr>
            </w:pPr>
            <w:r>
              <w:rPr>
                <w:sz w:val="20"/>
                <w:szCs w:val="20"/>
              </w:rPr>
              <w:t>Качественное и надежное теплоснабжение существующих и перспективных потребителей.</w:t>
            </w:r>
          </w:p>
          <w:p w14:paraId="7FFF72AE">
            <w:pPr>
              <w:pStyle w:val="404"/>
              <w:spacing w:line="240" w:lineRule="auto"/>
              <w:ind w:firstLine="0"/>
              <w:contextualSpacing/>
              <w:jc w:val="center"/>
              <w:rPr>
                <w:sz w:val="20"/>
                <w:szCs w:val="20"/>
              </w:rPr>
            </w:pPr>
            <w:r>
              <w:rPr>
                <w:sz w:val="20"/>
                <w:szCs w:val="20"/>
              </w:rPr>
              <w:t xml:space="preserve"> Оптимизация существующей системы теплоснабжения</w:t>
            </w:r>
          </w:p>
        </w:tc>
      </w:tr>
    </w:tbl>
    <w:p w14:paraId="59A5E8E7">
      <w:pPr>
        <w:spacing w:after="0" w:line="240" w:lineRule="auto"/>
        <w:ind w:firstLine="0"/>
        <w:contextualSpacing/>
        <w:jc w:val="both"/>
        <w:rPr>
          <w:sz w:val="24"/>
          <w:szCs w:val="24"/>
        </w:rPr>
      </w:pPr>
    </w:p>
    <w:p w14:paraId="2BC0E179">
      <w:pPr>
        <w:spacing w:after="0" w:line="240" w:lineRule="auto"/>
        <w:ind w:firstLine="0"/>
        <w:contextualSpacing/>
        <w:jc w:val="both"/>
        <w:rPr>
          <w:sz w:val="24"/>
          <w:szCs w:val="24"/>
        </w:rPr>
      </w:pPr>
    </w:p>
    <w:p w14:paraId="49986FC0">
      <w:pPr>
        <w:spacing w:after="0" w:line="240" w:lineRule="auto"/>
        <w:ind w:firstLine="0"/>
        <w:contextualSpacing/>
        <w:jc w:val="both"/>
        <w:rPr>
          <w:sz w:val="24"/>
          <w:szCs w:val="24"/>
        </w:rPr>
      </w:pPr>
    </w:p>
    <w:p w14:paraId="7FD768C2">
      <w:pPr>
        <w:spacing w:after="0" w:line="240" w:lineRule="auto"/>
        <w:contextualSpacing/>
        <w:jc w:val="both"/>
        <w:rPr>
          <w:sz w:val="24"/>
          <w:szCs w:val="24"/>
        </w:rPr>
      </w:pPr>
    </w:p>
    <w:p w14:paraId="634AD379">
      <w:pPr>
        <w:spacing w:after="0" w:line="240" w:lineRule="auto"/>
        <w:contextualSpacing/>
        <w:jc w:val="both"/>
        <w:rPr>
          <w:sz w:val="24"/>
          <w:szCs w:val="24"/>
        </w:rPr>
        <w:sectPr>
          <w:pgSz w:w="16838" w:h="11906" w:orient="landscape"/>
          <w:pgMar w:top="1418" w:right="1134" w:bottom="567" w:left="1134" w:header="709" w:footer="709" w:gutter="0"/>
          <w:cols w:space="708" w:num="1"/>
          <w:docGrid w:linePitch="381" w:charSpace="0"/>
        </w:sectPr>
      </w:pPr>
    </w:p>
    <w:p w14:paraId="20198AD6">
      <w:pPr>
        <w:pStyle w:val="3"/>
        <w:spacing w:before="0" w:line="240" w:lineRule="auto"/>
        <w:ind w:left="0" w:firstLine="709"/>
        <w:contextualSpacing/>
        <w:rPr>
          <w:rFonts w:cs="Times New Roman"/>
          <w:b w:val="0"/>
          <w:sz w:val="24"/>
          <w:szCs w:val="24"/>
        </w:rPr>
      </w:pPr>
      <w:bookmarkStart w:id="836" w:name="_Toc15641000"/>
      <w:bookmarkStart w:id="837" w:name="_Toc182814099"/>
      <w:bookmarkStart w:id="838" w:name="_Hlk15651973"/>
      <w:r>
        <w:rPr>
          <w:rFonts w:cs="Times New Roman"/>
          <w:b w:val="0"/>
          <w:sz w:val="24"/>
          <w:szCs w:val="24"/>
        </w:rPr>
        <w:t xml:space="preserve">Перечень </w:t>
      </w:r>
      <w:bookmarkEnd w:id="836"/>
      <w:r>
        <w:rPr>
          <w:rFonts w:cs="Times New Roman"/>
          <w:b w:val="0"/>
          <w:sz w:val="24"/>
          <w:szCs w:val="24"/>
        </w:rPr>
        <w:t>мероприятий по строительству, реконструкции, техническому перевооружению и (или) модернизации тепловых сетей и сооружений на них</w:t>
      </w:r>
      <w:bookmarkEnd w:id="837"/>
    </w:p>
    <w:bookmarkEnd w:id="838"/>
    <w:p w14:paraId="190B3B01">
      <w:pPr>
        <w:spacing w:after="0" w:line="240" w:lineRule="auto"/>
        <w:contextualSpacing/>
        <w:jc w:val="both"/>
        <w:rPr>
          <w:sz w:val="24"/>
          <w:szCs w:val="24"/>
        </w:rPr>
      </w:pPr>
      <w:bookmarkStart w:id="839" w:name="_Hlk140835611"/>
      <w:r>
        <w:rPr>
          <w:sz w:val="24"/>
          <w:szCs w:val="24"/>
        </w:rPr>
        <w:t>Основной перечень мероприятий по реконструкции тепловых сетей, подлежащих замене в связи с исчерпанием эксплуатационного ресурса и технического перевооружения сооружений на них, представлен в таблице 75.</w:t>
      </w:r>
    </w:p>
    <w:p w14:paraId="3E7B224D">
      <w:pPr>
        <w:spacing w:after="0" w:line="240" w:lineRule="auto"/>
        <w:contextualSpacing/>
        <w:jc w:val="both"/>
        <w:rPr>
          <w:sz w:val="24"/>
          <w:szCs w:val="24"/>
        </w:rPr>
      </w:pPr>
    </w:p>
    <w:bookmarkEnd w:id="839"/>
    <w:p w14:paraId="41862D84">
      <w:pPr>
        <w:pStyle w:val="3"/>
        <w:spacing w:before="0" w:line="240" w:lineRule="auto"/>
        <w:ind w:left="0" w:firstLine="709"/>
        <w:contextualSpacing/>
        <w:rPr>
          <w:rFonts w:cs="Times New Roman"/>
          <w:b w:val="0"/>
          <w:sz w:val="24"/>
          <w:szCs w:val="24"/>
        </w:rPr>
      </w:pPr>
      <w:bookmarkStart w:id="840" w:name="_Toc15641001"/>
      <w:bookmarkStart w:id="841" w:name="_Toc182814100"/>
      <w:bookmarkStart w:id="842" w:name="_Hlk15651985"/>
      <w:bookmarkStart w:id="843" w:name="_Hlk528053378"/>
      <w:r>
        <w:rPr>
          <w:rFonts w:cs="Times New Roman"/>
          <w:b w:val="0"/>
          <w:sz w:val="24"/>
          <w:szCs w:val="24"/>
        </w:rPr>
        <w:t xml:space="preserve">Перечень </w:t>
      </w:r>
      <w:bookmarkEnd w:id="840"/>
      <w:r>
        <w:rPr>
          <w:rFonts w:cs="Times New Roman"/>
          <w:b w:val="0"/>
          <w:sz w:val="24"/>
          <w:szCs w:val="24"/>
        </w:rPr>
        <w:t>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841"/>
    </w:p>
    <w:bookmarkEnd w:id="842"/>
    <w:bookmarkEnd w:id="843"/>
    <w:p w14:paraId="17F73D64">
      <w:pPr>
        <w:spacing w:after="0" w:line="240" w:lineRule="auto"/>
        <w:contextualSpacing/>
        <w:jc w:val="both"/>
        <w:rPr>
          <w:sz w:val="24"/>
          <w:szCs w:val="24"/>
        </w:rPr>
      </w:pPr>
      <w:r>
        <w:rPr>
          <w:sz w:val="24"/>
          <w:szCs w:val="24"/>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14:paraId="4A1B6139">
      <w:pPr>
        <w:spacing w:after="0" w:line="240" w:lineRule="auto"/>
        <w:contextualSpacing/>
        <w:jc w:val="both"/>
        <w:rPr>
          <w:sz w:val="24"/>
          <w:szCs w:val="24"/>
        </w:rPr>
      </w:pPr>
    </w:p>
    <w:p w14:paraId="71B0E2DA">
      <w:pPr>
        <w:spacing w:after="0" w:line="240" w:lineRule="auto"/>
        <w:contextualSpacing/>
        <w:jc w:val="both"/>
        <w:rPr>
          <w:sz w:val="24"/>
          <w:szCs w:val="24"/>
        </w:rPr>
      </w:pPr>
    </w:p>
    <w:p w14:paraId="4A3EF149">
      <w:pPr>
        <w:spacing w:after="0" w:line="240" w:lineRule="auto"/>
        <w:contextualSpacing/>
        <w:jc w:val="both"/>
        <w:rPr>
          <w:sz w:val="24"/>
          <w:szCs w:val="24"/>
        </w:rPr>
      </w:pPr>
    </w:p>
    <w:p w14:paraId="476BD076">
      <w:pPr>
        <w:pStyle w:val="2"/>
        <w:keepLines w:val="0"/>
        <w:pageBreakBefore/>
        <w:widowControl w:val="0"/>
        <w:spacing w:before="0" w:line="240" w:lineRule="auto"/>
        <w:ind w:left="0" w:firstLine="709"/>
        <w:contextualSpacing/>
        <w:rPr>
          <w:rFonts w:cs="Times New Roman"/>
          <w:b w:val="0"/>
          <w:sz w:val="24"/>
          <w:szCs w:val="24"/>
        </w:rPr>
      </w:pPr>
      <w:bookmarkStart w:id="844" w:name="_Toc524614938"/>
      <w:bookmarkStart w:id="845" w:name="_Toc524615154"/>
      <w:bookmarkStart w:id="846" w:name="_Toc182814101"/>
      <w:r>
        <w:rPr>
          <w:rFonts w:cs="Times New Roman"/>
          <w:b w:val="0"/>
          <w:sz w:val="24"/>
          <w:szCs w:val="24"/>
        </w:rPr>
        <w:t>Глава 17. Замечания и предложения к проекту схемы теплоснабжения</w:t>
      </w:r>
      <w:bookmarkEnd w:id="844"/>
      <w:bookmarkEnd w:id="845"/>
      <w:bookmarkEnd w:id="846"/>
    </w:p>
    <w:p w14:paraId="1EDB4A2E">
      <w:pPr>
        <w:pStyle w:val="3"/>
        <w:spacing w:before="0" w:line="240" w:lineRule="auto"/>
        <w:ind w:left="0" w:firstLine="709"/>
        <w:contextualSpacing/>
        <w:rPr>
          <w:rFonts w:cs="Times New Roman"/>
          <w:b w:val="0"/>
          <w:sz w:val="24"/>
          <w:szCs w:val="24"/>
        </w:rPr>
      </w:pPr>
      <w:bookmarkStart w:id="847" w:name="_Toc524614939"/>
      <w:bookmarkStart w:id="848" w:name="_Toc524615155"/>
      <w:bookmarkStart w:id="849" w:name="_Toc182814102"/>
      <w:r>
        <w:rPr>
          <w:rFonts w:cs="Times New Roman"/>
          <w:b w:val="0"/>
          <w:sz w:val="24"/>
          <w:szCs w:val="24"/>
        </w:rPr>
        <w:t>Перечень всех замечаний и предложений, поступивших при разработке, утверждении и актуализации схемы теплоснабжения</w:t>
      </w:r>
      <w:bookmarkEnd w:id="847"/>
      <w:bookmarkEnd w:id="848"/>
      <w:bookmarkEnd w:id="849"/>
    </w:p>
    <w:p w14:paraId="2D5DE5CB">
      <w:pPr>
        <w:spacing w:after="0" w:line="240" w:lineRule="auto"/>
        <w:contextualSpacing/>
        <w:jc w:val="both"/>
        <w:rPr>
          <w:sz w:val="24"/>
          <w:szCs w:val="24"/>
        </w:rPr>
      </w:pPr>
      <w:r>
        <w:rPr>
          <w:sz w:val="24"/>
          <w:szCs w:val="24"/>
        </w:rPr>
        <w:t>Замечания и предложения на момент разработки актуализированной схемы теплоснабжения отсутствуют.</w:t>
      </w:r>
    </w:p>
    <w:p w14:paraId="264AB0F7">
      <w:pPr>
        <w:spacing w:after="0" w:line="240" w:lineRule="auto"/>
        <w:contextualSpacing/>
        <w:jc w:val="both"/>
        <w:rPr>
          <w:i/>
          <w:sz w:val="24"/>
          <w:szCs w:val="24"/>
        </w:rPr>
      </w:pPr>
      <w:r>
        <w:rPr>
          <w:i/>
          <w:sz w:val="24"/>
          <w:szCs w:val="24"/>
        </w:rPr>
        <w:t>(Будет заполнено по итогам проверки проекта актуализации схемы теплоснабжения.)</w:t>
      </w:r>
    </w:p>
    <w:p w14:paraId="537AC045">
      <w:pPr>
        <w:spacing w:after="0" w:line="240" w:lineRule="auto"/>
        <w:contextualSpacing/>
        <w:jc w:val="both"/>
        <w:rPr>
          <w:sz w:val="24"/>
          <w:szCs w:val="24"/>
        </w:rPr>
      </w:pPr>
    </w:p>
    <w:p w14:paraId="49F51FFC">
      <w:pPr>
        <w:pStyle w:val="3"/>
        <w:spacing w:before="0" w:line="240" w:lineRule="auto"/>
        <w:ind w:left="0" w:firstLine="709"/>
        <w:contextualSpacing/>
        <w:rPr>
          <w:rFonts w:cs="Times New Roman"/>
          <w:b w:val="0"/>
          <w:sz w:val="24"/>
          <w:szCs w:val="24"/>
        </w:rPr>
      </w:pPr>
      <w:bookmarkStart w:id="850" w:name="_Toc182814103"/>
      <w:bookmarkStart w:id="851" w:name="_Toc524614940"/>
      <w:bookmarkStart w:id="852" w:name="_Toc524615156"/>
      <w:r>
        <w:rPr>
          <w:rFonts w:cs="Times New Roman"/>
          <w:b w:val="0"/>
          <w:sz w:val="24"/>
          <w:szCs w:val="24"/>
        </w:rPr>
        <w:t>Ответы разработчиков проекта схемы теплоснабжения на замечания и предложения</w:t>
      </w:r>
      <w:bookmarkEnd w:id="850"/>
      <w:bookmarkEnd w:id="851"/>
      <w:bookmarkEnd w:id="852"/>
    </w:p>
    <w:p w14:paraId="7A0FDCA9">
      <w:pPr>
        <w:spacing w:after="0" w:line="240" w:lineRule="auto"/>
        <w:contextualSpacing/>
        <w:jc w:val="both"/>
        <w:rPr>
          <w:sz w:val="24"/>
          <w:szCs w:val="24"/>
        </w:rPr>
      </w:pPr>
      <w:r>
        <w:rPr>
          <w:sz w:val="24"/>
          <w:szCs w:val="24"/>
        </w:rPr>
        <w:t>После устранения замечаний, разработчиком составляется акт согласования замечаний:</w:t>
      </w:r>
    </w:p>
    <w:p w14:paraId="1EB8230A">
      <w:pPr>
        <w:spacing w:after="0" w:line="240" w:lineRule="auto"/>
        <w:contextualSpacing/>
        <w:jc w:val="both"/>
        <w:rPr>
          <w:sz w:val="24"/>
          <w:szCs w:val="24"/>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4460"/>
        <w:gridCol w:w="4460"/>
      </w:tblGrid>
      <w:tr w14:paraId="479B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3331136E">
            <w:pPr>
              <w:spacing w:after="0" w:line="240" w:lineRule="auto"/>
              <w:ind w:firstLine="0"/>
              <w:contextualSpacing/>
              <w:jc w:val="center"/>
              <w:rPr>
                <w:bCs/>
                <w:sz w:val="20"/>
                <w:szCs w:val="20"/>
                <w:lang w:eastAsia="en-US"/>
              </w:rPr>
            </w:pPr>
            <w:r>
              <w:rPr>
                <w:bCs/>
                <w:sz w:val="20"/>
                <w:szCs w:val="20"/>
                <w:lang w:eastAsia="en-US"/>
              </w:rPr>
              <w:t>№ п/п</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644BBB03">
            <w:pPr>
              <w:spacing w:after="0" w:line="240" w:lineRule="auto"/>
              <w:ind w:firstLine="0"/>
              <w:contextualSpacing/>
              <w:jc w:val="center"/>
              <w:rPr>
                <w:bCs/>
                <w:sz w:val="20"/>
                <w:szCs w:val="20"/>
                <w:lang w:eastAsia="en-US"/>
              </w:rPr>
            </w:pPr>
            <w:r>
              <w:rPr>
                <w:bCs/>
                <w:sz w:val="20"/>
                <w:szCs w:val="20"/>
                <w:lang w:eastAsia="en-US"/>
              </w:rPr>
              <w:t xml:space="preserve">Замечания по актуализации </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465AA3E1">
            <w:pPr>
              <w:spacing w:after="0" w:line="240" w:lineRule="auto"/>
              <w:ind w:firstLine="0"/>
              <w:contextualSpacing/>
              <w:jc w:val="center"/>
              <w:rPr>
                <w:bCs/>
                <w:sz w:val="20"/>
                <w:szCs w:val="20"/>
                <w:lang w:eastAsia="en-US"/>
              </w:rPr>
            </w:pPr>
            <w:r>
              <w:rPr>
                <w:bCs/>
                <w:sz w:val="20"/>
                <w:szCs w:val="20"/>
                <w:lang w:eastAsia="en-US"/>
              </w:rPr>
              <w:t>Комментарий заказчика</w:t>
            </w:r>
          </w:p>
        </w:tc>
      </w:tr>
      <w:tr w14:paraId="7EAE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60797AFA">
            <w:pPr>
              <w:spacing w:after="0" w:line="240" w:lineRule="auto"/>
              <w:ind w:firstLine="0"/>
              <w:contextualSpacing/>
              <w:jc w:val="center"/>
              <w:rPr>
                <w:sz w:val="20"/>
                <w:szCs w:val="20"/>
                <w:lang w:eastAsia="en-US"/>
              </w:rPr>
            </w:pPr>
            <w:r>
              <w:rPr>
                <w:sz w:val="20"/>
                <w:szCs w:val="20"/>
                <w:lang w:eastAsia="en-US"/>
              </w:rPr>
              <w:t>1</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24667FE9">
            <w:pPr>
              <w:spacing w:after="0" w:line="240" w:lineRule="auto"/>
              <w:ind w:firstLine="0"/>
              <w:contextualSpacing/>
              <w:jc w:val="center"/>
              <w:rPr>
                <w:sz w:val="20"/>
                <w:szCs w:val="20"/>
                <w:lang w:eastAsia="en-US"/>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162B0E7E">
            <w:pPr>
              <w:spacing w:after="0" w:line="240" w:lineRule="auto"/>
              <w:ind w:firstLine="0"/>
              <w:contextualSpacing/>
              <w:jc w:val="center"/>
              <w:rPr>
                <w:sz w:val="20"/>
                <w:szCs w:val="20"/>
                <w:lang w:eastAsia="en-US"/>
              </w:rPr>
            </w:pPr>
          </w:p>
        </w:tc>
      </w:tr>
      <w:tr w14:paraId="6E34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304E75CF">
            <w:pPr>
              <w:spacing w:after="0" w:line="240" w:lineRule="auto"/>
              <w:ind w:firstLine="0"/>
              <w:contextualSpacing/>
              <w:jc w:val="center"/>
              <w:rPr>
                <w:sz w:val="20"/>
                <w:szCs w:val="20"/>
                <w:lang w:eastAsia="en-US"/>
              </w:rPr>
            </w:pPr>
            <w:r>
              <w:rPr>
                <w:sz w:val="20"/>
                <w:szCs w:val="20"/>
                <w:lang w:eastAsia="en-US"/>
              </w:rPr>
              <w:t>2</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4604A675">
            <w:pPr>
              <w:spacing w:after="0" w:line="240" w:lineRule="auto"/>
              <w:ind w:firstLine="0"/>
              <w:contextualSpacing/>
              <w:jc w:val="center"/>
              <w:rPr>
                <w:sz w:val="20"/>
                <w:szCs w:val="20"/>
                <w:lang w:eastAsia="en-US"/>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048E32A3">
            <w:pPr>
              <w:spacing w:after="0" w:line="240" w:lineRule="auto"/>
              <w:ind w:firstLine="0"/>
              <w:contextualSpacing/>
              <w:jc w:val="center"/>
              <w:rPr>
                <w:sz w:val="20"/>
                <w:szCs w:val="20"/>
                <w:lang w:eastAsia="en-US"/>
              </w:rPr>
            </w:pPr>
          </w:p>
        </w:tc>
      </w:tr>
      <w:tr w14:paraId="1ECD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2234744E">
            <w:pPr>
              <w:spacing w:after="0" w:line="240" w:lineRule="auto"/>
              <w:ind w:firstLine="0"/>
              <w:contextualSpacing/>
              <w:jc w:val="center"/>
              <w:rPr>
                <w:sz w:val="20"/>
                <w:szCs w:val="20"/>
                <w:lang w:eastAsia="en-US"/>
              </w:rPr>
            </w:pPr>
            <w:r>
              <w:rPr>
                <w:sz w:val="20"/>
                <w:szCs w:val="20"/>
                <w:lang w:eastAsia="en-US"/>
              </w:rPr>
              <w:t>3</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28EEE990">
            <w:pPr>
              <w:spacing w:after="0" w:line="240" w:lineRule="auto"/>
              <w:ind w:firstLine="0"/>
              <w:contextualSpacing/>
              <w:jc w:val="center"/>
              <w:rPr>
                <w:sz w:val="20"/>
                <w:szCs w:val="20"/>
                <w:lang w:eastAsia="en-US"/>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14:paraId="1E22786B">
            <w:pPr>
              <w:spacing w:after="0" w:line="240" w:lineRule="auto"/>
              <w:ind w:firstLine="0"/>
              <w:contextualSpacing/>
              <w:jc w:val="center"/>
              <w:rPr>
                <w:sz w:val="20"/>
                <w:szCs w:val="20"/>
                <w:lang w:eastAsia="en-US"/>
              </w:rPr>
            </w:pPr>
          </w:p>
        </w:tc>
      </w:tr>
    </w:tbl>
    <w:p w14:paraId="485D78A0">
      <w:pPr>
        <w:spacing w:after="0" w:line="240" w:lineRule="auto"/>
        <w:contextualSpacing/>
        <w:jc w:val="both"/>
        <w:rPr>
          <w:sz w:val="24"/>
          <w:szCs w:val="24"/>
        </w:rPr>
      </w:pPr>
    </w:p>
    <w:p w14:paraId="28975217">
      <w:pPr>
        <w:pStyle w:val="3"/>
        <w:spacing w:before="0" w:line="240" w:lineRule="auto"/>
        <w:ind w:left="0" w:firstLine="709"/>
        <w:contextualSpacing/>
        <w:rPr>
          <w:rFonts w:cs="Times New Roman"/>
          <w:b w:val="0"/>
          <w:sz w:val="24"/>
          <w:szCs w:val="24"/>
        </w:rPr>
      </w:pPr>
      <w:bookmarkStart w:id="853" w:name="_Toc524614941"/>
      <w:bookmarkStart w:id="854" w:name="_Toc524615157"/>
      <w:bookmarkStart w:id="855" w:name="_Toc182814104"/>
      <w:r>
        <w:rPr>
          <w:rFonts w:cs="Times New Roman"/>
          <w:b w:val="0"/>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53"/>
      <w:bookmarkEnd w:id="854"/>
      <w:bookmarkEnd w:id="855"/>
    </w:p>
    <w:p w14:paraId="7E72F6AF">
      <w:pPr>
        <w:spacing w:after="0" w:line="240" w:lineRule="auto"/>
        <w:jc w:val="both"/>
        <w:rPr>
          <w:sz w:val="24"/>
          <w:szCs w:val="24"/>
        </w:rPr>
      </w:pPr>
      <w:r>
        <w:rPr>
          <w:sz w:val="24"/>
          <w:szCs w:val="24"/>
        </w:rPr>
        <w:t>Перечень учтенных замечаний и предложений представлен в Акте согласования замечаний.</w:t>
      </w:r>
    </w:p>
    <w:p w14:paraId="745EA8CB">
      <w:pPr>
        <w:spacing w:after="0" w:line="240" w:lineRule="auto"/>
        <w:contextualSpacing/>
        <w:jc w:val="both"/>
        <w:rPr>
          <w:sz w:val="24"/>
          <w:szCs w:val="24"/>
        </w:rPr>
      </w:pPr>
    </w:p>
    <w:p w14:paraId="77D25361">
      <w:pPr>
        <w:pStyle w:val="2"/>
        <w:keepLines w:val="0"/>
        <w:pageBreakBefore/>
        <w:widowControl w:val="0"/>
        <w:spacing w:before="0" w:line="240" w:lineRule="auto"/>
        <w:ind w:left="0" w:firstLine="709"/>
        <w:contextualSpacing/>
        <w:rPr>
          <w:rFonts w:cs="Times New Roman"/>
          <w:b w:val="0"/>
          <w:sz w:val="24"/>
          <w:szCs w:val="24"/>
        </w:rPr>
      </w:pPr>
      <w:bookmarkStart w:id="856" w:name="_Toc524614942"/>
      <w:bookmarkStart w:id="857" w:name="_Toc182814105"/>
      <w:bookmarkStart w:id="858" w:name="_Toc524615158"/>
      <w:r>
        <w:rPr>
          <w:rFonts w:cs="Times New Roman"/>
          <w:b w:val="0"/>
          <w:sz w:val="24"/>
          <w:szCs w:val="24"/>
        </w:rPr>
        <w:t>Глава 18. Сводный том изменений, выполненных в доработанной и (или) актуализированной схеме теплоснабжения</w:t>
      </w:r>
      <w:bookmarkEnd w:id="856"/>
      <w:bookmarkEnd w:id="857"/>
      <w:bookmarkEnd w:id="858"/>
    </w:p>
    <w:p w14:paraId="78ADE459">
      <w:pPr>
        <w:pStyle w:val="3"/>
        <w:spacing w:before="0" w:line="240" w:lineRule="auto"/>
        <w:ind w:left="0" w:firstLine="709"/>
        <w:contextualSpacing/>
        <w:rPr>
          <w:rFonts w:cs="Times New Roman"/>
          <w:b w:val="0"/>
          <w:sz w:val="24"/>
          <w:szCs w:val="24"/>
        </w:rPr>
      </w:pPr>
      <w:bookmarkStart w:id="859" w:name="_Toc182814106"/>
      <w:bookmarkStart w:id="860" w:name="_Toc524614943"/>
      <w:bookmarkStart w:id="861" w:name="_Toc524615159"/>
      <w:r>
        <w:rPr>
          <w:rFonts w:cs="Times New Roman"/>
          <w:b w:val="0"/>
          <w:sz w:val="24"/>
          <w:szCs w:val="24"/>
        </w:rPr>
        <w:t>Реестр изменений, внесенных в доработанную и (или) актуализированную схему теплоснабжения</w:t>
      </w:r>
      <w:bookmarkEnd w:id="859"/>
    </w:p>
    <w:p w14:paraId="3B5B6C7D">
      <w:pPr>
        <w:spacing w:after="0" w:line="240" w:lineRule="auto"/>
        <w:contextualSpacing/>
        <w:jc w:val="both"/>
        <w:rPr>
          <w:sz w:val="24"/>
          <w:szCs w:val="24"/>
        </w:rPr>
      </w:pPr>
      <w:r>
        <w:rPr>
          <w:sz w:val="24"/>
          <w:szCs w:val="24"/>
        </w:rPr>
        <w:t>Схема теплоснабжения с.п. Верхнеказымский на период до 2029 года разработана в соответствии с Постановлением Правительства Российской Федерации № 154 от 22 февраля 2012 года с учетом изменений в хозяйственной деятельности рассматриваемых зон действия централизованных систем теплоснабжения и базового года.</w:t>
      </w:r>
    </w:p>
    <w:p w14:paraId="69EA52A4">
      <w:pPr>
        <w:spacing w:after="0" w:line="240" w:lineRule="auto"/>
        <w:contextualSpacing/>
        <w:jc w:val="both"/>
        <w:rPr>
          <w:sz w:val="24"/>
          <w:szCs w:val="24"/>
        </w:rPr>
      </w:pPr>
      <w:r>
        <w:rPr>
          <w:sz w:val="24"/>
          <w:szCs w:val="24"/>
        </w:rPr>
        <w:t>Реестр изменений, внесенных в разработанную схему теплоснабжения представлен в таблице 76.</w:t>
      </w:r>
    </w:p>
    <w:p w14:paraId="44C26EED">
      <w:pPr>
        <w:spacing w:after="0" w:line="240" w:lineRule="auto"/>
        <w:contextualSpacing/>
        <w:jc w:val="both"/>
        <w:rPr>
          <w:sz w:val="24"/>
          <w:szCs w:val="24"/>
        </w:rPr>
      </w:pPr>
    </w:p>
    <w:p w14:paraId="5790AAAF">
      <w:pPr>
        <w:spacing w:after="0" w:line="240" w:lineRule="auto"/>
        <w:ind w:firstLine="0"/>
        <w:contextualSpacing/>
        <w:jc w:val="both"/>
        <w:rPr>
          <w:sz w:val="24"/>
          <w:szCs w:val="24"/>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76</w:t>
      </w:r>
      <w:r>
        <w:rPr>
          <w:sz w:val="24"/>
          <w:szCs w:val="24"/>
        </w:rPr>
        <w:fldChar w:fldCharType="end"/>
      </w:r>
      <w:r>
        <w:rPr>
          <w:sz w:val="24"/>
          <w:szCs w:val="24"/>
        </w:rPr>
        <w:t xml:space="preserve"> – Реестр изменений, внесенных в разработанную схему теплоснабжения</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49"/>
        <w:gridCol w:w="4845"/>
      </w:tblGrid>
      <w:tr w14:paraId="625C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501" w:type="pct"/>
            <w:vAlign w:val="center"/>
          </w:tcPr>
          <w:p w14:paraId="047D83CC">
            <w:pPr>
              <w:widowControl w:val="0"/>
              <w:spacing w:after="0" w:line="240" w:lineRule="auto"/>
              <w:ind w:firstLine="0"/>
              <w:contextualSpacing/>
              <w:jc w:val="center"/>
              <w:rPr>
                <w:bCs/>
                <w:sz w:val="20"/>
                <w:szCs w:val="20"/>
              </w:rPr>
            </w:pPr>
            <w:r>
              <w:rPr>
                <w:bCs/>
                <w:sz w:val="20"/>
                <w:szCs w:val="20"/>
              </w:rPr>
              <w:t>Наименование</w:t>
            </w:r>
          </w:p>
        </w:tc>
        <w:tc>
          <w:tcPr>
            <w:tcW w:w="2499" w:type="pct"/>
            <w:vAlign w:val="center"/>
          </w:tcPr>
          <w:p w14:paraId="764DAAEE">
            <w:pPr>
              <w:widowControl w:val="0"/>
              <w:spacing w:after="0" w:line="240" w:lineRule="auto"/>
              <w:ind w:firstLine="0"/>
              <w:contextualSpacing/>
              <w:jc w:val="center"/>
              <w:rPr>
                <w:bCs/>
                <w:sz w:val="20"/>
                <w:szCs w:val="20"/>
              </w:rPr>
            </w:pPr>
            <w:r>
              <w:rPr>
                <w:bCs/>
                <w:sz w:val="20"/>
                <w:szCs w:val="20"/>
              </w:rPr>
              <w:t>Внесенные изменения</w:t>
            </w:r>
          </w:p>
        </w:tc>
      </w:tr>
      <w:tr w14:paraId="1265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2A88A4F8">
            <w:pPr>
              <w:widowControl w:val="0"/>
              <w:spacing w:after="0" w:line="240" w:lineRule="auto"/>
              <w:ind w:firstLine="0"/>
              <w:contextualSpacing/>
              <w:rPr>
                <w:bCs/>
                <w:sz w:val="20"/>
                <w:szCs w:val="20"/>
              </w:rPr>
            </w:pPr>
            <w:r>
              <w:rPr>
                <w:bCs/>
                <w:sz w:val="20"/>
                <w:szCs w:val="20"/>
              </w:rPr>
              <w:t>Том 1. Обосновывающие материалы</w:t>
            </w:r>
          </w:p>
        </w:tc>
        <w:tc>
          <w:tcPr>
            <w:tcW w:w="2499" w:type="pct"/>
            <w:vAlign w:val="center"/>
          </w:tcPr>
          <w:p w14:paraId="328F9FCD">
            <w:pPr>
              <w:widowControl w:val="0"/>
              <w:spacing w:after="0" w:line="240" w:lineRule="auto"/>
              <w:ind w:firstLine="0"/>
              <w:contextualSpacing/>
              <w:rPr>
                <w:bCs/>
                <w:sz w:val="20"/>
                <w:szCs w:val="20"/>
                <w:highlight w:val="yellow"/>
              </w:rPr>
            </w:pPr>
          </w:p>
        </w:tc>
      </w:tr>
      <w:tr w14:paraId="13AB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5A946780">
            <w:pPr>
              <w:widowControl w:val="0"/>
              <w:spacing w:after="0" w:line="240" w:lineRule="auto"/>
              <w:ind w:firstLine="0"/>
              <w:contextualSpacing/>
              <w:rPr>
                <w:bCs/>
                <w:sz w:val="20"/>
                <w:szCs w:val="20"/>
              </w:rPr>
            </w:pPr>
            <w:r>
              <w:rPr>
                <w:bC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2499" w:type="pct"/>
            <w:vAlign w:val="center"/>
          </w:tcPr>
          <w:p w14:paraId="715ADC6B">
            <w:pPr>
              <w:widowControl w:val="0"/>
              <w:spacing w:after="0" w:line="240" w:lineRule="auto"/>
              <w:ind w:firstLine="0"/>
              <w:contextualSpacing/>
              <w:rPr>
                <w:bCs/>
                <w:sz w:val="20"/>
                <w:szCs w:val="20"/>
                <w:highlight w:val="yellow"/>
              </w:rPr>
            </w:pPr>
            <w:r>
              <w:rPr>
                <w:bCs/>
                <w:sz w:val="20"/>
                <w:szCs w:val="20"/>
              </w:rPr>
              <w:t>Все отчетные показатели приведены к значениям базового 2023 г.</w:t>
            </w:r>
          </w:p>
        </w:tc>
      </w:tr>
      <w:tr w14:paraId="2512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0F9496BD">
            <w:pPr>
              <w:widowControl w:val="0"/>
              <w:spacing w:after="0" w:line="240" w:lineRule="auto"/>
              <w:ind w:firstLine="0"/>
              <w:contextualSpacing/>
              <w:rPr>
                <w:bCs/>
                <w:sz w:val="20"/>
                <w:szCs w:val="20"/>
              </w:rPr>
            </w:pPr>
            <w:r>
              <w:rPr>
                <w:bCs/>
                <w:sz w:val="20"/>
                <w:szCs w:val="20"/>
              </w:rPr>
              <w:t>Глава 2 «Существующее и перспективное потребление тепловой энергии на цели теплоснабжения»</w:t>
            </w:r>
          </w:p>
        </w:tc>
        <w:tc>
          <w:tcPr>
            <w:tcW w:w="2499" w:type="pct"/>
            <w:vAlign w:val="center"/>
          </w:tcPr>
          <w:p w14:paraId="580CEFE6">
            <w:pPr>
              <w:widowControl w:val="0"/>
              <w:spacing w:after="0" w:line="240" w:lineRule="auto"/>
              <w:ind w:firstLine="0"/>
              <w:contextualSpacing/>
              <w:rPr>
                <w:bCs/>
                <w:sz w:val="20"/>
                <w:szCs w:val="20"/>
                <w:highlight w:val="yellow"/>
              </w:rPr>
            </w:pPr>
            <w:r>
              <w:rPr>
                <w:bCs/>
                <w:sz w:val="20"/>
                <w:szCs w:val="20"/>
              </w:rPr>
              <w:t>Глава актуализирована с учетом данных базового периода</w:t>
            </w:r>
          </w:p>
        </w:tc>
      </w:tr>
      <w:tr w14:paraId="29DD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42926D02">
            <w:pPr>
              <w:widowControl w:val="0"/>
              <w:spacing w:after="0" w:line="240" w:lineRule="auto"/>
              <w:ind w:firstLine="0"/>
              <w:contextualSpacing/>
              <w:rPr>
                <w:bCs/>
                <w:sz w:val="20"/>
                <w:szCs w:val="20"/>
              </w:rPr>
            </w:pPr>
            <w:r>
              <w:rPr>
                <w:bCs/>
                <w:sz w:val="20"/>
                <w:szCs w:val="20"/>
              </w:rPr>
              <w:t>Глава 3 «Электронная модель системы теплоснабжения поселения, городского округа, города федерального значения»</w:t>
            </w:r>
          </w:p>
        </w:tc>
        <w:tc>
          <w:tcPr>
            <w:tcW w:w="2499" w:type="pct"/>
            <w:vAlign w:val="center"/>
          </w:tcPr>
          <w:p w14:paraId="17DB09BA">
            <w:pPr>
              <w:widowControl w:val="0"/>
              <w:spacing w:after="0" w:line="240" w:lineRule="auto"/>
              <w:ind w:firstLine="0"/>
              <w:contextualSpacing/>
              <w:rPr>
                <w:bCs/>
                <w:sz w:val="20"/>
                <w:szCs w:val="20"/>
                <w:highlight w:val="yellow"/>
              </w:rPr>
            </w:pPr>
            <w:r>
              <w:rPr>
                <w:bCs/>
                <w:sz w:val="20"/>
                <w:szCs w:val="20"/>
              </w:rPr>
              <w:t>В электронную модель с.п. Верхнеказымский добавлены потребители, подключенные к системам централизованного теплоснабжения в 2023 г. Отражены соответствующие новые участки подключения данных потребителей.</w:t>
            </w:r>
          </w:p>
        </w:tc>
      </w:tr>
      <w:tr w14:paraId="3649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7BDBD73B">
            <w:pPr>
              <w:widowControl w:val="0"/>
              <w:spacing w:after="0" w:line="240" w:lineRule="auto"/>
              <w:ind w:firstLine="0"/>
              <w:contextualSpacing/>
              <w:rPr>
                <w:bCs/>
                <w:sz w:val="20"/>
                <w:szCs w:val="20"/>
              </w:rPr>
            </w:pPr>
            <w:r>
              <w:rPr>
                <w:bCs/>
                <w:sz w:val="20"/>
                <w:szCs w:val="20"/>
              </w:rPr>
              <w:t>Глава 4«Существующие и перспективные балансы тепловой мощности источников тепловой энергии и тепловой нагрузки потребителей»</w:t>
            </w:r>
          </w:p>
        </w:tc>
        <w:tc>
          <w:tcPr>
            <w:tcW w:w="2499" w:type="pct"/>
            <w:vAlign w:val="center"/>
          </w:tcPr>
          <w:p w14:paraId="7EC6A5AD">
            <w:pPr>
              <w:widowControl w:val="0"/>
              <w:spacing w:after="0" w:line="240" w:lineRule="auto"/>
              <w:ind w:firstLine="0"/>
              <w:contextualSpacing/>
              <w:rPr>
                <w:bCs/>
                <w:sz w:val="20"/>
                <w:szCs w:val="20"/>
              </w:rPr>
            </w:pPr>
            <w:r>
              <w:rPr>
                <w:bCs/>
                <w:sz w:val="20"/>
                <w:szCs w:val="20"/>
              </w:rPr>
              <w:t>Значения существующих балансов тепловой мощности источников тепловой энергии и тепловой нагрузки потребителей изменены в соответствии с тепловой мощностью источников тепловой энергии и тепловой нагрузкой потребителей на 01.01. 2023 года. Значения перспективных балансов тепловой мощности источников тепловой энергии и тепловой нагрузки потребителей изменены в соответствии с перспективными планами развития системы теплоснабжения на территории с.п. Верхнеказымский.</w:t>
            </w:r>
          </w:p>
        </w:tc>
      </w:tr>
      <w:tr w14:paraId="4A3A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44CC8E4C">
            <w:pPr>
              <w:widowControl w:val="0"/>
              <w:spacing w:after="0" w:line="240" w:lineRule="auto"/>
              <w:ind w:firstLine="0"/>
              <w:contextualSpacing/>
              <w:rPr>
                <w:bCs/>
                <w:sz w:val="20"/>
                <w:szCs w:val="20"/>
              </w:rPr>
            </w:pPr>
            <w:r>
              <w:rPr>
                <w:bCs/>
                <w:sz w:val="20"/>
                <w:szCs w:val="20"/>
              </w:rPr>
              <w:t>Глава 5 «Мастер-план развития систем теплоснабжения поселения, городского округа, города федерального значения»</w:t>
            </w:r>
          </w:p>
        </w:tc>
        <w:tc>
          <w:tcPr>
            <w:tcW w:w="2499" w:type="pct"/>
            <w:vAlign w:val="center"/>
          </w:tcPr>
          <w:p w14:paraId="040CEB3F">
            <w:pPr>
              <w:widowControl w:val="0"/>
              <w:spacing w:after="0" w:line="240" w:lineRule="auto"/>
              <w:ind w:firstLine="0"/>
              <w:contextualSpacing/>
              <w:rPr>
                <w:bCs/>
                <w:sz w:val="20"/>
                <w:szCs w:val="20"/>
              </w:rPr>
            </w:pPr>
            <w:r>
              <w:rPr>
                <w:bCs/>
                <w:sz w:val="20"/>
                <w:szCs w:val="20"/>
              </w:rPr>
              <w:t>Без изменений</w:t>
            </w:r>
          </w:p>
        </w:tc>
      </w:tr>
      <w:tr w14:paraId="6F59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75E3F985">
            <w:pPr>
              <w:widowControl w:val="0"/>
              <w:spacing w:after="0" w:line="240" w:lineRule="auto"/>
              <w:ind w:firstLine="0"/>
              <w:contextualSpacing/>
              <w:rPr>
                <w:bCs/>
                <w:sz w:val="20"/>
                <w:szCs w:val="20"/>
              </w:rPr>
            </w:pPr>
            <w:r>
              <w:rPr>
                <w:bC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499" w:type="pct"/>
            <w:vAlign w:val="center"/>
          </w:tcPr>
          <w:p w14:paraId="0CF0907A">
            <w:pPr>
              <w:widowControl w:val="0"/>
              <w:spacing w:after="0" w:line="240" w:lineRule="auto"/>
              <w:ind w:firstLine="0"/>
              <w:contextualSpacing/>
              <w:rPr>
                <w:bCs/>
                <w:sz w:val="20"/>
                <w:szCs w:val="20"/>
                <w:highlight w:val="yellow"/>
              </w:rPr>
            </w:pPr>
            <w:r>
              <w:rPr>
                <w:bCs/>
                <w:sz w:val="20"/>
                <w:szCs w:val="20"/>
              </w:rPr>
              <w:t>Расчет балансов производительности водоподготовительных установок актуализирован в соответствии с изменениями объемов теплоносителя из-за подключения новых абонентов.</w:t>
            </w:r>
          </w:p>
        </w:tc>
      </w:tr>
      <w:tr w14:paraId="28FD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0DCBAD32">
            <w:pPr>
              <w:widowControl w:val="0"/>
              <w:spacing w:after="0" w:line="240" w:lineRule="auto"/>
              <w:ind w:firstLine="0"/>
              <w:contextualSpacing/>
              <w:rPr>
                <w:bCs/>
                <w:sz w:val="20"/>
                <w:szCs w:val="20"/>
              </w:rPr>
            </w:pPr>
            <w:r>
              <w:rPr>
                <w:bCs/>
                <w:sz w:val="20"/>
                <w:szCs w:val="20"/>
              </w:rPr>
              <w:t>Глава 7 «Предложения по строительству, реконструкции, техническому перевооружению и (или) модернизации источников тепловой энергии»</w:t>
            </w:r>
          </w:p>
        </w:tc>
        <w:tc>
          <w:tcPr>
            <w:tcW w:w="2499" w:type="pct"/>
            <w:vAlign w:val="center"/>
          </w:tcPr>
          <w:p w14:paraId="2238F8CC">
            <w:pPr>
              <w:widowControl w:val="0"/>
              <w:spacing w:after="0" w:line="240" w:lineRule="auto"/>
              <w:ind w:firstLine="0"/>
              <w:contextualSpacing/>
              <w:rPr>
                <w:bCs/>
                <w:sz w:val="20"/>
                <w:szCs w:val="20"/>
              </w:rPr>
            </w:pPr>
            <w:r>
              <w:rPr>
                <w:bCs/>
                <w:sz w:val="20"/>
                <w:szCs w:val="20"/>
              </w:rPr>
              <w:t xml:space="preserve">Глава актуализирована в части стоимости и сроков мероприятий, планируемых к проведению на источниках тепловой энергии. </w:t>
            </w:r>
          </w:p>
        </w:tc>
      </w:tr>
      <w:tr w14:paraId="447E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5179FAE6">
            <w:pPr>
              <w:widowControl w:val="0"/>
              <w:spacing w:after="0" w:line="240" w:lineRule="auto"/>
              <w:ind w:firstLine="0"/>
              <w:contextualSpacing/>
              <w:rPr>
                <w:bCs/>
                <w:sz w:val="20"/>
                <w:szCs w:val="20"/>
              </w:rPr>
            </w:pPr>
            <w:r>
              <w:rPr>
                <w:bCs/>
                <w:sz w:val="20"/>
                <w:szCs w:val="20"/>
              </w:rPr>
              <w:t>Глава 8 «Предложения по строительству, реконструкции и (или) модернизации тепловых сетей»</w:t>
            </w:r>
          </w:p>
        </w:tc>
        <w:tc>
          <w:tcPr>
            <w:tcW w:w="2499" w:type="pct"/>
            <w:vAlign w:val="center"/>
          </w:tcPr>
          <w:p w14:paraId="3706C9DB">
            <w:pPr>
              <w:widowControl w:val="0"/>
              <w:spacing w:after="0" w:line="240" w:lineRule="auto"/>
              <w:ind w:firstLine="0"/>
              <w:contextualSpacing/>
              <w:rPr>
                <w:bCs/>
                <w:sz w:val="20"/>
                <w:szCs w:val="20"/>
              </w:rPr>
            </w:pPr>
            <w:r>
              <w:rPr>
                <w:bCs/>
                <w:sz w:val="20"/>
                <w:szCs w:val="20"/>
              </w:rPr>
              <w:t xml:space="preserve">Книга актуализирована в части стоимости и сроков мероприятий, планируемых к проведению на тепловых сетях. </w:t>
            </w:r>
          </w:p>
        </w:tc>
      </w:tr>
      <w:tr w14:paraId="598F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527A1B06">
            <w:pPr>
              <w:widowControl w:val="0"/>
              <w:spacing w:after="0" w:line="240" w:lineRule="auto"/>
              <w:ind w:firstLine="0"/>
              <w:contextualSpacing/>
              <w:rPr>
                <w:bCs/>
                <w:sz w:val="20"/>
                <w:szCs w:val="20"/>
              </w:rPr>
            </w:pPr>
            <w:r>
              <w:rPr>
                <w:bC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2499" w:type="pct"/>
            <w:vAlign w:val="center"/>
          </w:tcPr>
          <w:p w14:paraId="4B82C86D">
            <w:pPr>
              <w:widowControl w:val="0"/>
              <w:spacing w:after="0" w:line="240" w:lineRule="auto"/>
              <w:ind w:firstLine="0"/>
              <w:contextualSpacing/>
              <w:rPr>
                <w:bCs/>
                <w:sz w:val="20"/>
                <w:szCs w:val="20"/>
              </w:rPr>
            </w:pPr>
            <w:r>
              <w:rPr>
                <w:bCs/>
                <w:sz w:val="20"/>
                <w:szCs w:val="20"/>
              </w:rPr>
              <w:t>Без изменений</w:t>
            </w:r>
          </w:p>
        </w:tc>
      </w:tr>
      <w:tr w14:paraId="369F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50A51B68">
            <w:pPr>
              <w:widowControl w:val="0"/>
              <w:spacing w:after="0" w:line="240" w:lineRule="auto"/>
              <w:ind w:firstLine="0"/>
              <w:contextualSpacing/>
              <w:rPr>
                <w:bCs/>
                <w:sz w:val="20"/>
                <w:szCs w:val="20"/>
              </w:rPr>
            </w:pPr>
            <w:r>
              <w:rPr>
                <w:bCs/>
                <w:sz w:val="20"/>
                <w:szCs w:val="20"/>
              </w:rPr>
              <w:t>Глава 10 «Перспективные топливные балансы»</w:t>
            </w:r>
          </w:p>
        </w:tc>
        <w:tc>
          <w:tcPr>
            <w:tcW w:w="2499" w:type="pct"/>
            <w:vAlign w:val="center"/>
          </w:tcPr>
          <w:p w14:paraId="6A218A10">
            <w:pPr>
              <w:widowControl w:val="0"/>
              <w:spacing w:after="0" w:line="240" w:lineRule="auto"/>
              <w:ind w:firstLine="0"/>
              <w:contextualSpacing/>
              <w:rPr>
                <w:bCs/>
                <w:sz w:val="20"/>
                <w:szCs w:val="20"/>
                <w:highlight w:val="yellow"/>
              </w:rPr>
            </w:pPr>
            <w:r>
              <w:rPr>
                <w:bCs/>
                <w:sz w:val="20"/>
                <w:szCs w:val="20"/>
              </w:rPr>
              <w:t>Актуализированы значения выработки и отпусков с коллекторов для котельных, участвующих в системе централизованного теплоснабжения с.п. Верхнеказымский. Приведены актуализированные значения УРУТ на отпуск тепловой энергии.</w:t>
            </w:r>
          </w:p>
        </w:tc>
      </w:tr>
      <w:tr w14:paraId="5AC9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49D14CBB">
            <w:pPr>
              <w:widowControl w:val="0"/>
              <w:spacing w:after="0" w:line="240" w:lineRule="auto"/>
              <w:ind w:firstLine="0"/>
              <w:contextualSpacing/>
              <w:rPr>
                <w:bCs/>
                <w:sz w:val="20"/>
                <w:szCs w:val="20"/>
              </w:rPr>
            </w:pPr>
            <w:r>
              <w:rPr>
                <w:bCs/>
                <w:sz w:val="20"/>
                <w:szCs w:val="20"/>
              </w:rPr>
              <w:t>Глава 11 «Оценка надежности теплоснабжения»</w:t>
            </w:r>
          </w:p>
        </w:tc>
        <w:tc>
          <w:tcPr>
            <w:tcW w:w="2499" w:type="pct"/>
            <w:vAlign w:val="center"/>
          </w:tcPr>
          <w:p w14:paraId="34B45D25">
            <w:pPr>
              <w:widowControl w:val="0"/>
              <w:spacing w:after="0" w:line="240" w:lineRule="auto"/>
              <w:ind w:firstLine="0"/>
              <w:contextualSpacing/>
              <w:rPr>
                <w:bCs/>
                <w:sz w:val="20"/>
                <w:szCs w:val="20"/>
                <w:highlight w:val="yellow"/>
              </w:rPr>
            </w:pPr>
            <w:r>
              <w:rPr>
                <w:bCs/>
                <w:sz w:val="20"/>
                <w:szCs w:val="20"/>
              </w:rPr>
              <w:t>Без изменений.</w:t>
            </w:r>
          </w:p>
        </w:tc>
      </w:tr>
      <w:tr w14:paraId="0846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3D7BB3FA">
            <w:pPr>
              <w:widowControl w:val="0"/>
              <w:spacing w:after="0" w:line="240" w:lineRule="auto"/>
              <w:ind w:firstLine="0"/>
              <w:contextualSpacing/>
              <w:rPr>
                <w:bCs/>
                <w:sz w:val="20"/>
                <w:szCs w:val="20"/>
              </w:rPr>
            </w:pPr>
            <w:r>
              <w:rPr>
                <w:bCs/>
                <w:sz w:val="20"/>
                <w:szCs w:val="20"/>
              </w:rPr>
              <w:t>Глава 12 «Обоснование инвестиций в строительство, реконструкцию, техническое перевооружение и (или) модернизацию»</w:t>
            </w:r>
          </w:p>
        </w:tc>
        <w:tc>
          <w:tcPr>
            <w:tcW w:w="2499" w:type="pct"/>
            <w:vAlign w:val="center"/>
          </w:tcPr>
          <w:p w14:paraId="4FF3F430">
            <w:pPr>
              <w:widowControl w:val="0"/>
              <w:spacing w:after="0" w:line="240" w:lineRule="auto"/>
              <w:ind w:firstLine="0"/>
              <w:contextualSpacing/>
              <w:rPr>
                <w:bCs/>
                <w:sz w:val="20"/>
                <w:szCs w:val="20"/>
                <w:highlight w:val="yellow"/>
              </w:rPr>
            </w:pPr>
            <w:r>
              <w:rPr>
                <w:bCs/>
                <w:sz w:val="20"/>
                <w:szCs w:val="20"/>
              </w:rPr>
              <w:t>Глава актуализирована в части объемов капитальных затрат по группам мероприятий, указанных в реестре проектов к Схеме теплоснабжения.</w:t>
            </w:r>
          </w:p>
        </w:tc>
      </w:tr>
      <w:tr w14:paraId="0ECF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2BA01D96">
            <w:pPr>
              <w:widowControl w:val="0"/>
              <w:spacing w:after="0" w:line="240" w:lineRule="auto"/>
              <w:ind w:firstLine="0"/>
              <w:contextualSpacing/>
              <w:rPr>
                <w:bCs/>
                <w:sz w:val="20"/>
                <w:szCs w:val="20"/>
              </w:rPr>
            </w:pPr>
            <w:r>
              <w:rPr>
                <w:bCs/>
                <w:sz w:val="20"/>
                <w:szCs w:val="20"/>
              </w:rPr>
              <w:t>Глава 13 «Индикаторы развития систем теплоснабжения поселения, городского округа, города федерального значения»</w:t>
            </w:r>
          </w:p>
        </w:tc>
        <w:tc>
          <w:tcPr>
            <w:tcW w:w="2499" w:type="pct"/>
            <w:vAlign w:val="center"/>
          </w:tcPr>
          <w:p w14:paraId="32B0F22B">
            <w:pPr>
              <w:widowControl w:val="0"/>
              <w:spacing w:after="0" w:line="240" w:lineRule="auto"/>
              <w:ind w:firstLine="0"/>
              <w:contextualSpacing/>
              <w:rPr>
                <w:bCs/>
                <w:sz w:val="20"/>
                <w:szCs w:val="20"/>
              </w:rPr>
            </w:pPr>
            <w:r>
              <w:rPr>
                <w:bCs/>
                <w:sz w:val="20"/>
                <w:szCs w:val="20"/>
              </w:rPr>
              <w:t>Глава актуализирована с учетом базовых показателей за 2023 год</w:t>
            </w:r>
          </w:p>
        </w:tc>
      </w:tr>
      <w:tr w14:paraId="2481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06718A96">
            <w:pPr>
              <w:widowControl w:val="0"/>
              <w:spacing w:after="0" w:line="240" w:lineRule="auto"/>
              <w:ind w:firstLine="0"/>
              <w:contextualSpacing/>
              <w:rPr>
                <w:bCs/>
                <w:sz w:val="20"/>
                <w:szCs w:val="20"/>
              </w:rPr>
            </w:pPr>
            <w:r>
              <w:rPr>
                <w:bCs/>
                <w:sz w:val="20"/>
                <w:szCs w:val="20"/>
              </w:rPr>
              <w:t>Глава 14 «Ценовые (тарифные) последствия»</w:t>
            </w:r>
          </w:p>
        </w:tc>
        <w:tc>
          <w:tcPr>
            <w:tcW w:w="2499" w:type="pct"/>
            <w:vAlign w:val="center"/>
          </w:tcPr>
          <w:p w14:paraId="6BB250C7">
            <w:pPr>
              <w:widowControl w:val="0"/>
              <w:spacing w:after="0" w:line="240" w:lineRule="auto"/>
              <w:ind w:firstLine="0"/>
              <w:contextualSpacing/>
              <w:rPr>
                <w:bCs/>
                <w:sz w:val="20"/>
                <w:szCs w:val="20"/>
              </w:rPr>
            </w:pPr>
            <w:r>
              <w:rPr>
                <w:bCs/>
                <w:sz w:val="20"/>
                <w:szCs w:val="20"/>
              </w:rPr>
              <w:t>Глава актуализирована с учетом базовых показателей за 2023 год</w:t>
            </w:r>
          </w:p>
        </w:tc>
      </w:tr>
      <w:tr w14:paraId="2285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5E65F964">
            <w:pPr>
              <w:widowControl w:val="0"/>
              <w:spacing w:after="0" w:line="240" w:lineRule="auto"/>
              <w:ind w:firstLine="0"/>
              <w:contextualSpacing/>
              <w:rPr>
                <w:bCs/>
                <w:sz w:val="20"/>
                <w:szCs w:val="20"/>
              </w:rPr>
            </w:pPr>
            <w:r>
              <w:rPr>
                <w:bCs/>
                <w:sz w:val="20"/>
                <w:szCs w:val="20"/>
              </w:rPr>
              <w:t>Глава 15 «Реестр единых теплоснабжающих организаций»</w:t>
            </w:r>
          </w:p>
        </w:tc>
        <w:tc>
          <w:tcPr>
            <w:tcW w:w="2499" w:type="pct"/>
            <w:vAlign w:val="center"/>
          </w:tcPr>
          <w:p w14:paraId="012DE4BB">
            <w:pPr>
              <w:widowControl w:val="0"/>
              <w:spacing w:after="0" w:line="240" w:lineRule="auto"/>
              <w:ind w:firstLine="0"/>
              <w:contextualSpacing/>
              <w:rPr>
                <w:bCs/>
                <w:sz w:val="20"/>
                <w:szCs w:val="20"/>
              </w:rPr>
            </w:pPr>
            <w:r>
              <w:rPr>
                <w:bCs/>
                <w:sz w:val="20"/>
                <w:szCs w:val="20"/>
              </w:rPr>
              <w:t>Глава актуализирована с учетом новых данных РСО</w:t>
            </w:r>
          </w:p>
        </w:tc>
      </w:tr>
      <w:tr w14:paraId="2153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 w:hRule="atLeast"/>
        </w:trPr>
        <w:tc>
          <w:tcPr>
            <w:tcW w:w="2501" w:type="pct"/>
            <w:vAlign w:val="center"/>
          </w:tcPr>
          <w:p w14:paraId="4B5E783B">
            <w:pPr>
              <w:widowControl w:val="0"/>
              <w:spacing w:after="0" w:line="240" w:lineRule="auto"/>
              <w:ind w:firstLine="0"/>
              <w:contextualSpacing/>
              <w:rPr>
                <w:bCs/>
                <w:sz w:val="20"/>
                <w:szCs w:val="20"/>
              </w:rPr>
            </w:pPr>
            <w:r>
              <w:rPr>
                <w:bCs/>
                <w:sz w:val="20"/>
                <w:szCs w:val="20"/>
              </w:rPr>
              <w:t>Глава 16 «Реестр мероприятий схемы теплоснабжения»</w:t>
            </w:r>
          </w:p>
        </w:tc>
        <w:tc>
          <w:tcPr>
            <w:tcW w:w="2499" w:type="pct"/>
            <w:vAlign w:val="center"/>
          </w:tcPr>
          <w:p w14:paraId="69308C33">
            <w:pPr>
              <w:widowControl w:val="0"/>
              <w:spacing w:after="0" w:line="240" w:lineRule="auto"/>
              <w:ind w:firstLine="0"/>
              <w:contextualSpacing/>
              <w:rPr>
                <w:bCs/>
                <w:sz w:val="20"/>
                <w:szCs w:val="20"/>
              </w:rPr>
            </w:pPr>
            <w:r>
              <w:rPr>
                <w:bCs/>
                <w:sz w:val="20"/>
                <w:szCs w:val="20"/>
              </w:rPr>
              <w:t>Глава актуализирована в части стоимости и сроков мероприятий, планируемых к проведению на источниках тепловой энергии.</w:t>
            </w:r>
          </w:p>
        </w:tc>
      </w:tr>
      <w:tr w14:paraId="6360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3F04A767">
            <w:pPr>
              <w:widowControl w:val="0"/>
              <w:spacing w:after="0" w:line="240" w:lineRule="auto"/>
              <w:ind w:firstLine="0"/>
              <w:contextualSpacing/>
              <w:rPr>
                <w:bCs/>
                <w:sz w:val="20"/>
                <w:szCs w:val="20"/>
              </w:rPr>
            </w:pPr>
            <w:r>
              <w:rPr>
                <w:bCs/>
                <w:sz w:val="20"/>
                <w:szCs w:val="20"/>
              </w:rPr>
              <w:t>Глава 17 «Замечания и предложения к проекту схемы теплоснабжения»</w:t>
            </w:r>
          </w:p>
        </w:tc>
        <w:tc>
          <w:tcPr>
            <w:tcW w:w="2499" w:type="pct"/>
            <w:vAlign w:val="center"/>
          </w:tcPr>
          <w:p w14:paraId="549AB14B">
            <w:pPr>
              <w:widowControl w:val="0"/>
              <w:spacing w:after="0" w:line="240" w:lineRule="auto"/>
              <w:ind w:firstLine="0"/>
              <w:contextualSpacing/>
              <w:rPr>
                <w:bCs/>
                <w:sz w:val="20"/>
                <w:szCs w:val="20"/>
              </w:rPr>
            </w:pPr>
            <w:r>
              <w:rPr>
                <w:bCs/>
                <w:sz w:val="20"/>
                <w:szCs w:val="20"/>
              </w:rPr>
              <w:t>Без изменений</w:t>
            </w:r>
          </w:p>
        </w:tc>
      </w:tr>
      <w:tr w14:paraId="77C0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633B0241">
            <w:pPr>
              <w:widowControl w:val="0"/>
              <w:spacing w:after="0" w:line="240" w:lineRule="auto"/>
              <w:ind w:firstLine="0"/>
              <w:contextualSpacing/>
              <w:rPr>
                <w:bCs/>
                <w:sz w:val="20"/>
                <w:szCs w:val="20"/>
              </w:rPr>
            </w:pPr>
            <w:r>
              <w:rPr>
                <w:bCs/>
                <w:sz w:val="20"/>
                <w:szCs w:val="20"/>
              </w:rPr>
              <w:t>Глава 18 «Сводный том изменений, выполненных в доработанной и (или) актуализированной схеме теплоснабжения»</w:t>
            </w:r>
          </w:p>
        </w:tc>
        <w:tc>
          <w:tcPr>
            <w:tcW w:w="2499" w:type="pct"/>
            <w:vAlign w:val="center"/>
          </w:tcPr>
          <w:p w14:paraId="7A151E81">
            <w:pPr>
              <w:widowControl w:val="0"/>
              <w:spacing w:after="0" w:line="240" w:lineRule="auto"/>
              <w:ind w:firstLine="0"/>
              <w:contextualSpacing/>
              <w:rPr>
                <w:bCs/>
                <w:sz w:val="20"/>
                <w:szCs w:val="20"/>
              </w:rPr>
            </w:pPr>
            <w:r>
              <w:rPr>
                <w:bCs/>
                <w:sz w:val="20"/>
                <w:szCs w:val="20"/>
              </w:rPr>
              <w:t>-</w:t>
            </w:r>
          </w:p>
        </w:tc>
      </w:tr>
      <w:tr w14:paraId="47D1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2A15721B">
            <w:pPr>
              <w:widowControl w:val="0"/>
              <w:spacing w:after="0" w:line="240" w:lineRule="auto"/>
              <w:ind w:firstLine="0"/>
              <w:contextualSpacing/>
              <w:rPr>
                <w:bCs/>
                <w:sz w:val="20"/>
                <w:szCs w:val="20"/>
              </w:rPr>
            </w:pPr>
            <w:r>
              <w:rPr>
                <w:bCs/>
                <w:sz w:val="20"/>
                <w:szCs w:val="20"/>
              </w:rPr>
              <w:t>Глава 19. Оценка экологической безопасности теплоснабжения</w:t>
            </w:r>
          </w:p>
        </w:tc>
        <w:tc>
          <w:tcPr>
            <w:tcW w:w="2499" w:type="pct"/>
            <w:vAlign w:val="center"/>
          </w:tcPr>
          <w:p w14:paraId="718A8FCE">
            <w:pPr>
              <w:widowControl w:val="0"/>
              <w:spacing w:after="0" w:line="240" w:lineRule="auto"/>
              <w:ind w:firstLine="0"/>
              <w:contextualSpacing/>
              <w:rPr>
                <w:bCs/>
                <w:sz w:val="20"/>
                <w:szCs w:val="20"/>
              </w:rPr>
            </w:pPr>
            <w:r>
              <w:rPr>
                <w:bCs/>
                <w:sz w:val="20"/>
                <w:szCs w:val="20"/>
              </w:rPr>
              <w:t>Добавлен раздел</w:t>
            </w:r>
          </w:p>
        </w:tc>
      </w:tr>
      <w:tr w14:paraId="059B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01" w:type="pct"/>
            <w:vAlign w:val="center"/>
          </w:tcPr>
          <w:p w14:paraId="7052E4AA">
            <w:pPr>
              <w:widowControl w:val="0"/>
              <w:spacing w:after="0" w:line="240" w:lineRule="auto"/>
              <w:ind w:firstLine="0"/>
              <w:contextualSpacing/>
              <w:rPr>
                <w:bCs/>
                <w:sz w:val="20"/>
                <w:szCs w:val="20"/>
              </w:rPr>
            </w:pPr>
            <w:r>
              <w:rPr>
                <w:bCs/>
                <w:sz w:val="20"/>
                <w:szCs w:val="20"/>
              </w:rPr>
              <w:t>Книга 1. Утверждаемая часть</w:t>
            </w:r>
          </w:p>
        </w:tc>
        <w:tc>
          <w:tcPr>
            <w:tcW w:w="2499" w:type="pct"/>
            <w:vAlign w:val="center"/>
          </w:tcPr>
          <w:p w14:paraId="6B4E9FD3">
            <w:pPr>
              <w:widowControl w:val="0"/>
              <w:spacing w:after="0" w:line="240" w:lineRule="auto"/>
              <w:ind w:firstLine="0"/>
              <w:contextualSpacing/>
              <w:rPr>
                <w:bCs/>
                <w:sz w:val="20"/>
                <w:szCs w:val="20"/>
              </w:rPr>
            </w:pPr>
            <w:r>
              <w:rPr>
                <w:bCs/>
                <w:sz w:val="20"/>
                <w:szCs w:val="20"/>
              </w:rPr>
              <w:t>Том актуализирован в соответствии с изменениями в Книге 2 «Обосновывающие материалы».</w:t>
            </w:r>
          </w:p>
        </w:tc>
      </w:tr>
    </w:tbl>
    <w:p w14:paraId="2CCDB7A6">
      <w:pPr>
        <w:pStyle w:val="404"/>
        <w:spacing w:line="240" w:lineRule="auto"/>
      </w:pPr>
    </w:p>
    <w:p w14:paraId="4040B993">
      <w:pPr>
        <w:pStyle w:val="3"/>
        <w:keepLines w:val="0"/>
        <w:widowControl w:val="0"/>
        <w:spacing w:before="0" w:line="240" w:lineRule="auto"/>
        <w:ind w:left="0" w:firstLine="709"/>
        <w:contextualSpacing/>
        <w:rPr>
          <w:rFonts w:cs="Times New Roman"/>
          <w:b w:val="0"/>
          <w:sz w:val="24"/>
          <w:szCs w:val="24"/>
        </w:rPr>
      </w:pPr>
      <w:bookmarkStart w:id="862" w:name="_Toc182814107"/>
      <w:r>
        <w:rPr>
          <w:rFonts w:cs="Times New Roman"/>
          <w:b w:val="0"/>
          <w:sz w:val="24"/>
          <w:szCs w:val="24"/>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860"/>
      <w:bookmarkEnd w:id="861"/>
      <w:bookmarkEnd w:id="862"/>
    </w:p>
    <w:p w14:paraId="168CC90F">
      <w:pPr>
        <w:widowControl w:val="0"/>
        <w:spacing w:after="0" w:line="240" w:lineRule="auto"/>
        <w:contextualSpacing/>
        <w:jc w:val="both"/>
        <w:rPr>
          <w:sz w:val="24"/>
          <w:szCs w:val="24"/>
        </w:rPr>
      </w:pPr>
      <w:r>
        <w:rPr>
          <w:sz w:val="24"/>
          <w:szCs w:val="24"/>
        </w:rPr>
        <w:t>За период, предшествующий актуализации схемы теплоснабжения, в 2023 году теплоснабжающими организациями должны были выполняться работы по замене ветхих сетей теплоснабжения и горячего водоснабжения.</w:t>
      </w:r>
    </w:p>
    <w:p w14:paraId="39D929D4">
      <w:pPr>
        <w:pStyle w:val="2"/>
        <w:keepLines w:val="0"/>
        <w:pageBreakBefore/>
        <w:widowControl w:val="0"/>
        <w:spacing w:before="0" w:line="240" w:lineRule="auto"/>
        <w:ind w:left="0" w:firstLine="709"/>
        <w:contextualSpacing/>
        <w:rPr>
          <w:rFonts w:cs="Times New Roman"/>
          <w:b w:val="0"/>
          <w:sz w:val="24"/>
          <w:szCs w:val="24"/>
        </w:rPr>
      </w:pPr>
      <w:bookmarkStart w:id="863" w:name="_Toc182814108"/>
      <w:r>
        <w:rPr>
          <w:rFonts w:cs="Times New Roman"/>
          <w:b w:val="0"/>
          <w:sz w:val="24"/>
          <w:szCs w:val="24"/>
        </w:rPr>
        <w:t>Глава 19. Оценка экологической безопасности теплоснабжения</w:t>
      </w:r>
      <w:bookmarkEnd w:id="863"/>
    </w:p>
    <w:p w14:paraId="232B9CA4">
      <w:pPr>
        <w:pStyle w:val="3"/>
        <w:spacing w:before="0" w:line="240" w:lineRule="auto"/>
        <w:ind w:left="0" w:firstLine="709"/>
        <w:contextualSpacing/>
        <w:rPr>
          <w:rFonts w:cs="Times New Roman"/>
          <w:b w:val="0"/>
          <w:sz w:val="24"/>
          <w:szCs w:val="24"/>
        </w:rPr>
      </w:pPr>
      <w:bookmarkStart w:id="864" w:name="_Toc182814109"/>
      <w:r>
        <w:rPr>
          <w:rFonts w:cs="Times New Roman"/>
          <w:b w:val="0"/>
          <w:sz w:val="24"/>
          <w:szCs w:val="24"/>
        </w:rPr>
        <w:t>Анализ воздействия энергоисточников на воздушный бассейн</w:t>
      </w:r>
      <w:bookmarkEnd w:id="864"/>
      <w:r>
        <w:rPr>
          <w:rFonts w:cs="Times New Roman"/>
          <w:b w:val="0"/>
          <w:sz w:val="24"/>
          <w:szCs w:val="24"/>
        </w:rPr>
        <w:t xml:space="preserve"> </w:t>
      </w:r>
    </w:p>
    <w:p w14:paraId="245BB225">
      <w:pPr>
        <w:pStyle w:val="4"/>
        <w:spacing w:before="0" w:line="240" w:lineRule="auto"/>
        <w:ind w:left="0" w:firstLine="709"/>
        <w:contextualSpacing/>
        <w:rPr>
          <w:rFonts w:cs="Times New Roman"/>
          <w:b w:val="0"/>
          <w:sz w:val="24"/>
        </w:rPr>
      </w:pPr>
      <w:bookmarkStart w:id="865" w:name="_Toc182814110"/>
      <w:r>
        <w:rPr>
          <w:rFonts w:cs="Times New Roman"/>
          <w:b w:val="0"/>
          <w:sz w:val="24"/>
        </w:rPr>
        <w:t>Краткая характеристика метеорологических условий и их влияния на рассеивание вредных веществ в атмосферу</w:t>
      </w:r>
      <w:bookmarkEnd w:id="865"/>
    </w:p>
    <w:p w14:paraId="1831295F">
      <w:pPr>
        <w:pStyle w:val="43"/>
        <w:keepNext/>
        <w:spacing w:before="0" w:after="0" w:line="240" w:lineRule="auto"/>
        <w:ind w:firstLine="709"/>
        <w:contextualSpacing/>
        <w:rPr>
          <w:rFonts w:cs="Times New Roman"/>
          <w:b w:val="0"/>
          <w:sz w:val="24"/>
          <w:szCs w:val="24"/>
        </w:rPr>
      </w:pPr>
      <w:bookmarkStart w:id="866" w:name="_Toc77864759"/>
      <w:r>
        <w:rPr>
          <w:rFonts w:cs="Times New Roman"/>
          <w:b w:val="0"/>
          <w:sz w:val="24"/>
          <w:szCs w:val="24"/>
        </w:rPr>
        <w:t>Белоярский район относится к районам Крайнего Севера. Климат Белоярского района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 °С) до середины апреля. Зима (октябрь-апрель) суровая и многоснежная. Дневная температура воздуха – 27 °С, ночная – 34 °С.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от 400 до 550 мм, максимум приходится на июль, когда выпадает около 15 % годового количества осадков.</w:t>
      </w:r>
    </w:p>
    <w:p w14:paraId="19FDB6D6">
      <w:pPr>
        <w:pStyle w:val="43"/>
        <w:keepNext/>
        <w:spacing w:before="0" w:after="0" w:line="240" w:lineRule="auto"/>
        <w:ind w:firstLine="709"/>
        <w:contextualSpacing/>
        <w:rPr>
          <w:b w:val="0"/>
          <w:sz w:val="24"/>
          <w:szCs w:val="24"/>
        </w:rPr>
      </w:pPr>
      <w:r>
        <w:rPr>
          <w:b w:val="0"/>
          <w:sz w:val="24"/>
          <w:szCs w:val="24"/>
        </w:rPr>
        <w:t>В соответствии с климатическим районированием территории страны с.п. Верхнеказымский относится к I климатическому району, подрайону I Д, который характеризуется резко континентальным климатом с суровой, продолжительной многоснежной зимой и коротким летом. Основные климатические характеристики п. Верхнеказымский приняты по СП 131.13330.2012 «Строительная климатология» и приведены в следующей таблице 77.</w:t>
      </w:r>
    </w:p>
    <w:p w14:paraId="131CD636">
      <w:pPr>
        <w:spacing w:after="0" w:line="240" w:lineRule="auto"/>
        <w:ind w:firstLine="0"/>
        <w:rPr>
          <w:sz w:val="24"/>
          <w:szCs w:val="24"/>
        </w:rPr>
      </w:pPr>
    </w:p>
    <w:p w14:paraId="13227684">
      <w:pPr>
        <w:spacing w:after="0" w:line="240" w:lineRule="auto"/>
        <w:ind w:firstLine="0"/>
        <w:rPr>
          <w:lang w:eastAsia="en-US"/>
        </w:rPr>
      </w:pPr>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r>
        <w:rPr>
          <w:sz w:val="24"/>
          <w:szCs w:val="24"/>
        </w:rPr>
        <w:t>77</w:t>
      </w:r>
      <w:r>
        <w:rPr>
          <w:sz w:val="24"/>
          <w:szCs w:val="24"/>
        </w:rPr>
        <w:fldChar w:fldCharType="end"/>
      </w:r>
      <w:r>
        <w:rPr>
          <w:sz w:val="24"/>
          <w:szCs w:val="24"/>
        </w:rPr>
        <w:t xml:space="preserve"> – Климатические характеристики</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85" w:type="dxa"/>
          <w:left w:w="28" w:type="dxa"/>
          <w:bottom w:w="0" w:type="dxa"/>
          <w:right w:w="28" w:type="dxa"/>
        </w:tblCellMar>
      </w:tblPr>
      <w:tblGrid>
        <w:gridCol w:w="638"/>
        <w:gridCol w:w="5983"/>
        <w:gridCol w:w="1274"/>
        <w:gridCol w:w="1799"/>
      </w:tblGrid>
      <w:tr w14:paraId="2EF5F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0FA0D3D5">
            <w:pPr>
              <w:spacing w:after="0" w:line="240" w:lineRule="auto"/>
              <w:ind w:firstLine="0"/>
              <w:contextualSpacing/>
              <w:jc w:val="center"/>
              <w:rPr>
                <w:sz w:val="20"/>
                <w:szCs w:val="20"/>
              </w:rPr>
            </w:pPr>
            <w:r>
              <w:rPr>
                <w:sz w:val="20"/>
                <w:szCs w:val="20"/>
              </w:rPr>
              <w:t>№</w:t>
            </w:r>
          </w:p>
          <w:p w14:paraId="64B9886B">
            <w:pPr>
              <w:spacing w:after="0" w:line="240" w:lineRule="auto"/>
              <w:ind w:firstLine="0"/>
              <w:contextualSpacing/>
              <w:jc w:val="center"/>
              <w:rPr>
                <w:sz w:val="20"/>
                <w:szCs w:val="20"/>
              </w:rPr>
            </w:pPr>
            <w:r>
              <w:rPr>
                <w:sz w:val="20"/>
                <w:szCs w:val="20"/>
              </w:rPr>
              <w:t>п/п</w:t>
            </w:r>
          </w:p>
        </w:tc>
        <w:tc>
          <w:tcPr>
            <w:tcW w:w="3086" w:type="pct"/>
            <w:tcBorders>
              <w:top w:val="single" w:color="auto" w:sz="8" w:space="0"/>
              <w:left w:val="single" w:color="auto" w:sz="8" w:space="0"/>
              <w:bottom w:val="single" w:color="auto" w:sz="8" w:space="0"/>
              <w:right w:val="single" w:color="auto" w:sz="8" w:space="0"/>
            </w:tcBorders>
            <w:vAlign w:val="center"/>
          </w:tcPr>
          <w:p w14:paraId="037835A0">
            <w:pPr>
              <w:spacing w:after="0" w:line="240" w:lineRule="auto"/>
              <w:ind w:firstLine="0"/>
              <w:contextualSpacing/>
              <w:jc w:val="center"/>
              <w:rPr>
                <w:sz w:val="20"/>
                <w:szCs w:val="20"/>
              </w:rPr>
            </w:pPr>
            <w:r>
              <w:rPr>
                <w:sz w:val="20"/>
                <w:szCs w:val="20"/>
              </w:rPr>
              <w:t>Климатические характеристики</w:t>
            </w:r>
          </w:p>
        </w:tc>
        <w:tc>
          <w:tcPr>
            <w:tcW w:w="657" w:type="pct"/>
            <w:tcBorders>
              <w:top w:val="single" w:color="auto" w:sz="8" w:space="0"/>
              <w:left w:val="single" w:color="auto" w:sz="8" w:space="0"/>
              <w:bottom w:val="single" w:color="auto" w:sz="8" w:space="0"/>
              <w:right w:val="single" w:color="auto" w:sz="8" w:space="0"/>
            </w:tcBorders>
            <w:vAlign w:val="center"/>
          </w:tcPr>
          <w:p w14:paraId="71C1BF26">
            <w:pPr>
              <w:spacing w:after="0" w:line="240" w:lineRule="auto"/>
              <w:ind w:firstLine="0"/>
              <w:contextualSpacing/>
              <w:jc w:val="center"/>
              <w:rPr>
                <w:sz w:val="20"/>
                <w:szCs w:val="20"/>
              </w:rPr>
            </w:pPr>
            <w:r>
              <w:rPr>
                <w:sz w:val="20"/>
                <w:szCs w:val="20"/>
              </w:rPr>
              <w:t>Единицы</w:t>
            </w:r>
          </w:p>
          <w:p w14:paraId="399FFE65">
            <w:pPr>
              <w:spacing w:after="0" w:line="240" w:lineRule="auto"/>
              <w:ind w:firstLine="0"/>
              <w:contextualSpacing/>
              <w:jc w:val="center"/>
              <w:rPr>
                <w:sz w:val="20"/>
                <w:szCs w:val="20"/>
              </w:rPr>
            </w:pPr>
            <w:r>
              <w:rPr>
                <w:sz w:val="20"/>
                <w:szCs w:val="20"/>
              </w:rPr>
              <w:t>измерения</w:t>
            </w:r>
          </w:p>
        </w:tc>
        <w:tc>
          <w:tcPr>
            <w:tcW w:w="928" w:type="pct"/>
            <w:tcBorders>
              <w:top w:val="single" w:color="auto" w:sz="8" w:space="0"/>
              <w:left w:val="single" w:color="auto" w:sz="8" w:space="0"/>
              <w:bottom w:val="single" w:color="auto" w:sz="8" w:space="0"/>
              <w:right w:val="single" w:color="auto" w:sz="8" w:space="0"/>
            </w:tcBorders>
            <w:vAlign w:val="center"/>
          </w:tcPr>
          <w:p w14:paraId="43891132">
            <w:pPr>
              <w:spacing w:after="0" w:line="240" w:lineRule="auto"/>
              <w:ind w:firstLine="0"/>
              <w:contextualSpacing/>
              <w:jc w:val="center"/>
              <w:rPr>
                <w:sz w:val="20"/>
                <w:szCs w:val="20"/>
              </w:rPr>
            </w:pPr>
            <w:r>
              <w:rPr>
                <w:sz w:val="20"/>
                <w:szCs w:val="20"/>
              </w:rPr>
              <w:t>Значение</w:t>
            </w:r>
          </w:p>
        </w:tc>
      </w:tr>
      <w:tr w14:paraId="5F1E27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85" w:type="dxa"/>
            <w:left w:w="28" w:type="dxa"/>
            <w:bottom w:w="0" w:type="dxa"/>
            <w:right w:w="28" w:type="dxa"/>
          </w:tblCellMar>
        </w:tblPrEx>
        <w:trPr>
          <w:trHeight w:val="20"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3E6C61F0">
            <w:pPr>
              <w:spacing w:after="0" w:line="240" w:lineRule="auto"/>
              <w:ind w:firstLine="0"/>
              <w:contextualSpacing/>
              <w:jc w:val="center"/>
              <w:rPr>
                <w:sz w:val="20"/>
                <w:szCs w:val="20"/>
              </w:rPr>
            </w:pPr>
            <w:r>
              <w:rPr>
                <w:sz w:val="20"/>
                <w:szCs w:val="20"/>
              </w:rPr>
              <w:t>1</w:t>
            </w:r>
          </w:p>
        </w:tc>
        <w:tc>
          <w:tcPr>
            <w:tcW w:w="3086" w:type="pct"/>
            <w:tcBorders>
              <w:top w:val="single" w:color="auto" w:sz="8" w:space="0"/>
              <w:left w:val="single" w:color="auto" w:sz="8" w:space="0"/>
              <w:bottom w:val="single" w:color="auto" w:sz="8" w:space="0"/>
              <w:right w:val="single" w:color="auto" w:sz="8" w:space="0"/>
            </w:tcBorders>
            <w:vAlign w:val="center"/>
          </w:tcPr>
          <w:p w14:paraId="2AE0289A">
            <w:pPr>
              <w:spacing w:after="0" w:line="240" w:lineRule="auto"/>
              <w:ind w:firstLine="0"/>
              <w:contextualSpacing/>
              <w:rPr>
                <w:sz w:val="20"/>
                <w:szCs w:val="20"/>
              </w:rPr>
            </w:pPr>
            <w:r>
              <w:rPr>
                <w:sz w:val="20"/>
                <w:szCs w:val="20"/>
              </w:rPr>
              <w:t>Средняя температура наиболее холодной пятидневки</w:t>
            </w:r>
          </w:p>
          <w:p w14:paraId="7917279C">
            <w:pPr>
              <w:spacing w:after="0" w:line="240" w:lineRule="auto"/>
              <w:ind w:firstLine="0"/>
              <w:contextualSpacing/>
              <w:rPr>
                <w:sz w:val="20"/>
                <w:szCs w:val="20"/>
              </w:rPr>
            </w:pPr>
            <w:r>
              <w:rPr>
                <w:sz w:val="20"/>
                <w:szCs w:val="20"/>
              </w:rPr>
              <w:t>(расчётная для проектирования систем отопления)</w:t>
            </w:r>
          </w:p>
        </w:tc>
        <w:tc>
          <w:tcPr>
            <w:tcW w:w="657" w:type="pct"/>
            <w:tcBorders>
              <w:top w:val="single" w:color="auto" w:sz="8" w:space="0"/>
              <w:left w:val="single" w:color="auto" w:sz="8" w:space="0"/>
              <w:bottom w:val="single" w:color="auto" w:sz="8" w:space="0"/>
              <w:right w:val="single" w:color="auto" w:sz="8" w:space="0"/>
            </w:tcBorders>
            <w:vAlign w:val="center"/>
          </w:tcPr>
          <w:p w14:paraId="310C0D20">
            <w:pPr>
              <w:spacing w:after="0" w:line="240" w:lineRule="auto"/>
              <w:ind w:firstLine="0"/>
              <w:contextualSpacing/>
              <w:jc w:val="center"/>
              <w:rPr>
                <w:sz w:val="20"/>
                <w:szCs w:val="20"/>
              </w:rPr>
            </w:pPr>
            <w:r>
              <w:rPr>
                <w:sz w:val="20"/>
                <w:szCs w:val="20"/>
              </w:rPr>
              <w:sym w:font="Symbol" w:char="00B0"/>
            </w:r>
            <w:r>
              <w:rPr>
                <w:sz w:val="20"/>
                <w:szCs w:val="20"/>
              </w:rPr>
              <w:t>С</w:t>
            </w:r>
          </w:p>
        </w:tc>
        <w:tc>
          <w:tcPr>
            <w:tcW w:w="928" w:type="pct"/>
            <w:tcBorders>
              <w:top w:val="single" w:color="auto" w:sz="8" w:space="0"/>
              <w:left w:val="single" w:color="auto" w:sz="8" w:space="0"/>
              <w:bottom w:val="single" w:color="auto" w:sz="8" w:space="0"/>
              <w:right w:val="single" w:color="auto" w:sz="8" w:space="0"/>
            </w:tcBorders>
            <w:vAlign w:val="center"/>
          </w:tcPr>
          <w:p w14:paraId="7CF0BCE5">
            <w:pPr>
              <w:spacing w:after="0" w:line="240" w:lineRule="auto"/>
              <w:ind w:firstLine="0"/>
              <w:contextualSpacing/>
              <w:jc w:val="center"/>
              <w:rPr>
                <w:sz w:val="20"/>
                <w:szCs w:val="20"/>
              </w:rPr>
            </w:pPr>
            <w:r>
              <w:rPr>
                <w:sz w:val="20"/>
                <w:szCs w:val="20"/>
              </w:rPr>
              <w:t>-43</w:t>
            </w:r>
          </w:p>
        </w:tc>
      </w:tr>
      <w:tr w14:paraId="14D64B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85" w:type="dxa"/>
            <w:left w:w="28" w:type="dxa"/>
            <w:bottom w:w="0" w:type="dxa"/>
            <w:right w:w="28" w:type="dxa"/>
          </w:tblCellMar>
        </w:tblPrEx>
        <w:trPr>
          <w:trHeight w:val="20"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50FEEC30">
            <w:pPr>
              <w:spacing w:after="0" w:line="240" w:lineRule="auto"/>
              <w:ind w:firstLine="0"/>
              <w:contextualSpacing/>
              <w:jc w:val="center"/>
              <w:rPr>
                <w:sz w:val="20"/>
                <w:szCs w:val="20"/>
              </w:rPr>
            </w:pPr>
            <w:r>
              <w:rPr>
                <w:sz w:val="20"/>
                <w:szCs w:val="20"/>
              </w:rPr>
              <w:t>2</w:t>
            </w:r>
          </w:p>
        </w:tc>
        <w:tc>
          <w:tcPr>
            <w:tcW w:w="3086" w:type="pct"/>
            <w:tcBorders>
              <w:top w:val="single" w:color="auto" w:sz="8" w:space="0"/>
              <w:left w:val="single" w:color="auto" w:sz="8" w:space="0"/>
              <w:bottom w:val="single" w:color="auto" w:sz="8" w:space="0"/>
              <w:right w:val="single" w:color="auto" w:sz="8" w:space="0"/>
            </w:tcBorders>
            <w:vAlign w:val="center"/>
          </w:tcPr>
          <w:p w14:paraId="0773CDE6">
            <w:pPr>
              <w:spacing w:after="0" w:line="240" w:lineRule="auto"/>
              <w:ind w:firstLine="0"/>
              <w:contextualSpacing/>
              <w:rPr>
                <w:sz w:val="20"/>
                <w:szCs w:val="20"/>
              </w:rPr>
            </w:pPr>
            <w:r>
              <w:rPr>
                <w:sz w:val="20"/>
                <w:szCs w:val="20"/>
              </w:rPr>
              <w:t>Средняя температура наружного воздуха за отопительный период</w:t>
            </w:r>
          </w:p>
        </w:tc>
        <w:tc>
          <w:tcPr>
            <w:tcW w:w="657" w:type="pct"/>
            <w:tcBorders>
              <w:top w:val="single" w:color="auto" w:sz="8" w:space="0"/>
              <w:left w:val="single" w:color="auto" w:sz="8" w:space="0"/>
              <w:bottom w:val="single" w:color="auto" w:sz="8" w:space="0"/>
              <w:right w:val="single" w:color="auto" w:sz="8" w:space="0"/>
            </w:tcBorders>
            <w:vAlign w:val="center"/>
          </w:tcPr>
          <w:p w14:paraId="39D59713">
            <w:pPr>
              <w:spacing w:after="0" w:line="240" w:lineRule="auto"/>
              <w:ind w:firstLine="0"/>
              <w:contextualSpacing/>
              <w:jc w:val="center"/>
              <w:rPr>
                <w:sz w:val="20"/>
                <w:szCs w:val="20"/>
              </w:rPr>
            </w:pPr>
            <w:r>
              <w:rPr>
                <w:sz w:val="20"/>
                <w:szCs w:val="20"/>
              </w:rPr>
              <w:sym w:font="Symbol" w:char="00B0"/>
            </w:r>
            <w:r>
              <w:rPr>
                <w:sz w:val="20"/>
                <w:szCs w:val="20"/>
              </w:rPr>
              <w:t>С</w:t>
            </w:r>
          </w:p>
        </w:tc>
        <w:tc>
          <w:tcPr>
            <w:tcW w:w="928" w:type="pct"/>
            <w:tcBorders>
              <w:top w:val="single" w:color="auto" w:sz="8" w:space="0"/>
              <w:left w:val="single" w:color="auto" w:sz="8" w:space="0"/>
              <w:bottom w:val="single" w:color="auto" w:sz="8" w:space="0"/>
              <w:right w:val="single" w:color="auto" w:sz="8" w:space="0"/>
            </w:tcBorders>
            <w:vAlign w:val="center"/>
          </w:tcPr>
          <w:p w14:paraId="500EB188">
            <w:pPr>
              <w:spacing w:after="0" w:line="240" w:lineRule="auto"/>
              <w:ind w:firstLine="0"/>
              <w:contextualSpacing/>
              <w:jc w:val="center"/>
              <w:rPr>
                <w:sz w:val="20"/>
                <w:szCs w:val="20"/>
              </w:rPr>
            </w:pPr>
            <w:r>
              <w:rPr>
                <w:sz w:val="20"/>
                <w:szCs w:val="20"/>
              </w:rPr>
              <w:t>-9,9</w:t>
            </w:r>
          </w:p>
        </w:tc>
      </w:tr>
      <w:tr w14:paraId="35078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85" w:type="dxa"/>
            <w:left w:w="28" w:type="dxa"/>
            <w:bottom w:w="0" w:type="dxa"/>
            <w:right w:w="28" w:type="dxa"/>
          </w:tblCellMar>
        </w:tblPrEx>
        <w:trPr>
          <w:trHeight w:val="20"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63FF6D45">
            <w:pPr>
              <w:spacing w:after="0" w:line="240" w:lineRule="auto"/>
              <w:ind w:firstLine="0"/>
              <w:contextualSpacing/>
              <w:jc w:val="center"/>
              <w:rPr>
                <w:sz w:val="20"/>
                <w:szCs w:val="20"/>
              </w:rPr>
            </w:pPr>
            <w:r>
              <w:rPr>
                <w:sz w:val="20"/>
                <w:szCs w:val="20"/>
              </w:rPr>
              <w:t>3</w:t>
            </w:r>
          </w:p>
        </w:tc>
        <w:tc>
          <w:tcPr>
            <w:tcW w:w="3086" w:type="pct"/>
            <w:tcBorders>
              <w:top w:val="single" w:color="auto" w:sz="8" w:space="0"/>
              <w:left w:val="single" w:color="auto" w:sz="8" w:space="0"/>
              <w:bottom w:val="single" w:color="auto" w:sz="8" w:space="0"/>
              <w:right w:val="single" w:color="auto" w:sz="8" w:space="0"/>
            </w:tcBorders>
            <w:vAlign w:val="center"/>
          </w:tcPr>
          <w:p w14:paraId="6F509016">
            <w:pPr>
              <w:spacing w:after="0" w:line="240" w:lineRule="auto"/>
              <w:ind w:firstLine="0"/>
              <w:contextualSpacing/>
              <w:rPr>
                <w:sz w:val="20"/>
                <w:szCs w:val="20"/>
              </w:rPr>
            </w:pPr>
            <w:r>
              <w:rPr>
                <w:sz w:val="20"/>
                <w:szCs w:val="20"/>
              </w:rPr>
              <w:t>Средняя температура наиболее холодного месяца</w:t>
            </w:r>
          </w:p>
          <w:p w14:paraId="39E76152">
            <w:pPr>
              <w:spacing w:after="0" w:line="240" w:lineRule="auto"/>
              <w:ind w:firstLine="0"/>
              <w:contextualSpacing/>
              <w:rPr>
                <w:sz w:val="20"/>
                <w:szCs w:val="20"/>
              </w:rPr>
            </w:pPr>
            <w:r>
              <w:rPr>
                <w:sz w:val="20"/>
                <w:szCs w:val="20"/>
              </w:rPr>
              <w:t>(январь)</w:t>
            </w:r>
          </w:p>
        </w:tc>
        <w:tc>
          <w:tcPr>
            <w:tcW w:w="657" w:type="pct"/>
            <w:tcBorders>
              <w:top w:val="single" w:color="auto" w:sz="8" w:space="0"/>
              <w:left w:val="single" w:color="auto" w:sz="8" w:space="0"/>
              <w:bottom w:val="single" w:color="auto" w:sz="8" w:space="0"/>
              <w:right w:val="single" w:color="auto" w:sz="8" w:space="0"/>
            </w:tcBorders>
            <w:vAlign w:val="center"/>
          </w:tcPr>
          <w:p w14:paraId="24D99E79">
            <w:pPr>
              <w:spacing w:after="0" w:line="240" w:lineRule="auto"/>
              <w:ind w:firstLine="0"/>
              <w:contextualSpacing/>
              <w:jc w:val="center"/>
              <w:rPr>
                <w:sz w:val="20"/>
                <w:szCs w:val="20"/>
              </w:rPr>
            </w:pPr>
            <w:r>
              <w:rPr>
                <w:sz w:val="20"/>
                <w:szCs w:val="20"/>
              </w:rPr>
              <w:sym w:font="Symbol" w:char="00B0"/>
            </w:r>
            <w:r>
              <w:rPr>
                <w:sz w:val="20"/>
                <w:szCs w:val="20"/>
              </w:rPr>
              <w:t>С</w:t>
            </w:r>
          </w:p>
        </w:tc>
        <w:tc>
          <w:tcPr>
            <w:tcW w:w="928" w:type="pct"/>
            <w:tcBorders>
              <w:top w:val="single" w:color="auto" w:sz="8" w:space="0"/>
              <w:left w:val="single" w:color="auto" w:sz="8" w:space="0"/>
              <w:bottom w:val="single" w:color="auto" w:sz="8" w:space="0"/>
              <w:right w:val="single" w:color="auto" w:sz="8" w:space="0"/>
            </w:tcBorders>
            <w:vAlign w:val="center"/>
          </w:tcPr>
          <w:p w14:paraId="6AA869EB">
            <w:pPr>
              <w:spacing w:after="0" w:line="240" w:lineRule="auto"/>
              <w:ind w:firstLine="0"/>
              <w:contextualSpacing/>
              <w:jc w:val="center"/>
              <w:rPr>
                <w:sz w:val="20"/>
                <w:szCs w:val="20"/>
              </w:rPr>
            </w:pPr>
            <w:r>
              <w:rPr>
                <w:sz w:val="20"/>
                <w:szCs w:val="20"/>
              </w:rPr>
              <w:t>-23,0</w:t>
            </w:r>
          </w:p>
        </w:tc>
      </w:tr>
      <w:tr w14:paraId="03943B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85" w:type="dxa"/>
            <w:left w:w="28" w:type="dxa"/>
            <w:bottom w:w="0" w:type="dxa"/>
            <w:right w:w="28" w:type="dxa"/>
          </w:tblCellMar>
        </w:tblPrEx>
        <w:trPr>
          <w:trHeight w:val="20"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721C9CEB">
            <w:pPr>
              <w:spacing w:after="0" w:line="240" w:lineRule="auto"/>
              <w:ind w:firstLine="0"/>
              <w:contextualSpacing/>
              <w:jc w:val="center"/>
              <w:rPr>
                <w:sz w:val="20"/>
                <w:szCs w:val="20"/>
              </w:rPr>
            </w:pPr>
            <w:r>
              <w:rPr>
                <w:sz w:val="20"/>
                <w:szCs w:val="20"/>
              </w:rPr>
              <w:t>4</w:t>
            </w:r>
          </w:p>
        </w:tc>
        <w:tc>
          <w:tcPr>
            <w:tcW w:w="3086" w:type="pct"/>
            <w:tcBorders>
              <w:top w:val="single" w:color="auto" w:sz="8" w:space="0"/>
              <w:left w:val="single" w:color="auto" w:sz="8" w:space="0"/>
              <w:bottom w:val="single" w:color="auto" w:sz="8" w:space="0"/>
              <w:right w:val="single" w:color="auto" w:sz="8" w:space="0"/>
            </w:tcBorders>
            <w:vAlign w:val="center"/>
          </w:tcPr>
          <w:p w14:paraId="16C216F9">
            <w:pPr>
              <w:spacing w:after="0" w:line="240" w:lineRule="auto"/>
              <w:ind w:firstLine="0"/>
              <w:contextualSpacing/>
              <w:rPr>
                <w:sz w:val="20"/>
                <w:szCs w:val="20"/>
              </w:rPr>
            </w:pPr>
            <w:r>
              <w:rPr>
                <w:sz w:val="20"/>
                <w:szCs w:val="20"/>
              </w:rPr>
              <w:t>Средняя годовая температура наружного воздуха</w:t>
            </w:r>
          </w:p>
        </w:tc>
        <w:tc>
          <w:tcPr>
            <w:tcW w:w="657" w:type="pct"/>
            <w:tcBorders>
              <w:top w:val="single" w:color="auto" w:sz="8" w:space="0"/>
              <w:left w:val="single" w:color="auto" w:sz="8" w:space="0"/>
              <w:bottom w:val="single" w:color="auto" w:sz="8" w:space="0"/>
              <w:right w:val="single" w:color="auto" w:sz="8" w:space="0"/>
            </w:tcBorders>
            <w:vAlign w:val="center"/>
          </w:tcPr>
          <w:p w14:paraId="78BD3DFC">
            <w:pPr>
              <w:spacing w:after="0" w:line="240" w:lineRule="auto"/>
              <w:ind w:firstLine="0"/>
              <w:contextualSpacing/>
              <w:jc w:val="center"/>
              <w:rPr>
                <w:sz w:val="20"/>
                <w:szCs w:val="20"/>
              </w:rPr>
            </w:pPr>
            <w:r>
              <w:rPr>
                <w:sz w:val="20"/>
                <w:szCs w:val="20"/>
              </w:rPr>
              <w:sym w:font="Symbol" w:char="00B0"/>
            </w:r>
            <w:r>
              <w:rPr>
                <w:sz w:val="20"/>
                <w:szCs w:val="20"/>
              </w:rPr>
              <w:t>С</w:t>
            </w:r>
          </w:p>
        </w:tc>
        <w:tc>
          <w:tcPr>
            <w:tcW w:w="928" w:type="pct"/>
            <w:tcBorders>
              <w:top w:val="single" w:color="auto" w:sz="8" w:space="0"/>
              <w:left w:val="single" w:color="auto" w:sz="8" w:space="0"/>
              <w:bottom w:val="single" w:color="auto" w:sz="8" w:space="0"/>
              <w:right w:val="single" w:color="auto" w:sz="8" w:space="0"/>
            </w:tcBorders>
            <w:vAlign w:val="center"/>
          </w:tcPr>
          <w:p w14:paraId="3479DAC3">
            <w:pPr>
              <w:spacing w:after="0" w:line="240" w:lineRule="auto"/>
              <w:ind w:firstLine="0"/>
              <w:contextualSpacing/>
              <w:jc w:val="center"/>
              <w:rPr>
                <w:sz w:val="20"/>
                <w:szCs w:val="20"/>
              </w:rPr>
            </w:pPr>
            <w:r>
              <w:rPr>
                <w:sz w:val="20"/>
                <w:szCs w:val="20"/>
              </w:rPr>
              <w:t>-3,8</w:t>
            </w:r>
          </w:p>
        </w:tc>
      </w:tr>
      <w:tr w14:paraId="1D5588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85" w:type="dxa"/>
            <w:left w:w="28" w:type="dxa"/>
            <w:bottom w:w="0" w:type="dxa"/>
            <w:right w:w="28" w:type="dxa"/>
          </w:tblCellMar>
        </w:tblPrEx>
        <w:trPr>
          <w:trHeight w:val="20"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1650C701">
            <w:pPr>
              <w:spacing w:after="0" w:line="240" w:lineRule="auto"/>
              <w:ind w:firstLine="0"/>
              <w:contextualSpacing/>
              <w:jc w:val="center"/>
              <w:rPr>
                <w:sz w:val="20"/>
                <w:szCs w:val="20"/>
              </w:rPr>
            </w:pPr>
            <w:r>
              <w:rPr>
                <w:sz w:val="20"/>
                <w:szCs w:val="20"/>
              </w:rPr>
              <w:t>5</w:t>
            </w:r>
          </w:p>
        </w:tc>
        <w:tc>
          <w:tcPr>
            <w:tcW w:w="3086" w:type="pct"/>
            <w:tcBorders>
              <w:top w:val="single" w:color="auto" w:sz="8" w:space="0"/>
              <w:left w:val="single" w:color="auto" w:sz="8" w:space="0"/>
              <w:bottom w:val="single" w:color="auto" w:sz="8" w:space="0"/>
              <w:right w:val="single" w:color="auto" w:sz="8" w:space="0"/>
            </w:tcBorders>
            <w:vAlign w:val="center"/>
          </w:tcPr>
          <w:p w14:paraId="54E5C604">
            <w:pPr>
              <w:spacing w:after="0" w:line="240" w:lineRule="auto"/>
              <w:ind w:firstLine="0"/>
              <w:contextualSpacing/>
              <w:rPr>
                <w:sz w:val="20"/>
                <w:szCs w:val="20"/>
              </w:rPr>
            </w:pPr>
            <w:r>
              <w:rPr>
                <w:sz w:val="20"/>
                <w:szCs w:val="20"/>
              </w:rPr>
              <w:t>Продолжительность отопительного периода</w:t>
            </w:r>
          </w:p>
        </w:tc>
        <w:tc>
          <w:tcPr>
            <w:tcW w:w="657" w:type="pct"/>
            <w:tcBorders>
              <w:top w:val="single" w:color="auto" w:sz="8" w:space="0"/>
              <w:left w:val="single" w:color="auto" w:sz="8" w:space="0"/>
              <w:bottom w:val="single" w:color="auto" w:sz="8" w:space="0"/>
              <w:right w:val="single" w:color="auto" w:sz="8" w:space="0"/>
            </w:tcBorders>
            <w:vAlign w:val="center"/>
          </w:tcPr>
          <w:p w14:paraId="168FF217">
            <w:pPr>
              <w:spacing w:after="0" w:line="240" w:lineRule="auto"/>
              <w:ind w:firstLine="0"/>
              <w:contextualSpacing/>
              <w:jc w:val="center"/>
              <w:rPr>
                <w:sz w:val="20"/>
                <w:szCs w:val="20"/>
              </w:rPr>
            </w:pPr>
            <w:r>
              <w:rPr>
                <w:sz w:val="20"/>
                <w:szCs w:val="20"/>
              </w:rPr>
              <w:t>сут.</w:t>
            </w:r>
          </w:p>
        </w:tc>
        <w:tc>
          <w:tcPr>
            <w:tcW w:w="928" w:type="pct"/>
            <w:tcBorders>
              <w:top w:val="single" w:color="auto" w:sz="8" w:space="0"/>
              <w:left w:val="single" w:color="auto" w:sz="8" w:space="0"/>
              <w:bottom w:val="single" w:color="auto" w:sz="8" w:space="0"/>
              <w:right w:val="single" w:color="auto" w:sz="8" w:space="0"/>
            </w:tcBorders>
            <w:vAlign w:val="center"/>
          </w:tcPr>
          <w:p w14:paraId="06B0A99B">
            <w:pPr>
              <w:spacing w:after="0" w:line="240" w:lineRule="auto"/>
              <w:ind w:firstLine="0"/>
              <w:contextualSpacing/>
              <w:jc w:val="center"/>
              <w:rPr>
                <w:sz w:val="20"/>
                <w:szCs w:val="20"/>
              </w:rPr>
            </w:pPr>
            <w:r>
              <w:rPr>
                <w:sz w:val="20"/>
                <w:szCs w:val="20"/>
              </w:rPr>
              <w:t>257</w:t>
            </w:r>
          </w:p>
        </w:tc>
      </w:tr>
      <w:tr w14:paraId="0C6F0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85" w:type="dxa"/>
            <w:left w:w="28" w:type="dxa"/>
            <w:bottom w:w="0" w:type="dxa"/>
            <w:right w:w="28" w:type="dxa"/>
          </w:tblCellMar>
        </w:tblPrEx>
        <w:trPr>
          <w:trHeight w:val="15" w:hRule="atLeast"/>
          <w:jc w:val="center"/>
        </w:trPr>
        <w:tc>
          <w:tcPr>
            <w:tcW w:w="329" w:type="pct"/>
            <w:tcBorders>
              <w:top w:val="single" w:color="auto" w:sz="8" w:space="0"/>
              <w:left w:val="single" w:color="auto" w:sz="8" w:space="0"/>
              <w:bottom w:val="single" w:color="auto" w:sz="8" w:space="0"/>
              <w:right w:val="single" w:color="auto" w:sz="8" w:space="0"/>
            </w:tcBorders>
            <w:vAlign w:val="center"/>
          </w:tcPr>
          <w:p w14:paraId="5B4F7397">
            <w:pPr>
              <w:spacing w:after="0" w:line="240" w:lineRule="auto"/>
              <w:ind w:firstLine="0"/>
              <w:contextualSpacing/>
              <w:jc w:val="center"/>
              <w:rPr>
                <w:sz w:val="20"/>
                <w:szCs w:val="20"/>
              </w:rPr>
            </w:pPr>
            <w:r>
              <w:rPr>
                <w:sz w:val="20"/>
                <w:szCs w:val="20"/>
              </w:rPr>
              <w:t>6</w:t>
            </w:r>
          </w:p>
        </w:tc>
        <w:tc>
          <w:tcPr>
            <w:tcW w:w="3086" w:type="pct"/>
            <w:tcBorders>
              <w:top w:val="single" w:color="auto" w:sz="8" w:space="0"/>
              <w:left w:val="single" w:color="auto" w:sz="8" w:space="0"/>
              <w:bottom w:val="single" w:color="auto" w:sz="8" w:space="0"/>
              <w:right w:val="single" w:color="auto" w:sz="8" w:space="0"/>
            </w:tcBorders>
            <w:vAlign w:val="center"/>
          </w:tcPr>
          <w:p w14:paraId="7F628A8B">
            <w:pPr>
              <w:spacing w:after="0" w:line="240" w:lineRule="auto"/>
              <w:ind w:firstLine="0"/>
              <w:contextualSpacing/>
              <w:rPr>
                <w:sz w:val="20"/>
                <w:szCs w:val="20"/>
              </w:rPr>
            </w:pPr>
            <w:r>
              <w:rPr>
                <w:sz w:val="20"/>
                <w:szCs w:val="20"/>
              </w:rPr>
              <w:t>Среднегодовая скорость ветра</w:t>
            </w:r>
          </w:p>
        </w:tc>
        <w:tc>
          <w:tcPr>
            <w:tcW w:w="657" w:type="pct"/>
            <w:tcBorders>
              <w:top w:val="single" w:color="auto" w:sz="8" w:space="0"/>
              <w:left w:val="single" w:color="auto" w:sz="8" w:space="0"/>
              <w:bottom w:val="single" w:color="auto" w:sz="8" w:space="0"/>
              <w:right w:val="single" w:color="auto" w:sz="8" w:space="0"/>
            </w:tcBorders>
            <w:vAlign w:val="center"/>
          </w:tcPr>
          <w:p w14:paraId="5AC6AE9D">
            <w:pPr>
              <w:spacing w:after="0" w:line="240" w:lineRule="auto"/>
              <w:ind w:firstLine="0"/>
              <w:contextualSpacing/>
              <w:jc w:val="center"/>
              <w:rPr>
                <w:sz w:val="20"/>
                <w:szCs w:val="20"/>
              </w:rPr>
            </w:pPr>
            <w:r>
              <w:rPr>
                <w:sz w:val="20"/>
                <w:szCs w:val="20"/>
              </w:rPr>
              <w:t>м/с</w:t>
            </w:r>
          </w:p>
        </w:tc>
        <w:tc>
          <w:tcPr>
            <w:tcW w:w="928" w:type="pct"/>
            <w:tcBorders>
              <w:top w:val="single" w:color="auto" w:sz="8" w:space="0"/>
              <w:left w:val="single" w:color="auto" w:sz="8" w:space="0"/>
              <w:bottom w:val="single" w:color="auto" w:sz="8" w:space="0"/>
              <w:right w:val="single" w:color="auto" w:sz="8" w:space="0"/>
            </w:tcBorders>
            <w:vAlign w:val="center"/>
          </w:tcPr>
          <w:p w14:paraId="2972EAC4">
            <w:pPr>
              <w:spacing w:after="0" w:line="240" w:lineRule="auto"/>
              <w:ind w:firstLine="0"/>
              <w:contextualSpacing/>
              <w:jc w:val="center"/>
              <w:rPr>
                <w:sz w:val="20"/>
                <w:szCs w:val="20"/>
              </w:rPr>
            </w:pPr>
            <w:r>
              <w:rPr>
                <w:sz w:val="20"/>
                <w:szCs w:val="20"/>
              </w:rPr>
              <w:t>2÷4</w:t>
            </w:r>
          </w:p>
        </w:tc>
      </w:tr>
    </w:tbl>
    <w:p w14:paraId="47EAD4BD">
      <w:pPr>
        <w:pStyle w:val="43"/>
        <w:keepNext/>
        <w:spacing w:before="0" w:after="0" w:line="240" w:lineRule="auto"/>
        <w:ind w:firstLine="709"/>
        <w:contextualSpacing/>
        <w:rPr>
          <w:rFonts w:cs="Times New Roman"/>
          <w:b w:val="0"/>
          <w:sz w:val="24"/>
          <w:szCs w:val="24"/>
        </w:rPr>
      </w:pPr>
    </w:p>
    <w:bookmarkEnd w:id="866"/>
    <w:p w14:paraId="5B28D7D2">
      <w:pPr>
        <w:pStyle w:val="4"/>
        <w:spacing w:before="0" w:line="240" w:lineRule="auto"/>
        <w:ind w:left="0" w:firstLine="709"/>
        <w:contextualSpacing/>
        <w:rPr>
          <w:rFonts w:cs="Times New Roman"/>
          <w:b w:val="0"/>
          <w:sz w:val="24"/>
        </w:rPr>
      </w:pPr>
      <w:bookmarkStart w:id="867" w:name="_Toc182814111"/>
      <w:r>
        <w:rPr>
          <w:rFonts w:cs="Times New Roman"/>
          <w:b w:val="0"/>
          <w:sz w:val="24"/>
        </w:rPr>
        <w:t>Качество атмосферного воздуха</w:t>
      </w:r>
      <w:bookmarkEnd w:id="867"/>
    </w:p>
    <w:p w14:paraId="68C0AEED">
      <w:pPr>
        <w:spacing w:after="0" w:line="240" w:lineRule="auto"/>
        <w:contextualSpacing/>
        <w:jc w:val="both"/>
        <w:rPr>
          <w:sz w:val="24"/>
          <w:szCs w:val="24"/>
        </w:rPr>
      </w:pPr>
      <w:r>
        <w:rPr>
          <w:sz w:val="24"/>
          <w:szCs w:val="24"/>
        </w:rPr>
        <w:t>Для характеристики качества воздуха используются показатели:</w:t>
      </w:r>
    </w:p>
    <w:p w14:paraId="235E5BB0">
      <w:pPr>
        <w:spacing w:after="0" w:line="240" w:lineRule="auto"/>
        <w:contextualSpacing/>
        <w:jc w:val="both"/>
        <w:rPr>
          <w:sz w:val="24"/>
          <w:szCs w:val="24"/>
        </w:rPr>
      </w:pPr>
      <w:r>
        <w:rPr>
          <w:sz w:val="24"/>
          <w:szCs w:val="24"/>
        </w:rPr>
        <w:t>ИЗА – комплексный индекс загрязнения атмосферы, учитывающий несколько примесей. Величина ИЗА рассчитывается по значениям среднегодовых концентраций. Показатель характеризует уровень хронического, длительного загрязнения воздуха;</w:t>
      </w:r>
    </w:p>
    <w:p w14:paraId="4EA4EEE9">
      <w:pPr>
        <w:spacing w:after="0" w:line="240" w:lineRule="auto"/>
        <w:contextualSpacing/>
        <w:jc w:val="both"/>
        <w:rPr>
          <w:sz w:val="24"/>
          <w:szCs w:val="24"/>
        </w:rPr>
      </w:pPr>
      <w:r>
        <w:rPr>
          <w:sz w:val="24"/>
          <w:szCs w:val="24"/>
        </w:rPr>
        <w:t>СИ – наибольшая измеренная разовая концентрация примеси, деленная на ПДК. Она определяется по данным наблюдений на станции за одной примесью или на всех станциях рассматриваемой территории за всеми примесями за месяц или за год.</w:t>
      </w:r>
    </w:p>
    <w:p w14:paraId="287E9A5D">
      <w:pPr>
        <w:spacing w:after="0" w:line="240" w:lineRule="auto"/>
        <w:contextualSpacing/>
        <w:jc w:val="both"/>
        <w:rPr>
          <w:sz w:val="24"/>
          <w:szCs w:val="24"/>
        </w:rPr>
      </w:pPr>
      <w:r>
        <w:rPr>
          <w:sz w:val="24"/>
          <w:szCs w:val="24"/>
        </w:rPr>
        <w:t>В соответствии с существующими методами оценки уровень загрязнения считается повышенным при ИЗА от 5 до 6, СИ &lt; 5; высоким при ИЗА от 7 до 13, СИ от 5 до 10; очень высоким при ИЗА, равном или больше 14, СИ &gt; 10.</w:t>
      </w:r>
    </w:p>
    <w:p w14:paraId="701CD324">
      <w:pPr>
        <w:spacing w:after="0" w:line="240" w:lineRule="auto"/>
        <w:contextualSpacing/>
        <w:jc w:val="both"/>
        <w:rPr>
          <w:sz w:val="24"/>
          <w:szCs w:val="24"/>
        </w:rPr>
      </w:pPr>
      <w:r>
        <w:rPr>
          <w:sz w:val="24"/>
          <w:szCs w:val="24"/>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14:paraId="5173C8ED">
      <w:pPr>
        <w:spacing w:after="0" w:line="240" w:lineRule="auto"/>
        <w:contextualSpacing/>
        <w:jc w:val="both"/>
        <w:rPr>
          <w:sz w:val="24"/>
          <w:szCs w:val="24"/>
        </w:rPr>
      </w:pPr>
      <w:r>
        <w:rPr>
          <w:sz w:val="24"/>
          <w:szCs w:val="24"/>
        </w:rPr>
        <w:t xml:space="preserve">По данным Доклада об экологической ситуации в Ханты-Мансийском автономном округе – Югре в 2015 году, выполненным Службой по контролю и надзору в сфере охраны окружающей среды, объектов животного мира и лесных отношений Ханты-Мансийского автономного округа – Югры в 2016 году (далее – Доклад об экологической ситуации в Ханты-Мансийском автономном округе – Югре в 2015 году), состояние загрязнения атмосферного воздуха на территории с.п. Верхнеказымский оценивается как повышенное. </w:t>
      </w:r>
    </w:p>
    <w:p w14:paraId="55AE41A8">
      <w:pPr>
        <w:spacing w:after="0" w:line="240" w:lineRule="auto"/>
        <w:contextualSpacing/>
        <w:jc w:val="both"/>
        <w:rPr>
          <w:sz w:val="24"/>
          <w:szCs w:val="24"/>
        </w:rPr>
      </w:pPr>
      <w:r>
        <w:rPr>
          <w:sz w:val="24"/>
          <w:szCs w:val="24"/>
        </w:rPr>
        <w:t>Источниками вредного воздействия на окружающую среду в системе теплоснабжения являются котельные. Использование устаревшего котельного и горелочного оборудования является причиной ухудшения экологической обстановки.</w:t>
      </w:r>
    </w:p>
    <w:p w14:paraId="0E388C8D">
      <w:pPr>
        <w:spacing w:after="0" w:line="240" w:lineRule="auto"/>
        <w:contextualSpacing/>
        <w:jc w:val="both"/>
        <w:rPr>
          <w:sz w:val="24"/>
          <w:szCs w:val="24"/>
        </w:rPr>
      </w:pPr>
      <w:r>
        <w:rPr>
          <w:sz w:val="24"/>
          <w:szCs w:val="24"/>
        </w:rPr>
        <w:t>Загрязнение воздушного бассейна территории сельского поселения Верхнеказымский происходит в результате поступления в него:</w:t>
      </w:r>
    </w:p>
    <w:p w14:paraId="214CFBBF">
      <w:pPr>
        <w:spacing w:after="0" w:line="240" w:lineRule="auto"/>
        <w:contextualSpacing/>
        <w:jc w:val="both"/>
        <w:rPr>
          <w:sz w:val="24"/>
          <w:szCs w:val="24"/>
        </w:rPr>
      </w:pPr>
      <w:r>
        <w:rPr>
          <w:sz w:val="24"/>
          <w:szCs w:val="24"/>
        </w:rPr>
        <w:t>-</w:t>
      </w:r>
      <w:r>
        <w:rPr>
          <w:sz w:val="24"/>
          <w:szCs w:val="24"/>
        </w:rPr>
        <w:tab/>
      </w:r>
      <w:r>
        <w:rPr>
          <w:sz w:val="24"/>
          <w:szCs w:val="24"/>
        </w:rPr>
        <w:t>выбросов организаций нефтедобывающей и нефтеперерабатывающей промышленности за счёт сжигания нефтяного попутного газа (факельные хозяйства предприятий нефтедобычи);</w:t>
      </w:r>
    </w:p>
    <w:p w14:paraId="2500967C">
      <w:pPr>
        <w:spacing w:after="0" w:line="240" w:lineRule="auto"/>
        <w:contextualSpacing/>
        <w:jc w:val="both"/>
        <w:rPr>
          <w:sz w:val="24"/>
          <w:szCs w:val="24"/>
        </w:rPr>
      </w:pPr>
      <w:r>
        <w:rPr>
          <w:sz w:val="24"/>
          <w:szCs w:val="24"/>
        </w:rPr>
        <w:t>-</w:t>
      </w:r>
      <w:r>
        <w:rPr>
          <w:sz w:val="24"/>
          <w:szCs w:val="24"/>
        </w:rPr>
        <w:tab/>
      </w:r>
      <w:r>
        <w:rPr>
          <w:sz w:val="24"/>
          <w:szCs w:val="24"/>
        </w:rPr>
        <w:t>продуктов испарения нефти;</w:t>
      </w:r>
    </w:p>
    <w:p w14:paraId="68CCCC21">
      <w:pPr>
        <w:spacing w:after="0" w:line="240" w:lineRule="auto"/>
        <w:contextualSpacing/>
        <w:jc w:val="both"/>
        <w:rPr>
          <w:sz w:val="24"/>
          <w:szCs w:val="24"/>
        </w:rPr>
      </w:pPr>
      <w:r>
        <w:rPr>
          <w:sz w:val="24"/>
          <w:szCs w:val="24"/>
        </w:rPr>
        <w:t>-</w:t>
      </w:r>
      <w:r>
        <w:rPr>
          <w:sz w:val="24"/>
          <w:szCs w:val="24"/>
        </w:rPr>
        <w:tab/>
      </w:r>
      <w:r>
        <w:rPr>
          <w:sz w:val="24"/>
          <w:szCs w:val="24"/>
        </w:rPr>
        <w:t>продуктов сгорания топлива в котельных;</w:t>
      </w:r>
    </w:p>
    <w:p w14:paraId="36C90EF3">
      <w:pPr>
        <w:spacing w:after="0" w:line="240" w:lineRule="auto"/>
        <w:contextualSpacing/>
        <w:jc w:val="both"/>
        <w:rPr>
          <w:sz w:val="24"/>
          <w:szCs w:val="24"/>
        </w:rPr>
      </w:pPr>
      <w:r>
        <w:rPr>
          <w:sz w:val="24"/>
          <w:szCs w:val="24"/>
        </w:rPr>
        <w:t>-</w:t>
      </w:r>
      <w:r>
        <w:rPr>
          <w:sz w:val="24"/>
          <w:szCs w:val="24"/>
        </w:rPr>
        <w:tab/>
      </w:r>
      <w:r>
        <w:rPr>
          <w:sz w:val="24"/>
          <w:szCs w:val="24"/>
        </w:rPr>
        <w:t>загрязняющих веществ и пыли в составе выбросов объектов деревообрабатывающей промышленности, строительной индустрии;</w:t>
      </w:r>
    </w:p>
    <w:p w14:paraId="0657C9D9">
      <w:pPr>
        <w:spacing w:after="0" w:line="240" w:lineRule="auto"/>
        <w:contextualSpacing/>
        <w:jc w:val="both"/>
        <w:rPr>
          <w:sz w:val="24"/>
          <w:szCs w:val="24"/>
        </w:rPr>
      </w:pPr>
      <w:r>
        <w:rPr>
          <w:sz w:val="24"/>
          <w:szCs w:val="24"/>
        </w:rPr>
        <w:t>-</w:t>
      </w:r>
      <w:r>
        <w:rPr>
          <w:sz w:val="24"/>
          <w:szCs w:val="24"/>
        </w:rPr>
        <w:tab/>
      </w:r>
      <w:r>
        <w:rPr>
          <w:sz w:val="24"/>
          <w:szCs w:val="24"/>
        </w:rPr>
        <w:t>отработанных газов и вредных веществ от автотранспорта, в том числе I и II класса опасности: оксиды углерода, оксиды азота, диоксид серы, бензол, бенз(а)пирен.</w:t>
      </w:r>
    </w:p>
    <w:p w14:paraId="789DF424">
      <w:pPr>
        <w:spacing w:after="0" w:line="240" w:lineRule="auto"/>
        <w:contextualSpacing/>
        <w:jc w:val="both"/>
        <w:rPr>
          <w:sz w:val="24"/>
          <w:szCs w:val="24"/>
        </w:rPr>
      </w:pPr>
    </w:p>
    <w:p w14:paraId="3C513E40">
      <w:pPr>
        <w:spacing w:after="0" w:line="240" w:lineRule="auto"/>
        <w:contextualSpacing/>
        <w:jc w:val="both"/>
        <w:rPr>
          <w:sz w:val="24"/>
          <w:szCs w:val="24"/>
        </w:rPr>
      </w:pPr>
      <w:r>
        <w:rPr>
          <w:sz w:val="24"/>
          <w:szCs w:val="24"/>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для объектов, являющихся источником негативного воздействия, устанавливать санитарно-защитную зону либо санитарный разрыв. Санитарно-защитная зона и санитарный разрыв не могут рассматриваться как резервные территории предприятия или как перспектива для развития селитебной зоны.</w:t>
      </w:r>
    </w:p>
    <w:p w14:paraId="7FA803D8">
      <w:pPr>
        <w:spacing w:after="0" w:line="240" w:lineRule="auto"/>
        <w:contextualSpacing/>
        <w:jc w:val="both"/>
        <w:rPr>
          <w:sz w:val="24"/>
          <w:szCs w:val="24"/>
        </w:rPr>
      </w:pPr>
    </w:p>
    <w:p w14:paraId="7BD98E7F">
      <w:pPr>
        <w:pStyle w:val="4"/>
        <w:spacing w:before="0" w:line="240" w:lineRule="auto"/>
        <w:ind w:left="0" w:firstLine="709"/>
        <w:contextualSpacing/>
        <w:rPr>
          <w:rFonts w:cs="Times New Roman"/>
          <w:b w:val="0"/>
          <w:sz w:val="24"/>
        </w:rPr>
      </w:pPr>
      <w:bookmarkStart w:id="868" w:name="_Toc182814112"/>
      <w:r>
        <w:rPr>
          <w:rFonts w:cs="Times New Roman"/>
          <w:b w:val="0"/>
          <w:sz w:val="24"/>
        </w:rPr>
        <w:t>Краткая характеристика районов размещения основных источников теплоснабжения</w:t>
      </w:r>
      <w:bookmarkEnd w:id="868"/>
    </w:p>
    <w:p w14:paraId="628DA26B">
      <w:pPr>
        <w:pStyle w:val="58"/>
        <w:widowControl w:val="0"/>
        <w:spacing w:before="0" w:after="0" w:line="240" w:lineRule="auto"/>
        <w:ind w:firstLine="709"/>
        <w:contextualSpacing/>
        <w:rPr>
          <w:sz w:val="24"/>
          <w:szCs w:val="24"/>
        </w:rPr>
      </w:pPr>
      <w:r>
        <w:rPr>
          <w:sz w:val="24"/>
          <w:szCs w:val="24"/>
        </w:rPr>
        <w:t>Функциональная структура теплоснабжения с.п. Верхнеказымский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42C30BA6">
      <w:pPr>
        <w:spacing w:after="0" w:line="240" w:lineRule="auto"/>
        <w:contextualSpacing/>
        <w:jc w:val="both"/>
        <w:rPr>
          <w:sz w:val="24"/>
          <w:szCs w:val="24"/>
        </w:rPr>
      </w:pPr>
      <w:r>
        <w:rPr>
          <w:sz w:val="24"/>
          <w:szCs w:val="24"/>
        </w:rPr>
        <w:t>Зоной действия источника теплоснабжения является территория с.п. Верхнеказымский или ее часть, границы которой устанавливаются закрытыми секционирующими задвижками тепловой сети системы теплоснабжения.</w:t>
      </w:r>
    </w:p>
    <w:p w14:paraId="216AADB5">
      <w:pPr>
        <w:spacing w:after="0" w:line="240" w:lineRule="auto"/>
        <w:jc w:val="both"/>
        <w:rPr>
          <w:rFonts w:eastAsia="Arial"/>
          <w:spacing w:val="-5"/>
          <w:sz w:val="24"/>
          <w:szCs w:val="24"/>
        </w:rPr>
      </w:pPr>
      <w:r>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3-х существующих котельных:</w:t>
      </w:r>
    </w:p>
    <w:p w14:paraId="6A14F0EA">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«2БВК» Верхнеказымское ЛПУ МГ;</w:t>
      </w:r>
    </w:p>
    <w:p w14:paraId="03413E29">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 2 МУП «БКС»;</w:t>
      </w:r>
    </w:p>
    <w:p w14:paraId="5F7DB63A">
      <w:pPr>
        <w:tabs>
          <w:tab w:val="left" w:pos="993"/>
        </w:tabs>
        <w:spacing w:after="0" w:line="240" w:lineRule="auto"/>
        <w:jc w:val="both"/>
        <w:rPr>
          <w:rFonts w:eastAsia="Arial"/>
          <w:spacing w:val="-5"/>
          <w:sz w:val="24"/>
          <w:szCs w:val="24"/>
        </w:rPr>
      </w:pPr>
      <w:r>
        <w:rPr>
          <w:rFonts w:eastAsia="Arial"/>
          <w:spacing w:val="-5"/>
          <w:sz w:val="24"/>
          <w:szCs w:val="24"/>
        </w:rPr>
        <w:t>–</w:t>
      </w:r>
      <w:r>
        <w:rPr>
          <w:rFonts w:eastAsia="Arial"/>
          <w:spacing w:val="-5"/>
          <w:sz w:val="24"/>
          <w:szCs w:val="24"/>
        </w:rPr>
        <w:tab/>
      </w:r>
      <w:r>
        <w:rPr>
          <w:rFonts w:eastAsia="Arial"/>
          <w:spacing w:val="-5"/>
          <w:sz w:val="24"/>
          <w:szCs w:val="24"/>
        </w:rPr>
        <w:t>Котельная «Вирбекс» Верхнеказымское ЛПУ МГ.</w:t>
      </w:r>
    </w:p>
    <w:p w14:paraId="46CDFBF4">
      <w:pPr>
        <w:spacing w:after="0" w:line="240" w:lineRule="auto"/>
        <w:contextualSpacing/>
        <w:jc w:val="both"/>
        <w:rPr>
          <w:sz w:val="24"/>
          <w:szCs w:val="24"/>
        </w:rPr>
      </w:pPr>
    </w:p>
    <w:p w14:paraId="14C5149E">
      <w:pPr>
        <w:pStyle w:val="4"/>
        <w:spacing w:before="0" w:line="240" w:lineRule="auto"/>
        <w:ind w:left="0" w:firstLine="709"/>
        <w:contextualSpacing/>
        <w:rPr>
          <w:rFonts w:cs="Times New Roman"/>
          <w:b w:val="0"/>
          <w:sz w:val="24"/>
        </w:rPr>
      </w:pPr>
      <w:bookmarkStart w:id="869" w:name="_Toc182814113"/>
      <w:r>
        <w:rPr>
          <w:rFonts w:cs="Times New Roman"/>
          <w:b w:val="0"/>
          <w:sz w:val="24"/>
        </w:rPr>
        <w:t>Характеристика оборудования источников тепловой энергии (мощности)</w:t>
      </w:r>
      <w:bookmarkEnd w:id="869"/>
    </w:p>
    <w:p w14:paraId="2EB7C906">
      <w:pPr>
        <w:spacing w:after="0" w:line="240" w:lineRule="auto"/>
        <w:contextualSpacing/>
        <w:jc w:val="both"/>
        <w:rPr>
          <w:sz w:val="24"/>
          <w:szCs w:val="24"/>
        </w:rPr>
      </w:pPr>
      <w:r>
        <w:rPr>
          <w:sz w:val="24"/>
          <w:szCs w:val="24"/>
        </w:rPr>
        <w:t>Структура и технические характеристики основного оборудования источников тепловой энергии представлена в таблицах п.1.2.1.</w:t>
      </w:r>
    </w:p>
    <w:p w14:paraId="598A42AD">
      <w:pPr>
        <w:spacing w:after="0" w:line="240" w:lineRule="auto"/>
        <w:contextualSpacing/>
        <w:jc w:val="both"/>
        <w:rPr>
          <w:sz w:val="24"/>
          <w:szCs w:val="24"/>
        </w:rPr>
      </w:pPr>
    </w:p>
    <w:p w14:paraId="281DCE86">
      <w:pPr>
        <w:pStyle w:val="4"/>
        <w:spacing w:before="0" w:line="240" w:lineRule="auto"/>
        <w:ind w:left="0" w:firstLine="709"/>
        <w:contextualSpacing/>
        <w:rPr>
          <w:rFonts w:cs="Times New Roman"/>
          <w:b w:val="0"/>
          <w:sz w:val="24"/>
        </w:rPr>
      </w:pPr>
      <w:bookmarkStart w:id="870" w:name="_Toc182814114"/>
      <w:r>
        <w:rPr>
          <w:rFonts w:cs="Times New Roman"/>
          <w:b w:val="0"/>
          <w:sz w:val="24"/>
        </w:rPr>
        <w:t>Выбросы вредных веществ в атмосферный воздух от дымовых труб источников теплоснабжения</w:t>
      </w:r>
      <w:bookmarkEnd w:id="870"/>
    </w:p>
    <w:p w14:paraId="3B4494F8">
      <w:pPr>
        <w:spacing w:after="0" w:line="240" w:lineRule="auto"/>
        <w:contextualSpacing/>
        <w:jc w:val="both"/>
        <w:rPr>
          <w:sz w:val="24"/>
          <w:szCs w:val="24"/>
        </w:rPr>
      </w:pPr>
      <w:r>
        <w:rPr>
          <w:sz w:val="24"/>
          <w:szCs w:val="24"/>
        </w:rPr>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соответствии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объекты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14:paraId="52CDA1A6">
      <w:pPr>
        <w:spacing w:after="0" w:line="240" w:lineRule="auto"/>
        <w:contextualSpacing/>
        <w:jc w:val="both"/>
        <w:rPr>
          <w:sz w:val="24"/>
          <w:szCs w:val="24"/>
        </w:rPr>
      </w:pPr>
      <w:r>
        <w:rPr>
          <w:sz w:val="24"/>
          <w:szCs w:val="24"/>
        </w:rPr>
        <w:t>Источники тепловой энергии с.п. Верхнеказымский работают на природном газе. Нормированию подлежат выбросы загрязняющих веществ, содержащихся в отходящих дымовых газах: оксида углерода, продукты неполного сгорания углеводородов и др.</w:t>
      </w:r>
    </w:p>
    <w:p w14:paraId="01965871">
      <w:pPr>
        <w:spacing w:after="0" w:line="240" w:lineRule="auto"/>
        <w:contextualSpacing/>
        <w:jc w:val="both"/>
        <w:rPr>
          <w:sz w:val="24"/>
          <w:szCs w:val="24"/>
        </w:rPr>
      </w:pPr>
      <w:r>
        <w:rPr>
          <w:sz w:val="24"/>
          <w:szCs w:val="24"/>
        </w:rPr>
        <w:t>Сведения о негативном воздействии деятельности теплоснабжающих предприятий на окружающую среду отсутствуют.</w:t>
      </w:r>
    </w:p>
    <w:p w14:paraId="623F7989">
      <w:pPr>
        <w:spacing w:after="0" w:line="240" w:lineRule="auto"/>
        <w:contextualSpacing/>
        <w:jc w:val="both"/>
        <w:rPr>
          <w:sz w:val="24"/>
          <w:szCs w:val="24"/>
        </w:rPr>
      </w:pPr>
    </w:p>
    <w:p w14:paraId="1CCC0068">
      <w:pPr>
        <w:pStyle w:val="4"/>
        <w:spacing w:before="0" w:line="240" w:lineRule="auto"/>
        <w:ind w:left="0" w:firstLine="709"/>
        <w:contextualSpacing/>
        <w:rPr>
          <w:rFonts w:cs="Times New Roman"/>
          <w:b w:val="0"/>
          <w:sz w:val="24"/>
        </w:rPr>
      </w:pPr>
      <w:bookmarkStart w:id="871" w:name="_Toc182814115"/>
      <w:r>
        <w:rPr>
          <w:rFonts w:cs="Times New Roman"/>
          <w:b w:val="0"/>
          <w:sz w:val="24"/>
        </w:rPr>
        <w:t>Определение концентраций вредных веществ в атмосферном воздухе от дымовых труб источников теплоснабжения</w:t>
      </w:r>
      <w:bookmarkEnd w:id="871"/>
    </w:p>
    <w:p w14:paraId="7172EE55">
      <w:pPr>
        <w:spacing w:after="0" w:line="240" w:lineRule="auto"/>
        <w:contextualSpacing/>
        <w:jc w:val="both"/>
        <w:rPr>
          <w:sz w:val="24"/>
          <w:szCs w:val="24"/>
        </w:rPr>
      </w:pPr>
      <w:r>
        <w:rPr>
          <w:sz w:val="24"/>
          <w:szCs w:val="24"/>
        </w:rPr>
        <w:t>Сведения для определения концентраций вредных веществ в атмосферном воздухе от источников теплоснабжения не предоставлены.</w:t>
      </w:r>
    </w:p>
    <w:p w14:paraId="63B199EB">
      <w:pPr>
        <w:spacing w:after="0" w:line="240" w:lineRule="auto"/>
        <w:contextualSpacing/>
        <w:jc w:val="both"/>
        <w:rPr>
          <w:sz w:val="24"/>
          <w:szCs w:val="24"/>
        </w:rPr>
      </w:pPr>
    </w:p>
    <w:p w14:paraId="178D55FC">
      <w:pPr>
        <w:pStyle w:val="3"/>
        <w:spacing w:before="0" w:line="240" w:lineRule="auto"/>
        <w:ind w:left="0" w:firstLine="709"/>
        <w:contextualSpacing/>
        <w:rPr>
          <w:rFonts w:cs="Times New Roman"/>
          <w:b w:val="0"/>
          <w:sz w:val="24"/>
          <w:szCs w:val="24"/>
        </w:rPr>
      </w:pPr>
      <w:bookmarkStart w:id="872" w:name="_Toc182814116"/>
      <w:r>
        <w:rPr>
          <w:rFonts w:cs="Times New Roman"/>
          <w:b w:val="0"/>
          <w:sz w:val="24"/>
          <w:szCs w:val="24"/>
        </w:rPr>
        <w:t>Результаты расчетов рассеивания загрязняющих веществ. Существующее состояние системы теплоснабжения</w:t>
      </w:r>
      <w:bookmarkEnd w:id="872"/>
    </w:p>
    <w:p w14:paraId="02BF88BF">
      <w:pPr>
        <w:spacing w:after="0" w:line="240" w:lineRule="auto"/>
        <w:contextualSpacing/>
        <w:jc w:val="both"/>
        <w:rPr>
          <w:sz w:val="24"/>
          <w:szCs w:val="24"/>
        </w:rPr>
      </w:pPr>
      <w:r>
        <w:rPr>
          <w:sz w:val="24"/>
          <w:szCs w:val="24"/>
        </w:rPr>
        <w:t>Сведения для расчётов рассеивания загрязняющих веществ не предоставлены.</w:t>
      </w:r>
    </w:p>
    <w:p w14:paraId="037E6401">
      <w:pPr>
        <w:spacing w:after="0" w:line="240" w:lineRule="auto"/>
        <w:contextualSpacing/>
        <w:jc w:val="both"/>
        <w:rPr>
          <w:sz w:val="24"/>
          <w:szCs w:val="24"/>
        </w:rPr>
      </w:pPr>
    </w:p>
    <w:sectPr>
      <w:headerReference r:id="rId7" w:type="default"/>
      <w:pgSz w:w="11906" w:h="16838"/>
      <w:pgMar w:top="1134" w:right="567" w:bottom="1134" w:left="1701" w:header="709" w:footer="709"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CC"/>
    <w:family w:val="roman"/>
    <w:pitch w:val="default"/>
    <w:sig w:usb0="E00006FF" w:usb1="420024FF" w:usb2="02000000" w:usb3="00000000" w:csb0="2000019F" w:csb1="00000000"/>
  </w:font>
  <w:font w:name="TimesET">
    <w:altName w:val="Times New Roman"/>
    <w:panose1 w:val="00000000000000000000"/>
    <w:charset w:val="00"/>
    <w:family w:val="auto"/>
    <w:pitch w:val="default"/>
    <w:sig w:usb0="00000000" w:usb1="00000000" w:usb2="00000000" w:usb3="00000000" w:csb0="00000000" w:csb1="00000000"/>
  </w:font>
  <w:font w:name="Consolas">
    <w:panose1 w:val="020B0609020204030204"/>
    <w:charset w:val="CC"/>
    <w:family w:val="modern"/>
    <w:pitch w:val="default"/>
    <w:sig w:usb0="E00006FF" w:usb1="0000FCFF" w:usb2="00000001" w:usb3="00000000" w:csb0="6000019F" w:csb1="DFD70000"/>
  </w:font>
  <w:font w:name="Verdana">
    <w:panose1 w:val="020B0604030504040204"/>
    <w:charset w:val="CC"/>
    <w:family w:val="swiss"/>
    <w:pitch w:val="default"/>
    <w:sig w:usb0="A00006FF" w:usb1="4000205B" w:usb2="00000010" w:usb3="00000000" w:csb0="2000019F" w:csb1="00000000"/>
  </w:font>
  <w:font w:name="Arial CYR">
    <w:altName w:val="Arial"/>
    <w:panose1 w:val="020B0604020202020204"/>
    <w:charset w:val="CC"/>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Franklin Gothic Book">
    <w:panose1 w:val="020B0503020102020204"/>
    <w:charset w:val="CC"/>
    <w:family w:val="swiss"/>
    <w:pitch w:val="default"/>
    <w:sig w:usb0="00000287" w:usb1="00000000" w:usb2="00000000" w:usb3="00000000" w:csb0="2000009F" w:csb1="DFD70000"/>
  </w:font>
  <w:font w:name="Century Gothic">
    <w:panose1 w:val="020B0502020202020204"/>
    <w:charset w:val="CC"/>
    <w:family w:val="swiss"/>
    <w:pitch w:val="default"/>
    <w:sig w:usb0="00000287" w:usb1="00000000" w:usb2="00000000" w:usb3="00000000" w:csb0="2000009F" w:csb1="DFD7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AcademyACTT">
    <w:altName w:val="Segoe Print"/>
    <w:panose1 w:val="00000000000000000000"/>
    <w:charset w:val="00"/>
    <w:family w:val="auto"/>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Times New Roman CYR">
    <w:altName w:val="Times New Roman"/>
    <w:panose1 w:val="02020603050405020304"/>
    <w:charset w:val="CC"/>
    <w:family w:val="roman"/>
    <w:pitch w:val="default"/>
    <w:sig w:usb0="00000000" w:usb1="00000000" w:usb2="00000009" w:usb3="00000000" w:csb0="000001FF" w:csb1="00000000"/>
  </w:font>
  <w:font w:name="HelvDL">
    <w:altName w:val="Times New Roman"/>
    <w:panose1 w:val="00000000000000000000"/>
    <w:charset w:val="00"/>
    <w:family w:val="auto"/>
    <w:pitch w:val="default"/>
    <w:sig w:usb0="00000000" w:usb1="00000000" w:usb2="00000000" w:usb3="00000000" w:csb0="00000001" w:csb1="00000000"/>
  </w:font>
  <w:font w:name="Arial Narrow">
    <w:panose1 w:val="020B0606020202030204"/>
    <w:charset w:val="CC"/>
    <w:family w:val="swiss"/>
    <w:pitch w:val="default"/>
    <w:sig w:usb0="00000287" w:usb1="00000800" w:usb2="00000000" w:usb3="00000000" w:csb0="2000009F" w:csb1="DFD70000"/>
  </w:font>
  <w:font w:name="MS Reference Sans Serif">
    <w:panose1 w:val="020B0604030504040204"/>
    <w:charset w:val="CC"/>
    <w:family w:val="swiss"/>
    <w:pitch w:val="default"/>
    <w:sig w:usb0="00000287" w:usb1="00000000" w:usb2="00000000" w:usb3="00000000" w:csb0="2000019F" w:csb1="00000000"/>
  </w:font>
  <w:font w:name="NTHelvetica/Cyrillic">
    <w:altName w:val="Segoe Print"/>
    <w:panose1 w:val="00000000000000000000"/>
    <w:charset w:val="00"/>
    <w:family w:val="auto"/>
    <w:pitch w:val="default"/>
    <w:sig w:usb0="00000000" w:usb1="00000000" w:usb2="00000000" w:usb3="00000000" w:csb0="00000001" w:csb1="00000000"/>
  </w:font>
  <w:font w:name="PMingLiU">
    <w:altName w:val="PMingLiU-ExtB"/>
    <w:panose1 w:val="02020500000000000000"/>
    <w:charset w:val="88"/>
    <w:family w:val="auto"/>
    <w:pitch w:val="default"/>
    <w:sig w:usb0="00000000" w:usb1="00000000" w:usb2="00000010" w:usb3="00000000" w:csb0="00100000" w:csb1="00000000"/>
  </w:font>
  <w:font w:name="Arial Black">
    <w:panose1 w:val="020B0A04020102020204"/>
    <w:charset w:val="CC"/>
    <w:family w:val="swiss"/>
    <w:pitch w:val="default"/>
    <w:sig w:usb0="A00002AF" w:usb1="400078FB" w:usb2="00000000" w:usb3="00000000" w:csb0="6000009F" w:csb1="DFD70000"/>
  </w:font>
  <w:font w:name="Book Antiqua">
    <w:panose1 w:val="02040602050305030304"/>
    <w:charset w:val="CC"/>
    <w:family w:val="roman"/>
    <w:pitch w:val="default"/>
    <w:sig w:usb0="00000287" w:usb1="00000000" w:usb2="00000000" w:usb3="00000000" w:csb0="2000009F" w:csb1="DFD70000"/>
  </w:font>
  <w:font w:name="Franklin Gothic Heavy">
    <w:panose1 w:val="020B0903020102020204"/>
    <w:charset w:val="CC"/>
    <w:family w:val="swiss"/>
    <w:pitch w:val="default"/>
    <w:sig w:usb0="00000287" w:usb1="00000000" w:usb2="00000000" w:usb3="00000000" w:csb0="2000009F" w:csb1="DFD70000"/>
  </w:font>
  <w:font w:name="Bookman Old Style">
    <w:panose1 w:val="02050604050505020204"/>
    <w:charset w:val="CC"/>
    <w:family w:val="roman"/>
    <w:pitch w:val="default"/>
    <w:sig w:usb0="00000287" w:usb1="00000000" w:usb2="00000000" w:usb3="00000000" w:csb0="2000009F" w:csb1="DFD70000"/>
  </w:font>
  <w:font w:name="Candara">
    <w:panose1 w:val="020E0502030303020204"/>
    <w:charset w:val="CC"/>
    <w:family w:val="swiss"/>
    <w:pitch w:val="default"/>
    <w:sig w:usb0="A00002EF" w:usb1="4000A44B" w:usb2="00000000" w:usb3="00000000" w:csb0="2000019F" w:csb1="00000000"/>
  </w:font>
  <w:font w:name="Lucida Sans Unicode">
    <w:panose1 w:val="020B0602030504020204"/>
    <w:charset w:val="CC"/>
    <w:family w:val="swiss"/>
    <w:pitch w:val="default"/>
    <w:sig w:usb0="80001AFF" w:usb1="0000396B" w:usb2="00000000" w:usb3="00000000" w:csb0="200000BF" w:csb1="D7F70000"/>
  </w:font>
  <w:font w:name="Impact">
    <w:panose1 w:val="020B0806030902050204"/>
    <w:charset w:val="CC"/>
    <w:family w:val="swiss"/>
    <w:pitch w:val="default"/>
    <w:sig w:usb0="00000287" w:usb1="00000000" w:usb2="00000000" w:usb3="00000000" w:csb0="2000009F" w:csb1="DFD70000"/>
  </w:font>
  <w:font w:name="Cambria Math">
    <w:panose1 w:val="02040503050406030204"/>
    <w:charset w:val="01"/>
    <w:family w:val="roman"/>
    <w:pitch w:val="default"/>
    <w:sig w:usb0="E00006FF" w:usb1="420024FF" w:usb2="02000000" w:usb3="00000000" w:csb0="2000019F" w:csb1="00000000"/>
  </w:font>
  <w:font w:name="ISOCPEUR">
    <w:altName w:val="Arial"/>
    <w:panose1 w:val="00000000000000000000"/>
    <w:charset w:val="CC"/>
    <w:family w:val="swiss"/>
    <w:pitch w:val="default"/>
    <w:sig w:usb0="00000000" w:usb1="00000000" w:usb2="00000000" w:usb3="00000000" w:csb0="0000009F" w:csb1="00000000"/>
  </w:font>
  <w:font w:name="OpenSymbol">
    <w:altName w:val="Segoe Print"/>
    <w:panose1 w:val="00000000000000000000"/>
    <w:charset w:val="00"/>
    <w:family w:val="auto"/>
    <w:pitch w:val="default"/>
    <w:sig w:usb0="00000000" w:usb1="00000000" w:usb2="00000000" w:usb3="00000000" w:csb0="00000001" w:csb1="00000000"/>
  </w:font>
  <w:font w:name="Sylfaen">
    <w:panose1 w:val="010A0502050306030303"/>
    <w:charset w:val="00"/>
    <w:family w:val="roman"/>
    <w:pitch w:val="default"/>
    <w:sig w:usb0="04000687" w:usb1="00000000" w:usb2="00000000" w:usb3="00000000" w:csb0="2000009F" w:csb1="00000000"/>
  </w:font>
  <w:font w:name="David">
    <w:altName w:val="Segoe Print"/>
    <w:panose1 w:val="020E0502060401010101"/>
    <w:charset w:val="B1"/>
    <w:family w:val="swiss"/>
    <w:pitch w:val="default"/>
    <w:sig w:usb0="00000000" w:usb1="00000000" w:usb2="00000000" w:usb3="00000000" w:csb0="00000021" w:csb1="00000000"/>
  </w:font>
  <w:font w:name="等线">
    <w:altName w:val="Microsoft YaHei"/>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CC"/>
    <w:family w:val="auto"/>
    <w:pitch w:val="default"/>
    <w:sig w:usb0="00000000" w:usb1="00000000" w:usb2="00000010" w:usb3="00000000" w:csb0="00020005"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6172106"/>
      <w:docPartObj>
        <w:docPartGallery w:val="AutoText"/>
      </w:docPartObj>
    </w:sdtPr>
    <w:sdtEndPr>
      <w:rPr>
        <w:sz w:val="24"/>
        <w:szCs w:val="24"/>
      </w:rPr>
    </w:sdtEndPr>
    <w:sdtContent>
      <w:p w14:paraId="4BB72626">
        <w:pPr>
          <w:pStyle w:val="80"/>
          <w:tabs>
            <w:tab w:val="right" w:pos="9638"/>
            <w:tab w:val="clear" w:pos="9355"/>
          </w:tabs>
          <w:ind w:firstLine="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ru-RU"/>
          </w:rPr>
          <w:t>156</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3916401"/>
      <w:docPartObj>
        <w:docPartGallery w:val="AutoText"/>
      </w:docPartObj>
    </w:sdtPr>
    <w:sdtContent>
      <w:p w14:paraId="67C590BF">
        <w:pPr>
          <w:pStyle w:val="80"/>
          <w:jc w:val="center"/>
        </w:pPr>
        <w:r>
          <w:fldChar w:fldCharType="begin"/>
        </w:r>
        <w:r>
          <w:instrText xml:space="preserve">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F53F">
    <w:pPr>
      <w:pStyle w:val="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75"/>
      <w:lvlText w:val=""/>
      <w:lvlJc w:val="left"/>
      <w:pPr>
        <w:tabs>
          <w:tab w:val="left" w:pos="1209"/>
        </w:tabs>
        <w:ind w:left="1209" w:hanging="360"/>
      </w:pPr>
      <w:rPr>
        <w:rFonts w:hint="default" w:ascii="Symbol" w:hAnsi="Symbol"/>
      </w:rPr>
    </w:lvl>
  </w:abstractNum>
  <w:abstractNum w:abstractNumId="1">
    <w:nsid w:val="FFFFFF82"/>
    <w:multiLevelType w:val="singleLevel"/>
    <w:tmpl w:val="FFFFFF82"/>
    <w:lvl w:ilvl="0" w:tentative="0">
      <w:start w:val="1"/>
      <w:numFmt w:val="bullet"/>
      <w:pStyle w:val="78"/>
      <w:lvlText w:val=""/>
      <w:lvlJc w:val="left"/>
      <w:pPr>
        <w:tabs>
          <w:tab w:val="left" w:pos="926"/>
        </w:tabs>
        <w:ind w:left="926" w:hanging="360"/>
      </w:pPr>
      <w:rPr>
        <w:rFonts w:hint="default" w:ascii="Symbol" w:hAnsi="Symbol"/>
      </w:rPr>
    </w:lvl>
  </w:abstractNum>
  <w:abstractNum w:abstractNumId="2">
    <w:nsid w:val="FFFFFF89"/>
    <w:multiLevelType w:val="singleLevel"/>
    <w:tmpl w:val="FFFFFF89"/>
    <w:lvl w:ilvl="0" w:tentative="0">
      <w:start w:val="1"/>
      <w:numFmt w:val="bullet"/>
      <w:pStyle w:val="76"/>
      <w:lvlText w:val=""/>
      <w:lvlJc w:val="left"/>
      <w:pPr>
        <w:tabs>
          <w:tab w:val="left" w:pos="360"/>
        </w:tabs>
        <w:ind w:left="360" w:hanging="360"/>
      </w:pPr>
      <w:rPr>
        <w:rFonts w:hint="default" w:ascii="Symbol" w:hAnsi="Symbol"/>
      </w:rPr>
    </w:lvl>
  </w:abstractNum>
  <w:abstractNum w:abstractNumId="3">
    <w:nsid w:val="01A12374"/>
    <w:multiLevelType w:val="multilevel"/>
    <w:tmpl w:val="01A12374"/>
    <w:lvl w:ilvl="0" w:tentative="0">
      <w:start w:val="1"/>
      <w:numFmt w:val="bullet"/>
      <w:pStyle w:val="622"/>
      <w:lvlText w:val=""/>
      <w:lvlJc w:val="left"/>
      <w:pPr>
        <w:tabs>
          <w:tab w:val="left" w:pos="6480"/>
        </w:tabs>
        <w:ind w:left="648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6E64B19"/>
    <w:multiLevelType w:val="singleLevel"/>
    <w:tmpl w:val="06E64B19"/>
    <w:lvl w:ilvl="0" w:tentative="0">
      <w:start w:val="1"/>
      <w:numFmt w:val="upperRoman"/>
      <w:pStyle w:val="85"/>
      <w:lvlText w:val="%1."/>
      <w:lvlJc w:val="left"/>
      <w:pPr>
        <w:tabs>
          <w:tab w:val="left" w:pos="720"/>
        </w:tabs>
        <w:ind w:left="720" w:hanging="720"/>
      </w:pPr>
    </w:lvl>
  </w:abstractNum>
  <w:abstractNum w:abstractNumId="5">
    <w:nsid w:val="074C1952"/>
    <w:multiLevelType w:val="multilevel"/>
    <w:tmpl w:val="074C1952"/>
    <w:lvl w:ilvl="0" w:tentative="0">
      <w:start w:val="1"/>
      <w:numFmt w:val="decimal"/>
      <w:pStyle w:val="1160"/>
      <w:lvlText w:val="Таблица %1"/>
      <w:lvlJc w:val="left"/>
      <w:pPr>
        <w:tabs>
          <w:tab w:val="left" w:pos="720"/>
        </w:tabs>
        <w:ind w:left="720" w:hanging="360"/>
      </w:pPr>
      <w:rPr>
        <w:rFonts w:hint="default"/>
        <w:color w:val="auto"/>
      </w:rPr>
    </w:lvl>
    <w:lvl w:ilvl="1" w:tentative="0">
      <w:start w:val="1"/>
      <w:numFmt w:val="bullet"/>
      <w:lvlText w:val=""/>
      <w:lvlJc w:val="left"/>
      <w:pPr>
        <w:tabs>
          <w:tab w:val="left" w:pos="2160"/>
        </w:tabs>
        <w:ind w:left="2160" w:hanging="360"/>
      </w:pPr>
      <w:rPr>
        <w:rFonts w:hint="default" w:ascii="Symbol" w:hAnsi="Symbol"/>
      </w:r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6">
    <w:nsid w:val="07BD06C5"/>
    <w:multiLevelType w:val="multilevel"/>
    <w:tmpl w:val="07BD06C5"/>
    <w:lvl w:ilvl="0" w:tentative="0">
      <w:start w:val="1"/>
      <w:numFmt w:val="decimal"/>
      <w:lvlText w:val="2%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B266EA8"/>
    <w:multiLevelType w:val="multilevel"/>
    <w:tmpl w:val="0B266EA8"/>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8">
    <w:nsid w:val="0EFD2175"/>
    <w:multiLevelType w:val="multilevel"/>
    <w:tmpl w:val="0EFD2175"/>
    <w:lvl w:ilvl="0" w:tentative="0">
      <w:start w:val="1"/>
      <w:numFmt w:val="decimal"/>
      <w:lvlText w:val="%1."/>
      <w:lvlJc w:val="left"/>
      <w:pPr>
        <w:ind w:left="162" w:hanging="708"/>
      </w:pPr>
      <w:rPr>
        <w:rFonts w:hint="default" w:ascii="Times New Roman" w:hAnsi="Times New Roman" w:eastAsia="Times New Roman" w:cs="Times New Roman"/>
        <w:b/>
        <w:bCs/>
        <w:w w:val="100"/>
        <w:sz w:val="22"/>
        <w:szCs w:val="22"/>
      </w:rPr>
    </w:lvl>
    <w:lvl w:ilvl="1" w:tentative="0">
      <w:start w:val="1"/>
      <w:numFmt w:val="decimal"/>
      <w:lvlText w:val="%1.%2."/>
      <w:lvlJc w:val="left"/>
      <w:pPr>
        <w:ind w:left="870" w:hanging="425"/>
      </w:pPr>
      <w:rPr>
        <w:rFonts w:hint="default" w:ascii="Times New Roman" w:hAnsi="Times New Roman" w:eastAsia="Times New Roman" w:cs="Times New Roman"/>
        <w:w w:val="100"/>
        <w:sz w:val="22"/>
        <w:szCs w:val="22"/>
      </w:rPr>
    </w:lvl>
    <w:lvl w:ilvl="2" w:tentative="0">
      <w:start w:val="1"/>
      <w:numFmt w:val="decimal"/>
      <w:lvlText w:val="%1.%2.%3."/>
      <w:lvlJc w:val="left"/>
      <w:pPr>
        <w:ind w:left="1270" w:hanging="543"/>
      </w:pPr>
      <w:rPr>
        <w:rFonts w:hint="default" w:ascii="Times New Roman" w:hAnsi="Times New Roman" w:eastAsia="Times New Roman" w:cs="Times New Roman"/>
        <w:w w:val="100"/>
        <w:sz w:val="22"/>
        <w:szCs w:val="22"/>
      </w:rPr>
    </w:lvl>
    <w:lvl w:ilvl="3" w:tentative="0">
      <w:start w:val="1"/>
      <w:numFmt w:val="bullet"/>
      <w:lvlText w:val="–"/>
      <w:lvlJc w:val="left"/>
      <w:pPr>
        <w:ind w:left="1820" w:hanging="543"/>
      </w:pPr>
      <w:rPr>
        <w:rFonts w:hint="default" w:ascii="Cambria" w:hAnsi="Cambria"/>
      </w:rPr>
    </w:lvl>
    <w:lvl w:ilvl="4" w:tentative="0">
      <w:start w:val="1"/>
      <w:numFmt w:val="bullet"/>
      <w:lvlText w:val="•"/>
      <w:lvlJc w:val="left"/>
      <w:pPr>
        <w:ind w:left="2472" w:hanging="543"/>
      </w:pPr>
      <w:rPr>
        <w:rFonts w:hint="default"/>
      </w:rPr>
    </w:lvl>
    <w:lvl w:ilvl="5" w:tentative="0">
      <w:start w:val="1"/>
      <w:numFmt w:val="bullet"/>
      <w:lvlText w:val="•"/>
      <w:lvlJc w:val="left"/>
      <w:pPr>
        <w:ind w:left="3664" w:hanging="543"/>
      </w:pPr>
      <w:rPr>
        <w:rFonts w:hint="default"/>
      </w:rPr>
    </w:lvl>
    <w:lvl w:ilvl="6" w:tentative="0">
      <w:start w:val="1"/>
      <w:numFmt w:val="bullet"/>
      <w:lvlText w:val="•"/>
      <w:lvlJc w:val="left"/>
      <w:pPr>
        <w:ind w:left="4857" w:hanging="543"/>
      </w:pPr>
      <w:rPr>
        <w:rFonts w:hint="default"/>
      </w:rPr>
    </w:lvl>
    <w:lvl w:ilvl="7" w:tentative="0">
      <w:start w:val="1"/>
      <w:numFmt w:val="bullet"/>
      <w:lvlText w:val="•"/>
      <w:lvlJc w:val="left"/>
      <w:pPr>
        <w:ind w:left="6049" w:hanging="543"/>
      </w:pPr>
      <w:rPr>
        <w:rFonts w:hint="default"/>
      </w:rPr>
    </w:lvl>
    <w:lvl w:ilvl="8" w:tentative="0">
      <w:start w:val="1"/>
      <w:numFmt w:val="bullet"/>
      <w:lvlText w:val="•"/>
      <w:lvlJc w:val="left"/>
      <w:pPr>
        <w:ind w:left="7241" w:hanging="543"/>
      </w:pPr>
      <w:rPr>
        <w:rFonts w:hint="default"/>
      </w:rPr>
    </w:lvl>
  </w:abstractNum>
  <w:abstractNum w:abstractNumId="9">
    <w:nsid w:val="10B80FD0"/>
    <w:multiLevelType w:val="multilevel"/>
    <w:tmpl w:val="10B80FD0"/>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0">
    <w:nsid w:val="12002EBC"/>
    <w:multiLevelType w:val="multilevel"/>
    <w:tmpl w:val="12002E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2BA154F"/>
    <w:multiLevelType w:val="multilevel"/>
    <w:tmpl w:val="12BA154F"/>
    <w:lvl w:ilvl="0" w:tentative="0">
      <w:start w:val="1"/>
      <w:numFmt w:val="bullet"/>
      <w:pStyle w:val="498"/>
      <w:lvlText w:val=""/>
      <w:lvlJc w:val="left"/>
      <w:pPr>
        <w:tabs>
          <w:tab w:val="left" w:pos="1429"/>
        </w:tabs>
        <w:ind w:left="360" w:firstLine="709"/>
      </w:pPr>
      <w:rPr>
        <w:rFonts w:hint="default" w:ascii="Symbol" w:hAnsi="Symbol"/>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2">
    <w:nsid w:val="15367D1B"/>
    <w:multiLevelType w:val="multilevel"/>
    <w:tmpl w:val="15367D1B"/>
    <w:lvl w:ilvl="0" w:tentative="0">
      <w:start w:val="11"/>
      <w:numFmt w:val="decimal"/>
      <w:lvlText w:val="%1."/>
      <w:lvlJc w:val="left"/>
      <w:pPr>
        <w:ind w:left="360" w:hanging="360"/>
      </w:pPr>
      <w:rPr>
        <w:rFonts w:hint="default"/>
        <w:sz w:val="28"/>
      </w:rPr>
    </w:lvl>
    <w:lvl w:ilvl="1" w:tentative="0">
      <w:start w:val="7"/>
      <w:numFmt w:val="decimal"/>
      <w:lvlText w:val="%1.%2."/>
      <w:lvlJc w:val="left"/>
      <w:pPr>
        <w:ind w:left="3551"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3">
    <w:nsid w:val="16741593"/>
    <w:multiLevelType w:val="multilevel"/>
    <w:tmpl w:val="16741593"/>
    <w:lvl w:ilvl="0" w:tentative="0">
      <w:start w:val="1"/>
      <w:numFmt w:val="bullet"/>
      <w:lvlText w:val=""/>
      <w:lvlJc w:val="left"/>
      <w:pPr>
        <w:ind w:left="2007" w:hanging="360"/>
      </w:pPr>
      <w:rPr>
        <w:rFonts w:hint="default" w:ascii="Symbol" w:hAnsi="Symbol"/>
        <w:color w:val="auto"/>
      </w:rPr>
    </w:lvl>
    <w:lvl w:ilvl="1" w:tentative="0">
      <w:start w:val="1"/>
      <w:numFmt w:val="bullet"/>
      <w:lvlText w:val="o"/>
      <w:lvlJc w:val="left"/>
      <w:pPr>
        <w:ind w:left="2727" w:hanging="360"/>
      </w:pPr>
      <w:rPr>
        <w:rFonts w:hint="default" w:ascii="Courier New" w:hAnsi="Courier New" w:cs="Courier New"/>
      </w:rPr>
    </w:lvl>
    <w:lvl w:ilvl="2" w:tentative="0">
      <w:start w:val="1"/>
      <w:numFmt w:val="bullet"/>
      <w:lvlText w:val=""/>
      <w:lvlJc w:val="left"/>
      <w:pPr>
        <w:ind w:left="3447" w:hanging="360"/>
      </w:pPr>
      <w:rPr>
        <w:rFonts w:hint="default" w:ascii="Wingdings" w:hAnsi="Wingdings"/>
      </w:rPr>
    </w:lvl>
    <w:lvl w:ilvl="3" w:tentative="0">
      <w:start w:val="1"/>
      <w:numFmt w:val="bullet"/>
      <w:lvlText w:val=""/>
      <w:lvlJc w:val="left"/>
      <w:pPr>
        <w:ind w:left="4167" w:hanging="360"/>
      </w:pPr>
      <w:rPr>
        <w:rFonts w:hint="default" w:ascii="Symbol" w:hAnsi="Symbol"/>
      </w:rPr>
    </w:lvl>
    <w:lvl w:ilvl="4" w:tentative="0">
      <w:start w:val="1"/>
      <w:numFmt w:val="bullet"/>
      <w:lvlText w:val="o"/>
      <w:lvlJc w:val="left"/>
      <w:pPr>
        <w:ind w:left="4887" w:hanging="360"/>
      </w:pPr>
      <w:rPr>
        <w:rFonts w:hint="default" w:ascii="Courier New" w:hAnsi="Courier New" w:cs="Courier New"/>
      </w:rPr>
    </w:lvl>
    <w:lvl w:ilvl="5" w:tentative="0">
      <w:start w:val="1"/>
      <w:numFmt w:val="bullet"/>
      <w:lvlText w:val=""/>
      <w:lvlJc w:val="left"/>
      <w:pPr>
        <w:ind w:left="5607" w:hanging="360"/>
      </w:pPr>
      <w:rPr>
        <w:rFonts w:hint="default" w:ascii="Wingdings" w:hAnsi="Wingdings"/>
      </w:rPr>
    </w:lvl>
    <w:lvl w:ilvl="6" w:tentative="0">
      <w:start w:val="1"/>
      <w:numFmt w:val="bullet"/>
      <w:lvlText w:val=""/>
      <w:lvlJc w:val="left"/>
      <w:pPr>
        <w:ind w:left="6327" w:hanging="360"/>
      </w:pPr>
      <w:rPr>
        <w:rFonts w:hint="default" w:ascii="Symbol" w:hAnsi="Symbol"/>
      </w:rPr>
    </w:lvl>
    <w:lvl w:ilvl="7" w:tentative="0">
      <w:start w:val="1"/>
      <w:numFmt w:val="bullet"/>
      <w:lvlText w:val="o"/>
      <w:lvlJc w:val="left"/>
      <w:pPr>
        <w:ind w:left="7047" w:hanging="360"/>
      </w:pPr>
      <w:rPr>
        <w:rFonts w:hint="default" w:ascii="Courier New" w:hAnsi="Courier New" w:cs="Courier New"/>
      </w:rPr>
    </w:lvl>
    <w:lvl w:ilvl="8" w:tentative="0">
      <w:start w:val="1"/>
      <w:numFmt w:val="bullet"/>
      <w:lvlText w:val=""/>
      <w:lvlJc w:val="left"/>
      <w:pPr>
        <w:ind w:left="7767" w:hanging="360"/>
      </w:pPr>
      <w:rPr>
        <w:rFonts w:hint="default" w:ascii="Wingdings" w:hAnsi="Wingdings"/>
      </w:rPr>
    </w:lvl>
  </w:abstractNum>
  <w:abstractNum w:abstractNumId="14">
    <w:nsid w:val="171B2996"/>
    <w:multiLevelType w:val="multilevel"/>
    <w:tmpl w:val="171B2996"/>
    <w:lvl w:ilvl="0" w:tentative="0">
      <w:start w:val="1"/>
      <w:numFmt w:val="bullet"/>
      <w:pStyle w:val="618"/>
      <w:lvlText w:val=""/>
      <w:lvlJc w:val="left"/>
      <w:pPr>
        <w:tabs>
          <w:tab w:val="left" w:pos="360"/>
        </w:tabs>
        <w:ind w:left="360" w:hanging="360"/>
      </w:pPr>
      <w:rPr>
        <w:rFonts w:hint="default" w:ascii="Symbol" w:hAnsi="Symbol"/>
        <w:b/>
      </w:rPr>
    </w:lvl>
    <w:lvl w:ilvl="1" w:tentative="0">
      <w:start w:val="1"/>
      <w:numFmt w:val="none"/>
      <w:lvlText w:val=""/>
      <w:lvlJc w:val="left"/>
      <w:pPr>
        <w:tabs>
          <w:tab w:val="left" w:pos="792"/>
        </w:tabs>
        <w:ind w:left="792" w:hanging="432"/>
      </w:pPr>
      <w:rPr>
        <w:rFonts w:hint="default" w:cs="Times New Roman"/>
      </w:rPr>
    </w:lvl>
    <w:lvl w:ilvl="2" w:tentative="0">
      <w:start w:val="1"/>
      <w:numFmt w:val="decimal"/>
      <w:lvlText w:val="%2%3"/>
      <w:lvlJc w:val="left"/>
      <w:pPr>
        <w:tabs>
          <w:tab w:val="left" w:pos="1440"/>
        </w:tabs>
        <w:ind w:left="1224" w:hanging="504"/>
      </w:pPr>
      <w:rPr>
        <w:rFonts w:hint="default" w:cs="Times New Roman"/>
        <w:b w:val="0"/>
        <w:sz w:val="32"/>
        <w:szCs w:val="32"/>
      </w:rPr>
    </w:lvl>
    <w:lvl w:ilvl="3" w:tentative="0">
      <w:start w:val="1"/>
      <w:numFmt w:val="decimal"/>
      <w:lvlText w:val="%2%3.%4"/>
      <w:lvlJc w:val="left"/>
      <w:pPr>
        <w:tabs>
          <w:tab w:val="left" w:pos="1800"/>
        </w:tabs>
        <w:ind w:left="1728" w:hanging="648"/>
      </w:pPr>
      <w:rPr>
        <w:rFonts w:hint="default" w:cs="Times New Roman"/>
        <w:b/>
        <w:sz w:val="28"/>
        <w:szCs w:val="28"/>
      </w:rPr>
    </w:lvl>
    <w:lvl w:ilvl="4" w:tentative="0">
      <w:start w:val="1"/>
      <w:numFmt w:val="decimal"/>
      <w:lvlText w:val="%2%3.%4.%5"/>
      <w:lvlJc w:val="left"/>
      <w:pPr>
        <w:tabs>
          <w:tab w:val="left" w:pos="2520"/>
        </w:tabs>
        <w:ind w:left="2232" w:hanging="792"/>
      </w:pPr>
      <w:rPr>
        <w:rFonts w:hint="default" w:cs="Times New Roman"/>
        <w:b/>
        <w:sz w:val="28"/>
        <w:szCs w:val="28"/>
      </w:rPr>
    </w:lvl>
    <w:lvl w:ilvl="5" w:tentative="0">
      <w:start w:val="1"/>
      <w:numFmt w:val="decimal"/>
      <w:lvlText w:val="%2%3.%4.%5.%6"/>
      <w:lvlJc w:val="left"/>
      <w:pPr>
        <w:tabs>
          <w:tab w:val="left" w:pos="3060"/>
        </w:tabs>
        <w:ind w:left="2916" w:hanging="936"/>
      </w:pPr>
      <w:rPr>
        <w:rFonts w:hint="default" w:cs="Times New Roman"/>
        <w:sz w:val="28"/>
        <w:szCs w:val="28"/>
      </w:rPr>
    </w:lvl>
    <w:lvl w:ilvl="6" w:tentative="0">
      <w:start w:val="1"/>
      <w:numFmt w:val="decimal"/>
      <w:lvlText w:val="%2%3.%4.%5.%6.%7"/>
      <w:lvlJc w:val="left"/>
      <w:pPr>
        <w:tabs>
          <w:tab w:val="left" w:pos="3600"/>
        </w:tabs>
        <w:ind w:left="3240" w:hanging="1080"/>
      </w:pPr>
      <w:rPr>
        <w:rFonts w:hint="default" w:cs="Times New Roman"/>
        <w:b/>
      </w:rPr>
    </w:lvl>
    <w:lvl w:ilvl="7" w:tentative="0">
      <w:start w:val="1"/>
      <w:numFmt w:val="bullet"/>
      <w:lvlText w:val=""/>
      <w:lvlJc w:val="left"/>
      <w:pPr>
        <w:tabs>
          <w:tab w:val="left" w:pos="5940"/>
        </w:tabs>
        <w:ind w:left="5724" w:hanging="1224"/>
      </w:pPr>
      <w:rPr>
        <w:rFonts w:hint="default" w:ascii="Symbol" w:hAnsi="Symbol"/>
      </w:rPr>
    </w:lvl>
    <w:lvl w:ilvl="8" w:tentative="0">
      <w:start w:val="1"/>
      <w:numFmt w:val="decimal"/>
      <w:lvlText w:val="%2%3.%4.%5.%6.%7.%8.%9."/>
      <w:lvlJc w:val="left"/>
      <w:pPr>
        <w:tabs>
          <w:tab w:val="left" w:pos="4680"/>
        </w:tabs>
        <w:ind w:left="4320" w:hanging="1440"/>
      </w:pPr>
      <w:rPr>
        <w:rFonts w:hint="default" w:cs="Times New Roman"/>
      </w:rPr>
    </w:lvl>
  </w:abstractNum>
  <w:abstractNum w:abstractNumId="15">
    <w:nsid w:val="17792AC8"/>
    <w:multiLevelType w:val="multilevel"/>
    <w:tmpl w:val="17792AC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24E35FA4"/>
    <w:multiLevelType w:val="multilevel"/>
    <w:tmpl w:val="24E35FA4"/>
    <w:lvl w:ilvl="0" w:tentative="0">
      <w:start w:val="1"/>
      <w:numFmt w:val="bullet"/>
      <w:pStyle w:val="2639"/>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67B634B"/>
    <w:multiLevelType w:val="multilevel"/>
    <w:tmpl w:val="267B634B"/>
    <w:lvl w:ilvl="0" w:tentative="0">
      <w:start w:val="1"/>
      <w:numFmt w:val="bullet"/>
      <w:lvlText w:val=""/>
      <w:lvlJc w:val="left"/>
      <w:pPr>
        <w:ind w:left="1287" w:hanging="360"/>
      </w:pPr>
      <w:rPr>
        <w:rFonts w:hint="default" w:ascii="Symbol" w:hAnsi="Symbol"/>
        <w:color w:val="auto"/>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8">
    <w:nsid w:val="26C20E80"/>
    <w:multiLevelType w:val="multilevel"/>
    <w:tmpl w:val="26C20E8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9">
    <w:nsid w:val="27261CC7"/>
    <w:multiLevelType w:val="singleLevel"/>
    <w:tmpl w:val="27261CC7"/>
    <w:lvl w:ilvl="0" w:tentative="0">
      <w:start w:val="1"/>
      <w:numFmt w:val="bullet"/>
      <w:pStyle w:val="569"/>
      <w:lvlText w:val=""/>
      <w:lvlJc w:val="left"/>
      <w:pPr>
        <w:tabs>
          <w:tab w:val="left" w:pos="360"/>
        </w:tabs>
        <w:ind w:left="360" w:hanging="360"/>
      </w:pPr>
      <w:rPr>
        <w:rFonts w:hint="default" w:ascii="Symbol" w:hAnsi="Symbol"/>
      </w:rPr>
    </w:lvl>
  </w:abstractNum>
  <w:abstractNum w:abstractNumId="20">
    <w:nsid w:val="296B3629"/>
    <w:multiLevelType w:val="multilevel"/>
    <w:tmpl w:val="296B3629"/>
    <w:lvl w:ilvl="0" w:tentative="0">
      <w:start w:val="1"/>
      <w:numFmt w:val="bullet"/>
      <w:lvlText w:val=""/>
      <w:lvlJc w:val="left"/>
      <w:pPr>
        <w:ind w:left="1429" w:hanging="360"/>
      </w:pPr>
      <w:rPr>
        <w:rFonts w:hint="default" w:ascii="Symbol" w:hAnsi="Symbol"/>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1">
    <w:nsid w:val="29741385"/>
    <w:multiLevelType w:val="multilevel"/>
    <w:tmpl w:val="29741385"/>
    <w:lvl w:ilvl="0" w:tentative="0">
      <w:start w:val="1"/>
      <w:numFmt w:val="bullet"/>
      <w:lvlText w:val=""/>
      <w:lvlJc w:val="left"/>
      <w:pPr>
        <w:ind w:left="2563" w:hanging="360"/>
      </w:pPr>
      <w:rPr>
        <w:rFonts w:hint="default" w:ascii="Symbol" w:hAnsi="Symbol"/>
        <w:color w:val="auto"/>
      </w:rPr>
    </w:lvl>
    <w:lvl w:ilvl="1" w:tentative="0">
      <w:start w:val="0"/>
      <w:numFmt w:val="bullet"/>
      <w:lvlText w:val="•"/>
      <w:lvlJc w:val="left"/>
      <w:pPr>
        <w:ind w:left="3283" w:hanging="360"/>
      </w:pPr>
      <w:rPr>
        <w:rFonts w:hint="default" w:ascii="Times New Roman" w:hAnsi="Times New Roman" w:eastAsia="Times New Roman" w:cs="Times New Roman"/>
      </w:rPr>
    </w:lvl>
    <w:lvl w:ilvl="2" w:tentative="0">
      <w:start w:val="1"/>
      <w:numFmt w:val="bullet"/>
      <w:lvlText w:val=""/>
      <w:lvlJc w:val="left"/>
      <w:pPr>
        <w:ind w:left="4003" w:hanging="360"/>
      </w:pPr>
      <w:rPr>
        <w:rFonts w:hint="default" w:ascii="Wingdings" w:hAnsi="Wingdings"/>
      </w:rPr>
    </w:lvl>
    <w:lvl w:ilvl="3" w:tentative="0">
      <w:start w:val="1"/>
      <w:numFmt w:val="bullet"/>
      <w:lvlText w:val=""/>
      <w:lvlJc w:val="left"/>
      <w:pPr>
        <w:ind w:left="4723" w:hanging="360"/>
      </w:pPr>
      <w:rPr>
        <w:rFonts w:hint="default" w:ascii="Symbol" w:hAnsi="Symbol"/>
      </w:rPr>
    </w:lvl>
    <w:lvl w:ilvl="4" w:tentative="0">
      <w:start w:val="1"/>
      <w:numFmt w:val="bullet"/>
      <w:lvlText w:val="o"/>
      <w:lvlJc w:val="left"/>
      <w:pPr>
        <w:ind w:left="5443" w:hanging="360"/>
      </w:pPr>
      <w:rPr>
        <w:rFonts w:hint="default" w:ascii="Courier New" w:hAnsi="Courier New" w:cs="Courier New"/>
      </w:rPr>
    </w:lvl>
    <w:lvl w:ilvl="5" w:tentative="0">
      <w:start w:val="1"/>
      <w:numFmt w:val="bullet"/>
      <w:lvlText w:val=""/>
      <w:lvlJc w:val="left"/>
      <w:pPr>
        <w:ind w:left="6163" w:hanging="360"/>
      </w:pPr>
      <w:rPr>
        <w:rFonts w:hint="default" w:ascii="Wingdings" w:hAnsi="Wingdings"/>
      </w:rPr>
    </w:lvl>
    <w:lvl w:ilvl="6" w:tentative="0">
      <w:start w:val="1"/>
      <w:numFmt w:val="bullet"/>
      <w:lvlText w:val=""/>
      <w:lvlJc w:val="left"/>
      <w:pPr>
        <w:ind w:left="6883" w:hanging="360"/>
      </w:pPr>
      <w:rPr>
        <w:rFonts w:hint="default" w:ascii="Symbol" w:hAnsi="Symbol"/>
      </w:rPr>
    </w:lvl>
    <w:lvl w:ilvl="7" w:tentative="0">
      <w:start w:val="1"/>
      <w:numFmt w:val="bullet"/>
      <w:lvlText w:val="o"/>
      <w:lvlJc w:val="left"/>
      <w:pPr>
        <w:ind w:left="7603" w:hanging="360"/>
      </w:pPr>
      <w:rPr>
        <w:rFonts w:hint="default" w:ascii="Courier New" w:hAnsi="Courier New" w:cs="Courier New"/>
      </w:rPr>
    </w:lvl>
    <w:lvl w:ilvl="8" w:tentative="0">
      <w:start w:val="1"/>
      <w:numFmt w:val="bullet"/>
      <w:lvlText w:val=""/>
      <w:lvlJc w:val="left"/>
      <w:pPr>
        <w:ind w:left="8323" w:hanging="360"/>
      </w:pPr>
      <w:rPr>
        <w:rFonts w:hint="default" w:ascii="Wingdings" w:hAnsi="Wingdings"/>
      </w:rPr>
    </w:lvl>
  </w:abstractNum>
  <w:abstractNum w:abstractNumId="22">
    <w:nsid w:val="2ACE5174"/>
    <w:multiLevelType w:val="multilevel"/>
    <w:tmpl w:val="2ACE5174"/>
    <w:lvl w:ilvl="0" w:tentative="0">
      <w:start w:val="1"/>
      <w:numFmt w:val="bullet"/>
      <w:pStyle w:val="511"/>
      <w:lvlText w:val=""/>
      <w:lvlJc w:val="left"/>
      <w:pPr>
        <w:tabs>
          <w:tab w:val="left" w:pos="1211"/>
        </w:tabs>
        <w:ind w:left="1211" w:hanging="360"/>
      </w:pPr>
      <w:rPr>
        <w:rFonts w:hint="default" w:ascii="Symbol" w:hAnsi="Symbol"/>
      </w:rPr>
    </w:lvl>
    <w:lvl w:ilvl="1" w:tentative="0">
      <w:start w:val="1"/>
      <w:numFmt w:val="bullet"/>
      <w:lvlText w:val="o"/>
      <w:lvlJc w:val="left"/>
      <w:pPr>
        <w:tabs>
          <w:tab w:val="left" w:pos="1789"/>
        </w:tabs>
        <w:ind w:left="1789" w:hanging="360"/>
      </w:pPr>
      <w:rPr>
        <w:rFonts w:hint="default" w:ascii="Courier New" w:hAnsi="Courier New" w:cs="Courier New"/>
      </w:rPr>
    </w:lvl>
    <w:lvl w:ilvl="2" w:tentative="0">
      <w:start w:val="1"/>
      <w:numFmt w:val="bullet"/>
      <w:lvlText w:val=""/>
      <w:lvlJc w:val="left"/>
      <w:pPr>
        <w:tabs>
          <w:tab w:val="left" w:pos="2509"/>
        </w:tabs>
        <w:ind w:left="2509" w:hanging="360"/>
      </w:pPr>
      <w:rPr>
        <w:rFonts w:hint="default" w:ascii="Wingdings" w:hAnsi="Wingdings"/>
      </w:rPr>
    </w:lvl>
    <w:lvl w:ilvl="3" w:tentative="0">
      <w:start w:val="1"/>
      <w:numFmt w:val="bullet"/>
      <w:lvlText w:val=""/>
      <w:lvlJc w:val="left"/>
      <w:pPr>
        <w:tabs>
          <w:tab w:val="left" w:pos="3229"/>
        </w:tabs>
        <w:ind w:left="3229" w:hanging="360"/>
      </w:pPr>
      <w:rPr>
        <w:rFonts w:hint="default" w:ascii="Symbol" w:hAnsi="Symbol"/>
      </w:rPr>
    </w:lvl>
    <w:lvl w:ilvl="4" w:tentative="0">
      <w:start w:val="1"/>
      <w:numFmt w:val="bullet"/>
      <w:lvlText w:val="o"/>
      <w:lvlJc w:val="left"/>
      <w:pPr>
        <w:tabs>
          <w:tab w:val="left" w:pos="3949"/>
        </w:tabs>
        <w:ind w:left="3949" w:hanging="360"/>
      </w:pPr>
      <w:rPr>
        <w:rFonts w:hint="default" w:ascii="Courier New" w:hAnsi="Courier New" w:cs="Courier New"/>
      </w:rPr>
    </w:lvl>
    <w:lvl w:ilvl="5" w:tentative="0">
      <w:start w:val="1"/>
      <w:numFmt w:val="bullet"/>
      <w:lvlText w:val=""/>
      <w:lvlJc w:val="left"/>
      <w:pPr>
        <w:tabs>
          <w:tab w:val="left" w:pos="4669"/>
        </w:tabs>
        <w:ind w:left="4669" w:hanging="360"/>
      </w:pPr>
      <w:rPr>
        <w:rFonts w:hint="default" w:ascii="Wingdings" w:hAnsi="Wingdings"/>
      </w:rPr>
    </w:lvl>
    <w:lvl w:ilvl="6" w:tentative="0">
      <w:start w:val="1"/>
      <w:numFmt w:val="bullet"/>
      <w:lvlText w:val=""/>
      <w:lvlJc w:val="left"/>
      <w:pPr>
        <w:tabs>
          <w:tab w:val="left" w:pos="5389"/>
        </w:tabs>
        <w:ind w:left="5389" w:hanging="360"/>
      </w:pPr>
      <w:rPr>
        <w:rFonts w:hint="default" w:ascii="Symbol" w:hAnsi="Symbol"/>
      </w:rPr>
    </w:lvl>
    <w:lvl w:ilvl="7" w:tentative="0">
      <w:start w:val="1"/>
      <w:numFmt w:val="bullet"/>
      <w:lvlText w:val="o"/>
      <w:lvlJc w:val="left"/>
      <w:pPr>
        <w:tabs>
          <w:tab w:val="left" w:pos="6109"/>
        </w:tabs>
        <w:ind w:left="6109" w:hanging="360"/>
      </w:pPr>
      <w:rPr>
        <w:rFonts w:hint="default" w:ascii="Courier New" w:hAnsi="Courier New" w:cs="Courier New"/>
      </w:rPr>
    </w:lvl>
    <w:lvl w:ilvl="8" w:tentative="0">
      <w:start w:val="1"/>
      <w:numFmt w:val="bullet"/>
      <w:lvlText w:val=""/>
      <w:lvlJc w:val="left"/>
      <w:pPr>
        <w:tabs>
          <w:tab w:val="left" w:pos="6829"/>
        </w:tabs>
        <w:ind w:left="6829" w:hanging="360"/>
      </w:pPr>
      <w:rPr>
        <w:rFonts w:hint="default" w:ascii="Wingdings" w:hAnsi="Wingdings"/>
      </w:rPr>
    </w:lvl>
  </w:abstractNum>
  <w:abstractNum w:abstractNumId="23">
    <w:nsid w:val="2BCC7EDE"/>
    <w:multiLevelType w:val="multilevel"/>
    <w:tmpl w:val="2BCC7EDE"/>
    <w:lvl w:ilvl="0" w:tentative="0">
      <w:start w:val="1"/>
      <w:numFmt w:val="bullet"/>
      <w:lvlText w:val="–"/>
      <w:lvlJc w:val="left"/>
      <w:pPr>
        <w:ind w:left="1429" w:hanging="3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
    <w:nsid w:val="2C5F777D"/>
    <w:multiLevelType w:val="multilevel"/>
    <w:tmpl w:val="2C5F777D"/>
    <w:lvl w:ilvl="0" w:tentative="0">
      <w:start w:val="1"/>
      <w:numFmt w:val="bullet"/>
      <w:lvlText w:val=""/>
      <w:lvlJc w:val="left"/>
      <w:pPr>
        <w:ind w:left="1429" w:hanging="360"/>
      </w:pPr>
      <w:rPr>
        <w:rFonts w:hint="default" w:ascii="Symbol" w:hAnsi="Symbol"/>
      </w:rPr>
    </w:lvl>
    <w:lvl w:ilvl="1" w:tentative="0">
      <w:start w:val="1"/>
      <w:numFmt w:val="bullet"/>
      <w:lvlText w:val=""/>
      <w:lvlJc w:val="left"/>
      <w:pPr>
        <w:ind w:left="2149" w:hanging="360"/>
      </w:pPr>
      <w:rPr>
        <w:rFonts w:hint="default" w:ascii="Symbol" w:hAnsi="Symbol"/>
        <w:color w:val="auto"/>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
    <w:nsid w:val="33DB191E"/>
    <w:multiLevelType w:val="multilevel"/>
    <w:tmpl w:val="33DB191E"/>
    <w:lvl w:ilvl="0" w:tentative="0">
      <w:start w:val="1"/>
      <w:numFmt w:val="bullet"/>
      <w:lvlText w:val=""/>
      <w:lvlJc w:val="left"/>
      <w:pPr>
        <w:ind w:left="1429" w:hanging="360"/>
      </w:pPr>
      <w:rPr>
        <w:rFonts w:hint="default" w:ascii="Symbol" w:hAnsi="Symbol"/>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
    <w:nsid w:val="38345307"/>
    <w:multiLevelType w:val="multilevel"/>
    <w:tmpl w:val="38345307"/>
    <w:lvl w:ilvl="0" w:tentative="0">
      <w:start w:val="1"/>
      <w:numFmt w:val="decimal"/>
      <w:pStyle w:val="1144"/>
      <w:lvlText w:val="%1"/>
      <w:lvlJc w:val="left"/>
      <w:pPr>
        <w:tabs>
          <w:tab w:val="left" w:pos="360"/>
        </w:tabs>
        <w:ind w:left="360" w:hanging="360"/>
      </w:pPr>
      <w:rPr>
        <w:rFonts w:hint="default"/>
        <w:b/>
      </w:rPr>
    </w:lvl>
    <w:lvl w:ilvl="1" w:tentative="0">
      <w:start w:val="1"/>
      <w:numFmt w:val="decimal"/>
      <w:lvlText w:val="%1.%2"/>
      <w:lvlJc w:val="left"/>
      <w:pPr>
        <w:tabs>
          <w:tab w:val="left" w:pos="720"/>
        </w:tabs>
        <w:ind w:left="720" w:hanging="360"/>
      </w:pPr>
      <w:rPr>
        <w:rFonts w:hint="default"/>
        <w:b/>
      </w:rPr>
    </w:lvl>
    <w:lvl w:ilvl="2" w:tentative="0">
      <w:start w:val="1"/>
      <w:numFmt w:val="decimal"/>
      <w:pStyle w:val="1146"/>
      <w:lvlText w:val="%1.%2.%3"/>
      <w:lvlJc w:val="left"/>
      <w:pPr>
        <w:tabs>
          <w:tab w:val="left" w:pos="1800"/>
        </w:tabs>
        <w:ind w:left="1800" w:hanging="720"/>
      </w:pPr>
      <w:rPr>
        <w:rFonts w:hint="default"/>
      </w:rPr>
    </w:lvl>
    <w:lvl w:ilvl="3" w:tentative="0">
      <w:start w:val="1"/>
      <w:numFmt w:val="decimal"/>
      <w:pStyle w:val="1147"/>
      <w:lvlText w:val="%1.%2.%3.%4"/>
      <w:lvlJc w:val="left"/>
      <w:pPr>
        <w:tabs>
          <w:tab w:val="left" w:pos="1800"/>
        </w:tabs>
        <w:ind w:left="1800" w:hanging="72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2880"/>
        </w:tabs>
        <w:ind w:left="2880" w:hanging="108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3960"/>
        </w:tabs>
        <w:ind w:left="3960" w:hanging="1440"/>
      </w:pPr>
      <w:rPr>
        <w:rFonts w:hint="default"/>
      </w:rPr>
    </w:lvl>
    <w:lvl w:ilvl="8" w:tentative="0">
      <w:start w:val="1"/>
      <w:numFmt w:val="decimal"/>
      <w:lvlText w:val="%1.%2.%3.%4.%5.%6.%7.%8.%9"/>
      <w:lvlJc w:val="left"/>
      <w:pPr>
        <w:tabs>
          <w:tab w:val="left" w:pos="4680"/>
        </w:tabs>
        <w:ind w:left="4680" w:hanging="1800"/>
      </w:pPr>
      <w:rPr>
        <w:rFonts w:hint="default"/>
      </w:rPr>
    </w:lvl>
  </w:abstractNum>
  <w:abstractNum w:abstractNumId="27">
    <w:nsid w:val="397F6ADB"/>
    <w:multiLevelType w:val="multilevel"/>
    <w:tmpl w:val="397F6ADB"/>
    <w:lvl w:ilvl="0" w:tentative="0">
      <w:start w:val="0"/>
      <w:numFmt w:val="bullet"/>
      <w:pStyle w:val="408"/>
      <w:lvlText w:val=""/>
      <w:lvlJc w:val="left"/>
      <w:pPr>
        <w:ind w:left="1522" w:hanging="360"/>
      </w:pPr>
      <w:rPr>
        <w:rFonts w:hint="default" w:ascii="Symbol" w:hAnsi="Symbol" w:eastAsia="Times New Roman" w:cs="Times New Roman"/>
      </w:rPr>
    </w:lvl>
    <w:lvl w:ilvl="1" w:tentative="0">
      <w:start w:val="1"/>
      <w:numFmt w:val="bullet"/>
      <w:lvlText w:val="o"/>
      <w:lvlJc w:val="left"/>
      <w:pPr>
        <w:ind w:left="2242" w:hanging="360"/>
      </w:pPr>
      <w:rPr>
        <w:rFonts w:hint="default" w:ascii="Courier New" w:hAnsi="Courier New" w:cs="Courier New"/>
      </w:rPr>
    </w:lvl>
    <w:lvl w:ilvl="2" w:tentative="0">
      <w:start w:val="1"/>
      <w:numFmt w:val="bullet"/>
      <w:lvlText w:val=""/>
      <w:lvlJc w:val="left"/>
      <w:pPr>
        <w:ind w:left="2962" w:hanging="360"/>
      </w:pPr>
      <w:rPr>
        <w:rFonts w:hint="default" w:ascii="Wingdings" w:hAnsi="Wingdings"/>
      </w:rPr>
    </w:lvl>
    <w:lvl w:ilvl="3" w:tentative="0">
      <w:start w:val="1"/>
      <w:numFmt w:val="bullet"/>
      <w:lvlText w:val=""/>
      <w:lvlJc w:val="left"/>
      <w:pPr>
        <w:ind w:left="3682" w:hanging="360"/>
      </w:pPr>
      <w:rPr>
        <w:rFonts w:hint="default" w:ascii="Symbol" w:hAnsi="Symbol"/>
      </w:rPr>
    </w:lvl>
    <w:lvl w:ilvl="4" w:tentative="0">
      <w:start w:val="1"/>
      <w:numFmt w:val="bullet"/>
      <w:lvlText w:val="o"/>
      <w:lvlJc w:val="left"/>
      <w:pPr>
        <w:ind w:left="4402" w:hanging="360"/>
      </w:pPr>
      <w:rPr>
        <w:rFonts w:hint="default" w:ascii="Courier New" w:hAnsi="Courier New" w:cs="Courier New"/>
      </w:rPr>
    </w:lvl>
    <w:lvl w:ilvl="5" w:tentative="0">
      <w:start w:val="1"/>
      <w:numFmt w:val="bullet"/>
      <w:lvlText w:val=""/>
      <w:lvlJc w:val="left"/>
      <w:pPr>
        <w:ind w:left="5122" w:hanging="360"/>
      </w:pPr>
      <w:rPr>
        <w:rFonts w:hint="default" w:ascii="Wingdings" w:hAnsi="Wingdings"/>
      </w:rPr>
    </w:lvl>
    <w:lvl w:ilvl="6" w:tentative="0">
      <w:start w:val="1"/>
      <w:numFmt w:val="bullet"/>
      <w:lvlText w:val=""/>
      <w:lvlJc w:val="left"/>
      <w:pPr>
        <w:ind w:left="5842" w:hanging="360"/>
      </w:pPr>
      <w:rPr>
        <w:rFonts w:hint="default" w:ascii="Symbol" w:hAnsi="Symbol"/>
      </w:rPr>
    </w:lvl>
    <w:lvl w:ilvl="7" w:tentative="0">
      <w:start w:val="1"/>
      <w:numFmt w:val="bullet"/>
      <w:lvlText w:val="o"/>
      <w:lvlJc w:val="left"/>
      <w:pPr>
        <w:ind w:left="6562" w:hanging="360"/>
      </w:pPr>
      <w:rPr>
        <w:rFonts w:hint="default" w:ascii="Courier New" w:hAnsi="Courier New" w:cs="Courier New"/>
      </w:rPr>
    </w:lvl>
    <w:lvl w:ilvl="8" w:tentative="0">
      <w:start w:val="1"/>
      <w:numFmt w:val="bullet"/>
      <w:lvlText w:val=""/>
      <w:lvlJc w:val="left"/>
      <w:pPr>
        <w:ind w:left="7282" w:hanging="360"/>
      </w:pPr>
      <w:rPr>
        <w:rFonts w:hint="default" w:ascii="Wingdings" w:hAnsi="Wingdings"/>
      </w:rPr>
    </w:lvl>
  </w:abstractNum>
  <w:abstractNum w:abstractNumId="28">
    <w:nsid w:val="3A947E72"/>
    <w:multiLevelType w:val="multilevel"/>
    <w:tmpl w:val="3A947E72"/>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29">
    <w:nsid w:val="3BD923B5"/>
    <w:multiLevelType w:val="multilevel"/>
    <w:tmpl w:val="3BD923B5"/>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0">
    <w:nsid w:val="3C5845B2"/>
    <w:multiLevelType w:val="multilevel"/>
    <w:tmpl w:val="3C5845B2"/>
    <w:lvl w:ilvl="0" w:tentative="0">
      <w:start w:val="1"/>
      <w:numFmt w:val="bullet"/>
      <w:lvlText w:val="–"/>
      <w:lvlJc w:val="left"/>
      <w:pPr>
        <w:ind w:left="1429" w:hanging="360"/>
      </w:pPr>
      <w:rPr>
        <w:rFonts w:hint="default" w:ascii="Cambria" w:hAnsi="Cambria"/>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1">
    <w:nsid w:val="3FD76291"/>
    <w:multiLevelType w:val="multilevel"/>
    <w:tmpl w:val="3FD7629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2">
    <w:nsid w:val="47DC7E5C"/>
    <w:multiLevelType w:val="multilevel"/>
    <w:tmpl w:val="47DC7E5C"/>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9382695"/>
    <w:multiLevelType w:val="multilevel"/>
    <w:tmpl w:val="49382695"/>
    <w:lvl w:ilvl="0" w:tentative="0">
      <w:start w:val="1"/>
      <w:numFmt w:val="bullet"/>
      <w:pStyle w:val="906"/>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4">
    <w:nsid w:val="494634E1"/>
    <w:multiLevelType w:val="multilevel"/>
    <w:tmpl w:val="494634E1"/>
    <w:lvl w:ilvl="0" w:tentative="0">
      <w:start w:val="2"/>
      <w:numFmt w:val="decimal"/>
      <w:pStyle w:val="675"/>
      <w:lvlText w:val="%1"/>
      <w:lvlJc w:val="left"/>
      <w:pPr>
        <w:tabs>
          <w:tab w:val="left" w:pos="360"/>
        </w:tabs>
        <w:ind w:left="360" w:hanging="360"/>
      </w:pPr>
      <w:rPr>
        <w:rFonts w:hint="default"/>
      </w:rPr>
    </w:lvl>
    <w:lvl w:ilvl="1" w:tentative="0">
      <w:start w:val="1"/>
      <w:numFmt w:val="decimal"/>
      <w:lvlText w:val="4. %2"/>
      <w:lvlJc w:val="left"/>
      <w:pPr>
        <w:tabs>
          <w:tab w:val="left" w:pos="1236"/>
        </w:tabs>
        <w:ind w:left="1267" w:hanging="415"/>
      </w:pPr>
      <w:rPr>
        <w:rFonts w:hint="default"/>
        <w:b w:val="0"/>
      </w:rPr>
    </w:lvl>
    <w:lvl w:ilvl="2" w:tentative="0">
      <w:start w:val="1"/>
      <w:numFmt w:val="decimal"/>
      <w:lvlText w:val="%1.%2.%3"/>
      <w:lvlJc w:val="left"/>
      <w:pPr>
        <w:tabs>
          <w:tab w:val="left" w:pos="3272"/>
        </w:tabs>
        <w:ind w:left="3272" w:hanging="720"/>
      </w:pPr>
      <w:rPr>
        <w:rFonts w:hint="default"/>
      </w:rPr>
    </w:lvl>
    <w:lvl w:ilvl="3" w:tentative="0">
      <w:start w:val="1"/>
      <w:numFmt w:val="decimal"/>
      <w:lvlText w:val="%1.%2.%3.%4"/>
      <w:lvlJc w:val="left"/>
      <w:pPr>
        <w:tabs>
          <w:tab w:val="left" w:pos="4548"/>
        </w:tabs>
        <w:ind w:left="4548" w:hanging="720"/>
      </w:pPr>
      <w:rPr>
        <w:rFonts w:hint="default"/>
      </w:rPr>
    </w:lvl>
    <w:lvl w:ilvl="4" w:tentative="0">
      <w:start w:val="1"/>
      <w:numFmt w:val="decimal"/>
      <w:lvlText w:val="%1.%2.%3.%4.%5"/>
      <w:lvlJc w:val="left"/>
      <w:pPr>
        <w:tabs>
          <w:tab w:val="left" w:pos="6184"/>
        </w:tabs>
        <w:ind w:left="6184" w:hanging="1080"/>
      </w:pPr>
      <w:rPr>
        <w:rFonts w:hint="default"/>
      </w:rPr>
    </w:lvl>
    <w:lvl w:ilvl="5" w:tentative="0">
      <w:start w:val="1"/>
      <w:numFmt w:val="decimal"/>
      <w:lvlText w:val="%1.%2.%3.%4.%5.%6"/>
      <w:lvlJc w:val="left"/>
      <w:pPr>
        <w:tabs>
          <w:tab w:val="left" w:pos="7460"/>
        </w:tabs>
        <w:ind w:left="7460" w:hanging="1080"/>
      </w:pPr>
      <w:rPr>
        <w:rFonts w:hint="default"/>
      </w:rPr>
    </w:lvl>
    <w:lvl w:ilvl="6" w:tentative="0">
      <w:start w:val="1"/>
      <w:numFmt w:val="decimal"/>
      <w:lvlText w:val="%1.%2.%3.%4.%5.%6.%7"/>
      <w:lvlJc w:val="left"/>
      <w:pPr>
        <w:tabs>
          <w:tab w:val="left" w:pos="9096"/>
        </w:tabs>
        <w:ind w:left="9096" w:hanging="1440"/>
      </w:pPr>
      <w:rPr>
        <w:rFonts w:hint="default"/>
      </w:rPr>
    </w:lvl>
    <w:lvl w:ilvl="7" w:tentative="0">
      <w:start w:val="1"/>
      <w:numFmt w:val="decimal"/>
      <w:lvlText w:val="%1.%2.%3.%4.%5.%6.%7.%8"/>
      <w:lvlJc w:val="left"/>
      <w:pPr>
        <w:tabs>
          <w:tab w:val="left" w:pos="10372"/>
        </w:tabs>
        <w:ind w:left="10372" w:hanging="1440"/>
      </w:pPr>
      <w:rPr>
        <w:rFonts w:hint="default"/>
      </w:rPr>
    </w:lvl>
    <w:lvl w:ilvl="8" w:tentative="0">
      <w:start w:val="1"/>
      <w:numFmt w:val="decimal"/>
      <w:lvlText w:val="%1.%2.%3.%4.%5.%6.%7.%8.%9"/>
      <w:lvlJc w:val="left"/>
      <w:pPr>
        <w:tabs>
          <w:tab w:val="left" w:pos="12008"/>
        </w:tabs>
        <w:ind w:left="12008" w:hanging="1800"/>
      </w:pPr>
      <w:rPr>
        <w:rFonts w:hint="default"/>
      </w:rPr>
    </w:lvl>
  </w:abstractNum>
  <w:abstractNum w:abstractNumId="35">
    <w:nsid w:val="4A2F353E"/>
    <w:multiLevelType w:val="multilevel"/>
    <w:tmpl w:val="4A2F353E"/>
    <w:lvl w:ilvl="0" w:tentative="0">
      <w:start w:val="1"/>
      <w:numFmt w:val="decimal"/>
      <w:pStyle w:val="1159"/>
      <w:lvlText w:val="Рисунок %1"/>
      <w:lvlJc w:val="left"/>
      <w:pPr>
        <w:tabs>
          <w:tab w:val="left" w:pos="360"/>
        </w:tabs>
        <w:ind w:left="360" w:hanging="360"/>
      </w:pPr>
      <w:rPr>
        <w:rFonts w:hint="default"/>
        <w:color w:val="auto"/>
      </w:rPr>
    </w:lvl>
    <w:lvl w:ilvl="1" w:tentative="0">
      <w:start w:val="1"/>
      <w:numFmt w:val="lowerLetter"/>
      <w:lvlText w:val="%2."/>
      <w:lvlJc w:val="left"/>
      <w:pPr>
        <w:tabs>
          <w:tab w:val="left" w:pos="2149"/>
        </w:tabs>
        <w:ind w:left="2149" w:hanging="360"/>
      </w:pPr>
    </w:lvl>
    <w:lvl w:ilvl="2" w:tentative="0">
      <w:start w:val="1"/>
      <w:numFmt w:val="lowerRoman"/>
      <w:lvlText w:val="%3."/>
      <w:lvlJc w:val="right"/>
      <w:pPr>
        <w:tabs>
          <w:tab w:val="left" w:pos="2869"/>
        </w:tabs>
        <w:ind w:left="2869" w:hanging="180"/>
      </w:pPr>
    </w:lvl>
    <w:lvl w:ilvl="3" w:tentative="0">
      <w:start w:val="1"/>
      <w:numFmt w:val="decimal"/>
      <w:lvlText w:val="%4."/>
      <w:lvlJc w:val="left"/>
      <w:pPr>
        <w:tabs>
          <w:tab w:val="left" w:pos="3589"/>
        </w:tabs>
        <w:ind w:left="3589" w:hanging="360"/>
      </w:pPr>
    </w:lvl>
    <w:lvl w:ilvl="4" w:tentative="0">
      <w:start w:val="1"/>
      <w:numFmt w:val="lowerLetter"/>
      <w:lvlText w:val="%5."/>
      <w:lvlJc w:val="left"/>
      <w:pPr>
        <w:tabs>
          <w:tab w:val="left" w:pos="4309"/>
        </w:tabs>
        <w:ind w:left="4309" w:hanging="360"/>
      </w:pPr>
    </w:lvl>
    <w:lvl w:ilvl="5" w:tentative="0">
      <w:start w:val="1"/>
      <w:numFmt w:val="lowerRoman"/>
      <w:lvlText w:val="%6."/>
      <w:lvlJc w:val="right"/>
      <w:pPr>
        <w:tabs>
          <w:tab w:val="left" w:pos="5029"/>
        </w:tabs>
        <w:ind w:left="5029" w:hanging="180"/>
      </w:pPr>
    </w:lvl>
    <w:lvl w:ilvl="6" w:tentative="0">
      <w:start w:val="1"/>
      <w:numFmt w:val="decimal"/>
      <w:lvlText w:val="%7."/>
      <w:lvlJc w:val="left"/>
      <w:pPr>
        <w:tabs>
          <w:tab w:val="left" w:pos="5749"/>
        </w:tabs>
        <w:ind w:left="5749" w:hanging="360"/>
      </w:pPr>
    </w:lvl>
    <w:lvl w:ilvl="7" w:tentative="0">
      <w:start w:val="1"/>
      <w:numFmt w:val="lowerLetter"/>
      <w:lvlText w:val="%8."/>
      <w:lvlJc w:val="left"/>
      <w:pPr>
        <w:tabs>
          <w:tab w:val="left" w:pos="6469"/>
        </w:tabs>
        <w:ind w:left="6469" w:hanging="360"/>
      </w:pPr>
    </w:lvl>
    <w:lvl w:ilvl="8" w:tentative="0">
      <w:start w:val="1"/>
      <w:numFmt w:val="lowerRoman"/>
      <w:lvlText w:val="%9."/>
      <w:lvlJc w:val="right"/>
      <w:pPr>
        <w:tabs>
          <w:tab w:val="left" w:pos="7189"/>
        </w:tabs>
        <w:ind w:left="7189" w:hanging="180"/>
      </w:pPr>
    </w:lvl>
  </w:abstractNum>
  <w:abstractNum w:abstractNumId="36">
    <w:nsid w:val="50441509"/>
    <w:multiLevelType w:val="multilevel"/>
    <w:tmpl w:val="50441509"/>
    <w:lvl w:ilvl="0" w:tentative="0">
      <w:start w:val="1"/>
      <w:numFmt w:val="bullet"/>
      <w:pStyle w:val="573"/>
      <w:lvlText w:val=""/>
      <w:lvlJc w:val="left"/>
      <w:pPr>
        <w:tabs>
          <w:tab w:val="left" w:pos="1429"/>
        </w:tabs>
        <w:ind w:left="1429"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1835FA0"/>
    <w:multiLevelType w:val="multilevel"/>
    <w:tmpl w:val="51835FA0"/>
    <w:lvl w:ilvl="0" w:tentative="0">
      <w:start w:val="1"/>
      <w:numFmt w:val="bullet"/>
      <w:lvlText w:val=""/>
      <w:lvlJc w:val="left"/>
      <w:pPr>
        <w:ind w:left="2149" w:hanging="360"/>
      </w:pPr>
      <w:rPr>
        <w:rFonts w:hint="default" w:ascii="Symbol" w:hAnsi="Symbol"/>
        <w:color w:val="auto"/>
      </w:rPr>
    </w:lvl>
    <w:lvl w:ilvl="1" w:tentative="0">
      <w:start w:val="1"/>
      <w:numFmt w:val="bullet"/>
      <w:lvlText w:val="o"/>
      <w:lvlJc w:val="left"/>
      <w:pPr>
        <w:ind w:left="2869" w:hanging="360"/>
      </w:pPr>
      <w:rPr>
        <w:rFonts w:hint="default" w:ascii="Courier New" w:hAnsi="Courier New" w:cs="Courier New"/>
      </w:rPr>
    </w:lvl>
    <w:lvl w:ilvl="2" w:tentative="0">
      <w:start w:val="1"/>
      <w:numFmt w:val="bullet"/>
      <w:lvlText w:val=""/>
      <w:lvlJc w:val="left"/>
      <w:pPr>
        <w:ind w:left="3589" w:hanging="360"/>
      </w:pPr>
      <w:rPr>
        <w:rFonts w:hint="default" w:ascii="Wingdings" w:hAnsi="Wingdings"/>
      </w:rPr>
    </w:lvl>
    <w:lvl w:ilvl="3" w:tentative="0">
      <w:start w:val="1"/>
      <w:numFmt w:val="bullet"/>
      <w:lvlText w:val=""/>
      <w:lvlJc w:val="left"/>
      <w:pPr>
        <w:ind w:left="4309" w:hanging="360"/>
      </w:pPr>
      <w:rPr>
        <w:rFonts w:hint="default" w:ascii="Symbol" w:hAnsi="Symbol"/>
      </w:rPr>
    </w:lvl>
    <w:lvl w:ilvl="4" w:tentative="0">
      <w:start w:val="1"/>
      <w:numFmt w:val="bullet"/>
      <w:lvlText w:val="o"/>
      <w:lvlJc w:val="left"/>
      <w:pPr>
        <w:ind w:left="5029" w:hanging="360"/>
      </w:pPr>
      <w:rPr>
        <w:rFonts w:hint="default" w:ascii="Courier New" w:hAnsi="Courier New" w:cs="Courier New"/>
      </w:rPr>
    </w:lvl>
    <w:lvl w:ilvl="5" w:tentative="0">
      <w:start w:val="1"/>
      <w:numFmt w:val="bullet"/>
      <w:lvlText w:val=""/>
      <w:lvlJc w:val="left"/>
      <w:pPr>
        <w:ind w:left="5749" w:hanging="360"/>
      </w:pPr>
      <w:rPr>
        <w:rFonts w:hint="default" w:ascii="Wingdings" w:hAnsi="Wingdings"/>
      </w:rPr>
    </w:lvl>
    <w:lvl w:ilvl="6" w:tentative="0">
      <w:start w:val="1"/>
      <w:numFmt w:val="bullet"/>
      <w:lvlText w:val=""/>
      <w:lvlJc w:val="left"/>
      <w:pPr>
        <w:ind w:left="6469" w:hanging="360"/>
      </w:pPr>
      <w:rPr>
        <w:rFonts w:hint="default" w:ascii="Symbol" w:hAnsi="Symbol"/>
      </w:rPr>
    </w:lvl>
    <w:lvl w:ilvl="7" w:tentative="0">
      <w:start w:val="1"/>
      <w:numFmt w:val="bullet"/>
      <w:lvlText w:val="o"/>
      <w:lvlJc w:val="left"/>
      <w:pPr>
        <w:ind w:left="7189" w:hanging="360"/>
      </w:pPr>
      <w:rPr>
        <w:rFonts w:hint="default" w:ascii="Courier New" w:hAnsi="Courier New" w:cs="Courier New"/>
      </w:rPr>
    </w:lvl>
    <w:lvl w:ilvl="8" w:tentative="0">
      <w:start w:val="1"/>
      <w:numFmt w:val="bullet"/>
      <w:lvlText w:val=""/>
      <w:lvlJc w:val="left"/>
      <w:pPr>
        <w:ind w:left="7909" w:hanging="360"/>
      </w:pPr>
      <w:rPr>
        <w:rFonts w:hint="default" w:ascii="Wingdings" w:hAnsi="Wingdings"/>
      </w:rPr>
    </w:lvl>
  </w:abstractNum>
  <w:abstractNum w:abstractNumId="38">
    <w:nsid w:val="51B128C0"/>
    <w:multiLevelType w:val="multilevel"/>
    <w:tmpl w:val="51B128C0"/>
    <w:lvl w:ilvl="0" w:tentative="0">
      <w:start w:val="1"/>
      <w:numFmt w:val="decimal"/>
      <w:pStyle w:val="2"/>
      <w:lvlText w:val="%1"/>
      <w:lvlJc w:val="left"/>
      <w:pPr>
        <w:ind w:left="432" w:hanging="432"/>
      </w:pPr>
    </w:lvl>
    <w:lvl w:ilvl="1" w:tentative="0">
      <w:start w:val="1"/>
      <w:numFmt w:val="decimal"/>
      <w:pStyle w:val="3"/>
      <w:lvlText w:val="%1.%2"/>
      <w:lvlJc w:val="left"/>
      <w:pPr>
        <w:ind w:left="2420" w:hanging="576"/>
      </w:pPr>
    </w:lvl>
    <w:lvl w:ilvl="2" w:tentative="0">
      <w:start w:val="1"/>
      <w:numFmt w:val="decimal"/>
      <w:pStyle w:val="4"/>
      <w:lvlText w:val="%1.%2.%3"/>
      <w:lvlJc w:val="left"/>
      <w:pPr>
        <w:ind w:left="4123"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9">
    <w:nsid w:val="538675B7"/>
    <w:multiLevelType w:val="multilevel"/>
    <w:tmpl w:val="538675B7"/>
    <w:lvl w:ilvl="0" w:tentative="0">
      <w:start w:val="1"/>
      <w:numFmt w:val="decimal"/>
      <w:pStyle w:val="559"/>
      <w:lvlText w:val="%1."/>
      <w:lvlJc w:val="left"/>
      <w:pPr>
        <w:ind w:left="1134" w:hanging="425"/>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6F671A5"/>
    <w:multiLevelType w:val="multilevel"/>
    <w:tmpl w:val="56F671A5"/>
    <w:lvl w:ilvl="0" w:tentative="0">
      <w:start w:val="1"/>
      <w:numFmt w:val="bullet"/>
      <w:lvlText w:val=""/>
      <w:lvlJc w:val="left"/>
      <w:pPr>
        <w:ind w:left="1429" w:hanging="360"/>
      </w:pPr>
      <w:rPr>
        <w:rFonts w:hint="default" w:ascii="Symbol" w:hAnsi="Symbol"/>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1">
    <w:nsid w:val="59612EEA"/>
    <w:multiLevelType w:val="multilevel"/>
    <w:tmpl w:val="59612EEA"/>
    <w:lvl w:ilvl="0" w:tentative="0">
      <w:start w:val="1"/>
      <w:numFmt w:val="decimal"/>
      <w:pStyle w:val="1860"/>
      <w:suff w:val="space"/>
      <w:lvlText w:val="Приложение %1"/>
      <w:lvlJc w:val="left"/>
      <w:pPr>
        <w:ind w:left="0" w:firstLine="0"/>
      </w:pPr>
      <w:rPr>
        <w:rFonts w:hint="default"/>
      </w:rPr>
    </w:lvl>
    <w:lvl w:ilvl="1" w:tentative="0">
      <w:start w:val="1"/>
      <w:numFmt w:val="lowerLetter"/>
      <w:lvlText w:val="%2)"/>
      <w:lvlJc w:val="left"/>
      <w:pPr>
        <w:ind w:left="720" w:hanging="360"/>
      </w:pPr>
      <w:rPr>
        <w:rFonts w:hint="default"/>
      </w:rPr>
    </w:lvl>
    <w:lvl w:ilvl="2" w:tentative="0">
      <w:start w:val="1"/>
      <w:numFmt w:val="lowerRoman"/>
      <w:lvlText w:val="%3)"/>
      <w:lvlJc w:val="lef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decimal"/>
      <w:lvlRestart w:val="1"/>
      <w:pStyle w:val="1861"/>
      <w:suff w:val="space"/>
      <w:lvlText w:val="Риснок П%1.%5"/>
      <w:lvlJc w:val="left"/>
      <w:pPr>
        <w:ind w:left="0" w:firstLine="0"/>
      </w:pPr>
      <w:rPr>
        <w:rFonts w:hint="default"/>
      </w:rPr>
    </w:lvl>
    <w:lvl w:ilvl="5" w:tentative="0">
      <w:start w:val="1"/>
      <w:numFmt w:val="decimal"/>
      <w:pStyle w:val="1862"/>
      <w:suff w:val="space"/>
      <w:lvlText w:val="Таблица П%1.%6"/>
      <w:lvlJc w:val="left"/>
      <w:pPr>
        <w:ind w:left="0" w:firstLine="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2">
    <w:nsid w:val="59E60585"/>
    <w:multiLevelType w:val="multilevel"/>
    <w:tmpl w:val="59E60585"/>
    <w:lvl w:ilvl="0" w:tentative="0">
      <w:start w:val="1"/>
      <w:numFmt w:val="bullet"/>
      <w:lvlText w:val=""/>
      <w:lvlJc w:val="left"/>
      <w:pPr>
        <w:tabs>
          <w:tab w:val="left" w:pos="3346"/>
        </w:tabs>
        <w:ind w:left="3346" w:hanging="360"/>
      </w:pPr>
      <w:rPr>
        <w:rFonts w:hint="default" w:ascii="Symbol" w:hAnsi="Symbol"/>
        <w:color w:val="auto"/>
      </w:rPr>
    </w:lvl>
    <w:lvl w:ilvl="1" w:tentative="0">
      <w:start w:val="1"/>
      <w:numFmt w:val="bullet"/>
      <w:pStyle w:val="1069"/>
      <w:lvlText w:val=""/>
      <w:lvlJc w:val="left"/>
      <w:pPr>
        <w:tabs>
          <w:tab w:val="left" w:pos="2149"/>
        </w:tabs>
        <w:ind w:left="2149" w:hanging="360"/>
      </w:pPr>
      <w:rPr>
        <w:rFonts w:hint="default" w:ascii="Symbol" w:hAnsi="Symbol"/>
        <w:color w:val="auto"/>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43">
    <w:nsid w:val="5EA94484"/>
    <w:multiLevelType w:val="singleLevel"/>
    <w:tmpl w:val="5EA94484"/>
    <w:lvl w:ilvl="0" w:tentative="0">
      <w:start w:val="1"/>
      <w:numFmt w:val="bullet"/>
      <w:pStyle w:val="520"/>
      <w:lvlText w:val="-"/>
      <w:lvlJc w:val="left"/>
      <w:pPr>
        <w:tabs>
          <w:tab w:val="left" w:pos="1077"/>
        </w:tabs>
        <w:ind w:left="1077" w:hanging="368"/>
      </w:pPr>
      <w:rPr>
        <w:rFonts w:hint="default" w:ascii="Times New Roman" w:hAnsi="Times New Roman"/>
        <w:b/>
        <w:i w:val="0"/>
        <w:sz w:val="24"/>
      </w:rPr>
    </w:lvl>
  </w:abstractNum>
  <w:abstractNum w:abstractNumId="44">
    <w:nsid w:val="676D1D94"/>
    <w:multiLevelType w:val="multilevel"/>
    <w:tmpl w:val="676D1D94"/>
    <w:lvl w:ilvl="0" w:tentative="0">
      <w:start w:val="1"/>
      <w:numFmt w:val="decimal"/>
      <w:pStyle w:val="1915"/>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5">
    <w:nsid w:val="69BF1DAA"/>
    <w:multiLevelType w:val="multilevel"/>
    <w:tmpl w:val="69BF1DA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6">
    <w:nsid w:val="69C90727"/>
    <w:multiLevelType w:val="multilevel"/>
    <w:tmpl w:val="69C90727"/>
    <w:lvl w:ilvl="0" w:tentative="0">
      <w:start w:val="1"/>
      <w:numFmt w:val="bullet"/>
      <w:pStyle w:val="383"/>
      <w:suff w:val="space"/>
      <w:lvlText w:val=""/>
      <w:lvlJc w:val="left"/>
      <w:pPr>
        <w:ind w:left="426" w:firstLine="0"/>
      </w:pPr>
      <w:rPr>
        <w:rFonts w:hint="default" w:ascii="Wingdings" w:hAnsi="Wingdings"/>
      </w:rPr>
    </w:lvl>
    <w:lvl w:ilvl="1" w:tentative="0">
      <w:start w:val="1"/>
      <w:numFmt w:val="bullet"/>
      <w:pStyle w:val="382"/>
      <w:suff w:val="space"/>
      <w:lvlText w:val=""/>
      <w:lvlJc w:val="left"/>
      <w:pPr>
        <w:ind w:left="964" w:firstLine="0"/>
      </w:pPr>
      <w:rPr>
        <w:rFonts w:hint="default" w:ascii="Symbol" w:hAnsi="Symbol"/>
      </w:rPr>
    </w:lvl>
    <w:lvl w:ilvl="2" w:tentative="0">
      <w:start w:val="1"/>
      <w:numFmt w:val="bullet"/>
      <w:suff w:val="space"/>
      <w:lvlText w:val=""/>
      <w:lvlJc w:val="left"/>
      <w:pPr>
        <w:ind w:left="1361" w:firstLine="0"/>
      </w:pPr>
      <w:rPr>
        <w:rFonts w:hint="default" w:ascii="Symbol" w:hAnsi="Symbol"/>
      </w:rPr>
    </w:lvl>
    <w:lvl w:ilvl="3" w:tentative="0">
      <w:start w:val="1"/>
      <w:numFmt w:val="bullet"/>
      <w:suff w:val="space"/>
      <w:lvlText w:val="–"/>
      <w:lvlJc w:val="left"/>
      <w:pPr>
        <w:ind w:left="1758" w:firstLine="0"/>
      </w:pPr>
      <w:rPr>
        <w:rFonts w:hint="default" w:ascii="Times New Roman" w:hAnsi="Times New Roman" w:cs="Times New Roman"/>
      </w:rPr>
    </w:lvl>
    <w:lvl w:ilvl="4" w:tentative="0">
      <w:start w:val="1"/>
      <w:numFmt w:val="bullet"/>
      <w:suff w:val="space"/>
      <w:lvlText w:val="–"/>
      <w:lvlJc w:val="left"/>
      <w:pPr>
        <w:ind w:left="2155" w:firstLine="0"/>
      </w:pPr>
      <w:rPr>
        <w:rFonts w:hint="default" w:ascii="Times New Roman" w:hAnsi="Times New Roman" w:cs="Times New Roman"/>
      </w:rPr>
    </w:lvl>
    <w:lvl w:ilvl="5" w:tentative="0">
      <w:start w:val="1"/>
      <w:numFmt w:val="bullet"/>
      <w:suff w:val="space"/>
      <w:lvlText w:val="–"/>
      <w:lvlJc w:val="left"/>
      <w:pPr>
        <w:ind w:left="2552" w:firstLine="0"/>
      </w:pPr>
      <w:rPr>
        <w:rFonts w:hint="default" w:ascii="Times New Roman" w:hAnsi="Times New Roman" w:cs="Times New Roman"/>
      </w:rPr>
    </w:lvl>
    <w:lvl w:ilvl="6" w:tentative="0">
      <w:start w:val="1"/>
      <w:numFmt w:val="bullet"/>
      <w:suff w:val="space"/>
      <w:lvlText w:val=""/>
      <w:lvlJc w:val="left"/>
      <w:pPr>
        <w:ind w:left="2949" w:firstLine="0"/>
      </w:pPr>
      <w:rPr>
        <w:rFonts w:hint="default" w:ascii="Symbol" w:hAnsi="Symbol"/>
      </w:rPr>
    </w:lvl>
    <w:lvl w:ilvl="7" w:tentative="0">
      <w:start w:val="1"/>
      <w:numFmt w:val="bullet"/>
      <w:suff w:val="space"/>
      <w:lvlText w:val="–"/>
      <w:lvlJc w:val="left"/>
      <w:pPr>
        <w:ind w:left="3346" w:firstLine="0"/>
      </w:pPr>
      <w:rPr>
        <w:rFonts w:hint="default" w:ascii="Times New Roman" w:hAnsi="Times New Roman" w:cs="Times New Roman"/>
      </w:rPr>
    </w:lvl>
    <w:lvl w:ilvl="8" w:tentative="0">
      <w:start w:val="1"/>
      <w:numFmt w:val="bullet"/>
      <w:suff w:val="space"/>
      <w:lvlText w:val=""/>
      <w:lvlJc w:val="left"/>
      <w:pPr>
        <w:ind w:left="3743" w:firstLine="0"/>
      </w:pPr>
      <w:rPr>
        <w:rFonts w:hint="default" w:ascii="Symbol" w:hAnsi="Symbol"/>
      </w:rPr>
    </w:lvl>
  </w:abstractNum>
  <w:abstractNum w:abstractNumId="47">
    <w:nsid w:val="77223551"/>
    <w:multiLevelType w:val="multilevel"/>
    <w:tmpl w:val="77223551"/>
    <w:lvl w:ilvl="0" w:tentative="0">
      <w:start w:val="1"/>
      <w:numFmt w:val="bullet"/>
      <w:lvlText w:val="–"/>
      <w:lvlJc w:val="left"/>
      <w:pPr>
        <w:ind w:left="1429" w:hanging="3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8">
    <w:nsid w:val="7E4166A0"/>
    <w:multiLevelType w:val="multilevel"/>
    <w:tmpl w:val="7E4166A0"/>
    <w:lvl w:ilvl="0" w:tentative="0">
      <w:start w:val="1"/>
      <w:numFmt w:val="bullet"/>
      <w:lvlText w:val=""/>
      <w:lvlJc w:val="left"/>
      <w:pPr>
        <w:ind w:left="2563" w:hanging="360"/>
      </w:pPr>
      <w:rPr>
        <w:rFonts w:hint="default" w:ascii="Symbol" w:hAnsi="Symbol"/>
        <w:color w:val="auto"/>
      </w:rPr>
    </w:lvl>
    <w:lvl w:ilvl="1" w:tentative="0">
      <w:start w:val="1"/>
      <w:numFmt w:val="bullet"/>
      <w:lvlText w:val=""/>
      <w:lvlJc w:val="left"/>
      <w:pPr>
        <w:ind w:left="3283" w:hanging="360"/>
      </w:pPr>
      <w:rPr>
        <w:rFonts w:hint="default" w:ascii="Symbol" w:hAnsi="Symbol"/>
      </w:rPr>
    </w:lvl>
    <w:lvl w:ilvl="2" w:tentative="0">
      <w:start w:val="1"/>
      <w:numFmt w:val="bullet"/>
      <w:lvlText w:val=""/>
      <w:lvlJc w:val="left"/>
      <w:pPr>
        <w:ind w:left="4003" w:hanging="360"/>
      </w:pPr>
      <w:rPr>
        <w:rFonts w:hint="default" w:ascii="Wingdings" w:hAnsi="Wingdings"/>
      </w:rPr>
    </w:lvl>
    <w:lvl w:ilvl="3" w:tentative="0">
      <w:start w:val="1"/>
      <w:numFmt w:val="bullet"/>
      <w:lvlText w:val=""/>
      <w:lvlJc w:val="left"/>
      <w:pPr>
        <w:ind w:left="4723" w:hanging="360"/>
      </w:pPr>
      <w:rPr>
        <w:rFonts w:hint="default" w:ascii="Symbol" w:hAnsi="Symbol"/>
      </w:rPr>
    </w:lvl>
    <w:lvl w:ilvl="4" w:tentative="0">
      <w:start w:val="1"/>
      <w:numFmt w:val="bullet"/>
      <w:lvlText w:val="o"/>
      <w:lvlJc w:val="left"/>
      <w:pPr>
        <w:ind w:left="5443" w:hanging="360"/>
      </w:pPr>
      <w:rPr>
        <w:rFonts w:hint="default" w:ascii="Courier New" w:hAnsi="Courier New" w:cs="Courier New"/>
      </w:rPr>
    </w:lvl>
    <w:lvl w:ilvl="5" w:tentative="0">
      <w:start w:val="1"/>
      <w:numFmt w:val="bullet"/>
      <w:lvlText w:val=""/>
      <w:lvlJc w:val="left"/>
      <w:pPr>
        <w:ind w:left="6163" w:hanging="360"/>
      </w:pPr>
      <w:rPr>
        <w:rFonts w:hint="default" w:ascii="Wingdings" w:hAnsi="Wingdings"/>
      </w:rPr>
    </w:lvl>
    <w:lvl w:ilvl="6" w:tentative="0">
      <w:start w:val="1"/>
      <w:numFmt w:val="bullet"/>
      <w:lvlText w:val=""/>
      <w:lvlJc w:val="left"/>
      <w:pPr>
        <w:ind w:left="6883" w:hanging="360"/>
      </w:pPr>
      <w:rPr>
        <w:rFonts w:hint="default" w:ascii="Symbol" w:hAnsi="Symbol"/>
      </w:rPr>
    </w:lvl>
    <w:lvl w:ilvl="7" w:tentative="0">
      <w:start w:val="1"/>
      <w:numFmt w:val="bullet"/>
      <w:lvlText w:val="o"/>
      <w:lvlJc w:val="left"/>
      <w:pPr>
        <w:ind w:left="7603" w:hanging="360"/>
      </w:pPr>
      <w:rPr>
        <w:rFonts w:hint="default" w:ascii="Courier New" w:hAnsi="Courier New" w:cs="Courier New"/>
      </w:rPr>
    </w:lvl>
    <w:lvl w:ilvl="8" w:tentative="0">
      <w:start w:val="1"/>
      <w:numFmt w:val="bullet"/>
      <w:lvlText w:val=""/>
      <w:lvlJc w:val="left"/>
      <w:pPr>
        <w:ind w:left="8323" w:hanging="360"/>
      </w:pPr>
      <w:rPr>
        <w:rFonts w:hint="default" w:ascii="Wingdings" w:hAnsi="Wingdings"/>
      </w:rPr>
    </w:lvl>
  </w:abstractNum>
  <w:abstractNum w:abstractNumId="49">
    <w:nsid w:val="7ED215C3"/>
    <w:multiLevelType w:val="multilevel"/>
    <w:tmpl w:val="7ED215C3"/>
    <w:lvl w:ilvl="0" w:tentative="0">
      <w:start w:val="1"/>
      <w:numFmt w:val="bullet"/>
      <w:pStyle w:val="1149"/>
      <w:lvlText w:val=""/>
      <w:lvlJc w:val="left"/>
      <w:pPr>
        <w:tabs>
          <w:tab w:val="left" w:pos="1080"/>
        </w:tabs>
        <w:ind w:left="0" w:firstLine="851"/>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num w:numId="1">
    <w:abstractNumId w:val="38"/>
  </w:num>
  <w:num w:numId="2">
    <w:abstractNumId w:val="0"/>
  </w:num>
  <w:num w:numId="3">
    <w:abstractNumId w:val="2"/>
  </w:num>
  <w:num w:numId="4">
    <w:abstractNumId w:val="1"/>
  </w:num>
  <w:num w:numId="5">
    <w:abstractNumId w:val="4"/>
  </w:num>
  <w:num w:numId="6">
    <w:abstractNumId w:val="46"/>
  </w:num>
  <w:num w:numId="7">
    <w:abstractNumId w:val="27"/>
  </w:num>
  <w:num w:numId="8">
    <w:abstractNumId w:val="11"/>
  </w:num>
  <w:num w:numId="9">
    <w:abstractNumId w:val="22"/>
  </w:num>
  <w:num w:numId="10">
    <w:abstractNumId w:val="43"/>
  </w:num>
  <w:num w:numId="11">
    <w:abstractNumId w:val="39"/>
  </w:num>
  <w:num w:numId="12">
    <w:abstractNumId w:val="19"/>
  </w:num>
  <w:num w:numId="13">
    <w:abstractNumId w:val="3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
  </w:num>
  <w:num w:numId="16">
    <w:abstractNumId w:val="34"/>
  </w:num>
  <w:num w:numId="17">
    <w:abstractNumId w:val="33"/>
  </w:num>
  <w:num w:numId="18">
    <w:abstractNumId w:val="42"/>
  </w:num>
  <w:num w:numId="19">
    <w:abstractNumId w:val="26"/>
  </w:num>
  <w:num w:numId="20">
    <w:abstractNumId w:val="49"/>
  </w:num>
  <w:num w:numId="21">
    <w:abstractNumId w:val="35"/>
  </w:num>
  <w:num w:numId="22">
    <w:abstractNumId w:val="5"/>
  </w:num>
  <w:num w:numId="23">
    <w:abstractNumId w:val="41"/>
  </w:num>
  <w:num w:numId="24">
    <w:abstractNumId w:val="44"/>
  </w:num>
  <w:num w:numId="25">
    <w:abstractNumId w:val="16"/>
  </w:num>
  <w:num w:numId="26">
    <w:abstractNumId w:val="40"/>
  </w:num>
  <w:num w:numId="27">
    <w:abstractNumId w:val="7"/>
  </w:num>
  <w:num w:numId="28">
    <w:abstractNumId w:val="13"/>
  </w:num>
  <w:num w:numId="29">
    <w:abstractNumId w:val="6"/>
  </w:num>
  <w:num w:numId="30">
    <w:abstractNumId w:val="45"/>
  </w:num>
  <w:num w:numId="31">
    <w:abstractNumId w:val="15"/>
  </w:num>
  <w:num w:numId="32">
    <w:abstractNumId w:val="21"/>
  </w:num>
  <w:num w:numId="33">
    <w:abstractNumId w:val="48"/>
  </w:num>
  <w:num w:numId="34">
    <w:abstractNumId w:val="24"/>
  </w:num>
  <w:num w:numId="35">
    <w:abstractNumId w:val="30"/>
  </w:num>
  <w:num w:numId="36">
    <w:abstractNumId w:val="9"/>
  </w:num>
  <w:num w:numId="37">
    <w:abstractNumId w:val="29"/>
  </w:num>
  <w:num w:numId="38">
    <w:abstractNumId w:val="18"/>
  </w:num>
  <w:num w:numId="39">
    <w:abstractNumId w:val="32"/>
  </w:num>
  <w:num w:numId="40">
    <w:abstractNumId w:val="28"/>
  </w:num>
  <w:num w:numId="41">
    <w:abstractNumId w:val="17"/>
  </w:num>
  <w:num w:numId="42">
    <w:abstractNumId w:val="47"/>
  </w:num>
  <w:num w:numId="43">
    <w:abstractNumId w:val="23"/>
  </w:num>
  <w:num w:numId="44">
    <w:abstractNumId w:val="25"/>
  </w:num>
  <w:num w:numId="45">
    <w:abstractNumId w:val="20"/>
  </w:num>
  <w:num w:numId="46">
    <w:abstractNumId w:val="10"/>
  </w:num>
  <w:num w:numId="47">
    <w:abstractNumId w:val="31"/>
  </w:num>
  <w:num w:numId="48">
    <w:abstractNumId w:val="12"/>
  </w:num>
  <w:num w:numId="49">
    <w:abstractNumId w:val="37"/>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313D7F"/>
    <w:rsid w:val="00000002"/>
    <w:rsid w:val="0000094F"/>
    <w:rsid w:val="000009A7"/>
    <w:rsid w:val="00000AD4"/>
    <w:rsid w:val="00000E2D"/>
    <w:rsid w:val="00000EF4"/>
    <w:rsid w:val="00001346"/>
    <w:rsid w:val="000016D8"/>
    <w:rsid w:val="000016F0"/>
    <w:rsid w:val="00001970"/>
    <w:rsid w:val="00001C67"/>
    <w:rsid w:val="00001CFC"/>
    <w:rsid w:val="00001D6C"/>
    <w:rsid w:val="00002403"/>
    <w:rsid w:val="000028C1"/>
    <w:rsid w:val="00002A65"/>
    <w:rsid w:val="00002BCC"/>
    <w:rsid w:val="00002FD8"/>
    <w:rsid w:val="00003460"/>
    <w:rsid w:val="0000349E"/>
    <w:rsid w:val="000034DA"/>
    <w:rsid w:val="0000362C"/>
    <w:rsid w:val="00003720"/>
    <w:rsid w:val="0000379C"/>
    <w:rsid w:val="000039CA"/>
    <w:rsid w:val="00003C64"/>
    <w:rsid w:val="0000413E"/>
    <w:rsid w:val="000041CB"/>
    <w:rsid w:val="0000492D"/>
    <w:rsid w:val="00004967"/>
    <w:rsid w:val="00004B26"/>
    <w:rsid w:val="00004BEA"/>
    <w:rsid w:val="00004C18"/>
    <w:rsid w:val="00004E88"/>
    <w:rsid w:val="00005401"/>
    <w:rsid w:val="00005553"/>
    <w:rsid w:val="000057B6"/>
    <w:rsid w:val="00005940"/>
    <w:rsid w:val="00006112"/>
    <w:rsid w:val="00006214"/>
    <w:rsid w:val="00006283"/>
    <w:rsid w:val="00006578"/>
    <w:rsid w:val="0000663E"/>
    <w:rsid w:val="0000677D"/>
    <w:rsid w:val="000069C1"/>
    <w:rsid w:val="00006B27"/>
    <w:rsid w:val="00006DB8"/>
    <w:rsid w:val="00006E45"/>
    <w:rsid w:val="00006E99"/>
    <w:rsid w:val="00006EA6"/>
    <w:rsid w:val="00006EB4"/>
    <w:rsid w:val="00007061"/>
    <w:rsid w:val="000070E1"/>
    <w:rsid w:val="000076B3"/>
    <w:rsid w:val="00007836"/>
    <w:rsid w:val="0000786F"/>
    <w:rsid w:val="00007929"/>
    <w:rsid w:val="00007A14"/>
    <w:rsid w:val="00010013"/>
    <w:rsid w:val="0001041D"/>
    <w:rsid w:val="00010551"/>
    <w:rsid w:val="00010630"/>
    <w:rsid w:val="00010921"/>
    <w:rsid w:val="00010A29"/>
    <w:rsid w:val="00010A6B"/>
    <w:rsid w:val="00010AF2"/>
    <w:rsid w:val="00010D69"/>
    <w:rsid w:val="00010F2A"/>
    <w:rsid w:val="00010F2D"/>
    <w:rsid w:val="000111D6"/>
    <w:rsid w:val="00011469"/>
    <w:rsid w:val="000116FD"/>
    <w:rsid w:val="00011C47"/>
    <w:rsid w:val="00011FA0"/>
    <w:rsid w:val="000121B4"/>
    <w:rsid w:val="0001233E"/>
    <w:rsid w:val="00012535"/>
    <w:rsid w:val="00012553"/>
    <w:rsid w:val="00012611"/>
    <w:rsid w:val="0001263E"/>
    <w:rsid w:val="000126B8"/>
    <w:rsid w:val="000126C2"/>
    <w:rsid w:val="00012A59"/>
    <w:rsid w:val="00012B64"/>
    <w:rsid w:val="00012F27"/>
    <w:rsid w:val="00013250"/>
    <w:rsid w:val="00013333"/>
    <w:rsid w:val="000134C7"/>
    <w:rsid w:val="00013650"/>
    <w:rsid w:val="000137A1"/>
    <w:rsid w:val="00013936"/>
    <w:rsid w:val="00013A56"/>
    <w:rsid w:val="00013BCF"/>
    <w:rsid w:val="00013D43"/>
    <w:rsid w:val="00013F6C"/>
    <w:rsid w:val="0001409F"/>
    <w:rsid w:val="00014354"/>
    <w:rsid w:val="000143C1"/>
    <w:rsid w:val="000144E2"/>
    <w:rsid w:val="00014C8A"/>
    <w:rsid w:val="00014FC0"/>
    <w:rsid w:val="000151D6"/>
    <w:rsid w:val="0001541A"/>
    <w:rsid w:val="00015525"/>
    <w:rsid w:val="00015722"/>
    <w:rsid w:val="00015D94"/>
    <w:rsid w:val="00015E4B"/>
    <w:rsid w:val="00015F0C"/>
    <w:rsid w:val="0001635D"/>
    <w:rsid w:val="000163E2"/>
    <w:rsid w:val="0001645F"/>
    <w:rsid w:val="00016729"/>
    <w:rsid w:val="00016C0B"/>
    <w:rsid w:val="000173C7"/>
    <w:rsid w:val="00017541"/>
    <w:rsid w:val="00017955"/>
    <w:rsid w:val="00017D72"/>
    <w:rsid w:val="00017E7A"/>
    <w:rsid w:val="00017E94"/>
    <w:rsid w:val="00017FF4"/>
    <w:rsid w:val="000203BE"/>
    <w:rsid w:val="000208B4"/>
    <w:rsid w:val="00020DC9"/>
    <w:rsid w:val="00020DD2"/>
    <w:rsid w:val="00020E6F"/>
    <w:rsid w:val="00021180"/>
    <w:rsid w:val="000214FD"/>
    <w:rsid w:val="000215E3"/>
    <w:rsid w:val="000216C1"/>
    <w:rsid w:val="00021812"/>
    <w:rsid w:val="00021DB8"/>
    <w:rsid w:val="00021DD1"/>
    <w:rsid w:val="0002213C"/>
    <w:rsid w:val="0002222D"/>
    <w:rsid w:val="000222B2"/>
    <w:rsid w:val="000223C3"/>
    <w:rsid w:val="00022657"/>
    <w:rsid w:val="000227DF"/>
    <w:rsid w:val="00022F89"/>
    <w:rsid w:val="000233DF"/>
    <w:rsid w:val="0002371F"/>
    <w:rsid w:val="00023942"/>
    <w:rsid w:val="00023A70"/>
    <w:rsid w:val="00023BCC"/>
    <w:rsid w:val="00023C14"/>
    <w:rsid w:val="00023FF8"/>
    <w:rsid w:val="00024208"/>
    <w:rsid w:val="00024220"/>
    <w:rsid w:val="0002445E"/>
    <w:rsid w:val="0002459F"/>
    <w:rsid w:val="00024969"/>
    <w:rsid w:val="00024B47"/>
    <w:rsid w:val="00024EC1"/>
    <w:rsid w:val="00025016"/>
    <w:rsid w:val="00025064"/>
    <w:rsid w:val="0002512B"/>
    <w:rsid w:val="000253DF"/>
    <w:rsid w:val="00025533"/>
    <w:rsid w:val="0002553F"/>
    <w:rsid w:val="000256CB"/>
    <w:rsid w:val="00025A09"/>
    <w:rsid w:val="00025A25"/>
    <w:rsid w:val="00025CFC"/>
    <w:rsid w:val="00026025"/>
    <w:rsid w:val="0002628E"/>
    <w:rsid w:val="000265FA"/>
    <w:rsid w:val="00026628"/>
    <w:rsid w:val="00026FD3"/>
    <w:rsid w:val="00027066"/>
    <w:rsid w:val="0002707E"/>
    <w:rsid w:val="000270A3"/>
    <w:rsid w:val="00027246"/>
    <w:rsid w:val="00027367"/>
    <w:rsid w:val="00027686"/>
    <w:rsid w:val="00027875"/>
    <w:rsid w:val="00027C6B"/>
    <w:rsid w:val="00027CEA"/>
    <w:rsid w:val="00027F0D"/>
    <w:rsid w:val="000301EB"/>
    <w:rsid w:val="000303CB"/>
    <w:rsid w:val="000304F5"/>
    <w:rsid w:val="000304F7"/>
    <w:rsid w:val="0003064F"/>
    <w:rsid w:val="00030974"/>
    <w:rsid w:val="00030C4A"/>
    <w:rsid w:val="000311B5"/>
    <w:rsid w:val="00031249"/>
    <w:rsid w:val="00031417"/>
    <w:rsid w:val="00031494"/>
    <w:rsid w:val="0003177B"/>
    <w:rsid w:val="00031783"/>
    <w:rsid w:val="00032255"/>
    <w:rsid w:val="0003239E"/>
    <w:rsid w:val="0003249C"/>
    <w:rsid w:val="000324BF"/>
    <w:rsid w:val="00032603"/>
    <w:rsid w:val="000327CB"/>
    <w:rsid w:val="000328B2"/>
    <w:rsid w:val="000328D1"/>
    <w:rsid w:val="00032AFE"/>
    <w:rsid w:val="0003306A"/>
    <w:rsid w:val="000335E9"/>
    <w:rsid w:val="00033607"/>
    <w:rsid w:val="000336A0"/>
    <w:rsid w:val="00033972"/>
    <w:rsid w:val="00033EB8"/>
    <w:rsid w:val="000344AC"/>
    <w:rsid w:val="000349C2"/>
    <w:rsid w:val="00034ACA"/>
    <w:rsid w:val="00034D1F"/>
    <w:rsid w:val="00034D4F"/>
    <w:rsid w:val="00034DD2"/>
    <w:rsid w:val="00035310"/>
    <w:rsid w:val="00035561"/>
    <w:rsid w:val="000356AC"/>
    <w:rsid w:val="000357EB"/>
    <w:rsid w:val="0003589D"/>
    <w:rsid w:val="00035A96"/>
    <w:rsid w:val="000361C4"/>
    <w:rsid w:val="00036202"/>
    <w:rsid w:val="000362E3"/>
    <w:rsid w:val="00036903"/>
    <w:rsid w:val="00036A72"/>
    <w:rsid w:val="00036C2B"/>
    <w:rsid w:val="00037094"/>
    <w:rsid w:val="000370BF"/>
    <w:rsid w:val="00037179"/>
    <w:rsid w:val="000371AF"/>
    <w:rsid w:val="000372BB"/>
    <w:rsid w:val="00037354"/>
    <w:rsid w:val="00037508"/>
    <w:rsid w:val="00037641"/>
    <w:rsid w:val="00037B22"/>
    <w:rsid w:val="00037F19"/>
    <w:rsid w:val="00037F8C"/>
    <w:rsid w:val="00040093"/>
    <w:rsid w:val="00040296"/>
    <w:rsid w:val="00040590"/>
    <w:rsid w:val="000405E3"/>
    <w:rsid w:val="00040A66"/>
    <w:rsid w:val="00040BDE"/>
    <w:rsid w:val="00040E56"/>
    <w:rsid w:val="00040F3D"/>
    <w:rsid w:val="00041103"/>
    <w:rsid w:val="00041176"/>
    <w:rsid w:val="00041308"/>
    <w:rsid w:val="0004151A"/>
    <w:rsid w:val="0004161F"/>
    <w:rsid w:val="00041627"/>
    <w:rsid w:val="000416E2"/>
    <w:rsid w:val="0004175B"/>
    <w:rsid w:val="0004186E"/>
    <w:rsid w:val="000418A7"/>
    <w:rsid w:val="000418D9"/>
    <w:rsid w:val="00041E00"/>
    <w:rsid w:val="00041E38"/>
    <w:rsid w:val="00041FC8"/>
    <w:rsid w:val="00042023"/>
    <w:rsid w:val="00042AA7"/>
    <w:rsid w:val="00042B18"/>
    <w:rsid w:val="00042D4C"/>
    <w:rsid w:val="00042D94"/>
    <w:rsid w:val="00042E21"/>
    <w:rsid w:val="00043275"/>
    <w:rsid w:val="0004334D"/>
    <w:rsid w:val="000434A4"/>
    <w:rsid w:val="000435BC"/>
    <w:rsid w:val="00043639"/>
    <w:rsid w:val="000436E5"/>
    <w:rsid w:val="00043870"/>
    <w:rsid w:val="000438DF"/>
    <w:rsid w:val="00043D3A"/>
    <w:rsid w:val="00043DE5"/>
    <w:rsid w:val="000441CE"/>
    <w:rsid w:val="00044349"/>
    <w:rsid w:val="0004460F"/>
    <w:rsid w:val="00044957"/>
    <w:rsid w:val="00044D89"/>
    <w:rsid w:val="00044FFC"/>
    <w:rsid w:val="00045176"/>
    <w:rsid w:val="00045332"/>
    <w:rsid w:val="0004553C"/>
    <w:rsid w:val="00045953"/>
    <w:rsid w:val="000462AA"/>
    <w:rsid w:val="000462B0"/>
    <w:rsid w:val="0004643B"/>
    <w:rsid w:val="000465EE"/>
    <w:rsid w:val="0004660D"/>
    <w:rsid w:val="000468A3"/>
    <w:rsid w:val="00046FA7"/>
    <w:rsid w:val="0004707A"/>
    <w:rsid w:val="00047508"/>
    <w:rsid w:val="00047561"/>
    <w:rsid w:val="000478E1"/>
    <w:rsid w:val="00047AA5"/>
    <w:rsid w:val="00047E9A"/>
    <w:rsid w:val="00047F18"/>
    <w:rsid w:val="0005003F"/>
    <w:rsid w:val="000500EE"/>
    <w:rsid w:val="00050103"/>
    <w:rsid w:val="000504E1"/>
    <w:rsid w:val="00050EA4"/>
    <w:rsid w:val="00050F4A"/>
    <w:rsid w:val="00051564"/>
    <w:rsid w:val="0005166A"/>
    <w:rsid w:val="0005168B"/>
    <w:rsid w:val="00051949"/>
    <w:rsid w:val="00051F35"/>
    <w:rsid w:val="00052123"/>
    <w:rsid w:val="00052314"/>
    <w:rsid w:val="000527CF"/>
    <w:rsid w:val="00052842"/>
    <w:rsid w:val="000529FA"/>
    <w:rsid w:val="00052BB4"/>
    <w:rsid w:val="00052C2F"/>
    <w:rsid w:val="00052E66"/>
    <w:rsid w:val="00052F01"/>
    <w:rsid w:val="00053556"/>
    <w:rsid w:val="000539CC"/>
    <w:rsid w:val="00053E4F"/>
    <w:rsid w:val="00054313"/>
    <w:rsid w:val="00054373"/>
    <w:rsid w:val="00054697"/>
    <w:rsid w:val="00054890"/>
    <w:rsid w:val="00054D3C"/>
    <w:rsid w:val="00054D90"/>
    <w:rsid w:val="00054ECE"/>
    <w:rsid w:val="00054F61"/>
    <w:rsid w:val="00055019"/>
    <w:rsid w:val="000550F5"/>
    <w:rsid w:val="000555A3"/>
    <w:rsid w:val="00055809"/>
    <w:rsid w:val="00055AB4"/>
    <w:rsid w:val="00056069"/>
    <w:rsid w:val="000562CD"/>
    <w:rsid w:val="000563F2"/>
    <w:rsid w:val="0005642A"/>
    <w:rsid w:val="000564A5"/>
    <w:rsid w:val="000564BB"/>
    <w:rsid w:val="000568F5"/>
    <w:rsid w:val="00056A39"/>
    <w:rsid w:val="00056ECD"/>
    <w:rsid w:val="000573F0"/>
    <w:rsid w:val="00057579"/>
    <w:rsid w:val="000575BE"/>
    <w:rsid w:val="00057700"/>
    <w:rsid w:val="00057932"/>
    <w:rsid w:val="00057ADF"/>
    <w:rsid w:val="00057BC2"/>
    <w:rsid w:val="00057D9D"/>
    <w:rsid w:val="00060113"/>
    <w:rsid w:val="00060C61"/>
    <w:rsid w:val="000612A1"/>
    <w:rsid w:val="0006143D"/>
    <w:rsid w:val="00061482"/>
    <w:rsid w:val="00061628"/>
    <w:rsid w:val="00061A3C"/>
    <w:rsid w:val="000623D4"/>
    <w:rsid w:val="000628DB"/>
    <w:rsid w:val="00062DE9"/>
    <w:rsid w:val="00062DFE"/>
    <w:rsid w:val="00062E07"/>
    <w:rsid w:val="00062F10"/>
    <w:rsid w:val="00063035"/>
    <w:rsid w:val="000633BE"/>
    <w:rsid w:val="0006344D"/>
    <w:rsid w:val="000634C6"/>
    <w:rsid w:val="000637FB"/>
    <w:rsid w:val="0006392B"/>
    <w:rsid w:val="00064018"/>
    <w:rsid w:val="0006424D"/>
    <w:rsid w:val="000647A1"/>
    <w:rsid w:val="00064BBE"/>
    <w:rsid w:val="00064EA2"/>
    <w:rsid w:val="0006522B"/>
    <w:rsid w:val="00065241"/>
    <w:rsid w:val="000652E8"/>
    <w:rsid w:val="000659B1"/>
    <w:rsid w:val="00065A33"/>
    <w:rsid w:val="00065AD6"/>
    <w:rsid w:val="00065B4C"/>
    <w:rsid w:val="000661EC"/>
    <w:rsid w:val="0006657A"/>
    <w:rsid w:val="000666FC"/>
    <w:rsid w:val="00066D05"/>
    <w:rsid w:val="00066EDF"/>
    <w:rsid w:val="00066FDA"/>
    <w:rsid w:val="0006704B"/>
    <w:rsid w:val="00067485"/>
    <w:rsid w:val="000676EC"/>
    <w:rsid w:val="00067E31"/>
    <w:rsid w:val="00070058"/>
    <w:rsid w:val="00070965"/>
    <w:rsid w:val="00070B50"/>
    <w:rsid w:val="00070CF6"/>
    <w:rsid w:val="00070DB3"/>
    <w:rsid w:val="00070DF1"/>
    <w:rsid w:val="00070E24"/>
    <w:rsid w:val="00070F1E"/>
    <w:rsid w:val="0007107E"/>
    <w:rsid w:val="000710B3"/>
    <w:rsid w:val="00071686"/>
    <w:rsid w:val="00071817"/>
    <w:rsid w:val="00071872"/>
    <w:rsid w:val="000719AA"/>
    <w:rsid w:val="00071ABB"/>
    <w:rsid w:val="00071DC0"/>
    <w:rsid w:val="00071E06"/>
    <w:rsid w:val="00071E5D"/>
    <w:rsid w:val="00071FB0"/>
    <w:rsid w:val="000722CE"/>
    <w:rsid w:val="0007259A"/>
    <w:rsid w:val="0007262D"/>
    <w:rsid w:val="00072BDD"/>
    <w:rsid w:val="000730A8"/>
    <w:rsid w:val="0007326F"/>
    <w:rsid w:val="00073457"/>
    <w:rsid w:val="00073738"/>
    <w:rsid w:val="00073E0C"/>
    <w:rsid w:val="00073EC0"/>
    <w:rsid w:val="00074512"/>
    <w:rsid w:val="00074822"/>
    <w:rsid w:val="0007488B"/>
    <w:rsid w:val="00074942"/>
    <w:rsid w:val="00074B8F"/>
    <w:rsid w:val="00074DF3"/>
    <w:rsid w:val="00074E22"/>
    <w:rsid w:val="00075026"/>
    <w:rsid w:val="000752CE"/>
    <w:rsid w:val="00075718"/>
    <w:rsid w:val="00075AEE"/>
    <w:rsid w:val="00075B1F"/>
    <w:rsid w:val="00075BC8"/>
    <w:rsid w:val="0007607F"/>
    <w:rsid w:val="00076185"/>
    <w:rsid w:val="000762B3"/>
    <w:rsid w:val="0007660F"/>
    <w:rsid w:val="00076760"/>
    <w:rsid w:val="00077500"/>
    <w:rsid w:val="00077842"/>
    <w:rsid w:val="0007784B"/>
    <w:rsid w:val="00077ADA"/>
    <w:rsid w:val="00077D84"/>
    <w:rsid w:val="00077FC8"/>
    <w:rsid w:val="00077FD4"/>
    <w:rsid w:val="00080A93"/>
    <w:rsid w:val="00080AFC"/>
    <w:rsid w:val="000812C8"/>
    <w:rsid w:val="000813CA"/>
    <w:rsid w:val="0008171F"/>
    <w:rsid w:val="000817D2"/>
    <w:rsid w:val="00081819"/>
    <w:rsid w:val="00081B08"/>
    <w:rsid w:val="00081BDB"/>
    <w:rsid w:val="00081BE6"/>
    <w:rsid w:val="00081E89"/>
    <w:rsid w:val="00082547"/>
    <w:rsid w:val="000825FD"/>
    <w:rsid w:val="000827C3"/>
    <w:rsid w:val="00082896"/>
    <w:rsid w:val="00083217"/>
    <w:rsid w:val="000832EF"/>
    <w:rsid w:val="000834C6"/>
    <w:rsid w:val="00083581"/>
    <w:rsid w:val="000835D4"/>
    <w:rsid w:val="000838CF"/>
    <w:rsid w:val="00083B97"/>
    <w:rsid w:val="00083CAF"/>
    <w:rsid w:val="00083D68"/>
    <w:rsid w:val="00083D74"/>
    <w:rsid w:val="00083E3F"/>
    <w:rsid w:val="0008407B"/>
    <w:rsid w:val="00084295"/>
    <w:rsid w:val="000843C4"/>
    <w:rsid w:val="00084485"/>
    <w:rsid w:val="000844EB"/>
    <w:rsid w:val="0008454A"/>
    <w:rsid w:val="00084630"/>
    <w:rsid w:val="000848EE"/>
    <w:rsid w:val="000848F2"/>
    <w:rsid w:val="00084E0B"/>
    <w:rsid w:val="0008549E"/>
    <w:rsid w:val="00085694"/>
    <w:rsid w:val="0008575C"/>
    <w:rsid w:val="000857F4"/>
    <w:rsid w:val="000858B8"/>
    <w:rsid w:val="00085EDB"/>
    <w:rsid w:val="00086250"/>
    <w:rsid w:val="000864F2"/>
    <w:rsid w:val="00086BA0"/>
    <w:rsid w:val="00086C14"/>
    <w:rsid w:val="00086DE3"/>
    <w:rsid w:val="00086FEC"/>
    <w:rsid w:val="000871A2"/>
    <w:rsid w:val="000871F8"/>
    <w:rsid w:val="0008727D"/>
    <w:rsid w:val="00087442"/>
    <w:rsid w:val="0008777E"/>
    <w:rsid w:val="00087A77"/>
    <w:rsid w:val="00087D57"/>
    <w:rsid w:val="0009015C"/>
    <w:rsid w:val="000902B1"/>
    <w:rsid w:val="0009047B"/>
    <w:rsid w:val="000904C2"/>
    <w:rsid w:val="00090BF1"/>
    <w:rsid w:val="00090DA5"/>
    <w:rsid w:val="00090F7C"/>
    <w:rsid w:val="0009103A"/>
    <w:rsid w:val="000911F7"/>
    <w:rsid w:val="00091270"/>
    <w:rsid w:val="000913B6"/>
    <w:rsid w:val="000913BF"/>
    <w:rsid w:val="0009153C"/>
    <w:rsid w:val="00091643"/>
    <w:rsid w:val="00091726"/>
    <w:rsid w:val="000917B3"/>
    <w:rsid w:val="00091A8F"/>
    <w:rsid w:val="00091CC0"/>
    <w:rsid w:val="00092001"/>
    <w:rsid w:val="000920C6"/>
    <w:rsid w:val="00092350"/>
    <w:rsid w:val="0009286C"/>
    <w:rsid w:val="00092A2B"/>
    <w:rsid w:val="00092D5A"/>
    <w:rsid w:val="00092E46"/>
    <w:rsid w:val="000932D3"/>
    <w:rsid w:val="00093317"/>
    <w:rsid w:val="00093963"/>
    <w:rsid w:val="00093C49"/>
    <w:rsid w:val="00093CC5"/>
    <w:rsid w:val="00093E3A"/>
    <w:rsid w:val="0009448F"/>
    <w:rsid w:val="0009452A"/>
    <w:rsid w:val="00094882"/>
    <w:rsid w:val="0009490C"/>
    <w:rsid w:val="00094953"/>
    <w:rsid w:val="00095110"/>
    <w:rsid w:val="00095380"/>
    <w:rsid w:val="00095532"/>
    <w:rsid w:val="0009555C"/>
    <w:rsid w:val="00095913"/>
    <w:rsid w:val="000959F2"/>
    <w:rsid w:val="00095D0C"/>
    <w:rsid w:val="00095EF1"/>
    <w:rsid w:val="00096005"/>
    <w:rsid w:val="00096107"/>
    <w:rsid w:val="00096447"/>
    <w:rsid w:val="00096884"/>
    <w:rsid w:val="00096C0C"/>
    <w:rsid w:val="00096C92"/>
    <w:rsid w:val="00097094"/>
    <w:rsid w:val="0009723E"/>
    <w:rsid w:val="00097460"/>
    <w:rsid w:val="0009766D"/>
    <w:rsid w:val="000A02A2"/>
    <w:rsid w:val="000A02E6"/>
    <w:rsid w:val="000A05F0"/>
    <w:rsid w:val="000A0794"/>
    <w:rsid w:val="000A08D4"/>
    <w:rsid w:val="000A0947"/>
    <w:rsid w:val="000A0A9C"/>
    <w:rsid w:val="000A0D37"/>
    <w:rsid w:val="000A10EF"/>
    <w:rsid w:val="000A127A"/>
    <w:rsid w:val="000A127C"/>
    <w:rsid w:val="000A13A7"/>
    <w:rsid w:val="000A1480"/>
    <w:rsid w:val="000A1679"/>
    <w:rsid w:val="000A1774"/>
    <w:rsid w:val="000A185C"/>
    <w:rsid w:val="000A18E1"/>
    <w:rsid w:val="000A1963"/>
    <w:rsid w:val="000A1FD8"/>
    <w:rsid w:val="000A2066"/>
    <w:rsid w:val="000A215C"/>
    <w:rsid w:val="000A21D8"/>
    <w:rsid w:val="000A2D03"/>
    <w:rsid w:val="000A2D9F"/>
    <w:rsid w:val="000A3175"/>
    <w:rsid w:val="000A3746"/>
    <w:rsid w:val="000A3E75"/>
    <w:rsid w:val="000A406C"/>
    <w:rsid w:val="000A4130"/>
    <w:rsid w:val="000A4777"/>
    <w:rsid w:val="000A47EE"/>
    <w:rsid w:val="000A4EB4"/>
    <w:rsid w:val="000A4EC3"/>
    <w:rsid w:val="000A517B"/>
    <w:rsid w:val="000A54C0"/>
    <w:rsid w:val="000A54F9"/>
    <w:rsid w:val="000A5509"/>
    <w:rsid w:val="000A5764"/>
    <w:rsid w:val="000A58D6"/>
    <w:rsid w:val="000A5A17"/>
    <w:rsid w:val="000A5C77"/>
    <w:rsid w:val="000A5DD0"/>
    <w:rsid w:val="000A5FD0"/>
    <w:rsid w:val="000A6045"/>
    <w:rsid w:val="000A6136"/>
    <w:rsid w:val="000A6298"/>
    <w:rsid w:val="000A6C7D"/>
    <w:rsid w:val="000A6E72"/>
    <w:rsid w:val="000A6E88"/>
    <w:rsid w:val="000A7220"/>
    <w:rsid w:val="000A73CB"/>
    <w:rsid w:val="000A77E4"/>
    <w:rsid w:val="000A7857"/>
    <w:rsid w:val="000A790B"/>
    <w:rsid w:val="000A7BCC"/>
    <w:rsid w:val="000A7CC3"/>
    <w:rsid w:val="000B05A8"/>
    <w:rsid w:val="000B07D3"/>
    <w:rsid w:val="000B0D1F"/>
    <w:rsid w:val="000B1097"/>
    <w:rsid w:val="000B10FC"/>
    <w:rsid w:val="000B1167"/>
    <w:rsid w:val="000B1B5D"/>
    <w:rsid w:val="000B1C83"/>
    <w:rsid w:val="000B20BA"/>
    <w:rsid w:val="000B2480"/>
    <w:rsid w:val="000B24A6"/>
    <w:rsid w:val="000B285F"/>
    <w:rsid w:val="000B2AC8"/>
    <w:rsid w:val="000B2EDE"/>
    <w:rsid w:val="000B30CF"/>
    <w:rsid w:val="000B32D6"/>
    <w:rsid w:val="000B3358"/>
    <w:rsid w:val="000B3ABF"/>
    <w:rsid w:val="000B3AF7"/>
    <w:rsid w:val="000B3C1E"/>
    <w:rsid w:val="000B3CB3"/>
    <w:rsid w:val="000B3CCB"/>
    <w:rsid w:val="000B3D5E"/>
    <w:rsid w:val="000B3DD6"/>
    <w:rsid w:val="000B3E32"/>
    <w:rsid w:val="000B3F4E"/>
    <w:rsid w:val="000B45FF"/>
    <w:rsid w:val="000B47B7"/>
    <w:rsid w:val="000B4809"/>
    <w:rsid w:val="000B4812"/>
    <w:rsid w:val="000B4867"/>
    <w:rsid w:val="000B4994"/>
    <w:rsid w:val="000B49CD"/>
    <w:rsid w:val="000B4E5A"/>
    <w:rsid w:val="000B5495"/>
    <w:rsid w:val="000B5534"/>
    <w:rsid w:val="000B5573"/>
    <w:rsid w:val="000B5B51"/>
    <w:rsid w:val="000B5B7A"/>
    <w:rsid w:val="000B616D"/>
    <w:rsid w:val="000B61D9"/>
    <w:rsid w:val="000B63B3"/>
    <w:rsid w:val="000B6AC7"/>
    <w:rsid w:val="000B6FEA"/>
    <w:rsid w:val="000B7438"/>
    <w:rsid w:val="000B74CC"/>
    <w:rsid w:val="000B770D"/>
    <w:rsid w:val="000B7B04"/>
    <w:rsid w:val="000B7CAC"/>
    <w:rsid w:val="000C019F"/>
    <w:rsid w:val="000C023E"/>
    <w:rsid w:val="000C02F1"/>
    <w:rsid w:val="000C066D"/>
    <w:rsid w:val="000C0D7A"/>
    <w:rsid w:val="000C12F1"/>
    <w:rsid w:val="000C1324"/>
    <w:rsid w:val="000C1544"/>
    <w:rsid w:val="000C15B3"/>
    <w:rsid w:val="000C15D6"/>
    <w:rsid w:val="000C16F1"/>
    <w:rsid w:val="000C1C61"/>
    <w:rsid w:val="000C1D98"/>
    <w:rsid w:val="000C1F5A"/>
    <w:rsid w:val="000C20A3"/>
    <w:rsid w:val="000C2133"/>
    <w:rsid w:val="000C2146"/>
    <w:rsid w:val="000C2F0F"/>
    <w:rsid w:val="000C32BD"/>
    <w:rsid w:val="000C3429"/>
    <w:rsid w:val="000C39BE"/>
    <w:rsid w:val="000C3C87"/>
    <w:rsid w:val="000C3E73"/>
    <w:rsid w:val="000C43C9"/>
    <w:rsid w:val="000C441F"/>
    <w:rsid w:val="000C469C"/>
    <w:rsid w:val="000C46AD"/>
    <w:rsid w:val="000C48EE"/>
    <w:rsid w:val="000C4994"/>
    <w:rsid w:val="000C49E6"/>
    <w:rsid w:val="000C4ACA"/>
    <w:rsid w:val="000C4CC3"/>
    <w:rsid w:val="000C5024"/>
    <w:rsid w:val="000C5286"/>
    <w:rsid w:val="000C533B"/>
    <w:rsid w:val="000C534B"/>
    <w:rsid w:val="000C5378"/>
    <w:rsid w:val="000C55C1"/>
    <w:rsid w:val="000C56B2"/>
    <w:rsid w:val="000C59F3"/>
    <w:rsid w:val="000C5A60"/>
    <w:rsid w:val="000C6358"/>
    <w:rsid w:val="000C720D"/>
    <w:rsid w:val="000C7555"/>
    <w:rsid w:val="000C7567"/>
    <w:rsid w:val="000C7B11"/>
    <w:rsid w:val="000C7C01"/>
    <w:rsid w:val="000C7C22"/>
    <w:rsid w:val="000C7CC1"/>
    <w:rsid w:val="000C7DF4"/>
    <w:rsid w:val="000C7F86"/>
    <w:rsid w:val="000C7FED"/>
    <w:rsid w:val="000D00BB"/>
    <w:rsid w:val="000D0600"/>
    <w:rsid w:val="000D0A01"/>
    <w:rsid w:val="000D0AE3"/>
    <w:rsid w:val="000D0C88"/>
    <w:rsid w:val="000D101C"/>
    <w:rsid w:val="000D183E"/>
    <w:rsid w:val="000D1B1E"/>
    <w:rsid w:val="000D1C05"/>
    <w:rsid w:val="000D1C2C"/>
    <w:rsid w:val="000D1E83"/>
    <w:rsid w:val="000D1EDA"/>
    <w:rsid w:val="000D22D8"/>
    <w:rsid w:val="000D230C"/>
    <w:rsid w:val="000D2822"/>
    <w:rsid w:val="000D2982"/>
    <w:rsid w:val="000D29ED"/>
    <w:rsid w:val="000D2AC6"/>
    <w:rsid w:val="000D2BC5"/>
    <w:rsid w:val="000D2FB7"/>
    <w:rsid w:val="000D30FF"/>
    <w:rsid w:val="000D3369"/>
    <w:rsid w:val="000D34AA"/>
    <w:rsid w:val="000D388A"/>
    <w:rsid w:val="000D3A30"/>
    <w:rsid w:val="000D3D8C"/>
    <w:rsid w:val="000D3EDA"/>
    <w:rsid w:val="000D4796"/>
    <w:rsid w:val="000D499C"/>
    <w:rsid w:val="000D4BE1"/>
    <w:rsid w:val="000D4FC0"/>
    <w:rsid w:val="000D5232"/>
    <w:rsid w:val="000D5408"/>
    <w:rsid w:val="000D5456"/>
    <w:rsid w:val="000D54C3"/>
    <w:rsid w:val="000D55FB"/>
    <w:rsid w:val="000D58E5"/>
    <w:rsid w:val="000D5B91"/>
    <w:rsid w:val="000D5BBC"/>
    <w:rsid w:val="000D5D77"/>
    <w:rsid w:val="000D5E47"/>
    <w:rsid w:val="000D5F45"/>
    <w:rsid w:val="000D634B"/>
    <w:rsid w:val="000D635F"/>
    <w:rsid w:val="000D64B4"/>
    <w:rsid w:val="000D65AB"/>
    <w:rsid w:val="000D688A"/>
    <w:rsid w:val="000D6A7F"/>
    <w:rsid w:val="000D6B0C"/>
    <w:rsid w:val="000D6B33"/>
    <w:rsid w:val="000D6C82"/>
    <w:rsid w:val="000D6CAA"/>
    <w:rsid w:val="000D6CF2"/>
    <w:rsid w:val="000D71FB"/>
    <w:rsid w:val="000D7441"/>
    <w:rsid w:val="000D756D"/>
    <w:rsid w:val="000D7614"/>
    <w:rsid w:val="000D77E7"/>
    <w:rsid w:val="000D7940"/>
    <w:rsid w:val="000D79A9"/>
    <w:rsid w:val="000D7B56"/>
    <w:rsid w:val="000D7CCA"/>
    <w:rsid w:val="000E06B4"/>
    <w:rsid w:val="000E07A6"/>
    <w:rsid w:val="000E08BC"/>
    <w:rsid w:val="000E0BCE"/>
    <w:rsid w:val="000E0BEE"/>
    <w:rsid w:val="000E0E33"/>
    <w:rsid w:val="000E11FA"/>
    <w:rsid w:val="000E1888"/>
    <w:rsid w:val="000E189B"/>
    <w:rsid w:val="000E195E"/>
    <w:rsid w:val="000E1AB6"/>
    <w:rsid w:val="000E1B2E"/>
    <w:rsid w:val="000E22FB"/>
    <w:rsid w:val="000E2860"/>
    <w:rsid w:val="000E2B01"/>
    <w:rsid w:val="000E30F3"/>
    <w:rsid w:val="000E3302"/>
    <w:rsid w:val="000E3986"/>
    <w:rsid w:val="000E39E4"/>
    <w:rsid w:val="000E3B86"/>
    <w:rsid w:val="000E3C85"/>
    <w:rsid w:val="000E3D85"/>
    <w:rsid w:val="000E4281"/>
    <w:rsid w:val="000E4C13"/>
    <w:rsid w:val="000E4CC8"/>
    <w:rsid w:val="000E5037"/>
    <w:rsid w:val="000E50EF"/>
    <w:rsid w:val="000E51A4"/>
    <w:rsid w:val="000E54BA"/>
    <w:rsid w:val="000E5BD0"/>
    <w:rsid w:val="000E5F58"/>
    <w:rsid w:val="000E616A"/>
    <w:rsid w:val="000E6206"/>
    <w:rsid w:val="000E63DE"/>
    <w:rsid w:val="000E6438"/>
    <w:rsid w:val="000E666F"/>
    <w:rsid w:val="000E6710"/>
    <w:rsid w:val="000E678B"/>
    <w:rsid w:val="000E6802"/>
    <w:rsid w:val="000E68C3"/>
    <w:rsid w:val="000E6D74"/>
    <w:rsid w:val="000E6E3C"/>
    <w:rsid w:val="000E72EC"/>
    <w:rsid w:val="000E74F0"/>
    <w:rsid w:val="000E7876"/>
    <w:rsid w:val="000E7B89"/>
    <w:rsid w:val="000F00BB"/>
    <w:rsid w:val="000F0325"/>
    <w:rsid w:val="000F0471"/>
    <w:rsid w:val="000F07ED"/>
    <w:rsid w:val="000F0D8D"/>
    <w:rsid w:val="000F0DEF"/>
    <w:rsid w:val="000F0E0E"/>
    <w:rsid w:val="000F0E4C"/>
    <w:rsid w:val="000F1417"/>
    <w:rsid w:val="000F1AA3"/>
    <w:rsid w:val="000F1B8C"/>
    <w:rsid w:val="000F1C8B"/>
    <w:rsid w:val="000F21A3"/>
    <w:rsid w:val="000F22BF"/>
    <w:rsid w:val="000F2797"/>
    <w:rsid w:val="000F28D9"/>
    <w:rsid w:val="000F2F4D"/>
    <w:rsid w:val="000F30FB"/>
    <w:rsid w:val="000F33A3"/>
    <w:rsid w:val="000F3B2D"/>
    <w:rsid w:val="000F3B9B"/>
    <w:rsid w:val="000F4065"/>
    <w:rsid w:val="000F423C"/>
    <w:rsid w:val="000F42F6"/>
    <w:rsid w:val="000F4302"/>
    <w:rsid w:val="000F4537"/>
    <w:rsid w:val="000F4866"/>
    <w:rsid w:val="000F4891"/>
    <w:rsid w:val="000F491C"/>
    <w:rsid w:val="000F4951"/>
    <w:rsid w:val="000F4C0C"/>
    <w:rsid w:val="000F4C34"/>
    <w:rsid w:val="000F4DFA"/>
    <w:rsid w:val="000F4E45"/>
    <w:rsid w:val="000F4E98"/>
    <w:rsid w:val="000F4F29"/>
    <w:rsid w:val="000F5283"/>
    <w:rsid w:val="000F5363"/>
    <w:rsid w:val="000F5775"/>
    <w:rsid w:val="000F577A"/>
    <w:rsid w:val="000F5BFC"/>
    <w:rsid w:val="000F616D"/>
    <w:rsid w:val="000F62F0"/>
    <w:rsid w:val="000F67B2"/>
    <w:rsid w:val="000F6A1E"/>
    <w:rsid w:val="000F6D74"/>
    <w:rsid w:val="000F6E6E"/>
    <w:rsid w:val="000F6F8D"/>
    <w:rsid w:val="000F706B"/>
    <w:rsid w:val="000F7370"/>
    <w:rsid w:val="000F7556"/>
    <w:rsid w:val="000F77E4"/>
    <w:rsid w:val="000F7B2B"/>
    <w:rsid w:val="000F7B9E"/>
    <w:rsid w:val="000F7C4A"/>
    <w:rsid w:val="000F7CE0"/>
    <w:rsid w:val="0010006F"/>
    <w:rsid w:val="001000DC"/>
    <w:rsid w:val="00100458"/>
    <w:rsid w:val="001004CA"/>
    <w:rsid w:val="0010083B"/>
    <w:rsid w:val="00100846"/>
    <w:rsid w:val="00100BF2"/>
    <w:rsid w:val="00100DB4"/>
    <w:rsid w:val="00101174"/>
    <w:rsid w:val="0010125E"/>
    <w:rsid w:val="001012C9"/>
    <w:rsid w:val="00101351"/>
    <w:rsid w:val="001016DD"/>
    <w:rsid w:val="001018BD"/>
    <w:rsid w:val="00101CF7"/>
    <w:rsid w:val="00101E31"/>
    <w:rsid w:val="00101F39"/>
    <w:rsid w:val="00102574"/>
    <w:rsid w:val="001026A6"/>
    <w:rsid w:val="001029D5"/>
    <w:rsid w:val="00102C63"/>
    <w:rsid w:val="00102F0C"/>
    <w:rsid w:val="00102FBD"/>
    <w:rsid w:val="00103E04"/>
    <w:rsid w:val="00103E47"/>
    <w:rsid w:val="00103F8F"/>
    <w:rsid w:val="00104003"/>
    <w:rsid w:val="001040D9"/>
    <w:rsid w:val="001041F9"/>
    <w:rsid w:val="00104354"/>
    <w:rsid w:val="0010439C"/>
    <w:rsid w:val="001043A3"/>
    <w:rsid w:val="00104725"/>
    <w:rsid w:val="00104D99"/>
    <w:rsid w:val="0010501C"/>
    <w:rsid w:val="00105128"/>
    <w:rsid w:val="00106091"/>
    <w:rsid w:val="0010632C"/>
    <w:rsid w:val="001065F8"/>
    <w:rsid w:val="001066C2"/>
    <w:rsid w:val="00106780"/>
    <w:rsid w:val="001069AD"/>
    <w:rsid w:val="00106F64"/>
    <w:rsid w:val="00107160"/>
    <w:rsid w:val="00107427"/>
    <w:rsid w:val="00107440"/>
    <w:rsid w:val="001076C4"/>
    <w:rsid w:val="00107851"/>
    <w:rsid w:val="00107D39"/>
    <w:rsid w:val="00107D58"/>
    <w:rsid w:val="00107E69"/>
    <w:rsid w:val="0011025C"/>
    <w:rsid w:val="00110269"/>
    <w:rsid w:val="00110372"/>
    <w:rsid w:val="0011054F"/>
    <w:rsid w:val="00110DB2"/>
    <w:rsid w:val="00110E13"/>
    <w:rsid w:val="00110FB2"/>
    <w:rsid w:val="00111224"/>
    <w:rsid w:val="00111250"/>
    <w:rsid w:val="00111315"/>
    <w:rsid w:val="0011131D"/>
    <w:rsid w:val="001114F3"/>
    <w:rsid w:val="00112687"/>
    <w:rsid w:val="001126B8"/>
    <w:rsid w:val="00112775"/>
    <w:rsid w:val="00112782"/>
    <w:rsid w:val="00112809"/>
    <w:rsid w:val="001128A2"/>
    <w:rsid w:val="001128AA"/>
    <w:rsid w:val="001128BD"/>
    <w:rsid w:val="00112BBF"/>
    <w:rsid w:val="00112C1F"/>
    <w:rsid w:val="00112C8F"/>
    <w:rsid w:val="00112EC3"/>
    <w:rsid w:val="00112EF6"/>
    <w:rsid w:val="001130C0"/>
    <w:rsid w:val="00113195"/>
    <w:rsid w:val="00113259"/>
    <w:rsid w:val="001136DB"/>
    <w:rsid w:val="001139E3"/>
    <w:rsid w:val="00113B29"/>
    <w:rsid w:val="00113C29"/>
    <w:rsid w:val="00113D4C"/>
    <w:rsid w:val="00113E28"/>
    <w:rsid w:val="00114118"/>
    <w:rsid w:val="0011489E"/>
    <w:rsid w:val="001149CB"/>
    <w:rsid w:val="00114CB7"/>
    <w:rsid w:val="00114D88"/>
    <w:rsid w:val="00114E01"/>
    <w:rsid w:val="00114F71"/>
    <w:rsid w:val="00115021"/>
    <w:rsid w:val="001150D1"/>
    <w:rsid w:val="0011533B"/>
    <w:rsid w:val="00115807"/>
    <w:rsid w:val="0011580A"/>
    <w:rsid w:val="0011585D"/>
    <w:rsid w:val="00115E66"/>
    <w:rsid w:val="00115EBC"/>
    <w:rsid w:val="001160A3"/>
    <w:rsid w:val="0011618A"/>
    <w:rsid w:val="0011653C"/>
    <w:rsid w:val="001167FF"/>
    <w:rsid w:val="00116B7B"/>
    <w:rsid w:val="001171DE"/>
    <w:rsid w:val="00117234"/>
    <w:rsid w:val="0011779A"/>
    <w:rsid w:val="001179A2"/>
    <w:rsid w:val="001179E9"/>
    <w:rsid w:val="00117A4F"/>
    <w:rsid w:val="00117B95"/>
    <w:rsid w:val="00117F30"/>
    <w:rsid w:val="0012014B"/>
    <w:rsid w:val="00120246"/>
    <w:rsid w:val="00120303"/>
    <w:rsid w:val="0012070A"/>
    <w:rsid w:val="00120B51"/>
    <w:rsid w:val="00121733"/>
    <w:rsid w:val="00121AF0"/>
    <w:rsid w:val="00121BB4"/>
    <w:rsid w:val="00122246"/>
    <w:rsid w:val="00122338"/>
    <w:rsid w:val="001223B9"/>
    <w:rsid w:val="001224E9"/>
    <w:rsid w:val="0012254A"/>
    <w:rsid w:val="0012346B"/>
    <w:rsid w:val="00123560"/>
    <w:rsid w:val="0012364E"/>
    <w:rsid w:val="0012373E"/>
    <w:rsid w:val="001239CB"/>
    <w:rsid w:val="00123B50"/>
    <w:rsid w:val="00123BAE"/>
    <w:rsid w:val="00123D0F"/>
    <w:rsid w:val="00123E66"/>
    <w:rsid w:val="00124051"/>
    <w:rsid w:val="00124307"/>
    <w:rsid w:val="001243E3"/>
    <w:rsid w:val="00124611"/>
    <w:rsid w:val="00124679"/>
    <w:rsid w:val="00124737"/>
    <w:rsid w:val="001248B5"/>
    <w:rsid w:val="001248D2"/>
    <w:rsid w:val="00124C8B"/>
    <w:rsid w:val="00124F6D"/>
    <w:rsid w:val="00124FB6"/>
    <w:rsid w:val="0012510B"/>
    <w:rsid w:val="001252B2"/>
    <w:rsid w:val="001255A2"/>
    <w:rsid w:val="0012565A"/>
    <w:rsid w:val="00125AA4"/>
    <w:rsid w:val="00126672"/>
    <w:rsid w:val="001266EF"/>
    <w:rsid w:val="00126716"/>
    <w:rsid w:val="0012697C"/>
    <w:rsid w:val="00126C0F"/>
    <w:rsid w:val="00126ECE"/>
    <w:rsid w:val="00126F8C"/>
    <w:rsid w:val="00127252"/>
    <w:rsid w:val="00127ECC"/>
    <w:rsid w:val="00130215"/>
    <w:rsid w:val="00130755"/>
    <w:rsid w:val="00130795"/>
    <w:rsid w:val="00130820"/>
    <w:rsid w:val="00130A3B"/>
    <w:rsid w:val="00130D42"/>
    <w:rsid w:val="00130DA0"/>
    <w:rsid w:val="001310FD"/>
    <w:rsid w:val="001313E8"/>
    <w:rsid w:val="0013157A"/>
    <w:rsid w:val="001319A7"/>
    <w:rsid w:val="00131B14"/>
    <w:rsid w:val="00131D01"/>
    <w:rsid w:val="00131FD5"/>
    <w:rsid w:val="001320CE"/>
    <w:rsid w:val="0013240B"/>
    <w:rsid w:val="0013257D"/>
    <w:rsid w:val="001326C5"/>
    <w:rsid w:val="001328F0"/>
    <w:rsid w:val="001328F6"/>
    <w:rsid w:val="00132940"/>
    <w:rsid w:val="00132DD6"/>
    <w:rsid w:val="0013305E"/>
    <w:rsid w:val="001330F6"/>
    <w:rsid w:val="00133235"/>
    <w:rsid w:val="0013324D"/>
    <w:rsid w:val="00133491"/>
    <w:rsid w:val="001335D8"/>
    <w:rsid w:val="001336B4"/>
    <w:rsid w:val="0013372D"/>
    <w:rsid w:val="00133758"/>
    <w:rsid w:val="001337C0"/>
    <w:rsid w:val="00133840"/>
    <w:rsid w:val="00133897"/>
    <w:rsid w:val="00133A84"/>
    <w:rsid w:val="00133AF7"/>
    <w:rsid w:val="00133E5B"/>
    <w:rsid w:val="00133E8C"/>
    <w:rsid w:val="001348BC"/>
    <w:rsid w:val="00134AE0"/>
    <w:rsid w:val="00134DA6"/>
    <w:rsid w:val="00134F20"/>
    <w:rsid w:val="00135410"/>
    <w:rsid w:val="00135B56"/>
    <w:rsid w:val="00135C55"/>
    <w:rsid w:val="00136071"/>
    <w:rsid w:val="0013631B"/>
    <w:rsid w:val="001363DB"/>
    <w:rsid w:val="0013664D"/>
    <w:rsid w:val="001367B5"/>
    <w:rsid w:val="00136A75"/>
    <w:rsid w:val="00136B81"/>
    <w:rsid w:val="00136F4B"/>
    <w:rsid w:val="00137204"/>
    <w:rsid w:val="001373D2"/>
    <w:rsid w:val="001375FF"/>
    <w:rsid w:val="001378A6"/>
    <w:rsid w:val="00137C8A"/>
    <w:rsid w:val="001400E5"/>
    <w:rsid w:val="001401A4"/>
    <w:rsid w:val="001408D4"/>
    <w:rsid w:val="001409D6"/>
    <w:rsid w:val="00140B36"/>
    <w:rsid w:val="00140DFC"/>
    <w:rsid w:val="0014103B"/>
    <w:rsid w:val="00141123"/>
    <w:rsid w:val="00141561"/>
    <w:rsid w:val="00141776"/>
    <w:rsid w:val="001417A3"/>
    <w:rsid w:val="00141C01"/>
    <w:rsid w:val="00141D13"/>
    <w:rsid w:val="00141F2A"/>
    <w:rsid w:val="00142361"/>
    <w:rsid w:val="00142ACC"/>
    <w:rsid w:val="00142D62"/>
    <w:rsid w:val="00142F11"/>
    <w:rsid w:val="00143240"/>
    <w:rsid w:val="00143416"/>
    <w:rsid w:val="001434D0"/>
    <w:rsid w:val="00143632"/>
    <w:rsid w:val="00143F3E"/>
    <w:rsid w:val="001444CF"/>
    <w:rsid w:val="0014490C"/>
    <w:rsid w:val="00144AB9"/>
    <w:rsid w:val="00144B22"/>
    <w:rsid w:val="00144CB5"/>
    <w:rsid w:val="00144CF5"/>
    <w:rsid w:val="001450C7"/>
    <w:rsid w:val="0014541D"/>
    <w:rsid w:val="001456D4"/>
    <w:rsid w:val="0014580B"/>
    <w:rsid w:val="00145A4C"/>
    <w:rsid w:val="00145DEE"/>
    <w:rsid w:val="00145EF1"/>
    <w:rsid w:val="00145F96"/>
    <w:rsid w:val="00145FDC"/>
    <w:rsid w:val="001463C5"/>
    <w:rsid w:val="00146610"/>
    <w:rsid w:val="00146658"/>
    <w:rsid w:val="001468B9"/>
    <w:rsid w:val="001468F2"/>
    <w:rsid w:val="00146AE8"/>
    <w:rsid w:val="00146DBD"/>
    <w:rsid w:val="00146E0E"/>
    <w:rsid w:val="00146F21"/>
    <w:rsid w:val="00147152"/>
    <w:rsid w:val="00147432"/>
    <w:rsid w:val="0014770D"/>
    <w:rsid w:val="00147A41"/>
    <w:rsid w:val="00147D7D"/>
    <w:rsid w:val="00147E35"/>
    <w:rsid w:val="00150171"/>
    <w:rsid w:val="001503D3"/>
    <w:rsid w:val="0015049D"/>
    <w:rsid w:val="001507BE"/>
    <w:rsid w:val="00150BAD"/>
    <w:rsid w:val="00150BCE"/>
    <w:rsid w:val="00150DA9"/>
    <w:rsid w:val="00150DCF"/>
    <w:rsid w:val="001511A7"/>
    <w:rsid w:val="001512BF"/>
    <w:rsid w:val="00151471"/>
    <w:rsid w:val="0015180B"/>
    <w:rsid w:val="00151AAD"/>
    <w:rsid w:val="00152106"/>
    <w:rsid w:val="00152232"/>
    <w:rsid w:val="001522BE"/>
    <w:rsid w:val="00152729"/>
    <w:rsid w:val="00152772"/>
    <w:rsid w:val="00152805"/>
    <w:rsid w:val="00152807"/>
    <w:rsid w:val="00152A9E"/>
    <w:rsid w:val="00152BCE"/>
    <w:rsid w:val="00152CF3"/>
    <w:rsid w:val="00153035"/>
    <w:rsid w:val="001531F6"/>
    <w:rsid w:val="00153248"/>
    <w:rsid w:val="0015358A"/>
    <w:rsid w:val="001538E5"/>
    <w:rsid w:val="00153A69"/>
    <w:rsid w:val="0015417E"/>
    <w:rsid w:val="00154687"/>
    <w:rsid w:val="00154C46"/>
    <w:rsid w:val="00154C56"/>
    <w:rsid w:val="0015593B"/>
    <w:rsid w:val="00155BF3"/>
    <w:rsid w:val="00155E96"/>
    <w:rsid w:val="0015662B"/>
    <w:rsid w:val="00156653"/>
    <w:rsid w:val="0015672F"/>
    <w:rsid w:val="001567D2"/>
    <w:rsid w:val="00156C49"/>
    <w:rsid w:val="00156DA9"/>
    <w:rsid w:val="00156F68"/>
    <w:rsid w:val="001573BE"/>
    <w:rsid w:val="0015749B"/>
    <w:rsid w:val="00157597"/>
    <w:rsid w:val="0015778F"/>
    <w:rsid w:val="00157AD2"/>
    <w:rsid w:val="00157EB0"/>
    <w:rsid w:val="001600F2"/>
    <w:rsid w:val="0016012E"/>
    <w:rsid w:val="0016053C"/>
    <w:rsid w:val="001606E5"/>
    <w:rsid w:val="00160BA3"/>
    <w:rsid w:val="00160D7C"/>
    <w:rsid w:val="001610A1"/>
    <w:rsid w:val="00161224"/>
    <w:rsid w:val="0016127D"/>
    <w:rsid w:val="001612DB"/>
    <w:rsid w:val="0016149A"/>
    <w:rsid w:val="0016160A"/>
    <w:rsid w:val="001616B0"/>
    <w:rsid w:val="00161A39"/>
    <w:rsid w:val="00161A48"/>
    <w:rsid w:val="00161D8F"/>
    <w:rsid w:val="001625D1"/>
    <w:rsid w:val="001627E4"/>
    <w:rsid w:val="00162CDD"/>
    <w:rsid w:val="001631ED"/>
    <w:rsid w:val="0016325E"/>
    <w:rsid w:val="00163442"/>
    <w:rsid w:val="001634F3"/>
    <w:rsid w:val="0016361E"/>
    <w:rsid w:val="00163BD8"/>
    <w:rsid w:val="00163DCE"/>
    <w:rsid w:val="00163DF8"/>
    <w:rsid w:val="00163E9D"/>
    <w:rsid w:val="00164040"/>
    <w:rsid w:val="0016406E"/>
    <w:rsid w:val="001642C7"/>
    <w:rsid w:val="00164739"/>
    <w:rsid w:val="00164869"/>
    <w:rsid w:val="00164976"/>
    <w:rsid w:val="0016497D"/>
    <w:rsid w:val="00164990"/>
    <w:rsid w:val="00165540"/>
    <w:rsid w:val="0016557D"/>
    <w:rsid w:val="00165661"/>
    <w:rsid w:val="00165892"/>
    <w:rsid w:val="0016594F"/>
    <w:rsid w:val="001659EB"/>
    <w:rsid w:val="00165B98"/>
    <w:rsid w:val="00165C61"/>
    <w:rsid w:val="0016602B"/>
    <w:rsid w:val="00166109"/>
    <w:rsid w:val="00166375"/>
    <w:rsid w:val="00166590"/>
    <w:rsid w:val="00166D13"/>
    <w:rsid w:val="00167407"/>
    <w:rsid w:val="001674A8"/>
    <w:rsid w:val="00167592"/>
    <w:rsid w:val="00167ED0"/>
    <w:rsid w:val="00170465"/>
    <w:rsid w:val="001706D4"/>
    <w:rsid w:val="00170C1E"/>
    <w:rsid w:val="0017125C"/>
    <w:rsid w:val="00171352"/>
    <w:rsid w:val="001715EF"/>
    <w:rsid w:val="001716AA"/>
    <w:rsid w:val="0017179B"/>
    <w:rsid w:val="00171A85"/>
    <w:rsid w:val="00171B84"/>
    <w:rsid w:val="00171B98"/>
    <w:rsid w:val="00171FBF"/>
    <w:rsid w:val="0017232E"/>
    <w:rsid w:val="00172445"/>
    <w:rsid w:val="0017245A"/>
    <w:rsid w:val="0017246D"/>
    <w:rsid w:val="00172E99"/>
    <w:rsid w:val="00173450"/>
    <w:rsid w:val="001735D6"/>
    <w:rsid w:val="00173640"/>
    <w:rsid w:val="001738E4"/>
    <w:rsid w:val="00173BCA"/>
    <w:rsid w:val="00173E69"/>
    <w:rsid w:val="00173F14"/>
    <w:rsid w:val="001741DD"/>
    <w:rsid w:val="00174326"/>
    <w:rsid w:val="001744CE"/>
    <w:rsid w:val="001745B4"/>
    <w:rsid w:val="0017462D"/>
    <w:rsid w:val="001746F8"/>
    <w:rsid w:val="00174772"/>
    <w:rsid w:val="001747B6"/>
    <w:rsid w:val="00174C43"/>
    <w:rsid w:val="00174C54"/>
    <w:rsid w:val="00174FEA"/>
    <w:rsid w:val="001751C4"/>
    <w:rsid w:val="00175207"/>
    <w:rsid w:val="0017539D"/>
    <w:rsid w:val="001761EA"/>
    <w:rsid w:val="0017627C"/>
    <w:rsid w:val="00176293"/>
    <w:rsid w:val="00176564"/>
    <w:rsid w:val="001768CF"/>
    <w:rsid w:val="00176AAC"/>
    <w:rsid w:val="00176ACE"/>
    <w:rsid w:val="00176D56"/>
    <w:rsid w:val="00176EEA"/>
    <w:rsid w:val="00177077"/>
    <w:rsid w:val="00177116"/>
    <w:rsid w:val="001771B2"/>
    <w:rsid w:val="00177485"/>
    <w:rsid w:val="00177528"/>
    <w:rsid w:val="00177885"/>
    <w:rsid w:val="00177A21"/>
    <w:rsid w:val="00177A40"/>
    <w:rsid w:val="00177CEC"/>
    <w:rsid w:val="00177D8F"/>
    <w:rsid w:val="00177DA6"/>
    <w:rsid w:val="00177EDC"/>
    <w:rsid w:val="0018009C"/>
    <w:rsid w:val="001804A5"/>
    <w:rsid w:val="0018070A"/>
    <w:rsid w:val="0018077C"/>
    <w:rsid w:val="001809CF"/>
    <w:rsid w:val="00180C32"/>
    <w:rsid w:val="00180CB1"/>
    <w:rsid w:val="00181096"/>
    <w:rsid w:val="0018112B"/>
    <w:rsid w:val="0018129C"/>
    <w:rsid w:val="00181334"/>
    <w:rsid w:val="00181556"/>
    <w:rsid w:val="0018169F"/>
    <w:rsid w:val="001817E0"/>
    <w:rsid w:val="001818CF"/>
    <w:rsid w:val="00181B8D"/>
    <w:rsid w:val="00181D7D"/>
    <w:rsid w:val="00181D98"/>
    <w:rsid w:val="00182132"/>
    <w:rsid w:val="00182690"/>
    <w:rsid w:val="001826C5"/>
    <w:rsid w:val="00182739"/>
    <w:rsid w:val="001829D1"/>
    <w:rsid w:val="00182E8D"/>
    <w:rsid w:val="00182FFA"/>
    <w:rsid w:val="001830A9"/>
    <w:rsid w:val="001830EF"/>
    <w:rsid w:val="001833A8"/>
    <w:rsid w:val="001835FD"/>
    <w:rsid w:val="0018373A"/>
    <w:rsid w:val="001837B5"/>
    <w:rsid w:val="001837BD"/>
    <w:rsid w:val="00183822"/>
    <w:rsid w:val="0018389E"/>
    <w:rsid w:val="001838AD"/>
    <w:rsid w:val="00183C3E"/>
    <w:rsid w:val="00183C48"/>
    <w:rsid w:val="00183D8F"/>
    <w:rsid w:val="00183E64"/>
    <w:rsid w:val="00183F08"/>
    <w:rsid w:val="00183FEE"/>
    <w:rsid w:val="00184268"/>
    <w:rsid w:val="001843CE"/>
    <w:rsid w:val="0018455E"/>
    <w:rsid w:val="0018472F"/>
    <w:rsid w:val="00184D41"/>
    <w:rsid w:val="00184DC0"/>
    <w:rsid w:val="001850DC"/>
    <w:rsid w:val="0018529A"/>
    <w:rsid w:val="00185472"/>
    <w:rsid w:val="001855B3"/>
    <w:rsid w:val="001855CF"/>
    <w:rsid w:val="00185A80"/>
    <w:rsid w:val="00185D9D"/>
    <w:rsid w:val="00186493"/>
    <w:rsid w:val="0018676C"/>
    <w:rsid w:val="00186A90"/>
    <w:rsid w:val="00186DAA"/>
    <w:rsid w:val="00186F60"/>
    <w:rsid w:val="00187023"/>
    <w:rsid w:val="001871D9"/>
    <w:rsid w:val="001872E3"/>
    <w:rsid w:val="001874FD"/>
    <w:rsid w:val="00187A20"/>
    <w:rsid w:val="00187BA2"/>
    <w:rsid w:val="00187F12"/>
    <w:rsid w:val="00187F65"/>
    <w:rsid w:val="00187FE6"/>
    <w:rsid w:val="00190269"/>
    <w:rsid w:val="001902F7"/>
    <w:rsid w:val="00190348"/>
    <w:rsid w:val="0019036A"/>
    <w:rsid w:val="001909CE"/>
    <w:rsid w:val="00190CF6"/>
    <w:rsid w:val="00190F76"/>
    <w:rsid w:val="0019151A"/>
    <w:rsid w:val="00191652"/>
    <w:rsid w:val="0019173E"/>
    <w:rsid w:val="00191A1A"/>
    <w:rsid w:val="00191CA7"/>
    <w:rsid w:val="00191D4E"/>
    <w:rsid w:val="001929ED"/>
    <w:rsid w:val="00192EB8"/>
    <w:rsid w:val="00193429"/>
    <w:rsid w:val="00193A86"/>
    <w:rsid w:val="00193C22"/>
    <w:rsid w:val="001940F8"/>
    <w:rsid w:val="00194304"/>
    <w:rsid w:val="00194424"/>
    <w:rsid w:val="00194C0B"/>
    <w:rsid w:val="00194D68"/>
    <w:rsid w:val="00194F12"/>
    <w:rsid w:val="00195030"/>
    <w:rsid w:val="001952AC"/>
    <w:rsid w:val="00195521"/>
    <w:rsid w:val="00195EFC"/>
    <w:rsid w:val="00195FBB"/>
    <w:rsid w:val="0019618A"/>
    <w:rsid w:val="001962B5"/>
    <w:rsid w:val="001964C9"/>
    <w:rsid w:val="00196669"/>
    <w:rsid w:val="00196771"/>
    <w:rsid w:val="00196ABE"/>
    <w:rsid w:val="00196B4A"/>
    <w:rsid w:val="00196FD5"/>
    <w:rsid w:val="001972B7"/>
    <w:rsid w:val="00197525"/>
    <w:rsid w:val="001975B9"/>
    <w:rsid w:val="00197684"/>
    <w:rsid w:val="0019793B"/>
    <w:rsid w:val="00197B69"/>
    <w:rsid w:val="00197C6A"/>
    <w:rsid w:val="001A0331"/>
    <w:rsid w:val="001A0597"/>
    <w:rsid w:val="001A05D3"/>
    <w:rsid w:val="001A08AD"/>
    <w:rsid w:val="001A0A8D"/>
    <w:rsid w:val="001A10DD"/>
    <w:rsid w:val="001A1E3C"/>
    <w:rsid w:val="001A23A1"/>
    <w:rsid w:val="001A243A"/>
    <w:rsid w:val="001A2C4F"/>
    <w:rsid w:val="001A2D4F"/>
    <w:rsid w:val="001A2D96"/>
    <w:rsid w:val="001A2F64"/>
    <w:rsid w:val="001A34A5"/>
    <w:rsid w:val="001A3712"/>
    <w:rsid w:val="001A3844"/>
    <w:rsid w:val="001A3883"/>
    <w:rsid w:val="001A3A39"/>
    <w:rsid w:val="001A3BBE"/>
    <w:rsid w:val="001A3D4B"/>
    <w:rsid w:val="001A3E62"/>
    <w:rsid w:val="001A4058"/>
    <w:rsid w:val="001A4300"/>
    <w:rsid w:val="001A4669"/>
    <w:rsid w:val="001A477F"/>
    <w:rsid w:val="001A47BD"/>
    <w:rsid w:val="001A488E"/>
    <w:rsid w:val="001A4945"/>
    <w:rsid w:val="001A4E58"/>
    <w:rsid w:val="001A543B"/>
    <w:rsid w:val="001A5595"/>
    <w:rsid w:val="001A5608"/>
    <w:rsid w:val="001A59B5"/>
    <w:rsid w:val="001A59CF"/>
    <w:rsid w:val="001A6364"/>
    <w:rsid w:val="001A690D"/>
    <w:rsid w:val="001A6967"/>
    <w:rsid w:val="001A69DC"/>
    <w:rsid w:val="001A6BF1"/>
    <w:rsid w:val="001A6C42"/>
    <w:rsid w:val="001A6CF2"/>
    <w:rsid w:val="001A6D66"/>
    <w:rsid w:val="001A7013"/>
    <w:rsid w:val="001A71FD"/>
    <w:rsid w:val="001A740D"/>
    <w:rsid w:val="001A753E"/>
    <w:rsid w:val="001A787D"/>
    <w:rsid w:val="001A7A45"/>
    <w:rsid w:val="001A7BFA"/>
    <w:rsid w:val="001A7D6E"/>
    <w:rsid w:val="001A7DD4"/>
    <w:rsid w:val="001A7F2C"/>
    <w:rsid w:val="001B0015"/>
    <w:rsid w:val="001B00A2"/>
    <w:rsid w:val="001B019C"/>
    <w:rsid w:val="001B0588"/>
    <w:rsid w:val="001B07EB"/>
    <w:rsid w:val="001B0A87"/>
    <w:rsid w:val="001B0EE5"/>
    <w:rsid w:val="001B0F08"/>
    <w:rsid w:val="001B1246"/>
    <w:rsid w:val="001B16D0"/>
    <w:rsid w:val="001B16F3"/>
    <w:rsid w:val="001B17B9"/>
    <w:rsid w:val="001B1BCD"/>
    <w:rsid w:val="001B2128"/>
    <w:rsid w:val="001B2209"/>
    <w:rsid w:val="001B2429"/>
    <w:rsid w:val="001B2771"/>
    <w:rsid w:val="001B2BDF"/>
    <w:rsid w:val="001B2C10"/>
    <w:rsid w:val="001B2E6E"/>
    <w:rsid w:val="001B3129"/>
    <w:rsid w:val="001B3259"/>
    <w:rsid w:val="001B32D5"/>
    <w:rsid w:val="001B3484"/>
    <w:rsid w:val="001B3714"/>
    <w:rsid w:val="001B38D3"/>
    <w:rsid w:val="001B396D"/>
    <w:rsid w:val="001B3A76"/>
    <w:rsid w:val="001B3DE4"/>
    <w:rsid w:val="001B3E2F"/>
    <w:rsid w:val="001B43F7"/>
    <w:rsid w:val="001B4688"/>
    <w:rsid w:val="001B51E6"/>
    <w:rsid w:val="001B5238"/>
    <w:rsid w:val="001B551F"/>
    <w:rsid w:val="001B5785"/>
    <w:rsid w:val="001B618B"/>
    <w:rsid w:val="001B6358"/>
    <w:rsid w:val="001B64FE"/>
    <w:rsid w:val="001B654C"/>
    <w:rsid w:val="001B6ECD"/>
    <w:rsid w:val="001B708C"/>
    <w:rsid w:val="001B713B"/>
    <w:rsid w:val="001B756F"/>
    <w:rsid w:val="001B78D3"/>
    <w:rsid w:val="001B7989"/>
    <w:rsid w:val="001B7C31"/>
    <w:rsid w:val="001B7C46"/>
    <w:rsid w:val="001B7FBA"/>
    <w:rsid w:val="001C002E"/>
    <w:rsid w:val="001C00A6"/>
    <w:rsid w:val="001C0104"/>
    <w:rsid w:val="001C0382"/>
    <w:rsid w:val="001C05AE"/>
    <w:rsid w:val="001C085A"/>
    <w:rsid w:val="001C08B9"/>
    <w:rsid w:val="001C0986"/>
    <w:rsid w:val="001C0997"/>
    <w:rsid w:val="001C0C72"/>
    <w:rsid w:val="001C0DE2"/>
    <w:rsid w:val="001C155F"/>
    <w:rsid w:val="001C1678"/>
    <w:rsid w:val="001C1804"/>
    <w:rsid w:val="001C1824"/>
    <w:rsid w:val="001C1AC9"/>
    <w:rsid w:val="001C1D6A"/>
    <w:rsid w:val="001C1DA0"/>
    <w:rsid w:val="001C1F5B"/>
    <w:rsid w:val="001C209F"/>
    <w:rsid w:val="001C2398"/>
    <w:rsid w:val="001C24DE"/>
    <w:rsid w:val="001C269A"/>
    <w:rsid w:val="001C27EF"/>
    <w:rsid w:val="001C2998"/>
    <w:rsid w:val="001C2B62"/>
    <w:rsid w:val="001C2DB9"/>
    <w:rsid w:val="001C307A"/>
    <w:rsid w:val="001C33E4"/>
    <w:rsid w:val="001C35D7"/>
    <w:rsid w:val="001C3864"/>
    <w:rsid w:val="001C386A"/>
    <w:rsid w:val="001C396F"/>
    <w:rsid w:val="001C3B0D"/>
    <w:rsid w:val="001C3D3B"/>
    <w:rsid w:val="001C3DBF"/>
    <w:rsid w:val="001C4135"/>
    <w:rsid w:val="001C4410"/>
    <w:rsid w:val="001C4908"/>
    <w:rsid w:val="001C490B"/>
    <w:rsid w:val="001C4A53"/>
    <w:rsid w:val="001C4ABD"/>
    <w:rsid w:val="001C4C70"/>
    <w:rsid w:val="001C4C83"/>
    <w:rsid w:val="001C4CF6"/>
    <w:rsid w:val="001C4CFD"/>
    <w:rsid w:val="001C4D70"/>
    <w:rsid w:val="001C4ED2"/>
    <w:rsid w:val="001C4FC8"/>
    <w:rsid w:val="001C5325"/>
    <w:rsid w:val="001C54DF"/>
    <w:rsid w:val="001C57AF"/>
    <w:rsid w:val="001C59E7"/>
    <w:rsid w:val="001C69CA"/>
    <w:rsid w:val="001C69CE"/>
    <w:rsid w:val="001C6AE9"/>
    <w:rsid w:val="001C72DF"/>
    <w:rsid w:val="001C7638"/>
    <w:rsid w:val="001C78FB"/>
    <w:rsid w:val="001C7D2C"/>
    <w:rsid w:val="001D03DC"/>
    <w:rsid w:val="001D0809"/>
    <w:rsid w:val="001D0CA2"/>
    <w:rsid w:val="001D0E5D"/>
    <w:rsid w:val="001D1421"/>
    <w:rsid w:val="001D1C3A"/>
    <w:rsid w:val="001D2303"/>
    <w:rsid w:val="001D244C"/>
    <w:rsid w:val="001D28E0"/>
    <w:rsid w:val="001D29DF"/>
    <w:rsid w:val="001D2A16"/>
    <w:rsid w:val="001D2BAB"/>
    <w:rsid w:val="001D2DED"/>
    <w:rsid w:val="001D3116"/>
    <w:rsid w:val="001D3247"/>
    <w:rsid w:val="001D3470"/>
    <w:rsid w:val="001D3E64"/>
    <w:rsid w:val="001D400F"/>
    <w:rsid w:val="001D4220"/>
    <w:rsid w:val="001D45FA"/>
    <w:rsid w:val="001D47D0"/>
    <w:rsid w:val="001D49CC"/>
    <w:rsid w:val="001D4AC8"/>
    <w:rsid w:val="001D4B8B"/>
    <w:rsid w:val="001D4C08"/>
    <w:rsid w:val="001D4C5E"/>
    <w:rsid w:val="001D4D25"/>
    <w:rsid w:val="001D4FD2"/>
    <w:rsid w:val="001D50AB"/>
    <w:rsid w:val="001D515D"/>
    <w:rsid w:val="001D53D5"/>
    <w:rsid w:val="001D557B"/>
    <w:rsid w:val="001D56B7"/>
    <w:rsid w:val="001D56E1"/>
    <w:rsid w:val="001D56E7"/>
    <w:rsid w:val="001D5B6C"/>
    <w:rsid w:val="001D5D87"/>
    <w:rsid w:val="001D626D"/>
    <w:rsid w:val="001D65D2"/>
    <w:rsid w:val="001D66B8"/>
    <w:rsid w:val="001D6C5E"/>
    <w:rsid w:val="001D75B4"/>
    <w:rsid w:val="001D765A"/>
    <w:rsid w:val="001D7809"/>
    <w:rsid w:val="001D7C4A"/>
    <w:rsid w:val="001D7FAC"/>
    <w:rsid w:val="001E007A"/>
    <w:rsid w:val="001E0280"/>
    <w:rsid w:val="001E0399"/>
    <w:rsid w:val="001E0457"/>
    <w:rsid w:val="001E056B"/>
    <w:rsid w:val="001E0B83"/>
    <w:rsid w:val="001E0D20"/>
    <w:rsid w:val="001E1EF6"/>
    <w:rsid w:val="001E1F47"/>
    <w:rsid w:val="001E2423"/>
    <w:rsid w:val="001E26EB"/>
    <w:rsid w:val="001E272A"/>
    <w:rsid w:val="001E293C"/>
    <w:rsid w:val="001E298A"/>
    <w:rsid w:val="001E2B1C"/>
    <w:rsid w:val="001E2BC6"/>
    <w:rsid w:val="001E2F97"/>
    <w:rsid w:val="001E30C2"/>
    <w:rsid w:val="001E348C"/>
    <w:rsid w:val="001E34B0"/>
    <w:rsid w:val="001E3653"/>
    <w:rsid w:val="001E37FD"/>
    <w:rsid w:val="001E388A"/>
    <w:rsid w:val="001E3BF0"/>
    <w:rsid w:val="001E3CF0"/>
    <w:rsid w:val="001E3E4E"/>
    <w:rsid w:val="001E42F1"/>
    <w:rsid w:val="001E4443"/>
    <w:rsid w:val="001E46A4"/>
    <w:rsid w:val="001E46B2"/>
    <w:rsid w:val="001E4C73"/>
    <w:rsid w:val="001E4F3D"/>
    <w:rsid w:val="001E5156"/>
    <w:rsid w:val="001E5186"/>
    <w:rsid w:val="001E529D"/>
    <w:rsid w:val="001E530A"/>
    <w:rsid w:val="001E54DC"/>
    <w:rsid w:val="001E57D4"/>
    <w:rsid w:val="001E5C64"/>
    <w:rsid w:val="001E5D7C"/>
    <w:rsid w:val="001E5D9A"/>
    <w:rsid w:val="001E5E55"/>
    <w:rsid w:val="001E6597"/>
    <w:rsid w:val="001E659D"/>
    <w:rsid w:val="001E65FE"/>
    <w:rsid w:val="001E6A58"/>
    <w:rsid w:val="001E6C5F"/>
    <w:rsid w:val="001E6FCD"/>
    <w:rsid w:val="001E73C1"/>
    <w:rsid w:val="001E7B5C"/>
    <w:rsid w:val="001E7C75"/>
    <w:rsid w:val="001E7E7E"/>
    <w:rsid w:val="001E7FD3"/>
    <w:rsid w:val="001F0130"/>
    <w:rsid w:val="001F035E"/>
    <w:rsid w:val="001F06B6"/>
    <w:rsid w:val="001F081E"/>
    <w:rsid w:val="001F0BC9"/>
    <w:rsid w:val="001F1148"/>
    <w:rsid w:val="001F18B4"/>
    <w:rsid w:val="001F1C59"/>
    <w:rsid w:val="001F1CA4"/>
    <w:rsid w:val="001F239D"/>
    <w:rsid w:val="001F24CB"/>
    <w:rsid w:val="001F262D"/>
    <w:rsid w:val="001F2724"/>
    <w:rsid w:val="001F2948"/>
    <w:rsid w:val="001F2D67"/>
    <w:rsid w:val="001F2DDF"/>
    <w:rsid w:val="001F2F8D"/>
    <w:rsid w:val="001F32EF"/>
    <w:rsid w:val="001F33C0"/>
    <w:rsid w:val="001F34F1"/>
    <w:rsid w:val="001F40E7"/>
    <w:rsid w:val="001F4215"/>
    <w:rsid w:val="001F4B98"/>
    <w:rsid w:val="001F4DDE"/>
    <w:rsid w:val="001F4F60"/>
    <w:rsid w:val="001F53DB"/>
    <w:rsid w:val="001F57A1"/>
    <w:rsid w:val="001F59A8"/>
    <w:rsid w:val="001F5D4E"/>
    <w:rsid w:val="001F5E10"/>
    <w:rsid w:val="001F5E1B"/>
    <w:rsid w:val="001F6081"/>
    <w:rsid w:val="001F6C75"/>
    <w:rsid w:val="001F6F01"/>
    <w:rsid w:val="001F71DA"/>
    <w:rsid w:val="001F79EB"/>
    <w:rsid w:val="001F7BEA"/>
    <w:rsid w:val="001F7C41"/>
    <w:rsid w:val="001F7E84"/>
    <w:rsid w:val="00200086"/>
    <w:rsid w:val="002000E9"/>
    <w:rsid w:val="00200254"/>
    <w:rsid w:val="0020035D"/>
    <w:rsid w:val="00200A0F"/>
    <w:rsid w:val="00200AB6"/>
    <w:rsid w:val="00200E66"/>
    <w:rsid w:val="00200ED1"/>
    <w:rsid w:val="00200F92"/>
    <w:rsid w:val="0020167F"/>
    <w:rsid w:val="00201951"/>
    <w:rsid w:val="00201BD8"/>
    <w:rsid w:val="00201C49"/>
    <w:rsid w:val="00201EDA"/>
    <w:rsid w:val="002023C5"/>
    <w:rsid w:val="0020267A"/>
    <w:rsid w:val="00202C0F"/>
    <w:rsid w:val="00202D54"/>
    <w:rsid w:val="002032CA"/>
    <w:rsid w:val="00203656"/>
    <w:rsid w:val="00203B3F"/>
    <w:rsid w:val="00203C7B"/>
    <w:rsid w:val="00203DDE"/>
    <w:rsid w:val="00203DE5"/>
    <w:rsid w:val="0020410C"/>
    <w:rsid w:val="0020426B"/>
    <w:rsid w:val="00204359"/>
    <w:rsid w:val="0020436D"/>
    <w:rsid w:val="0020464E"/>
    <w:rsid w:val="00204870"/>
    <w:rsid w:val="002048F6"/>
    <w:rsid w:val="00204CB5"/>
    <w:rsid w:val="00205361"/>
    <w:rsid w:val="002053DD"/>
    <w:rsid w:val="0020557E"/>
    <w:rsid w:val="00205671"/>
    <w:rsid w:val="002056A3"/>
    <w:rsid w:val="002056B5"/>
    <w:rsid w:val="00205723"/>
    <w:rsid w:val="002059BD"/>
    <w:rsid w:val="00205BD6"/>
    <w:rsid w:val="00205E49"/>
    <w:rsid w:val="00205F0F"/>
    <w:rsid w:val="00205F81"/>
    <w:rsid w:val="0020603C"/>
    <w:rsid w:val="002069F2"/>
    <w:rsid w:val="00206DD1"/>
    <w:rsid w:val="00207052"/>
    <w:rsid w:val="00207210"/>
    <w:rsid w:val="0020722B"/>
    <w:rsid w:val="00207238"/>
    <w:rsid w:val="002074DB"/>
    <w:rsid w:val="0020770C"/>
    <w:rsid w:val="00207B9B"/>
    <w:rsid w:val="00207FAE"/>
    <w:rsid w:val="002100EA"/>
    <w:rsid w:val="002102F6"/>
    <w:rsid w:val="002103E9"/>
    <w:rsid w:val="00210548"/>
    <w:rsid w:val="0021088C"/>
    <w:rsid w:val="002108CA"/>
    <w:rsid w:val="002108D3"/>
    <w:rsid w:val="00210B1E"/>
    <w:rsid w:val="00210B52"/>
    <w:rsid w:val="00210CCA"/>
    <w:rsid w:val="00210E44"/>
    <w:rsid w:val="00210F8C"/>
    <w:rsid w:val="00211063"/>
    <w:rsid w:val="00211115"/>
    <w:rsid w:val="00211239"/>
    <w:rsid w:val="002116E0"/>
    <w:rsid w:val="002117E9"/>
    <w:rsid w:val="0021193B"/>
    <w:rsid w:val="00211B0A"/>
    <w:rsid w:val="00211E72"/>
    <w:rsid w:val="00212390"/>
    <w:rsid w:val="002125C7"/>
    <w:rsid w:val="0021292F"/>
    <w:rsid w:val="00212D1F"/>
    <w:rsid w:val="00212F1A"/>
    <w:rsid w:val="00212F22"/>
    <w:rsid w:val="0021348B"/>
    <w:rsid w:val="0021362D"/>
    <w:rsid w:val="002137CE"/>
    <w:rsid w:val="0021388D"/>
    <w:rsid w:val="002139AD"/>
    <w:rsid w:val="00213A12"/>
    <w:rsid w:val="00213AE6"/>
    <w:rsid w:val="00213B83"/>
    <w:rsid w:val="00214F9A"/>
    <w:rsid w:val="0021538F"/>
    <w:rsid w:val="0021560C"/>
    <w:rsid w:val="002157DB"/>
    <w:rsid w:val="00215991"/>
    <w:rsid w:val="00215D68"/>
    <w:rsid w:val="00215FCF"/>
    <w:rsid w:val="002166A3"/>
    <w:rsid w:val="00216DEC"/>
    <w:rsid w:val="00216E02"/>
    <w:rsid w:val="00216FBC"/>
    <w:rsid w:val="00217484"/>
    <w:rsid w:val="002175E3"/>
    <w:rsid w:val="002178F2"/>
    <w:rsid w:val="00217C2C"/>
    <w:rsid w:val="00217D49"/>
    <w:rsid w:val="00217E5F"/>
    <w:rsid w:val="002207BF"/>
    <w:rsid w:val="002208C0"/>
    <w:rsid w:val="002209E0"/>
    <w:rsid w:val="00220D02"/>
    <w:rsid w:val="00220DE1"/>
    <w:rsid w:val="00220FC5"/>
    <w:rsid w:val="00221013"/>
    <w:rsid w:val="002213C4"/>
    <w:rsid w:val="00221575"/>
    <w:rsid w:val="00221BC8"/>
    <w:rsid w:val="00221DC5"/>
    <w:rsid w:val="00221E72"/>
    <w:rsid w:val="00222427"/>
    <w:rsid w:val="00222512"/>
    <w:rsid w:val="002227AE"/>
    <w:rsid w:val="00222A7C"/>
    <w:rsid w:val="00222E12"/>
    <w:rsid w:val="002230A9"/>
    <w:rsid w:val="00223110"/>
    <w:rsid w:val="00223418"/>
    <w:rsid w:val="002239D2"/>
    <w:rsid w:val="00223B36"/>
    <w:rsid w:val="00223E49"/>
    <w:rsid w:val="00223F4C"/>
    <w:rsid w:val="002240E3"/>
    <w:rsid w:val="00224209"/>
    <w:rsid w:val="00224890"/>
    <w:rsid w:val="00224A5F"/>
    <w:rsid w:val="00224DA4"/>
    <w:rsid w:val="00224E95"/>
    <w:rsid w:val="00225071"/>
    <w:rsid w:val="002251B2"/>
    <w:rsid w:val="00225242"/>
    <w:rsid w:val="00225336"/>
    <w:rsid w:val="00225C73"/>
    <w:rsid w:val="00225CEE"/>
    <w:rsid w:val="00225E40"/>
    <w:rsid w:val="00225E73"/>
    <w:rsid w:val="00225E8B"/>
    <w:rsid w:val="00225EC4"/>
    <w:rsid w:val="002262AE"/>
    <w:rsid w:val="00226509"/>
    <w:rsid w:val="002266BA"/>
    <w:rsid w:val="00226801"/>
    <w:rsid w:val="002268CB"/>
    <w:rsid w:val="0022698B"/>
    <w:rsid w:val="002269EC"/>
    <w:rsid w:val="00226A00"/>
    <w:rsid w:val="00226BFA"/>
    <w:rsid w:val="002272D9"/>
    <w:rsid w:val="00227454"/>
    <w:rsid w:val="002279C5"/>
    <w:rsid w:val="00227A5A"/>
    <w:rsid w:val="00227A6C"/>
    <w:rsid w:val="00227D90"/>
    <w:rsid w:val="0023013E"/>
    <w:rsid w:val="0023066C"/>
    <w:rsid w:val="002308C4"/>
    <w:rsid w:val="002311C3"/>
    <w:rsid w:val="00231379"/>
    <w:rsid w:val="002313F3"/>
    <w:rsid w:val="00231644"/>
    <w:rsid w:val="00231828"/>
    <w:rsid w:val="002318B2"/>
    <w:rsid w:val="00231903"/>
    <w:rsid w:val="00231A04"/>
    <w:rsid w:val="00231A59"/>
    <w:rsid w:val="00231EAC"/>
    <w:rsid w:val="00231FA3"/>
    <w:rsid w:val="0023203C"/>
    <w:rsid w:val="00232246"/>
    <w:rsid w:val="0023245F"/>
    <w:rsid w:val="002325CE"/>
    <w:rsid w:val="002328EB"/>
    <w:rsid w:val="00232B86"/>
    <w:rsid w:val="00232F3A"/>
    <w:rsid w:val="0023310C"/>
    <w:rsid w:val="002334F7"/>
    <w:rsid w:val="002336FC"/>
    <w:rsid w:val="002337B2"/>
    <w:rsid w:val="0023389F"/>
    <w:rsid w:val="00233B3F"/>
    <w:rsid w:val="0023427C"/>
    <w:rsid w:val="00234574"/>
    <w:rsid w:val="0023496E"/>
    <w:rsid w:val="0023497A"/>
    <w:rsid w:val="00234C80"/>
    <w:rsid w:val="00234D11"/>
    <w:rsid w:val="00234F71"/>
    <w:rsid w:val="002352FE"/>
    <w:rsid w:val="0023598F"/>
    <w:rsid w:val="00235A6E"/>
    <w:rsid w:val="00235C22"/>
    <w:rsid w:val="0023628E"/>
    <w:rsid w:val="002365E4"/>
    <w:rsid w:val="00236A49"/>
    <w:rsid w:val="00236B27"/>
    <w:rsid w:val="00236BF2"/>
    <w:rsid w:val="00236D6E"/>
    <w:rsid w:val="0023721E"/>
    <w:rsid w:val="002372E6"/>
    <w:rsid w:val="00237748"/>
    <w:rsid w:val="00237868"/>
    <w:rsid w:val="00237B39"/>
    <w:rsid w:val="00237FEF"/>
    <w:rsid w:val="00240063"/>
    <w:rsid w:val="00240071"/>
    <w:rsid w:val="002407D1"/>
    <w:rsid w:val="0024098E"/>
    <w:rsid w:val="00240E8E"/>
    <w:rsid w:val="00240FA6"/>
    <w:rsid w:val="00241101"/>
    <w:rsid w:val="00241383"/>
    <w:rsid w:val="00241610"/>
    <w:rsid w:val="00241B49"/>
    <w:rsid w:val="00241C91"/>
    <w:rsid w:val="00241EFC"/>
    <w:rsid w:val="00241FFC"/>
    <w:rsid w:val="002423A1"/>
    <w:rsid w:val="00242450"/>
    <w:rsid w:val="0024254C"/>
    <w:rsid w:val="00242637"/>
    <w:rsid w:val="002427D1"/>
    <w:rsid w:val="00242970"/>
    <w:rsid w:val="00242A3D"/>
    <w:rsid w:val="00242DEC"/>
    <w:rsid w:val="00242F83"/>
    <w:rsid w:val="00243160"/>
    <w:rsid w:val="002433DD"/>
    <w:rsid w:val="00243762"/>
    <w:rsid w:val="0024401C"/>
    <w:rsid w:val="00244030"/>
    <w:rsid w:val="00244194"/>
    <w:rsid w:val="002443DD"/>
    <w:rsid w:val="00244594"/>
    <w:rsid w:val="002446DA"/>
    <w:rsid w:val="00244829"/>
    <w:rsid w:val="00244ACF"/>
    <w:rsid w:val="00244B0D"/>
    <w:rsid w:val="002452E6"/>
    <w:rsid w:val="002457BE"/>
    <w:rsid w:val="002457FD"/>
    <w:rsid w:val="002458C7"/>
    <w:rsid w:val="002458CD"/>
    <w:rsid w:val="00245B42"/>
    <w:rsid w:val="00245BD2"/>
    <w:rsid w:val="00245E39"/>
    <w:rsid w:val="00246480"/>
    <w:rsid w:val="00246500"/>
    <w:rsid w:val="00246518"/>
    <w:rsid w:val="00246523"/>
    <w:rsid w:val="00246626"/>
    <w:rsid w:val="00246737"/>
    <w:rsid w:val="002468EE"/>
    <w:rsid w:val="00246AA9"/>
    <w:rsid w:val="00246AD8"/>
    <w:rsid w:val="00246C29"/>
    <w:rsid w:val="00246CA0"/>
    <w:rsid w:val="00246D46"/>
    <w:rsid w:val="00247196"/>
    <w:rsid w:val="002471CA"/>
    <w:rsid w:val="00247415"/>
    <w:rsid w:val="002474CD"/>
    <w:rsid w:val="002478E1"/>
    <w:rsid w:val="00247AB3"/>
    <w:rsid w:val="00247DCD"/>
    <w:rsid w:val="00247DE1"/>
    <w:rsid w:val="00250606"/>
    <w:rsid w:val="00250820"/>
    <w:rsid w:val="00250B15"/>
    <w:rsid w:val="00250C65"/>
    <w:rsid w:val="002510B5"/>
    <w:rsid w:val="0025123D"/>
    <w:rsid w:val="00251554"/>
    <w:rsid w:val="00251671"/>
    <w:rsid w:val="002517B4"/>
    <w:rsid w:val="002518DB"/>
    <w:rsid w:val="00251C08"/>
    <w:rsid w:val="00251D66"/>
    <w:rsid w:val="002520FD"/>
    <w:rsid w:val="00252570"/>
    <w:rsid w:val="00252B0C"/>
    <w:rsid w:val="00252B58"/>
    <w:rsid w:val="00252D62"/>
    <w:rsid w:val="00252D9B"/>
    <w:rsid w:val="00252D9E"/>
    <w:rsid w:val="00253092"/>
    <w:rsid w:val="00253417"/>
    <w:rsid w:val="0025357B"/>
    <w:rsid w:val="00253A49"/>
    <w:rsid w:val="002543AB"/>
    <w:rsid w:val="00254569"/>
    <w:rsid w:val="00254A17"/>
    <w:rsid w:val="00255081"/>
    <w:rsid w:val="0025558D"/>
    <w:rsid w:val="002555A6"/>
    <w:rsid w:val="00255678"/>
    <w:rsid w:val="00255C4D"/>
    <w:rsid w:val="002566F3"/>
    <w:rsid w:val="00256E62"/>
    <w:rsid w:val="00256E86"/>
    <w:rsid w:val="00256EF3"/>
    <w:rsid w:val="00257321"/>
    <w:rsid w:val="00257617"/>
    <w:rsid w:val="002578E7"/>
    <w:rsid w:val="00257B5C"/>
    <w:rsid w:val="00257BAF"/>
    <w:rsid w:val="00260183"/>
    <w:rsid w:val="00260320"/>
    <w:rsid w:val="00260842"/>
    <w:rsid w:val="002612CE"/>
    <w:rsid w:val="00261B58"/>
    <w:rsid w:val="00261FE2"/>
    <w:rsid w:val="002623FC"/>
    <w:rsid w:val="00262914"/>
    <w:rsid w:val="00262916"/>
    <w:rsid w:val="00262B3F"/>
    <w:rsid w:val="00262C7E"/>
    <w:rsid w:val="00262D75"/>
    <w:rsid w:val="00262D91"/>
    <w:rsid w:val="00262F9B"/>
    <w:rsid w:val="00262FAD"/>
    <w:rsid w:val="002635C7"/>
    <w:rsid w:val="002636A3"/>
    <w:rsid w:val="002637C3"/>
    <w:rsid w:val="00263943"/>
    <w:rsid w:val="00263946"/>
    <w:rsid w:val="00263A49"/>
    <w:rsid w:val="002647FB"/>
    <w:rsid w:val="00264A4F"/>
    <w:rsid w:val="00264B60"/>
    <w:rsid w:val="00264BA4"/>
    <w:rsid w:val="0026521B"/>
    <w:rsid w:val="002655EF"/>
    <w:rsid w:val="0026576B"/>
    <w:rsid w:val="0026597A"/>
    <w:rsid w:val="0026598D"/>
    <w:rsid w:val="00265EC0"/>
    <w:rsid w:val="00265F75"/>
    <w:rsid w:val="00265F8A"/>
    <w:rsid w:val="002660D8"/>
    <w:rsid w:val="002661A7"/>
    <w:rsid w:val="002663D9"/>
    <w:rsid w:val="0026657C"/>
    <w:rsid w:val="00266851"/>
    <w:rsid w:val="00266974"/>
    <w:rsid w:val="00266982"/>
    <w:rsid w:val="00266B34"/>
    <w:rsid w:val="00266D43"/>
    <w:rsid w:val="002670D3"/>
    <w:rsid w:val="002671B2"/>
    <w:rsid w:val="002673C9"/>
    <w:rsid w:val="002701F2"/>
    <w:rsid w:val="00270244"/>
    <w:rsid w:val="002704CE"/>
    <w:rsid w:val="00270530"/>
    <w:rsid w:val="0027053D"/>
    <w:rsid w:val="0027071D"/>
    <w:rsid w:val="00270B9B"/>
    <w:rsid w:val="00270D3C"/>
    <w:rsid w:val="0027161C"/>
    <w:rsid w:val="00271AA3"/>
    <w:rsid w:val="00271BD0"/>
    <w:rsid w:val="00271FD4"/>
    <w:rsid w:val="00272069"/>
    <w:rsid w:val="002722AE"/>
    <w:rsid w:val="0027266B"/>
    <w:rsid w:val="00272876"/>
    <w:rsid w:val="002728D2"/>
    <w:rsid w:val="00272902"/>
    <w:rsid w:val="00272B2F"/>
    <w:rsid w:val="00272BD1"/>
    <w:rsid w:val="0027308A"/>
    <w:rsid w:val="00273207"/>
    <w:rsid w:val="00273270"/>
    <w:rsid w:val="00273276"/>
    <w:rsid w:val="002733FB"/>
    <w:rsid w:val="002734AC"/>
    <w:rsid w:val="002734F2"/>
    <w:rsid w:val="002738DC"/>
    <w:rsid w:val="00274411"/>
    <w:rsid w:val="002744EB"/>
    <w:rsid w:val="0027450E"/>
    <w:rsid w:val="00274691"/>
    <w:rsid w:val="002750D9"/>
    <w:rsid w:val="0027540D"/>
    <w:rsid w:val="002755D9"/>
    <w:rsid w:val="002757AF"/>
    <w:rsid w:val="002759AD"/>
    <w:rsid w:val="00275A94"/>
    <w:rsid w:val="00275D12"/>
    <w:rsid w:val="00275D62"/>
    <w:rsid w:val="00275FC1"/>
    <w:rsid w:val="00276339"/>
    <w:rsid w:val="00276536"/>
    <w:rsid w:val="002767A3"/>
    <w:rsid w:val="002769C1"/>
    <w:rsid w:val="00276B18"/>
    <w:rsid w:val="00276BFE"/>
    <w:rsid w:val="002771DC"/>
    <w:rsid w:val="0027778E"/>
    <w:rsid w:val="0028010A"/>
    <w:rsid w:val="0028010C"/>
    <w:rsid w:val="0028059F"/>
    <w:rsid w:val="002806B0"/>
    <w:rsid w:val="00280750"/>
    <w:rsid w:val="00280774"/>
    <w:rsid w:val="00280BE8"/>
    <w:rsid w:val="00280DBD"/>
    <w:rsid w:val="0028100F"/>
    <w:rsid w:val="00281193"/>
    <w:rsid w:val="002811E6"/>
    <w:rsid w:val="002812FB"/>
    <w:rsid w:val="0028150B"/>
    <w:rsid w:val="0028172C"/>
    <w:rsid w:val="002817EA"/>
    <w:rsid w:val="00281FA3"/>
    <w:rsid w:val="002821D2"/>
    <w:rsid w:val="002824FD"/>
    <w:rsid w:val="002825D5"/>
    <w:rsid w:val="00282621"/>
    <w:rsid w:val="00282656"/>
    <w:rsid w:val="0028273C"/>
    <w:rsid w:val="00282860"/>
    <w:rsid w:val="002829A9"/>
    <w:rsid w:val="00282A1A"/>
    <w:rsid w:val="00282AB3"/>
    <w:rsid w:val="00282B0E"/>
    <w:rsid w:val="00282B37"/>
    <w:rsid w:val="00282B7B"/>
    <w:rsid w:val="002831DE"/>
    <w:rsid w:val="002835B0"/>
    <w:rsid w:val="002837AA"/>
    <w:rsid w:val="002837E9"/>
    <w:rsid w:val="00283C14"/>
    <w:rsid w:val="00283D2B"/>
    <w:rsid w:val="00284108"/>
    <w:rsid w:val="0028431D"/>
    <w:rsid w:val="002848DD"/>
    <w:rsid w:val="00284B04"/>
    <w:rsid w:val="00284B54"/>
    <w:rsid w:val="00284B62"/>
    <w:rsid w:val="00284DFD"/>
    <w:rsid w:val="00284FD2"/>
    <w:rsid w:val="0028524A"/>
    <w:rsid w:val="002855E4"/>
    <w:rsid w:val="00285C2C"/>
    <w:rsid w:val="0028620B"/>
    <w:rsid w:val="002865E5"/>
    <w:rsid w:val="00286600"/>
    <w:rsid w:val="0028660D"/>
    <w:rsid w:val="00286737"/>
    <w:rsid w:val="0028686A"/>
    <w:rsid w:val="002868D9"/>
    <w:rsid w:val="00286A58"/>
    <w:rsid w:val="00286DA5"/>
    <w:rsid w:val="00286DBD"/>
    <w:rsid w:val="00286DEF"/>
    <w:rsid w:val="00286F57"/>
    <w:rsid w:val="0028705F"/>
    <w:rsid w:val="002876C1"/>
    <w:rsid w:val="0028798E"/>
    <w:rsid w:val="002879BB"/>
    <w:rsid w:val="00287A11"/>
    <w:rsid w:val="00287B83"/>
    <w:rsid w:val="00287BD7"/>
    <w:rsid w:val="00287F91"/>
    <w:rsid w:val="002901D2"/>
    <w:rsid w:val="00290481"/>
    <w:rsid w:val="00290F04"/>
    <w:rsid w:val="0029118E"/>
    <w:rsid w:val="002912F6"/>
    <w:rsid w:val="00291308"/>
    <w:rsid w:val="0029132B"/>
    <w:rsid w:val="00291819"/>
    <w:rsid w:val="002918C1"/>
    <w:rsid w:val="00291B88"/>
    <w:rsid w:val="00291DF5"/>
    <w:rsid w:val="00291E45"/>
    <w:rsid w:val="00291EB2"/>
    <w:rsid w:val="00291F38"/>
    <w:rsid w:val="00291F58"/>
    <w:rsid w:val="00292177"/>
    <w:rsid w:val="0029255C"/>
    <w:rsid w:val="0029297A"/>
    <w:rsid w:val="00292CC1"/>
    <w:rsid w:val="00292F0B"/>
    <w:rsid w:val="0029346B"/>
    <w:rsid w:val="00293664"/>
    <w:rsid w:val="00293746"/>
    <w:rsid w:val="00293789"/>
    <w:rsid w:val="00293D4F"/>
    <w:rsid w:val="00294226"/>
    <w:rsid w:val="00294635"/>
    <w:rsid w:val="00294783"/>
    <w:rsid w:val="00294821"/>
    <w:rsid w:val="00294C65"/>
    <w:rsid w:val="0029509B"/>
    <w:rsid w:val="00295114"/>
    <w:rsid w:val="00295349"/>
    <w:rsid w:val="0029557C"/>
    <w:rsid w:val="00295966"/>
    <w:rsid w:val="00295AA6"/>
    <w:rsid w:val="00296231"/>
    <w:rsid w:val="002962A8"/>
    <w:rsid w:val="0029693B"/>
    <w:rsid w:val="00296C4C"/>
    <w:rsid w:val="00296EAE"/>
    <w:rsid w:val="00296F37"/>
    <w:rsid w:val="00296F4A"/>
    <w:rsid w:val="00297068"/>
    <w:rsid w:val="0029745F"/>
    <w:rsid w:val="00297EE9"/>
    <w:rsid w:val="00297FFC"/>
    <w:rsid w:val="002A0501"/>
    <w:rsid w:val="002A05A1"/>
    <w:rsid w:val="002A0674"/>
    <w:rsid w:val="002A07B0"/>
    <w:rsid w:val="002A0955"/>
    <w:rsid w:val="002A09D0"/>
    <w:rsid w:val="002A0CD0"/>
    <w:rsid w:val="002A0CE6"/>
    <w:rsid w:val="002A1009"/>
    <w:rsid w:val="002A127D"/>
    <w:rsid w:val="002A13AE"/>
    <w:rsid w:val="002A14D0"/>
    <w:rsid w:val="002A1566"/>
    <w:rsid w:val="002A168E"/>
    <w:rsid w:val="002A1854"/>
    <w:rsid w:val="002A18CF"/>
    <w:rsid w:val="002A1927"/>
    <w:rsid w:val="002A1BD9"/>
    <w:rsid w:val="002A1D5A"/>
    <w:rsid w:val="002A21BF"/>
    <w:rsid w:val="002A230B"/>
    <w:rsid w:val="002A253D"/>
    <w:rsid w:val="002A28A0"/>
    <w:rsid w:val="002A2B28"/>
    <w:rsid w:val="002A31CE"/>
    <w:rsid w:val="002A32C0"/>
    <w:rsid w:val="002A3379"/>
    <w:rsid w:val="002A3387"/>
    <w:rsid w:val="002A354F"/>
    <w:rsid w:val="002A451C"/>
    <w:rsid w:val="002A45D1"/>
    <w:rsid w:val="002A46ED"/>
    <w:rsid w:val="002A52F3"/>
    <w:rsid w:val="002A53A5"/>
    <w:rsid w:val="002A5519"/>
    <w:rsid w:val="002A59C2"/>
    <w:rsid w:val="002A5B6C"/>
    <w:rsid w:val="002A5C46"/>
    <w:rsid w:val="002A5EE0"/>
    <w:rsid w:val="002A5FCC"/>
    <w:rsid w:val="002A611F"/>
    <w:rsid w:val="002A62D6"/>
    <w:rsid w:val="002A639E"/>
    <w:rsid w:val="002A648C"/>
    <w:rsid w:val="002A68FC"/>
    <w:rsid w:val="002A6C5B"/>
    <w:rsid w:val="002A6C90"/>
    <w:rsid w:val="002A6C91"/>
    <w:rsid w:val="002A6E99"/>
    <w:rsid w:val="002A6EF9"/>
    <w:rsid w:val="002A712F"/>
    <w:rsid w:val="002A7281"/>
    <w:rsid w:val="002A7296"/>
    <w:rsid w:val="002A7BAA"/>
    <w:rsid w:val="002A7EC1"/>
    <w:rsid w:val="002B0041"/>
    <w:rsid w:val="002B00AA"/>
    <w:rsid w:val="002B033A"/>
    <w:rsid w:val="002B0368"/>
    <w:rsid w:val="002B03B0"/>
    <w:rsid w:val="002B03D6"/>
    <w:rsid w:val="002B05A4"/>
    <w:rsid w:val="002B060B"/>
    <w:rsid w:val="002B061C"/>
    <w:rsid w:val="002B0895"/>
    <w:rsid w:val="002B0B99"/>
    <w:rsid w:val="002B0DD5"/>
    <w:rsid w:val="002B10D3"/>
    <w:rsid w:val="002B128D"/>
    <w:rsid w:val="002B1508"/>
    <w:rsid w:val="002B15E9"/>
    <w:rsid w:val="002B1B23"/>
    <w:rsid w:val="002B1C8A"/>
    <w:rsid w:val="002B2118"/>
    <w:rsid w:val="002B2516"/>
    <w:rsid w:val="002B2540"/>
    <w:rsid w:val="002B2608"/>
    <w:rsid w:val="002B2749"/>
    <w:rsid w:val="002B2751"/>
    <w:rsid w:val="002B2980"/>
    <w:rsid w:val="002B31FC"/>
    <w:rsid w:val="002B3669"/>
    <w:rsid w:val="002B3A8F"/>
    <w:rsid w:val="002B3C48"/>
    <w:rsid w:val="002B4639"/>
    <w:rsid w:val="002B47CC"/>
    <w:rsid w:val="002B48A5"/>
    <w:rsid w:val="002B4990"/>
    <w:rsid w:val="002B4A1F"/>
    <w:rsid w:val="002B4B14"/>
    <w:rsid w:val="002B4B49"/>
    <w:rsid w:val="002B4D60"/>
    <w:rsid w:val="002B5154"/>
    <w:rsid w:val="002B530C"/>
    <w:rsid w:val="002B5331"/>
    <w:rsid w:val="002B564B"/>
    <w:rsid w:val="002B58F9"/>
    <w:rsid w:val="002B596A"/>
    <w:rsid w:val="002B5B31"/>
    <w:rsid w:val="002B5CC5"/>
    <w:rsid w:val="002B631E"/>
    <w:rsid w:val="002B662D"/>
    <w:rsid w:val="002B68E2"/>
    <w:rsid w:val="002B6906"/>
    <w:rsid w:val="002B6928"/>
    <w:rsid w:val="002B69E4"/>
    <w:rsid w:val="002B6A23"/>
    <w:rsid w:val="002B7147"/>
    <w:rsid w:val="002B7249"/>
    <w:rsid w:val="002B76EA"/>
    <w:rsid w:val="002B7722"/>
    <w:rsid w:val="002B79BC"/>
    <w:rsid w:val="002B7B6C"/>
    <w:rsid w:val="002B7E52"/>
    <w:rsid w:val="002C0346"/>
    <w:rsid w:val="002C05FD"/>
    <w:rsid w:val="002C0642"/>
    <w:rsid w:val="002C06C7"/>
    <w:rsid w:val="002C088A"/>
    <w:rsid w:val="002C0946"/>
    <w:rsid w:val="002C0A66"/>
    <w:rsid w:val="002C0DAA"/>
    <w:rsid w:val="002C0E51"/>
    <w:rsid w:val="002C0FA4"/>
    <w:rsid w:val="002C1111"/>
    <w:rsid w:val="002C11A6"/>
    <w:rsid w:val="002C1323"/>
    <w:rsid w:val="002C160A"/>
    <w:rsid w:val="002C18AB"/>
    <w:rsid w:val="002C1A28"/>
    <w:rsid w:val="002C1AE7"/>
    <w:rsid w:val="002C1E43"/>
    <w:rsid w:val="002C215F"/>
    <w:rsid w:val="002C2900"/>
    <w:rsid w:val="002C2DAB"/>
    <w:rsid w:val="002C2EA9"/>
    <w:rsid w:val="002C359A"/>
    <w:rsid w:val="002C369E"/>
    <w:rsid w:val="002C36B9"/>
    <w:rsid w:val="002C3992"/>
    <w:rsid w:val="002C3E8C"/>
    <w:rsid w:val="002C3F3F"/>
    <w:rsid w:val="002C4376"/>
    <w:rsid w:val="002C443C"/>
    <w:rsid w:val="002C4B21"/>
    <w:rsid w:val="002C4D39"/>
    <w:rsid w:val="002C58DE"/>
    <w:rsid w:val="002C5BDD"/>
    <w:rsid w:val="002C630C"/>
    <w:rsid w:val="002C6DDD"/>
    <w:rsid w:val="002C6ECD"/>
    <w:rsid w:val="002C6FDF"/>
    <w:rsid w:val="002C718E"/>
    <w:rsid w:val="002C739D"/>
    <w:rsid w:val="002C74B3"/>
    <w:rsid w:val="002C7507"/>
    <w:rsid w:val="002C7E1E"/>
    <w:rsid w:val="002D01FD"/>
    <w:rsid w:val="002D036E"/>
    <w:rsid w:val="002D057E"/>
    <w:rsid w:val="002D09E7"/>
    <w:rsid w:val="002D0C0C"/>
    <w:rsid w:val="002D112A"/>
    <w:rsid w:val="002D13BE"/>
    <w:rsid w:val="002D185C"/>
    <w:rsid w:val="002D1A97"/>
    <w:rsid w:val="002D1B68"/>
    <w:rsid w:val="002D23EA"/>
    <w:rsid w:val="002D2635"/>
    <w:rsid w:val="002D27FE"/>
    <w:rsid w:val="002D2A0E"/>
    <w:rsid w:val="002D2D78"/>
    <w:rsid w:val="002D2E60"/>
    <w:rsid w:val="002D319C"/>
    <w:rsid w:val="002D3268"/>
    <w:rsid w:val="002D34F5"/>
    <w:rsid w:val="002D3720"/>
    <w:rsid w:val="002D37EB"/>
    <w:rsid w:val="002D3999"/>
    <w:rsid w:val="002D3C3C"/>
    <w:rsid w:val="002D4377"/>
    <w:rsid w:val="002D45AC"/>
    <w:rsid w:val="002D49A8"/>
    <w:rsid w:val="002D4C7F"/>
    <w:rsid w:val="002D4EA7"/>
    <w:rsid w:val="002D4F0A"/>
    <w:rsid w:val="002D58D1"/>
    <w:rsid w:val="002D5CE1"/>
    <w:rsid w:val="002D5D67"/>
    <w:rsid w:val="002D6552"/>
    <w:rsid w:val="002D65F3"/>
    <w:rsid w:val="002D692B"/>
    <w:rsid w:val="002D69E4"/>
    <w:rsid w:val="002D6DD2"/>
    <w:rsid w:val="002D6F45"/>
    <w:rsid w:val="002D7638"/>
    <w:rsid w:val="002D781D"/>
    <w:rsid w:val="002D7B87"/>
    <w:rsid w:val="002D7EC1"/>
    <w:rsid w:val="002E01E5"/>
    <w:rsid w:val="002E0345"/>
    <w:rsid w:val="002E05EF"/>
    <w:rsid w:val="002E0724"/>
    <w:rsid w:val="002E1591"/>
    <w:rsid w:val="002E1771"/>
    <w:rsid w:val="002E1A46"/>
    <w:rsid w:val="002E1B1D"/>
    <w:rsid w:val="002E1F24"/>
    <w:rsid w:val="002E1F97"/>
    <w:rsid w:val="002E20CF"/>
    <w:rsid w:val="002E29DF"/>
    <w:rsid w:val="002E2D90"/>
    <w:rsid w:val="002E2E32"/>
    <w:rsid w:val="002E338F"/>
    <w:rsid w:val="002E33B9"/>
    <w:rsid w:val="002E3D97"/>
    <w:rsid w:val="002E3E60"/>
    <w:rsid w:val="002E4087"/>
    <w:rsid w:val="002E40D9"/>
    <w:rsid w:val="002E41C0"/>
    <w:rsid w:val="002E41C8"/>
    <w:rsid w:val="002E43EA"/>
    <w:rsid w:val="002E44FE"/>
    <w:rsid w:val="002E4865"/>
    <w:rsid w:val="002E4888"/>
    <w:rsid w:val="002E4C24"/>
    <w:rsid w:val="002E4E49"/>
    <w:rsid w:val="002E5515"/>
    <w:rsid w:val="002E58F3"/>
    <w:rsid w:val="002E5D41"/>
    <w:rsid w:val="002E677E"/>
    <w:rsid w:val="002E69DE"/>
    <w:rsid w:val="002E69F7"/>
    <w:rsid w:val="002E6BFD"/>
    <w:rsid w:val="002E74B8"/>
    <w:rsid w:val="002E768C"/>
    <w:rsid w:val="002E7FB1"/>
    <w:rsid w:val="002F07A6"/>
    <w:rsid w:val="002F095F"/>
    <w:rsid w:val="002F0D27"/>
    <w:rsid w:val="002F0D51"/>
    <w:rsid w:val="002F0DC8"/>
    <w:rsid w:val="002F1063"/>
    <w:rsid w:val="002F1391"/>
    <w:rsid w:val="002F1509"/>
    <w:rsid w:val="002F15DA"/>
    <w:rsid w:val="002F1639"/>
    <w:rsid w:val="002F16D1"/>
    <w:rsid w:val="002F1846"/>
    <w:rsid w:val="002F1AA4"/>
    <w:rsid w:val="002F1DC4"/>
    <w:rsid w:val="002F1E35"/>
    <w:rsid w:val="002F1E85"/>
    <w:rsid w:val="002F20FC"/>
    <w:rsid w:val="002F21A6"/>
    <w:rsid w:val="002F2383"/>
    <w:rsid w:val="002F2531"/>
    <w:rsid w:val="002F253C"/>
    <w:rsid w:val="002F2916"/>
    <w:rsid w:val="002F344F"/>
    <w:rsid w:val="002F349D"/>
    <w:rsid w:val="002F354C"/>
    <w:rsid w:val="002F3755"/>
    <w:rsid w:val="002F38FD"/>
    <w:rsid w:val="002F3A78"/>
    <w:rsid w:val="002F3B1F"/>
    <w:rsid w:val="002F3BEF"/>
    <w:rsid w:val="002F3E0E"/>
    <w:rsid w:val="002F414C"/>
    <w:rsid w:val="002F42C6"/>
    <w:rsid w:val="002F44FD"/>
    <w:rsid w:val="002F45AD"/>
    <w:rsid w:val="002F4620"/>
    <w:rsid w:val="002F47C9"/>
    <w:rsid w:val="002F5035"/>
    <w:rsid w:val="002F5227"/>
    <w:rsid w:val="002F52BA"/>
    <w:rsid w:val="002F5439"/>
    <w:rsid w:val="002F54CF"/>
    <w:rsid w:val="002F556D"/>
    <w:rsid w:val="002F5B22"/>
    <w:rsid w:val="002F60C3"/>
    <w:rsid w:val="002F66D8"/>
    <w:rsid w:val="002F6AF6"/>
    <w:rsid w:val="002F6FB3"/>
    <w:rsid w:val="002F729D"/>
    <w:rsid w:val="002F78FD"/>
    <w:rsid w:val="002F7C9D"/>
    <w:rsid w:val="002F7E93"/>
    <w:rsid w:val="002F7F85"/>
    <w:rsid w:val="003001CC"/>
    <w:rsid w:val="0030045D"/>
    <w:rsid w:val="00300B49"/>
    <w:rsid w:val="00300BE1"/>
    <w:rsid w:val="00300C43"/>
    <w:rsid w:val="00300C7F"/>
    <w:rsid w:val="00300CC6"/>
    <w:rsid w:val="00300E4A"/>
    <w:rsid w:val="00301495"/>
    <w:rsid w:val="003016F1"/>
    <w:rsid w:val="003018E0"/>
    <w:rsid w:val="00301B96"/>
    <w:rsid w:val="00301F5C"/>
    <w:rsid w:val="0030204D"/>
    <w:rsid w:val="00302118"/>
    <w:rsid w:val="0030255A"/>
    <w:rsid w:val="0030265A"/>
    <w:rsid w:val="00302776"/>
    <w:rsid w:val="0030280E"/>
    <w:rsid w:val="00302A4A"/>
    <w:rsid w:val="00302C95"/>
    <w:rsid w:val="00302DCD"/>
    <w:rsid w:val="003031B7"/>
    <w:rsid w:val="003034FB"/>
    <w:rsid w:val="003035D9"/>
    <w:rsid w:val="0030378C"/>
    <w:rsid w:val="0030379D"/>
    <w:rsid w:val="003037C6"/>
    <w:rsid w:val="003038D1"/>
    <w:rsid w:val="00303CC2"/>
    <w:rsid w:val="00303E46"/>
    <w:rsid w:val="00304249"/>
    <w:rsid w:val="0030437E"/>
    <w:rsid w:val="003043A1"/>
    <w:rsid w:val="00304505"/>
    <w:rsid w:val="003046D5"/>
    <w:rsid w:val="00304878"/>
    <w:rsid w:val="00304C07"/>
    <w:rsid w:val="00304FCA"/>
    <w:rsid w:val="00305041"/>
    <w:rsid w:val="0030541B"/>
    <w:rsid w:val="0030556C"/>
    <w:rsid w:val="0030563F"/>
    <w:rsid w:val="003056C1"/>
    <w:rsid w:val="00305C5B"/>
    <w:rsid w:val="00305C8E"/>
    <w:rsid w:val="00305D6D"/>
    <w:rsid w:val="003062ED"/>
    <w:rsid w:val="00306614"/>
    <w:rsid w:val="0030695B"/>
    <w:rsid w:val="00306BD2"/>
    <w:rsid w:val="00306C0B"/>
    <w:rsid w:val="00306DCD"/>
    <w:rsid w:val="00307744"/>
    <w:rsid w:val="00307908"/>
    <w:rsid w:val="00307B6E"/>
    <w:rsid w:val="00307DBF"/>
    <w:rsid w:val="00307DFE"/>
    <w:rsid w:val="003105E6"/>
    <w:rsid w:val="00310A49"/>
    <w:rsid w:val="00310C05"/>
    <w:rsid w:val="00310CA8"/>
    <w:rsid w:val="00310CBE"/>
    <w:rsid w:val="00310EC4"/>
    <w:rsid w:val="00310FD8"/>
    <w:rsid w:val="0031112A"/>
    <w:rsid w:val="003113AF"/>
    <w:rsid w:val="00311634"/>
    <w:rsid w:val="00311814"/>
    <w:rsid w:val="00311956"/>
    <w:rsid w:val="00311A11"/>
    <w:rsid w:val="00311A13"/>
    <w:rsid w:val="00311CB1"/>
    <w:rsid w:val="00312050"/>
    <w:rsid w:val="00312104"/>
    <w:rsid w:val="00312172"/>
    <w:rsid w:val="003126DE"/>
    <w:rsid w:val="003127EB"/>
    <w:rsid w:val="00312BA7"/>
    <w:rsid w:val="00312BAC"/>
    <w:rsid w:val="00312CCC"/>
    <w:rsid w:val="00312DC5"/>
    <w:rsid w:val="00312F0A"/>
    <w:rsid w:val="00312F5B"/>
    <w:rsid w:val="003136E3"/>
    <w:rsid w:val="0031396E"/>
    <w:rsid w:val="00313C22"/>
    <w:rsid w:val="00313CD4"/>
    <w:rsid w:val="00313D7F"/>
    <w:rsid w:val="00313E79"/>
    <w:rsid w:val="00313F0A"/>
    <w:rsid w:val="0031431B"/>
    <w:rsid w:val="0031447D"/>
    <w:rsid w:val="0031454F"/>
    <w:rsid w:val="0031459D"/>
    <w:rsid w:val="00314A2F"/>
    <w:rsid w:val="00314AEB"/>
    <w:rsid w:val="003151D0"/>
    <w:rsid w:val="003151D2"/>
    <w:rsid w:val="00315209"/>
    <w:rsid w:val="0031524D"/>
    <w:rsid w:val="0031559D"/>
    <w:rsid w:val="0031568E"/>
    <w:rsid w:val="00315906"/>
    <w:rsid w:val="00315C09"/>
    <w:rsid w:val="00315C12"/>
    <w:rsid w:val="00315E01"/>
    <w:rsid w:val="00315E78"/>
    <w:rsid w:val="003161D3"/>
    <w:rsid w:val="003162D1"/>
    <w:rsid w:val="003164CA"/>
    <w:rsid w:val="0031697C"/>
    <w:rsid w:val="00316E48"/>
    <w:rsid w:val="00317233"/>
    <w:rsid w:val="0031724D"/>
    <w:rsid w:val="003177C1"/>
    <w:rsid w:val="0031783C"/>
    <w:rsid w:val="00317ABD"/>
    <w:rsid w:val="00317B14"/>
    <w:rsid w:val="00317F6C"/>
    <w:rsid w:val="00320364"/>
    <w:rsid w:val="00320C40"/>
    <w:rsid w:val="00320CAA"/>
    <w:rsid w:val="00320D44"/>
    <w:rsid w:val="00320E7A"/>
    <w:rsid w:val="003210EA"/>
    <w:rsid w:val="00321485"/>
    <w:rsid w:val="003215B0"/>
    <w:rsid w:val="0032163B"/>
    <w:rsid w:val="003219D0"/>
    <w:rsid w:val="00321CEE"/>
    <w:rsid w:val="0032220E"/>
    <w:rsid w:val="00322318"/>
    <w:rsid w:val="003224A1"/>
    <w:rsid w:val="003228C0"/>
    <w:rsid w:val="003229D3"/>
    <w:rsid w:val="00322B69"/>
    <w:rsid w:val="00322DD7"/>
    <w:rsid w:val="00323213"/>
    <w:rsid w:val="00323562"/>
    <w:rsid w:val="00323A32"/>
    <w:rsid w:val="00323B3D"/>
    <w:rsid w:val="00323B86"/>
    <w:rsid w:val="00323BE1"/>
    <w:rsid w:val="00324046"/>
    <w:rsid w:val="003240FC"/>
    <w:rsid w:val="00324275"/>
    <w:rsid w:val="00324488"/>
    <w:rsid w:val="0032453E"/>
    <w:rsid w:val="0032470A"/>
    <w:rsid w:val="00324FC3"/>
    <w:rsid w:val="0032549B"/>
    <w:rsid w:val="003255A4"/>
    <w:rsid w:val="003256FA"/>
    <w:rsid w:val="00325934"/>
    <w:rsid w:val="00325C3B"/>
    <w:rsid w:val="00325D2B"/>
    <w:rsid w:val="00325D57"/>
    <w:rsid w:val="00325EA4"/>
    <w:rsid w:val="00325ED5"/>
    <w:rsid w:val="00325FF8"/>
    <w:rsid w:val="00326730"/>
    <w:rsid w:val="003268D0"/>
    <w:rsid w:val="003269E8"/>
    <w:rsid w:val="00326BFE"/>
    <w:rsid w:val="00326F95"/>
    <w:rsid w:val="00327945"/>
    <w:rsid w:val="00327959"/>
    <w:rsid w:val="00327AE0"/>
    <w:rsid w:val="00327C67"/>
    <w:rsid w:val="00327EF9"/>
    <w:rsid w:val="0033005D"/>
    <w:rsid w:val="0033021D"/>
    <w:rsid w:val="00330253"/>
    <w:rsid w:val="00330472"/>
    <w:rsid w:val="00330B07"/>
    <w:rsid w:val="00330F46"/>
    <w:rsid w:val="00331128"/>
    <w:rsid w:val="00331389"/>
    <w:rsid w:val="0033159B"/>
    <w:rsid w:val="003315B3"/>
    <w:rsid w:val="00331616"/>
    <w:rsid w:val="0033168E"/>
    <w:rsid w:val="0033191E"/>
    <w:rsid w:val="00331A90"/>
    <w:rsid w:val="00331D76"/>
    <w:rsid w:val="003320CA"/>
    <w:rsid w:val="00332365"/>
    <w:rsid w:val="00332562"/>
    <w:rsid w:val="0033257B"/>
    <w:rsid w:val="003328A0"/>
    <w:rsid w:val="00332BA3"/>
    <w:rsid w:val="00332CC4"/>
    <w:rsid w:val="00333173"/>
    <w:rsid w:val="00333192"/>
    <w:rsid w:val="0033319E"/>
    <w:rsid w:val="003333FE"/>
    <w:rsid w:val="0033371D"/>
    <w:rsid w:val="00333FA4"/>
    <w:rsid w:val="003346AF"/>
    <w:rsid w:val="0033487C"/>
    <w:rsid w:val="003348C2"/>
    <w:rsid w:val="003349B0"/>
    <w:rsid w:val="003349E2"/>
    <w:rsid w:val="00334C7B"/>
    <w:rsid w:val="00334D2E"/>
    <w:rsid w:val="00334E9A"/>
    <w:rsid w:val="00335005"/>
    <w:rsid w:val="0033535A"/>
    <w:rsid w:val="0033567F"/>
    <w:rsid w:val="003359B3"/>
    <w:rsid w:val="00335B0B"/>
    <w:rsid w:val="00335F73"/>
    <w:rsid w:val="0033609E"/>
    <w:rsid w:val="0033659E"/>
    <w:rsid w:val="00336CE8"/>
    <w:rsid w:val="003370D8"/>
    <w:rsid w:val="00337220"/>
    <w:rsid w:val="0033769F"/>
    <w:rsid w:val="003378C4"/>
    <w:rsid w:val="0033792A"/>
    <w:rsid w:val="003379F4"/>
    <w:rsid w:val="00337E51"/>
    <w:rsid w:val="00337F2E"/>
    <w:rsid w:val="00337F82"/>
    <w:rsid w:val="00337F9B"/>
    <w:rsid w:val="00337FE6"/>
    <w:rsid w:val="0034013B"/>
    <w:rsid w:val="003403E0"/>
    <w:rsid w:val="00340679"/>
    <w:rsid w:val="00340716"/>
    <w:rsid w:val="003407B3"/>
    <w:rsid w:val="003408F1"/>
    <w:rsid w:val="00340AA8"/>
    <w:rsid w:val="00340B69"/>
    <w:rsid w:val="00340CBD"/>
    <w:rsid w:val="00340E95"/>
    <w:rsid w:val="00341168"/>
    <w:rsid w:val="0034131F"/>
    <w:rsid w:val="00341545"/>
    <w:rsid w:val="00341695"/>
    <w:rsid w:val="00341A5A"/>
    <w:rsid w:val="00341C1A"/>
    <w:rsid w:val="00341DC6"/>
    <w:rsid w:val="00341DF7"/>
    <w:rsid w:val="003421B6"/>
    <w:rsid w:val="003422DA"/>
    <w:rsid w:val="003425F4"/>
    <w:rsid w:val="00342771"/>
    <w:rsid w:val="003429D5"/>
    <w:rsid w:val="00342F6A"/>
    <w:rsid w:val="003431D5"/>
    <w:rsid w:val="00343261"/>
    <w:rsid w:val="003432F6"/>
    <w:rsid w:val="00343475"/>
    <w:rsid w:val="00343672"/>
    <w:rsid w:val="003436E5"/>
    <w:rsid w:val="00343C5A"/>
    <w:rsid w:val="00343CBF"/>
    <w:rsid w:val="00343DA4"/>
    <w:rsid w:val="00343DB2"/>
    <w:rsid w:val="00344092"/>
    <w:rsid w:val="003441B8"/>
    <w:rsid w:val="00344249"/>
    <w:rsid w:val="0034436D"/>
    <w:rsid w:val="0034442E"/>
    <w:rsid w:val="0034471C"/>
    <w:rsid w:val="0034476A"/>
    <w:rsid w:val="0034476E"/>
    <w:rsid w:val="00344F35"/>
    <w:rsid w:val="00344F88"/>
    <w:rsid w:val="00345025"/>
    <w:rsid w:val="00345173"/>
    <w:rsid w:val="00345252"/>
    <w:rsid w:val="00345386"/>
    <w:rsid w:val="0034553E"/>
    <w:rsid w:val="0034557A"/>
    <w:rsid w:val="003455AA"/>
    <w:rsid w:val="003455BC"/>
    <w:rsid w:val="00345918"/>
    <w:rsid w:val="00345AC3"/>
    <w:rsid w:val="00345B64"/>
    <w:rsid w:val="00345B97"/>
    <w:rsid w:val="00346155"/>
    <w:rsid w:val="003461D1"/>
    <w:rsid w:val="00346409"/>
    <w:rsid w:val="00346BE7"/>
    <w:rsid w:val="00346E39"/>
    <w:rsid w:val="00346EA5"/>
    <w:rsid w:val="00347080"/>
    <w:rsid w:val="0034711A"/>
    <w:rsid w:val="0034714C"/>
    <w:rsid w:val="003472DF"/>
    <w:rsid w:val="0034733C"/>
    <w:rsid w:val="00347679"/>
    <w:rsid w:val="0034768D"/>
    <w:rsid w:val="00347800"/>
    <w:rsid w:val="003478F0"/>
    <w:rsid w:val="00347A0C"/>
    <w:rsid w:val="00347BF3"/>
    <w:rsid w:val="00347C4E"/>
    <w:rsid w:val="00347DB1"/>
    <w:rsid w:val="00347EFB"/>
    <w:rsid w:val="00350053"/>
    <w:rsid w:val="003501BE"/>
    <w:rsid w:val="0035024E"/>
    <w:rsid w:val="003508B2"/>
    <w:rsid w:val="003508BB"/>
    <w:rsid w:val="0035091F"/>
    <w:rsid w:val="00350AE7"/>
    <w:rsid w:val="0035182C"/>
    <w:rsid w:val="00351868"/>
    <w:rsid w:val="0035188E"/>
    <w:rsid w:val="003518E8"/>
    <w:rsid w:val="00351A79"/>
    <w:rsid w:val="00351C05"/>
    <w:rsid w:val="00351C24"/>
    <w:rsid w:val="00351C6D"/>
    <w:rsid w:val="003520D3"/>
    <w:rsid w:val="00352452"/>
    <w:rsid w:val="00352488"/>
    <w:rsid w:val="00352643"/>
    <w:rsid w:val="00352930"/>
    <w:rsid w:val="00352AD7"/>
    <w:rsid w:val="00352DB1"/>
    <w:rsid w:val="00353074"/>
    <w:rsid w:val="00353370"/>
    <w:rsid w:val="003533D4"/>
    <w:rsid w:val="00353733"/>
    <w:rsid w:val="003541A3"/>
    <w:rsid w:val="003544E4"/>
    <w:rsid w:val="003545B3"/>
    <w:rsid w:val="00354EFF"/>
    <w:rsid w:val="0035510A"/>
    <w:rsid w:val="00355237"/>
    <w:rsid w:val="00355292"/>
    <w:rsid w:val="003553A3"/>
    <w:rsid w:val="00355747"/>
    <w:rsid w:val="003558F9"/>
    <w:rsid w:val="00355C19"/>
    <w:rsid w:val="00355CCA"/>
    <w:rsid w:val="00355ECD"/>
    <w:rsid w:val="0035604A"/>
    <w:rsid w:val="00356289"/>
    <w:rsid w:val="003562A7"/>
    <w:rsid w:val="003563BA"/>
    <w:rsid w:val="0035693E"/>
    <w:rsid w:val="00357088"/>
    <w:rsid w:val="0035723E"/>
    <w:rsid w:val="003572AB"/>
    <w:rsid w:val="003572BC"/>
    <w:rsid w:val="003576C3"/>
    <w:rsid w:val="0035785C"/>
    <w:rsid w:val="00357A7B"/>
    <w:rsid w:val="00357DA9"/>
    <w:rsid w:val="00357E33"/>
    <w:rsid w:val="00360156"/>
    <w:rsid w:val="003601B4"/>
    <w:rsid w:val="00360B13"/>
    <w:rsid w:val="00360E30"/>
    <w:rsid w:val="00360F35"/>
    <w:rsid w:val="00361145"/>
    <w:rsid w:val="00361750"/>
    <w:rsid w:val="00361FE2"/>
    <w:rsid w:val="00362530"/>
    <w:rsid w:val="003625CC"/>
    <w:rsid w:val="00362ED1"/>
    <w:rsid w:val="003634D4"/>
    <w:rsid w:val="003634FF"/>
    <w:rsid w:val="00363746"/>
    <w:rsid w:val="0036374E"/>
    <w:rsid w:val="003637BB"/>
    <w:rsid w:val="00363B54"/>
    <w:rsid w:val="00363CCD"/>
    <w:rsid w:val="00363E75"/>
    <w:rsid w:val="00363EA3"/>
    <w:rsid w:val="00363FE3"/>
    <w:rsid w:val="00364108"/>
    <w:rsid w:val="00364125"/>
    <w:rsid w:val="003641BC"/>
    <w:rsid w:val="0036458F"/>
    <w:rsid w:val="00364594"/>
    <w:rsid w:val="003652F4"/>
    <w:rsid w:val="0036568A"/>
    <w:rsid w:val="003656AC"/>
    <w:rsid w:val="003657F0"/>
    <w:rsid w:val="00365B31"/>
    <w:rsid w:val="00365E36"/>
    <w:rsid w:val="00365EA0"/>
    <w:rsid w:val="00365FC3"/>
    <w:rsid w:val="00366158"/>
    <w:rsid w:val="00366354"/>
    <w:rsid w:val="00366614"/>
    <w:rsid w:val="0036668D"/>
    <w:rsid w:val="0036672C"/>
    <w:rsid w:val="003669B1"/>
    <w:rsid w:val="00366A6D"/>
    <w:rsid w:val="003672FE"/>
    <w:rsid w:val="003674F3"/>
    <w:rsid w:val="00367645"/>
    <w:rsid w:val="00367C8F"/>
    <w:rsid w:val="003700D2"/>
    <w:rsid w:val="00370535"/>
    <w:rsid w:val="00370625"/>
    <w:rsid w:val="00370711"/>
    <w:rsid w:val="003709D8"/>
    <w:rsid w:val="00370A1C"/>
    <w:rsid w:val="00370C62"/>
    <w:rsid w:val="00370E30"/>
    <w:rsid w:val="00370EAA"/>
    <w:rsid w:val="00370ED7"/>
    <w:rsid w:val="00371051"/>
    <w:rsid w:val="00371283"/>
    <w:rsid w:val="003712F3"/>
    <w:rsid w:val="00371497"/>
    <w:rsid w:val="003717C8"/>
    <w:rsid w:val="00372245"/>
    <w:rsid w:val="00372493"/>
    <w:rsid w:val="00372780"/>
    <w:rsid w:val="00372896"/>
    <w:rsid w:val="0037293F"/>
    <w:rsid w:val="00372EC4"/>
    <w:rsid w:val="00373120"/>
    <w:rsid w:val="0037321E"/>
    <w:rsid w:val="003733D1"/>
    <w:rsid w:val="00373535"/>
    <w:rsid w:val="00373AD7"/>
    <w:rsid w:val="00373B4B"/>
    <w:rsid w:val="00373D7D"/>
    <w:rsid w:val="00374042"/>
    <w:rsid w:val="00374294"/>
    <w:rsid w:val="003742E3"/>
    <w:rsid w:val="0037472E"/>
    <w:rsid w:val="00374C2F"/>
    <w:rsid w:val="00374C93"/>
    <w:rsid w:val="00375423"/>
    <w:rsid w:val="003755EB"/>
    <w:rsid w:val="00375771"/>
    <w:rsid w:val="0037580E"/>
    <w:rsid w:val="003758B2"/>
    <w:rsid w:val="00375B68"/>
    <w:rsid w:val="00375DF1"/>
    <w:rsid w:val="00375E4A"/>
    <w:rsid w:val="00375FDD"/>
    <w:rsid w:val="00375FF5"/>
    <w:rsid w:val="00376227"/>
    <w:rsid w:val="00376916"/>
    <w:rsid w:val="00376A79"/>
    <w:rsid w:val="00376A96"/>
    <w:rsid w:val="00376B66"/>
    <w:rsid w:val="00376C02"/>
    <w:rsid w:val="00377798"/>
    <w:rsid w:val="0038002B"/>
    <w:rsid w:val="0038016F"/>
    <w:rsid w:val="003805F5"/>
    <w:rsid w:val="00380A6A"/>
    <w:rsid w:val="0038133B"/>
    <w:rsid w:val="003814B5"/>
    <w:rsid w:val="00381586"/>
    <w:rsid w:val="00381615"/>
    <w:rsid w:val="0038166C"/>
    <w:rsid w:val="0038190A"/>
    <w:rsid w:val="00381918"/>
    <w:rsid w:val="00381AE0"/>
    <w:rsid w:val="00381DE5"/>
    <w:rsid w:val="00381FEB"/>
    <w:rsid w:val="00382160"/>
    <w:rsid w:val="0038251A"/>
    <w:rsid w:val="00382B0F"/>
    <w:rsid w:val="00382B9D"/>
    <w:rsid w:val="00382C56"/>
    <w:rsid w:val="00382D51"/>
    <w:rsid w:val="00383152"/>
    <w:rsid w:val="0038317D"/>
    <w:rsid w:val="00383204"/>
    <w:rsid w:val="00383412"/>
    <w:rsid w:val="003834BC"/>
    <w:rsid w:val="003835B7"/>
    <w:rsid w:val="00383677"/>
    <w:rsid w:val="003837A1"/>
    <w:rsid w:val="00383933"/>
    <w:rsid w:val="00383BE5"/>
    <w:rsid w:val="00383F12"/>
    <w:rsid w:val="00383FF1"/>
    <w:rsid w:val="003849AE"/>
    <w:rsid w:val="00384CC1"/>
    <w:rsid w:val="00385038"/>
    <w:rsid w:val="00385418"/>
    <w:rsid w:val="00385491"/>
    <w:rsid w:val="003854FE"/>
    <w:rsid w:val="00385605"/>
    <w:rsid w:val="00385675"/>
    <w:rsid w:val="0038592D"/>
    <w:rsid w:val="00385CE1"/>
    <w:rsid w:val="00385E92"/>
    <w:rsid w:val="00385F48"/>
    <w:rsid w:val="00385FCD"/>
    <w:rsid w:val="003861CC"/>
    <w:rsid w:val="00386253"/>
    <w:rsid w:val="003866E6"/>
    <w:rsid w:val="00386753"/>
    <w:rsid w:val="00386765"/>
    <w:rsid w:val="0038693D"/>
    <w:rsid w:val="00386A69"/>
    <w:rsid w:val="00386C72"/>
    <w:rsid w:val="00386F07"/>
    <w:rsid w:val="00387E17"/>
    <w:rsid w:val="00387E75"/>
    <w:rsid w:val="00387FE1"/>
    <w:rsid w:val="003903B5"/>
    <w:rsid w:val="00390444"/>
    <w:rsid w:val="00390C09"/>
    <w:rsid w:val="00390CBC"/>
    <w:rsid w:val="003910D3"/>
    <w:rsid w:val="00391123"/>
    <w:rsid w:val="003911D1"/>
    <w:rsid w:val="0039184B"/>
    <w:rsid w:val="00391AEE"/>
    <w:rsid w:val="00391B34"/>
    <w:rsid w:val="00391D48"/>
    <w:rsid w:val="00391E12"/>
    <w:rsid w:val="00391E87"/>
    <w:rsid w:val="00391F46"/>
    <w:rsid w:val="0039209F"/>
    <w:rsid w:val="00392167"/>
    <w:rsid w:val="003921A0"/>
    <w:rsid w:val="0039278A"/>
    <w:rsid w:val="00392FB7"/>
    <w:rsid w:val="00392FBB"/>
    <w:rsid w:val="00392FC8"/>
    <w:rsid w:val="003931D8"/>
    <w:rsid w:val="003932CE"/>
    <w:rsid w:val="003933B7"/>
    <w:rsid w:val="0039359F"/>
    <w:rsid w:val="003935E8"/>
    <w:rsid w:val="00393E36"/>
    <w:rsid w:val="00393EE0"/>
    <w:rsid w:val="0039466D"/>
    <w:rsid w:val="00394D86"/>
    <w:rsid w:val="00395131"/>
    <w:rsid w:val="00395373"/>
    <w:rsid w:val="00395452"/>
    <w:rsid w:val="00395660"/>
    <w:rsid w:val="0039578D"/>
    <w:rsid w:val="003962B1"/>
    <w:rsid w:val="003965A0"/>
    <w:rsid w:val="003967DD"/>
    <w:rsid w:val="00396A30"/>
    <w:rsid w:val="00396CC4"/>
    <w:rsid w:val="00396D21"/>
    <w:rsid w:val="00396DB2"/>
    <w:rsid w:val="0039706C"/>
    <w:rsid w:val="003971EA"/>
    <w:rsid w:val="0039755D"/>
    <w:rsid w:val="00397A01"/>
    <w:rsid w:val="00397C65"/>
    <w:rsid w:val="003A012C"/>
    <w:rsid w:val="003A031C"/>
    <w:rsid w:val="003A051A"/>
    <w:rsid w:val="003A0625"/>
    <w:rsid w:val="003A0905"/>
    <w:rsid w:val="003A09E3"/>
    <w:rsid w:val="003A0A55"/>
    <w:rsid w:val="003A0CF1"/>
    <w:rsid w:val="003A0CF5"/>
    <w:rsid w:val="003A0D7C"/>
    <w:rsid w:val="003A0D95"/>
    <w:rsid w:val="003A0F47"/>
    <w:rsid w:val="003A1037"/>
    <w:rsid w:val="003A10AF"/>
    <w:rsid w:val="003A1229"/>
    <w:rsid w:val="003A1404"/>
    <w:rsid w:val="003A150E"/>
    <w:rsid w:val="003A1600"/>
    <w:rsid w:val="003A169B"/>
    <w:rsid w:val="003A16A3"/>
    <w:rsid w:val="003A1A23"/>
    <w:rsid w:val="003A1E90"/>
    <w:rsid w:val="003A2391"/>
    <w:rsid w:val="003A24AE"/>
    <w:rsid w:val="003A2929"/>
    <w:rsid w:val="003A2985"/>
    <w:rsid w:val="003A3094"/>
    <w:rsid w:val="003A31CF"/>
    <w:rsid w:val="003A36F1"/>
    <w:rsid w:val="003A3721"/>
    <w:rsid w:val="003A375D"/>
    <w:rsid w:val="003A38D5"/>
    <w:rsid w:val="003A3950"/>
    <w:rsid w:val="003A39F7"/>
    <w:rsid w:val="003A3AA5"/>
    <w:rsid w:val="003A3F48"/>
    <w:rsid w:val="003A4226"/>
    <w:rsid w:val="003A42E5"/>
    <w:rsid w:val="003A4382"/>
    <w:rsid w:val="003A44BB"/>
    <w:rsid w:val="003A4595"/>
    <w:rsid w:val="003A4658"/>
    <w:rsid w:val="003A4710"/>
    <w:rsid w:val="003A4B51"/>
    <w:rsid w:val="003A4C4C"/>
    <w:rsid w:val="003A4EF6"/>
    <w:rsid w:val="003A4F4B"/>
    <w:rsid w:val="003A51EB"/>
    <w:rsid w:val="003A5207"/>
    <w:rsid w:val="003A52F3"/>
    <w:rsid w:val="003A5D38"/>
    <w:rsid w:val="003A5F0E"/>
    <w:rsid w:val="003A5F7C"/>
    <w:rsid w:val="003A612B"/>
    <w:rsid w:val="003A61A5"/>
    <w:rsid w:val="003A67DC"/>
    <w:rsid w:val="003A6EAC"/>
    <w:rsid w:val="003A7156"/>
    <w:rsid w:val="003A717F"/>
    <w:rsid w:val="003A725E"/>
    <w:rsid w:val="003A72CC"/>
    <w:rsid w:val="003A7562"/>
    <w:rsid w:val="003A75B3"/>
    <w:rsid w:val="003A77A2"/>
    <w:rsid w:val="003A7CEF"/>
    <w:rsid w:val="003B061D"/>
    <w:rsid w:val="003B071B"/>
    <w:rsid w:val="003B095B"/>
    <w:rsid w:val="003B0AAD"/>
    <w:rsid w:val="003B0C35"/>
    <w:rsid w:val="003B0EF4"/>
    <w:rsid w:val="003B0FC2"/>
    <w:rsid w:val="003B1355"/>
    <w:rsid w:val="003B13A3"/>
    <w:rsid w:val="003B1530"/>
    <w:rsid w:val="003B1785"/>
    <w:rsid w:val="003B20F4"/>
    <w:rsid w:val="003B2123"/>
    <w:rsid w:val="003B2521"/>
    <w:rsid w:val="003B258B"/>
    <w:rsid w:val="003B2847"/>
    <w:rsid w:val="003B2BE8"/>
    <w:rsid w:val="003B2C2F"/>
    <w:rsid w:val="003B2F97"/>
    <w:rsid w:val="003B3290"/>
    <w:rsid w:val="003B3514"/>
    <w:rsid w:val="003B390F"/>
    <w:rsid w:val="003B3973"/>
    <w:rsid w:val="003B39E8"/>
    <w:rsid w:val="003B3EB1"/>
    <w:rsid w:val="003B41E4"/>
    <w:rsid w:val="003B43F4"/>
    <w:rsid w:val="003B45A2"/>
    <w:rsid w:val="003B4831"/>
    <w:rsid w:val="003B4B16"/>
    <w:rsid w:val="003B4C8F"/>
    <w:rsid w:val="003B4C99"/>
    <w:rsid w:val="003B4CF1"/>
    <w:rsid w:val="003B5427"/>
    <w:rsid w:val="003B594A"/>
    <w:rsid w:val="003B5B96"/>
    <w:rsid w:val="003B5FC5"/>
    <w:rsid w:val="003B6154"/>
    <w:rsid w:val="003B62CA"/>
    <w:rsid w:val="003B6E74"/>
    <w:rsid w:val="003B729E"/>
    <w:rsid w:val="003B750D"/>
    <w:rsid w:val="003B7A1A"/>
    <w:rsid w:val="003B7C95"/>
    <w:rsid w:val="003B7EE6"/>
    <w:rsid w:val="003B7FE3"/>
    <w:rsid w:val="003C0388"/>
    <w:rsid w:val="003C0395"/>
    <w:rsid w:val="003C063D"/>
    <w:rsid w:val="003C0939"/>
    <w:rsid w:val="003C0CC3"/>
    <w:rsid w:val="003C0F25"/>
    <w:rsid w:val="003C11E4"/>
    <w:rsid w:val="003C1407"/>
    <w:rsid w:val="003C17AB"/>
    <w:rsid w:val="003C1AA5"/>
    <w:rsid w:val="003C1EC0"/>
    <w:rsid w:val="003C2766"/>
    <w:rsid w:val="003C28C7"/>
    <w:rsid w:val="003C2A0E"/>
    <w:rsid w:val="003C2B02"/>
    <w:rsid w:val="003C2F5D"/>
    <w:rsid w:val="003C31FA"/>
    <w:rsid w:val="003C3581"/>
    <w:rsid w:val="003C376C"/>
    <w:rsid w:val="003C3B7B"/>
    <w:rsid w:val="003C3C36"/>
    <w:rsid w:val="003C4441"/>
    <w:rsid w:val="003C479C"/>
    <w:rsid w:val="003C4A56"/>
    <w:rsid w:val="003C4B5D"/>
    <w:rsid w:val="003C4FE9"/>
    <w:rsid w:val="003C5013"/>
    <w:rsid w:val="003C5187"/>
    <w:rsid w:val="003C52FC"/>
    <w:rsid w:val="003C53A2"/>
    <w:rsid w:val="003C58F6"/>
    <w:rsid w:val="003C603F"/>
    <w:rsid w:val="003C6428"/>
    <w:rsid w:val="003C648F"/>
    <w:rsid w:val="003C64F7"/>
    <w:rsid w:val="003C6832"/>
    <w:rsid w:val="003C6A55"/>
    <w:rsid w:val="003C6C2D"/>
    <w:rsid w:val="003C6D3F"/>
    <w:rsid w:val="003C6E5C"/>
    <w:rsid w:val="003C7107"/>
    <w:rsid w:val="003C791D"/>
    <w:rsid w:val="003C7A76"/>
    <w:rsid w:val="003C7DC2"/>
    <w:rsid w:val="003C7E83"/>
    <w:rsid w:val="003D003D"/>
    <w:rsid w:val="003D071C"/>
    <w:rsid w:val="003D0C52"/>
    <w:rsid w:val="003D10A6"/>
    <w:rsid w:val="003D1118"/>
    <w:rsid w:val="003D113C"/>
    <w:rsid w:val="003D1C18"/>
    <w:rsid w:val="003D1DD2"/>
    <w:rsid w:val="003D20A4"/>
    <w:rsid w:val="003D20DC"/>
    <w:rsid w:val="003D24EB"/>
    <w:rsid w:val="003D294E"/>
    <w:rsid w:val="003D2DE6"/>
    <w:rsid w:val="003D2EA5"/>
    <w:rsid w:val="003D2F75"/>
    <w:rsid w:val="003D3039"/>
    <w:rsid w:val="003D31F4"/>
    <w:rsid w:val="003D3506"/>
    <w:rsid w:val="003D3651"/>
    <w:rsid w:val="003D377C"/>
    <w:rsid w:val="003D39CB"/>
    <w:rsid w:val="003D3B43"/>
    <w:rsid w:val="003D406A"/>
    <w:rsid w:val="003D43CB"/>
    <w:rsid w:val="003D47DE"/>
    <w:rsid w:val="003D4DC7"/>
    <w:rsid w:val="003D512A"/>
    <w:rsid w:val="003D522C"/>
    <w:rsid w:val="003D5318"/>
    <w:rsid w:val="003D53B1"/>
    <w:rsid w:val="003D54F0"/>
    <w:rsid w:val="003D57CB"/>
    <w:rsid w:val="003D57E9"/>
    <w:rsid w:val="003D5A45"/>
    <w:rsid w:val="003D5B9F"/>
    <w:rsid w:val="003D5F80"/>
    <w:rsid w:val="003D6003"/>
    <w:rsid w:val="003D6012"/>
    <w:rsid w:val="003D6555"/>
    <w:rsid w:val="003D6971"/>
    <w:rsid w:val="003D69C3"/>
    <w:rsid w:val="003D6C9E"/>
    <w:rsid w:val="003D6CB0"/>
    <w:rsid w:val="003D70E8"/>
    <w:rsid w:val="003D70F8"/>
    <w:rsid w:val="003D7362"/>
    <w:rsid w:val="003D7533"/>
    <w:rsid w:val="003D75C2"/>
    <w:rsid w:val="003D767E"/>
    <w:rsid w:val="003D7A78"/>
    <w:rsid w:val="003D7E5E"/>
    <w:rsid w:val="003D7E79"/>
    <w:rsid w:val="003E02FF"/>
    <w:rsid w:val="003E03E3"/>
    <w:rsid w:val="003E040E"/>
    <w:rsid w:val="003E05A1"/>
    <w:rsid w:val="003E0903"/>
    <w:rsid w:val="003E091B"/>
    <w:rsid w:val="003E09C4"/>
    <w:rsid w:val="003E0B65"/>
    <w:rsid w:val="003E0CD1"/>
    <w:rsid w:val="003E11EB"/>
    <w:rsid w:val="003E150D"/>
    <w:rsid w:val="003E153F"/>
    <w:rsid w:val="003E161E"/>
    <w:rsid w:val="003E165E"/>
    <w:rsid w:val="003E1996"/>
    <w:rsid w:val="003E1A0E"/>
    <w:rsid w:val="003E1BE6"/>
    <w:rsid w:val="003E1C6E"/>
    <w:rsid w:val="003E1DC3"/>
    <w:rsid w:val="003E1DF4"/>
    <w:rsid w:val="003E2184"/>
    <w:rsid w:val="003E2639"/>
    <w:rsid w:val="003E2A4A"/>
    <w:rsid w:val="003E2BB1"/>
    <w:rsid w:val="003E318D"/>
    <w:rsid w:val="003E31E1"/>
    <w:rsid w:val="003E3882"/>
    <w:rsid w:val="003E3A9C"/>
    <w:rsid w:val="003E3CFF"/>
    <w:rsid w:val="003E40A6"/>
    <w:rsid w:val="003E44F8"/>
    <w:rsid w:val="003E460A"/>
    <w:rsid w:val="003E48F5"/>
    <w:rsid w:val="003E4CAD"/>
    <w:rsid w:val="003E4E79"/>
    <w:rsid w:val="003E4F14"/>
    <w:rsid w:val="003E4F8F"/>
    <w:rsid w:val="003E501F"/>
    <w:rsid w:val="003E5148"/>
    <w:rsid w:val="003E524C"/>
    <w:rsid w:val="003E53FF"/>
    <w:rsid w:val="003E5583"/>
    <w:rsid w:val="003E55C7"/>
    <w:rsid w:val="003E5632"/>
    <w:rsid w:val="003E565C"/>
    <w:rsid w:val="003E56D4"/>
    <w:rsid w:val="003E56E2"/>
    <w:rsid w:val="003E577B"/>
    <w:rsid w:val="003E5C43"/>
    <w:rsid w:val="003E661C"/>
    <w:rsid w:val="003E6B7D"/>
    <w:rsid w:val="003E6B85"/>
    <w:rsid w:val="003E6CE4"/>
    <w:rsid w:val="003E6D72"/>
    <w:rsid w:val="003E6E42"/>
    <w:rsid w:val="003E7002"/>
    <w:rsid w:val="003E712D"/>
    <w:rsid w:val="003E7476"/>
    <w:rsid w:val="003E7757"/>
    <w:rsid w:val="003E78AD"/>
    <w:rsid w:val="003E78B8"/>
    <w:rsid w:val="003E7DC0"/>
    <w:rsid w:val="003F01BA"/>
    <w:rsid w:val="003F0DD5"/>
    <w:rsid w:val="003F0E05"/>
    <w:rsid w:val="003F1038"/>
    <w:rsid w:val="003F1224"/>
    <w:rsid w:val="003F1682"/>
    <w:rsid w:val="003F1976"/>
    <w:rsid w:val="003F1B41"/>
    <w:rsid w:val="003F1B71"/>
    <w:rsid w:val="003F21ED"/>
    <w:rsid w:val="003F2400"/>
    <w:rsid w:val="003F2561"/>
    <w:rsid w:val="003F28F5"/>
    <w:rsid w:val="003F2A65"/>
    <w:rsid w:val="003F2C80"/>
    <w:rsid w:val="003F2DCD"/>
    <w:rsid w:val="003F3375"/>
    <w:rsid w:val="003F3425"/>
    <w:rsid w:val="003F36AE"/>
    <w:rsid w:val="003F37CE"/>
    <w:rsid w:val="003F3BBA"/>
    <w:rsid w:val="003F3E21"/>
    <w:rsid w:val="003F4037"/>
    <w:rsid w:val="003F4390"/>
    <w:rsid w:val="003F4630"/>
    <w:rsid w:val="003F4ABB"/>
    <w:rsid w:val="003F4D2E"/>
    <w:rsid w:val="003F5025"/>
    <w:rsid w:val="003F5065"/>
    <w:rsid w:val="003F5105"/>
    <w:rsid w:val="003F515B"/>
    <w:rsid w:val="003F52FC"/>
    <w:rsid w:val="003F53F8"/>
    <w:rsid w:val="003F58CF"/>
    <w:rsid w:val="003F5AD2"/>
    <w:rsid w:val="003F5AEA"/>
    <w:rsid w:val="003F5AF6"/>
    <w:rsid w:val="003F5BD8"/>
    <w:rsid w:val="003F5C10"/>
    <w:rsid w:val="003F5F46"/>
    <w:rsid w:val="003F6111"/>
    <w:rsid w:val="003F621B"/>
    <w:rsid w:val="003F6828"/>
    <w:rsid w:val="003F68EB"/>
    <w:rsid w:val="003F6C9C"/>
    <w:rsid w:val="003F6DAD"/>
    <w:rsid w:val="003F6E44"/>
    <w:rsid w:val="003F7678"/>
    <w:rsid w:val="003F778B"/>
    <w:rsid w:val="003F783D"/>
    <w:rsid w:val="003F7D14"/>
    <w:rsid w:val="003F7FBF"/>
    <w:rsid w:val="00400403"/>
    <w:rsid w:val="00400493"/>
    <w:rsid w:val="00400905"/>
    <w:rsid w:val="00400C87"/>
    <w:rsid w:val="00401071"/>
    <w:rsid w:val="00401138"/>
    <w:rsid w:val="004014FA"/>
    <w:rsid w:val="004015FF"/>
    <w:rsid w:val="00401762"/>
    <w:rsid w:val="00401C0D"/>
    <w:rsid w:val="00401CB3"/>
    <w:rsid w:val="00401D76"/>
    <w:rsid w:val="00401E8C"/>
    <w:rsid w:val="0040220F"/>
    <w:rsid w:val="00402414"/>
    <w:rsid w:val="0040255E"/>
    <w:rsid w:val="00402AC5"/>
    <w:rsid w:val="00402CE9"/>
    <w:rsid w:val="0040366C"/>
    <w:rsid w:val="00403809"/>
    <w:rsid w:val="00403CB6"/>
    <w:rsid w:val="004040FA"/>
    <w:rsid w:val="00404309"/>
    <w:rsid w:val="004044F6"/>
    <w:rsid w:val="0040456F"/>
    <w:rsid w:val="004045F4"/>
    <w:rsid w:val="00404A41"/>
    <w:rsid w:val="00404D5C"/>
    <w:rsid w:val="00405031"/>
    <w:rsid w:val="0040518C"/>
    <w:rsid w:val="0040573E"/>
    <w:rsid w:val="00405BA6"/>
    <w:rsid w:val="00405C40"/>
    <w:rsid w:val="0040650C"/>
    <w:rsid w:val="004067CB"/>
    <w:rsid w:val="00406B6C"/>
    <w:rsid w:val="00406D58"/>
    <w:rsid w:val="00406ED7"/>
    <w:rsid w:val="004072A0"/>
    <w:rsid w:val="00407499"/>
    <w:rsid w:val="0040779F"/>
    <w:rsid w:val="00407AE6"/>
    <w:rsid w:val="00407CE4"/>
    <w:rsid w:val="00407DAB"/>
    <w:rsid w:val="00407E13"/>
    <w:rsid w:val="0041051D"/>
    <w:rsid w:val="004105C8"/>
    <w:rsid w:val="00410701"/>
    <w:rsid w:val="00410B7F"/>
    <w:rsid w:val="0041186C"/>
    <w:rsid w:val="00411BCF"/>
    <w:rsid w:val="00411BDC"/>
    <w:rsid w:val="00411DAE"/>
    <w:rsid w:val="00411E07"/>
    <w:rsid w:val="00411E72"/>
    <w:rsid w:val="00411F2D"/>
    <w:rsid w:val="0041201E"/>
    <w:rsid w:val="004123D8"/>
    <w:rsid w:val="00412439"/>
    <w:rsid w:val="00412519"/>
    <w:rsid w:val="0041256A"/>
    <w:rsid w:val="004125F9"/>
    <w:rsid w:val="00412638"/>
    <w:rsid w:val="004127F7"/>
    <w:rsid w:val="00412A8F"/>
    <w:rsid w:val="00412B6C"/>
    <w:rsid w:val="00412D2B"/>
    <w:rsid w:val="00412EBE"/>
    <w:rsid w:val="004131D9"/>
    <w:rsid w:val="00413390"/>
    <w:rsid w:val="004135A1"/>
    <w:rsid w:val="00413626"/>
    <w:rsid w:val="004139AE"/>
    <w:rsid w:val="004139CD"/>
    <w:rsid w:val="00413A18"/>
    <w:rsid w:val="00413DEC"/>
    <w:rsid w:val="00413E6C"/>
    <w:rsid w:val="0041469C"/>
    <w:rsid w:val="00414952"/>
    <w:rsid w:val="00414AAB"/>
    <w:rsid w:val="00414C79"/>
    <w:rsid w:val="00414C82"/>
    <w:rsid w:val="00414E50"/>
    <w:rsid w:val="00414E9C"/>
    <w:rsid w:val="00414F4A"/>
    <w:rsid w:val="00415051"/>
    <w:rsid w:val="004152C5"/>
    <w:rsid w:val="0041545E"/>
    <w:rsid w:val="004154DD"/>
    <w:rsid w:val="004156F2"/>
    <w:rsid w:val="00415707"/>
    <w:rsid w:val="004157F8"/>
    <w:rsid w:val="00415FD1"/>
    <w:rsid w:val="004161CD"/>
    <w:rsid w:val="00416B02"/>
    <w:rsid w:val="00416DA1"/>
    <w:rsid w:val="00416E64"/>
    <w:rsid w:val="00416EB8"/>
    <w:rsid w:val="00417113"/>
    <w:rsid w:val="004176ED"/>
    <w:rsid w:val="0041776E"/>
    <w:rsid w:val="004177B2"/>
    <w:rsid w:val="00417B88"/>
    <w:rsid w:val="00417B8B"/>
    <w:rsid w:val="00417C4C"/>
    <w:rsid w:val="00417CEC"/>
    <w:rsid w:val="0042004A"/>
    <w:rsid w:val="0042006C"/>
    <w:rsid w:val="00420132"/>
    <w:rsid w:val="00420260"/>
    <w:rsid w:val="00420708"/>
    <w:rsid w:val="0042082B"/>
    <w:rsid w:val="00420A68"/>
    <w:rsid w:val="00420AF0"/>
    <w:rsid w:val="00420AF4"/>
    <w:rsid w:val="00420CA4"/>
    <w:rsid w:val="00420E87"/>
    <w:rsid w:val="00420EB1"/>
    <w:rsid w:val="00421067"/>
    <w:rsid w:val="004210EA"/>
    <w:rsid w:val="00421173"/>
    <w:rsid w:val="00421232"/>
    <w:rsid w:val="004216B8"/>
    <w:rsid w:val="00421985"/>
    <w:rsid w:val="00421B4D"/>
    <w:rsid w:val="00421D96"/>
    <w:rsid w:val="00421DA8"/>
    <w:rsid w:val="00422977"/>
    <w:rsid w:val="004229BB"/>
    <w:rsid w:val="00422A94"/>
    <w:rsid w:val="00422CCC"/>
    <w:rsid w:val="00423207"/>
    <w:rsid w:val="00423306"/>
    <w:rsid w:val="00423C1C"/>
    <w:rsid w:val="00423C68"/>
    <w:rsid w:val="00423EAA"/>
    <w:rsid w:val="004247DF"/>
    <w:rsid w:val="004248DF"/>
    <w:rsid w:val="00424B31"/>
    <w:rsid w:val="00424C3F"/>
    <w:rsid w:val="00424DEE"/>
    <w:rsid w:val="00424EB0"/>
    <w:rsid w:val="00424F1F"/>
    <w:rsid w:val="0042510A"/>
    <w:rsid w:val="00425184"/>
    <w:rsid w:val="00425235"/>
    <w:rsid w:val="00425317"/>
    <w:rsid w:val="0042571A"/>
    <w:rsid w:val="00425B82"/>
    <w:rsid w:val="00425D8A"/>
    <w:rsid w:val="00425F1E"/>
    <w:rsid w:val="00426553"/>
    <w:rsid w:val="004265EB"/>
    <w:rsid w:val="0042694A"/>
    <w:rsid w:val="0042698C"/>
    <w:rsid w:val="00426BC0"/>
    <w:rsid w:val="00426DB2"/>
    <w:rsid w:val="00426DD5"/>
    <w:rsid w:val="00427611"/>
    <w:rsid w:val="00427783"/>
    <w:rsid w:val="00427BC4"/>
    <w:rsid w:val="0043059A"/>
    <w:rsid w:val="0043086F"/>
    <w:rsid w:val="00430B6D"/>
    <w:rsid w:val="0043112E"/>
    <w:rsid w:val="00431882"/>
    <w:rsid w:val="004319DF"/>
    <w:rsid w:val="00431A6B"/>
    <w:rsid w:val="00431B1B"/>
    <w:rsid w:val="004325EE"/>
    <w:rsid w:val="0043263A"/>
    <w:rsid w:val="004328A1"/>
    <w:rsid w:val="004329E7"/>
    <w:rsid w:val="00432A6F"/>
    <w:rsid w:val="00432AAB"/>
    <w:rsid w:val="00432B65"/>
    <w:rsid w:val="00432C35"/>
    <w:rsid w:val="00432D92"/>
    <w:rsid w:val="00432FC7"/>
    <w:rsid w:val="00433109"/>
    <w:rsid w:val="0043347C"/>
    <w:rsid w:val="00433B75"/>
    <w:rsid w:val="00433D83"/>
    <w:rsid w:val="00433DDE"/>
    <w:rsid w:val="00433F57"/>
    <w:rsid w:val="0043407E"/>
    <w:rsid w:val="0043425F"/>
    <w:rsid w:val="00434560"/>
    <w:rsid w:val="004346D2"/>
    <w:rsid w:val="00434799"/>
    <w:rsid w:val="0043490C"/>
    <w:rsid w:val="00434C73"/>
    <w:rsid w:val="00434D02"/>
    <w:rsid w:val="00434D5E"/>
    <w:rsid w:val="00435418"/>
    <w:rsid w:val="00435687"/>
    <w:rsid w:val="00435A7E"/>
    <w:rsid w:val="00435AFC"/>
    <w:rsid w:val="00436071"/>
    <w:rsid w:val="004360A4"/>
    <w:rsid w:val="004360F8"/>
    <w:rsid w:val="004361A1"/>
    <w:rsid w:val="00436711"/>
    <w:rsid w:val="00436829"/>
    <w:rsid w:val="004368CA"/>
    <w:rsid w:val="00436A5A"/>
    <w:rsid w:val="00436AE9"/>
    <w:rsid w:val="00436C1F"/>
    <w:rsid w:val="00436D22"/>
    <w:rsid w:val="00436F02"/>
    <w:rsid w:val="0043713B"/>
    <w:rsid w:val="004374CA"/>
    <w:rsid w:val="00437C87"/>
    <w:rsid w:val="00437D7C"/>
    <w:rsid w:val="00440276"/>
    <w:rsid w:val="004403D6"/>
    <w:rsid w:val="0044047F"/>
    <w:rsid w:val="0044086B"/>
    <w:rsid w:val="004408AA"/>
    <w:rsid w:val="00440A93"/>
    <w:rsid w:val="00440F6D"/>
    <w:rsid w:val="0044100E"/>
    <w:rsid w:val="0044106B"/>
    <w:rsid w:val="004411F0"/>
    <w:rsid w:val="004414A2"/>
    <w:rsid w:val="004419E2"/>
    <w:rsid w:val="00441C2A"/>
    <w:rsid w:val="00441F2A"/>
    <w:rsid w:val="00441FF4"/>
    <w:rsid w:val="004424B5"/>
    <w:rsid w:val="004424C2"/>
    <w:rsid w:val="00442E44"/>
    <w:rsid w:val="00442F42"/>
    <w:rsid w:val="004432D1"/>
    <w:rsid w:val="0044358B"/>
    <w:rsid w:val="00443663"/>
    <w:rsid w:val="0044384D"/>
    <w:rsid w:val="0044414E"/>
    <w:rsid w:val="0044438D"/>
    <w:rsid w:val="004445A9"/>
    <w:rsid w:val="004446C8"/>
    <w:rsid w:val="00444768"/>
    <w:rsid w:val="004448F7"/>
    <w:rsid w:val="00444B6B"/>
    <w:rsid w:val="00444B74"/>
    <w:rsid w:val="00444BFA"/>
    <w:rsid w:val="004453DC"/>
    <w:rsid w:val="0044553C"/>
    <w:rsid w:val="004455C3"/>
    <w:rsid w:val="004455D0"/>
    <w:rsid w:val="0044572A"/>
    <w:rsid w:val="0044579D"/>
    <w:rsid w:val="004458DB"/>
    <w:rsid w:val="00445B27"/>
    <w:rsid w:val="00445B63"/>
    <w:rsid w:val="00445F3A"/>
    <w:rsid w:val="0044602D"/>
    <w:rsid w:val="00446992"/>
    <w:rsid w:val="00446CF5"/>
    <w:rsid w:val="0044716A"/>
    <w:rsid w:val="0044741E"/>
    <w:rsid w:val="004474C6"/>
    <w:rsid w:val="0044790E"/>
    <w:rsid w:val="004479F3"/>
    <w:rsid w:val="00447A4B"/>
    <w:rsid w:val="00447B39"/>
    <w:rsid w:val="00447C6E"/>
    <w:rsid w:val="0045076B"/>
    <w:rsid w:val="00450A55"/>
    <w:rsid w:val="00450C22"/>
    <w:rsid w:val="00450F8A"/>
    <w:rsid w:val="0045112C"/>
    <w:rsid w:val="0045135A"/>
    <w:rsid w:val="004513CD"/>
    <w:rsid w:val="0045141A"/>
    <w:rsid w:val="004515A9"/>
    <w:rsid w:val="004518EB"/>
    <w:rsid w:val="0045193B"/>
    <w:rsid w:val="00451D80"/>
    <w:rsid w:val="0045215E"/>
    <w:rsid w:val="004523CC"/>
    <w:rsid w:val="00452FBC"/>
    <w:rsid w:val="00453245"/>
    <w:rsid w:val="004537C5"/>
    <w:rsid w:val="00453897"/>
    <w:rsid w:val="0045389F"/>
    <w:rsid w:val="00453926"/>
    <w:rsid w:val="00453BCB"/>
    <w:rsid w:val="00453E8A"/>
    <w:rsid w:val="00454088"/>
    <w:rsid w:val="00454420"/>
    <w:rsid w:val="0045467C"/>
    <w:rsid w:val="00454930"/>
    <w:rsid w:val="00454D85"/>
    <w:rsid w:val="00455030"/>
    <w:rsid w:val="0045532E"/>
    <w:rsid w:val="00455921"/>
    <w:rsid w:val="004559B9"/>
    <w:rsid w:val="00455AF6"/>
    <w:rsid w:val="00455EC2"/>
    <w:rsid w:val="00455F14"/>
    <w:rsid w:val="0045615A"/>
    <w:rsid w:val="004561B3"/>
    <w:rsid w:val="004562CE"/>
    <w:rsid w:val="00456977"/>
    <w:rsid w:val="00456CE6"/>
    <w:rsid w:val="00456D89"/>
    <w:rsid w:val="00456FB4"/>
    <w:rsid w:val="00456FB5"/>
    <w:rsid w:val="00457110"/>
    <w:rsid w:val="0045737D"/>
    <w:rsid w:val="004575FD"/>
    <w:rsid w:val="00457B0A"/>
    <w:rsid w:val="00457CB5"/>
    <w:rsid w:val="00457CD9"/>
    <w:rsid w:val="004600CF"/>
    <w:rsid w:val="00460105"/>
    <w:rsid w:val="00460683"/>
    <w:rsid w:val="0046077E"/>
    <w:rsid w:val="00460878"/>
    <w:rsid w:val="0046094A"/>
    <w:rsid w:val="0046099E"/>
    <w:rsid w:val="00460B90"/>
    <w:rsid w:val="00460F2B"/>
    <w:rsid w:val="004610A6"/>
    <w:rsid w:val="004610A9"/>
    <w:rsid w:val="004619CB"/>
    <w:rsid w:val="004620E9"/>
    <w:rsid w:val="004620FA"/>
    <w:rsid w:val="0046221D"/>
    <w:rsid w:val="004622C3"/>
    <w:rsid w:val="00462402"/>
    <w:rsid w:val="00462603"/>
    <w:rsid w:val="00462677"/>
    <w:rsid w:val="0046294A"/>
    <w:rsid w:val="0046296B"/>
    <w:rsid w:val="00462A13"/>
    <w:rsid w:val="00462BF5"/>
    <w:rsid w:val="00462C0F"/>
    <w:rsid w:val="00462F83"/>
    <w:rsid w:val="00463478"/>
    <w:rsid w:val="00463718"/>
    <w:rsid w:val="00463CA9"/>
    <w:rsid w:val="004641C8"/>
    <w:rsid w:val="00464485"/>
    <w:rsid w:val="00464CBE"/>
    <w:rsid w:val="00464CC2"/>
    <w:rsid w:val="00464DDC"/>
    <w:rsid w:val="00465680"/>
    <w:rsid w:val="004657B4"/>
    <w:rsid w:val="00465A2D"/>
    <w:rsid w:val="00465A6E"/>
    <w:rsid w:val="00465C32"/>
    <w:rsid w:val="00465D67"/>
    <w:rsid w:val="004660B4"/>
    <w:rsid w:val="004665C0"/>
    <w:rsid w:val="004667F2"/>
    <w:rsid w:val="00466B39"/>
    <w:rsid w:val="00466B58"/>
    <w:rsid w:val="00466D48"/>
    <w:rsid w:val="00467349"/>
    <w:rsid w:val="004673DC"/>
    <w:rsid w:val="004673F2"/>
    <w:rsid w:val="00467611"/>
    <w:rsid w:val="00467BE6"/>
    <w:rsid w:val="00467D64"/>
    <w:rsid w:val="00467DC0"/>
    <w:rsid w:val="00467E8A"/>
    <w:rsid w:val="00467F67"/>
    <w:rsid w:val="00470038"/>
    <w:rsid w:val="00470094"/>
    <w:rsid w:val="00470173"/>
    <w:rsid w:val="00470425"/>
    <w:rsid w:val="00470555"/>
    <w:rsid w:val="004705B1"/>
    <w:rsid w:val="0047066C"/>
    <w:rsid w:val="00470AC4"/>
    <w:rsid w:val="00470B72"/>
    <w:rsid w:val="00470BA9"/>
    <w:rsid w:val="00470F21"/>
    <w:rsid w:val="004713F2"/>
    <w:rsid w:val="00471868"/>
    <w:rsid w:val="004718E7"/>
    <w:rsid w:val="00471A1C"/>
    <w:rsid w:val="00471D26"/>
    <w:rsid w:val="00472418"/>
    <w:rsid w:val="00472578"/>
    <w:rsid w:val="0047283C"/>
    <w:rsid w:val="004728B1"/>
    <w:rsid w:val="00472D74"/>
    <w:rsid w:val="00472E60"/>
    <w:rsid w:val="00473198"/>
    <w:rsid w:val="00473208"/>
    <w:rsid w:val="004735F0"/>
    <w:rsid w:val="00473A79"/>
    <w:rsid w:val="00473F18"/>
    <w:rsid w:val="00474484"/>
    <w:rsid w:val="00474EE3"/>
    <w:rsid w:val="004753DE"/>
    <w:rsid w:val="004754A5"/>
    <w:rsid w:val="004757E6"/>
    <w:rsid w:val="00475D3A"/>
    <w:rsid w:val="00475E17"/>
    <w:rsid w:val="00475F4C"/>
    <w:rsid w:val="00475F8F"/>
    <w:rsid w:val="00476228"/>
    <w:rsid w:val="00476437"/>
    <w:rsid w:val="0047664A"/>
    <w:rsid w:val="0047678C"/>
    <w:rsid w:val="00476F06"/>
    <w:rsid w:val="0047720B"/>
    <w:rsid w:val="004772D1"/>
    <w:rsid w:val="00477392"/>
    <w:rsid w:val="004773D2"/>
    <w:rsid w:val="00477607"/>
    <w:rsid w:val="00477876"/>
    <w:rsid w:val="0047788C"/>
    <w:rsid w:val="00477B58"/>
    <w:rsid w:val="00477CF6"/>
    <w:rsid w:val="00477D20"/>
    <w:rsid w:val="00477F97"/>
    <w:rsid w:val="00480018"/>
    <w:rsid w:val="0048003C"/>
    <w:rsid w:val="0048047C"/>
    <w:rsid w:val="0048048D"/>
    <w:rsid w:val="004804DB"/>
    <w:rsid w:val="0048054F"/>
    <w:rsid w:val="00480641"/>
    <w:rsid w:val="004808D3"/>
    <w:rsid w:val="00480FFF"/>
    <w:rsid w:val="004812DA"/>
    <w:rsid w:val="004817D8"/>
    <w:rsid w:val="004819F6"/>
    <w:rsid w:val="00481CAC"/>
    <w:rsid w:val="00481F04"/>
    <w:rsid w:val="00482425"/>
    <w:rsid w:val="00482443"/>
    <w:rsid w:val="0048255F"/>
    <w:rsid w:val="00482A9D"/>
    <w:rsid w:val="00482AF0"/>
    <w:rsid w:val="00482E9A"/>
    <w:rsid w:val="00482F28"/>
    <w:rsid w:val="00483243"/>
    <w:rsid w:val="00483589"/>
    <w:rsid w:val="004837EC"/>
    <w:rsid w:val="00483A37"/>
    <w:rsid w:val="00483BC1"/>
    <w:rsid w:val="00483EB4"/>
    <w:rsid w:val="00483ECC"/>
    <w:rsid w:val="00484099"/>
    <w:rsid w:val="004840DF"/>
    <w:rsid w:val="004844F7"/>
    <w:rsid w:val="00484511"/>
    <w:rsid w:val="00484645"/>
    <w:rsid w:val="004846B6"/>
    <w:rsid w:val="00484828"/>
    <w:rsid w:val="00484C91"/>
    <w:rsid w:val="00484F23"/>
    <w:rsid w:val="004850D8"/>
    <w:rsid w:val="00485121"/>
    <w:rsid w:val="004851AE"/>
    <w:rsid w:val="0048544C"/>
    <w:rsid w:val="00485BAD"/>
    <w:rsid w:val="00485DFC"/>
    <w:rsid w:val="00485E90"/>
    <w:rsid w:val="00485FD4"/>
    <w:rsid w:val="00486327"/>
    <w:rsid w:val="004866DC"/>
    <w:rsid w:val="00486921"/>
    <w:rsid w:val="00486A0C"/>
    <w:rsid w:val="00486B40"/>
    <w:rsid w:val="004872A3"/>
    <w:rsid w:val="00487546"/>
    <w:rsid w:val="004876FC"/>
    <w:rsid w:val="00487762"/>
    <w:rsid w:val="00487BAE"/>
    <w:rsid w:val="00487E98"/>
    <w:rsid w:val="00490552"/>
    <w:rsid w:val="004907DA"/>
    <w:rsid w:val="004908A9"/>
    <w:rsid w:val="00490956"/>
    <w:rsid w:val="00490DD3"/>
    <w:rsid w:val="00490E85"/>
    <w:rsid w:val="0049166C"/>
    <w:rsid w:val="004918E8"/>
    <w:rsid w:val="00491C26"/>
    <w:rsid w:val="00491DAD"/>
    <w:rsid w:val="00491DE5"/>
    <w:rsid w:val="00492025"/>
    <w:rsid w:val="0049204F"/>
    <w:rsid w:val="004922C2"/>
    <w:rsid w:val="00492314"/>
    <w:rsid w:val="0049239B"/>
    <w:rsid w:val="00492831"/>
    <w:rsid w:val="00492A67"/>
    <w:rsid w:val="00492AB1"/>
    <w:rsid w:val="00492C8A"/>
    <w:rsid w:val="0049303A"/>
    <w:rsid w:val="004934E6"/>
    <w:rsid w:val="004935E1"/>
    <w:rsid w:val="004935F5"/>
    <w:rsid w:val="00493609"/>
    <w:rsid w:val="0049360E"/>
    <w:rsid w:val="00493681"/>
    <w:rsid w:val="0049369A"/>
    <w:rsid w:val="00493A41"/>
    <w:rsid w:val="00493BDF"/>
    <w:rsid w:val="00493C7E"/>
    <w:rsid w:val="004940E1"/>
    <w:rsid w:val="004942E3"/>
    <w:rsid w:val="00494363"/>
    <w:rsid w:val="00494400"/>
    <w:rsid w:val="004944F4"/>
    <w:rsid w:val="00494630"/>
    <w:rsid w:val="00494866"/>
    <w:rsid w:val="00494881"/>
    <w:rsid w:val="00494998"/>
    <w:rsid w:val="00494A59"/>
    <w:rsid w:val="00494A91"/>
    <w:rsid w:val="00494CD8"/>
    <w:rsid w:val="004950F9"/>
    <w:rsid w:val="00495423"/>
    <w:rsid w:val="0049560F"/>
    <w:rsid w:val="00495C37"/>
    <w:rsid w:val="00495C60"/>
    <w:rsid w:val="00495E7D"/>
    <w:rsid w:val="004960A3"/>
    <w:rsid w:val="004964D3"/>
    <w:rsid w:val="004965B8"/>
    <w:rsid w:val="00496846"/>
    <w:rsid w:val="00496D4A"/>
    <w:rsid w:val="00496E80"/>
    <w:rsid w:val="0049705E"/>
    <w:rsid w:val="004973BE"/>
    <w:rsid w:val="00497682"/>
    <w:rsid w:val="00497752"/>
    <w:rsid w:val="004977E3"/>
    <w:rsid w:val="00497987"/>
    <w:rsid w:val="00497D4A"/>
    <w:rsid w:val="00497F22"/>
    <w:rsid w:val="004A01A2"/>
    <w:rsid w:val="004A02A9"/>
    <w:rsid w:val="004A043A"/>
    <w:rsid w:val="004A05A7"/>
    <w:rsid w:val="004A092C"/>
    <w:rsid w:val="004A0C5B"/>
    <w:rsid w:val="004A0F52"/>
    <w:rsid w:val="004A146A"/>
    <w:rsid w:val="004A1B70"/>
    <w:rsid w:val="004A1BDA"/>
    <w:rsid w:val="004A215C"/>
    <w:rsid w:val="004A25C8"/>
    <w:rsid w:val="004A25C9"/>
    <w:rsid w:val="004A271B"/>
    <w:rsid w:val="004A27D0"/>
    <w:rsid w:val="004A2BA5"/>
    <w:rsid w:val="004A2C63"/>
    <w:rsid w:val="004A2E1C"/>
    <w:rsid w:val="004A300F"/>
    <w:rsid w:val="004A326E"/>
    <w:rsid w:val="004A3309"/>
    <w:rsid w:val="004A335B"/>
    <w:rsid w:val="004A3422"/>
    <w:rsid w:val="004A344A"/>
    <w:rsid w:val="004A3568"/>
    <w:rsid w:val="004A3B88"/>
    <w:rsid w:val="004A3C7D"/>
    <w:rsid w:val="004A3CDB"/>
    <w:rsid w:val="004A3E64"/>
    <w:rsid w:val="004A3EC4"/>
    <w:rsid w:val="004A415B"/>
    <w:rsid w:val="004A45F4"/>
    <w:rsid w:val="004A4CA5"/>
    <w:rsid w:val="004A4CCC"/>
    <w:rsid w:val="004A4D42"/>
    <w:rsid w:val="004A4F47"/>
    <w:rsid w:val="004A5032"/>
    <w:rsid w:val="004A512D"/>
    <w:rsid w:val="004A5296"/>
    <w:rsid w:val="004A5307"/>
    <w:rsid w:val="004A53D8"/>
    <w:rsid w:val="004A56C8"/>
    <w:rsid w:val="004A573A"/>
    <w:rsid w:val="004A595D"/>
    <w:rsid w:val="004A5DB8"/>
    <w:rsid w:val="004A5E4E"/>
    <w:rsid w:val="004A6323"/>
    <w:rsid w:val="004A6E2C"/>
    <w:rsid w:val="004A6F26"/>
    <w:rsid w:val="004A6FA7"/>
    <w:rsid w:val="004A6FDD"/>
    <w:rsid w:val="004A7008"/>
    <w:rsid w:val="004A7303"/>
    <w:rsid w:val="004A7329"/>
    <w:rsid w:val="004A778B"/>
    <w:rsid w:val="004A78DA"/>
    <w:rsid w:val="004A7B1B"/>
    <w:rsid w:val="004B002B"/>
    <w:rsid w:val="004B00B2"/>
    <w:rsid w:val="004B02E3"/>
    <w:rsid w:val="004B07CC"/>
    <w:rsid w:val="004B09A7"/>
    <w:rsid w:val="004B09CC"/>
    <w:rsid w:val="004B0A73"/>
    <w:rsid w:val="004B0AAC"/>
    <w:rsid w:val="004B0B56"/>
    <w:rsid w:val="004B0BCF"/>
    <w:rsid w:val="004B0F77"/>
    <w:rsid w:val="004B12F4"/>
    <w:rsid w:val="004B138D"/>
    <w:rsid w:val="004B180F"/>
    <w:rsid w:val="004B195E"/>
    <w:rsid w:val="004B1B78"/>
    <w:rsid w:val="004B2386"/>
    <w:rsid w:val="004B2424"/>
    <w:rsid w:val="004B24D5"/>
    <w:rsid w:val="004B2551"/>
    <w:rsid w:val="004B2749"/>
    <w:rsid w:val="004B296E"/>
    <w:rsid w:val="004B2A2A"/>
    <w:rsid w:val="004B2A7D"/>
    <w:rsid w:val="004B2AC0"/>
    <w:rsid w:val="004B2B5D"/>
    <w:rsid w:val="004B2DDF"/>
    <w:rsid w:val="004B2E15"/>
    <w:rsid w:val="004B2E30"/>
    <w:rsid w:val="004B3317"/>
    <w:rsid w:val="004B34A6"/>
    <w:rsid w:val="004B36A3"/>
    <w:rsid w:val="004B36D3"/>
    <w:rsid w:val="004B36F8"/>
    <w:rsid w:val="004B3948"/>
    <w:rsid w:val="004B3C15"/>
    <w:rsid w:val="004B3C3D"/>
    <w:rsid w:val="004B4556"/>
    <w:rsid w:val="004B4929"/>
    <w:rsid w:val="004B4EEF"/>
    <w:rsid w:val="004B4F54"/>
    <w:rsid w:val="004B4FDF"/>
    <w:rsid w:val="004B535F"/>
    <w:rsid w:val="004B5642"/>
    <w:rsid w:val="004B56CF"/>
    <w:rsid w:val="004B589A"/>
    <w:rsid w:val="004B59A4"/>
    <w:rsid w:val="004B5B02"/>
    <w:rsid w:val="004B5E20"/>
    <w:rsid w:val="004B5F52"/>
    <w:rsid w:val="004B6079"/>
    <w:rsid w:val="004B616F"/>
    <w:rsid w:val="004B637F"/>
    <w:rsid w:val="004B63F2"/>
    <w:rsid w:val="004B64CC"/>
    <w:rsid w:val="004B67B9"/>
    <w:rsid w:val="004B7210"/>
    <w:rsid w:val="004B7242"/>
    <w:rsid w:val="004B74F5"/>
    <w:rsid w:val="004B7ACD"/>
    <w:rsid w:val="004B7B28"/>
    <w:rsid w:val="004B7B31"/>
    <w:rsid w:val="004C01D4"/>
    <w:rsid w:val="004C02C5"/>
    <w:rsid w:val="004C064E"/>
    <w:rsid w:val="004C07AE"/>
    <w:rsid w:val="004C08BA"/>
    <w:rsid w:val="004C0911"/>
    <w:rsid w:val="004C0A1A"/>
    <w:rsid w:val="004C0B56"/>
    <w:rsid w:val="004C0DC7"/>
    <w:rsid w:val="004C10CF"/>
    <w:rsid w:val="004C1CA9"/>
    <w:rsid w:val="004C204B"/>
    <w:rsid w:val="004C2311"/>
    <w:rsid w:val="004C262C"/>
    <w:rsid w:val="004C2721"/>
    <w:rsid w:val="004C2954"/>
    <w:rsid w:val="004C2A29"/>
    <w:rsid w:val="004C2D15"/>
    <w:rsid w:val="004C2D59"/>
    <w:rsid w:val="004C307F"/>
    <w:rsid w:val="004C339F"/>
    <w:rsid w:val="004C3761"/>
    <w:rsid w:val="004C37EF"/>
    <w:rsid w:val="004C3DAE"/>
    <w:rsid w:val="004C4059"/>
    <w:rsid w:val="004C41AD"/>
    <w:rsid w:val="004C44E2"/>
    <w:rsid w:val="004C4529"/>
    <w:rsid w:val="004C46B2"/>
    <w:rsid w:val="004C46DD"/>
    <w:rsid w:val="004C493C"/>
    <w:rsid w:val="004C497E"/>
    <w:rsid w:val="004C49F2"/>
    <w:rsid w:val="004C5266"/>
    <w:rsid w:val="004C5660"/>
    <w:rsid w:val="004C5810"/>
    <w:rsid w:val="004C61AD"/>
    <w:rsid w:val="004C66A4"/>
    <w:rsid w:val="004C66BB"/>
    <w:rsid w:val="004C69CE"/>
    <w:rsid w:val="004C6F28"/>
    <w:rsid w:val="004C714C"/>
    <w:rsid w:val="004C7256"/>
    <w:rsid w:val="004C7664"/>
    <w:rsid w:val="004C79FB"/>
    <w:rsid w:val="004C7A09"/>
    <w:rsid w:val="004C7A32"/>
    <w:rsid w:val="004C7D02"/>
    <w:rsid w:val="004C7DC2"/>
    <w:rsid w:val="004D0062"/>
    <w:rsid w:val="004D0082"/>
    <w:rsid w:val="004D0AAA"/>
    <w:rsid w:val="004D0EF7"/>
    <w:rsid w:val="004D0FA0"/>
    <w:rsid w:val="004D15D3"/>
    <w:rsid w:val="004D1A8C"/>
    <w:rsid w:val="004D1CC1"/>
    <w:rsid w:val="004D1D39"/>
    <w:rsid w:val="004D256D"/>
    <w:rsid w:val="004D266E"/>
    <w:rsid w:val="004D2CC8"/>
    <w:rsid w:val="004D2E97"/>
    <w:rsid w:val="004D3039"/>
    <w:rsid w:val="004D3490"/>
    <w:rsid w:val="004D393D"/>
    <w:rsid w:val="004D3C60"/>
    <w:rsid w:val="004D3C69"/>
    <w:rsid w:val="004D3E4D"/>
    <w:rsid w:val="004D3F28"/>
    <w:rsid w:val="004D3FB5"/>
    <w:rsid w:val="004D4093"/>
    <w:rsid w:val="004D409A"/>
    <w:rsid w:val="004D41DC"/>
    <w:rsid w:val="004D4293"/>
    <w:rsid w:val="004D4447"/>
    <w:rsid w:val="004D456B"/>
    <w:rsid w:val="004D45C6"/>
    <w:rsid w:val="004D4950"/>
    <w:rsid w:val="004D4CBD"/>
    <w:rsid w:val="004D4EBE"/>
    <w:rsid w:val="004D4F79"/>
    <w:rsid w:val="004D502D"/>
    <w:rsid w:val="004D5A65"/>
    <w:rsid w:val="004D5E04"/>
    <w:rsid w:val="004D6100"/>
    <w:rsid w:val="004D62AA"/>
    <w:rsid w:val="004D62ED"/>
    <w:rsid w:val="004D639F"/>
    <w:rsid w:val="004D657D"/>
    <w:rsid w:val="004D6965"/>
    <w:rsid w:val="004D6ABB"/>
    <w:rsid w:val="004D6CEF"/>
    <w:rsid w:val="004D6D1C"/>
    <w:rsid w:val="004D6E05"/>
    <w:rsid w:val="004D7134"/>
    <w:rsid w:val="004D71F1"/>
    <w:rsid w:val="004D7800"/>
    <w:rsid w:val="004D7B04"/>
    <w:rsid w:val="004D7BB1"/>
    <w:rsid w:val="004D7CF2"/>
    <w:rsid w:val="004D7E22"/>
    <w:rsid w:val="004D7FF2"/>
    <w:rsid w:val="004E05CE"/>
    <w:rsid w:val="004E06D3"/>
    <w:rsid w:val="004E09AE"/>
    <w:rsid w:val="004E0E2F"/>
    <w:rsid w:val="004E0EDB"/>
    <w:rsid w:val="004E1245"/>
    <w:rsid w:val="004E14C3"/>
    <w:rsid w:val="004E15F0"/>
    <w:rsid w:val="004E1615"/>
    <w:rsid w:val="004E16F0"/>
    <w:rsid w:val="004E1713"/>
    <w:rsid w:val="004E1FC3"/>
    <w:rsid w:val="004E20D1"/>
    <w:rsid w:val="004E2165"/>
    <w:rsid w:val="004E2624"/>
    <w:rsid w:val="004E2CAE"/>
    <w:rsid w:val="004E2E9D"/>
    <w:rsid w:val="004E2FBD"/>
    <w:rsid w:val="004E3164"/>
    <w:rsid w:val="004E3471"/>
    <w:rsid w:val="004E398E"/>
    <w:rsid w:val="004E3BDE"/>
    <w:rsid w:val="004E3DCC"/>
    <w:rsid w:val="004E3E16"/>
    <w:rsid w:val="004E408B"/>
    <w:rsid w:val="004E40B6"/>
    <w:rsid w:val="004E415D"/>
    <w:rsid w:val="004E43A5"/>
    <w:rsid w:val="004E4583"/>
    <w:rsid w:val="004E490F"/>
    <w:rsid w:val="004E4A4C"/>
    <w:rsid w:val="004E4D80"/>
    <w:rsid w:val="004E4ECA"/>
    <w:rsid w:val="004E4FA4"/>
    <w:rsid w:val="004E5125"/>
    <w:rsid w:val="004E589F"/>
    <w:rsid w:val="004E606F"/>
    <w:rsid w:val="004E609D"/>
    <w:rsid w:val="004E6123"/>
    <w:rsid w:val="004E6654"/>
    <w:rsid w:val="004E6660"/>
    <w:rsid w:val="004E67BA"/>
    <w:rsid w:val="004E6812"/>
    <w:rsid w:val="004E68F3"/>
    <w:rsid w:val="004E6987"/>
    <w:rsid w:val="004E6C11"/>
    <w:rsid w:val="004E6DDF"/>
    <w:rsid w:val="004E6F7E"/>
    <w:rsid w:val="004E6FB2"/>
    <w:rsid w:val="004E75D7"/>
    <w:rsid w:val="004E77EB"/>
    <w:rsid w:val="004E79FE"/>
    <w:rsid w:val="004E7BFF"/>
    <w:rsid w:val="004E7CA0"/>
    <w:rsid w:val="004E7CD9"/>
    <w:rsid w:val="004E7F30"/>
    <w:rsid w:val="004E7F3B"/>
    <w:rsid w:val="004E7F42"/>
    <w:rsid w:val="004F0135"/>
    <w:rsid w:val="004F043E"/>
    <w:rsid w:val="004F054D"/>
    <w:rsid w:val="004F054E"/>
    <w:rsid w:val="004F0975"/>
    <w:rsid w:val="004F10B4"/>
    <w:rsid w:val="004F1242"/>
    <w:rsid w:val="004F16B5"/>
    <w:rsid w:val="004F1E22"/>
    <w:rsid w:val="004F202F"/>
    <w:rsid w:val="004F20DE"/>
    <w:rsid w:val="004F21F1"/>
    <w:rsid w:val="004F2428"/>
    <w:rsid w:val="004F271D"/>
    <w:rsid w:val="004F2D4C"/>
    <w:rsid w:val="004F3426"/>
    <w:rsid w:val="004F3479"/>
    <w:rsid w:val="004F3B8A"/>
    <w:rsid w:val="004F3F3E"/>
    <w:rsid w:val="004F3FD4"/>
    <w:rsid w:val="004F413E"/>
    <w:rsid w:val="004F4CA3"/>
    <w:rsid w:val="004F4E4A"/>
    <w:rsid w:val="004F51D8"/>
    <w:rsid w:val="004F54FD"/>
    <w:rsid w:val="004F5562"/>
    <w:rsid w:val="004F56D3"/>
    <w:rsid w:val="004F56F7"/>
    <w:rsid w:val="004F584F"/>
    <w:rsid w:val="004F5999"/>
    <w:rsid w:val="004F5DE8"/>
    <w:rsid w:val="004F5E1D"/>
    <w:rsid w:val="004F5E83"/>
    <w:rsid w:val="004F634C"/>
    <w:rsid w:val="004F65B7"/>
    <w:rsid w:val="004F68DA"/>
    <w:rsid w:val="004F6ACA"/>
    <w:rsid w:val="004F6AF1"/>
    <w:rsid w:val="004F721A"/>
    <w:rsid w:val="004F7433"/>
    <w:rsid w:val="004F74C6"/>
    <w:rsid w:val="004F76E0"/>
    <w:rsid w:val="004F7896"/>
    <w:rsid w:val="00500887"/>
    <w:rsid w:val="00500CA2"/>
    <w:rsid w:val="00500DD0"/>
    <w:rsid w:val="00500E30"/>
    <w:rsid w:val="00500ECA"/>
    <w:rsid w:val="00500F93"/>
    <w:rsid w:val="0050140D"/>
    <w:rsid w:val="0050153F"/>
    <w:rsid w:val="00501557"/>
    <w:rsid w:val="00501626"/>
    <w:rsid w:val="0050191D"/>
    <w:rsid w:val="00501CB3"/>
    <w:rsid w:val="00502094"/>
    <w:rsid w:val="00502302"/>
    <w:rsid w:val="00502361"/>
    <w:rsid w:val="0050252D"/>
    <w:rsid w:val="00502592"/>
    <w:rsid w:val="00502648"/>
    <w:rsid w:val="00502877"/>
    <w:rsid w:val="00502E08"/>
    <w:rsid w:val="00502E23"/>
    <w:rsid w:val="00502F9E"/>
    <w:rsid w:val="00503950"/>
    <w:rsid w:val="00503B9E"/>
    <w:rsid w:val="00503E71"/>
    <w:rsid w:val="00503F48"/>
    <w:rsid w:val="00504195"/>
    <w:rsid w:val="005041F9"/>
    <w:rsid w:val="005043E7"/>
    <w:rsid w:val="005046F6"/>
    <w:rsid w:val="005047C8"/>
    <w:rsid w:val="00504A64"/>
    <w:rsid w:val="00504B51"/>
    <w:rsid w:val="00504BE5"/>
    <w:rsid w:val="00504E34"/>
    <w:rsid w:val="005050BD"/>
    <w:rsid w:val="005055E9"/>
    <w:rsid w:val="005057CB"/>
    <w:rsid w:val="005059C9"/>
    <w:rsid w:val="00505A6A"/>
    <w:rsid w:val="00506004"/>
    <w:rsid w:val="00506026"/>
    <w:rsid w:val="00506078"/>
    <w:rsid w:val="00506217"/>
    <w:rsid w:val="005062A6"/>
    <w:rsid w:val="005068EC"/>
    <w:rsid w:val="0050691C"/>
    <w:rsid w:val="00506C54"/>
    <w:rsid w:val="00506CD6"/>
    <w:rsid w:val="00506F3E"/>
    <w:rsid w:val="00506FD7"/>
    <w:rsid w:val="00507098"/>
    <w:rsid w:val="005071CE"/>
    <w:rsid w:val="00507796"/>
    <w:rsid w:val="00507AB8"/>
    <w:rsid w:val="00507D21"/>
    <w:rsid w:val="00507D36"/>
    <w:rsid w:val="00507E45"/>
    <w:rsid w:val="00507F65"/>
    <w:rsid w:val="005104B6"/>
    <w:rsid w:val="005105ED"/>
    <w:rsid w:val="00510639"/>
    <w:rsid w:val="00510665"/>
    <w:rsid w:val="00510CB9"/>
    <w:rsid w:val="00511206"/>
    <w:rsid w:val="0051126B"/>
    <w:rsid w:val="005112A8"/>
    <w:rsid w:val="0051142D"/>
    <w:rsid w:val="005114FE"/>
    <w:rsid w:val="00511626"/>
    <w:rsid w:val="005116C1"/>
    <w:rsid w:val="0051186A"/>
    <w:rsid w:val="0051191F"/>
    <w:rsid w:val="00511D83"/>
    <w:rsid w:val="00511DEE"/>
    <w:rsid w:val="005121DE"/>
    <w:rsid w:val="00512B87"/>
    <w:rsid w:val="00512F58"/>
    <w:rsid w:val="0051314B"/>
    <w:rsid w:val="005132FD"/>
    <w:rsid w:val="005133D0"/>
    <w:rsid w:val="0051348E"/>
    <w:rsid w:val="0051360E"/>
    <w:rsid w:val="00513DEE"/>
    <w:rsid w:val="00513E77"/>
    <w:rsid w:val="00513ECA"/>
    <w:rsid w:val="00513ED6"/>
    <w:rsid w:val="0051405C"/>
    <w:rsid w:val="0051423A"/>
    <w:rsid w:val="00514295"/>
    <w:rsid w:val="005142B8"/>
    <w:rsid w:val="00514311"/>
    <w:rsid w:val="0051432D"/>
    <w:rsid w:val="00514695"/>
    <w:rsid w:val="00514BA6"/>
    <w:rsid w:val="00514BEB"/>
    <w:rsid w:val="00514C12"/>
    <w:rsid w:val="00514CB2"/>
    <w:rsid w:val="005155C3"/>
    <w:rsid w:val="005156DC"/>
    <w:rsid w:val="00515868"/>
    <w:rsid w:val="005159E1"/>
    <w:rsid w:val="00515C8C"/>
    <w:rsid w:val="00515DA1"/>
    <w:rsid w:val="00516444"/>
    <w:rsid w:val="00516782"/>
    <w:rsid w:val="0051697D"/>
    <w:rsid w:val="00516B35"/>
    <w:rsid w:val="00516C01"/>
    <w:rsid w:val="00517052"/>
    <w:rsid w:val="005171E9"/>
    <w:rsid w:val="00517808"/>
    <w:rsid w:val="0051795A"/>
    <w:rsid w:val="00517B1D"/>
    <w:rsid w:val="00517B5A"/>
    <w:rsid w:val="00517B94"/>
    <w:rsid w:val="00517BC9"/>
    <w:rsid w:val="00517D6C"/>
    <w:rsid w:val="00517FA1"/>
    <w:rsid w:val="00517FB1"/>
    <w:rsid w:val="0052032B"/>
    <w:rsid w:val="005203A8"/>
    <w:rsid w:val="0052080D"/>
    <w:rsid w:val="00520AE1"/>
    <w:rsid w:val="00520C3A"/>
    <w:rsid w:val="00520CBD"/>
    <w:rsid w:val="00520DF0"/>
    <w:rsid w:val="00520E4F"/>
    <w:rsid w:val="00520EBA"/>
    <w:rsid w:val="0052101C"/>
    <w:rsid w:val="005210C0"/>
    <w:rsid w:val="00521273"/>
    <w:rsid w:val="005215CE"/>
    <w:rsid w:val="005215F7"/>
    <w:rsid w:val="00521663"/>
    <w:rsid w:val="005218E6"/>
    <w:rsid w:val="00521C1A"/>
    <w:rsid w:val="00521F6F"/>
    <w:rsid w:val="00521FDF"/>
    <w:rsid w:val="005220A9"/>
    <w:rsid w:val="005220D7"/>
    <w:rsid w:val="00522167"/>
    <w:rsid w:val="005223FE"/>
    <w:rsid w:val="00522456"/>
    <w:rsid w:val="0052252A"/>
    <w:rsid w:val="0052261C"/>
    <w:rsid w:val="00522623"/>
    <w:rsid w:val="0052266B"/>
    <w:rsid w:val="00522AC8"/>
    <w:rsid w:val="00522EC5"/>
    <w:rsid w:val="00523628"/>
    <w:rsid w:val="005238AE"/>
    <w:rsid w:val="00523C3F"/>
    <w:rsid w:val="00523ED9"/>
    <w:rsid w:val="00523EFA"/>
    <w:rsid w:val="00523FFC"/>
    <w:rsid w:val="005246C5"/>
    <w:rsid w:val="00524820"/>
    <w:rsid w:val="00524984"/>
    <w:rsid w:val="005249EC"/>
    <w:rsid w:val="00525021"/>
    <w:rsid w:val="005250CE"/>
    <w:rsid w:val="00525447"/>
    <w:rsid w:val="00525559"/>
    <w:rsid w:val="0052565C"/>
    <w:rsid w:val="00525926"/>
    <w:rsid w:val="00525A17"/>
    <w:rsid w:val="00525C8F"/>
    <w:rsid w:val="00525E78"/>
    <w:rsid w:val="0052614B"/>
    <w:rsid w:val="005268DA"/>
    <w:rsid w:val="00526A78"/>
    <w:rsid w:val="00526F85"/>
    <w:rsid w:val="00527181"/>
    <w:rsid w:val="005272C5"/>
    <w:rsid w:val="0052730E"/>
    <w:rsid w:val="00527327"/>
    <w:rsid w:val="0052733C"/>
    <w:rsid w:val="0052754F"/>
    <w:rsid w:val="005275B4"/>
    <w:rsid w:val="00527BF9"/>
    <w:rsid w:val="00527E93"/>
    <w:rsid w:val="00530210"/>
    <w:rsid w:val="005309B8"/>
    <w:rsid w:val="00530A64"/>
    <w:rsid w:val="00530A88"/>
    <w:rsid w:val="00530AC6"/>
    <w:rsid w:val="00530D64"/>
    <w:rsid w:val="00530F8C"/>
    <w:rsid w:val="00530FBB"/>
    <w:rsid w:val="00531006"/>
    <w:rsid w:val="0053108E"/>
    <w:rsid w:val="0053119B"/>
    <w:rsid w:val="0053120D"/>
    <w:rsid w:val="0053166F"/>
    <w:rsid w:val="00532195"/>
    <w:rsid w:val="005323C4"/>
    <w:rsid w:val="005323CE"/>
    <w:rsid w:val="00532407"/>
    <w:rsid w:val="005328CC"/>
    <w:rsid w:val="005329C6"/>
    <w:rsid w:val="00532C6E"/>
    <w:rsid w:val="0053306A"/>
    <w:rsid w:val="005331AD"/>
    <w:rsid w:val="005331AE"/>
    <w:rsid w:val="00533303"/>
    <w:rsid w:val="005335C3"/>
    <w:rsid w:val="00533975"/>
    <w:rsid w:val="005339F7"/>
    <w:rsid w:val="00533CFF"/>
    <w:rsid w:val="00534041"/>
    <w:rsid w:val="005340A1"/>
    <w:rsid w:val="0053433F"/>
    <w:rsid w:val="00534552"/>
    <w:rsid w:val="0053497C"/>
    <w:rsid w:val="00534A97"/>
    <w:rsid w:val="00534DE6"/>
    <w:rsid w:val="00534FC6"/>
    <w:rsid w:val="00535106"/>
    <w:rsid w:val="00535402"/>
    <w:rsid w:val="0053541B"/>
    <w:rsid w:val="0053541D"/>
    <w:rsid w:val="0053598A"/>
    <w:rsid w:val="00535A31"/>
    <w:rsid w:val="00535AC2"/>
    <w:rsid w:val="00535BA2"/>
    <w:rsid w:val="00535CB8"/>
    <w:rsid w:val="0053666C"/>
    <w:rsid w:val="00536965"/>
    <w:rsid w:val="00536A2E"/>
    <w:rsid w:val="00536C46"/>
    <w:rsid w:val="00536F93"/>
    <w:rsid w:val="00537367"/>
    <w:rsid w:val="00537B31"/>
    <w:rsid w:val="0054008C"/>
    <w:rsid w:val="0054013A"/>
    <w:rsid w:val="00540210"/>
    <w:rsid w:val="0054024C"/>
    <w:rsid w:val="0054035F"/>
    <w:rsid w:val="005404D7"/>
    <w:rsid w:val="005408F0"/>
    <w:rsid w:val="005409DA"/>
    <w:rsid w:val="00540AF6"/>
    <w:rsid w:val="00540B36"/>
    <w:rsid w:val="00540E68"/>
    <w:rsid w:val="00540F90"/>
    <w:rsid w:val="0054112C"/>
    <w:rsid w:val="00541349"/>
    <w:rsid w:val="00541377"/>
    <w:rsid w:val="00541533"/>
    <w:rsid w:val="00541A31"/>
    <w:rsid w:val="00541B32"/>
    <w:rsid w:val="00541C20"/>
    <w:rsid w:val="00541D26"/>
    <w:rsid w:val="00541DAD"/>
    <w:rsid w:val="0054247A"/>
    <w:rsid w:val="005424BE"/>
    <w:rsid w:val="005427E3"/>
    <w:rsid w:val="00542C1A"/>
    <w:rsid w:val="00542CC4"/>
    <w:rsid w:val="00543282"/>
    <w:rsid w:val="005432E3"/>
    <w:rsid w:val="005432E8"/>
    <w:rsid w:val="0054350D"/>
    <w:rsid w:val="0054380E"/>
    <w:rsid w:val="0054394B"/>
    <w:rsid w:val="005445F6"/>
    <w:rsid w:val="00544741"/>
    <w:rsid w:val="005447CD"/>
    <w:rsid w:val="00544B5B"/>
    <w:rsid w:val="00544BE2"/>
    <w:rsid w:val="00544D05"/>
    <w:rsid w:val="00544D09"/>
    <w:rsid w:val="005458EB"/>
    <w:rsid w:val="00545937"/>
    <w:rsid w:val="00545A90"/>
    <w:rsid w:val="00545C7A"/>
    <w:rsid w:val="00545C8D"/>
    <w:rsid w:val="00545CEB"/>
    <w:rsid w:val="00545E0E"/>
    <w:rsid w:val="00545FB2"/>
    <w:rsid w:val="00546145"/>
    <w:rsid w:val="00546277"/>
    <w:rsid w:val="0054752A"/>
    <w:rsid w:val="00547A00"/>
    <w:rsid w:val="00547E48"/>
    <w:rsid w:val="00550178"/>
    <w:rsid w:val="00550481"/>
    <w:rsid w:val="00550587"/>
    <w:rsid w:val="0055080D"/>
    <w:rsid w:val="00550C1F"/>
    <w:rsid w:val="005512CA"/>
    <w:rsid w:val="00551324"/>
    <w:rsid w:val="005518F6"/>
    <w:rsid w:val="00552542"/>
    <w:rsid w:val="005528CC"/>
    <w:rsid w:val="0055296E"/>
    <w:rsid w:val="00552A32"/>
    <w:rsid w:val="00552DBD"/>
    <w:rsid w:val="00552E0A"/>
    <w:rsid w:val="00552FB6"/>
    <w:rsid w:val="005536F0"/>
    <w:rsid w:val="00553860"/>
    <w:rsid w:val="0055462D"/>
    <w:rsid w:val="00554737"/>
    <w:rsid w:val="00554A31"/>
    <w:rsid w:val="00554A6E"/>
    <w:rsid w:val="00554B53"/>
    <w:rsid w:val="00554CA7"/>
    <w:rsid w:val="00554D7C"/>
    <w:rsid w:val="00555002"/>
    <w:rsid w:val="00555108"/>
    <w:rsid w:val="0055535B"/>
    <w:rsid w:val="00555BE0"/>
    <w:rsid w:val="00555CCE"/>
    <w:rsid w:val="00555CF9"/>
    <w:rsid w:val="00555F3C"/>
    <w:rsid w:val="00555F9C"/>
    <w:rsid w:val="00555FF3"/>
    <w:rsid w:val="00556907"/>
    <w:rsid w:val="00556AE0"/>
    <w:rsid w:val="00556C91"/>
    <w:rsid w:val="00556E0D"/>
    <w:rsid w:val="00557664"/>
    <w:rsid w:val="005578AB"/>
    <w:rsid w:val="005579DE"/>
    <w:rsid w:val="00557A7C"/>
    <w:rsid w:val="00557B2E"/>
    <w:rsid w:val="00557B77"/>
    <w:rsid w:val="00557B7F"/>
    <w:rsid w:val="00557BB3"/>
    <w:rsid w:val="00557E19"/>
    <w:rsid w:val="005601DB"/>
    <w:rsid w:val="0056037A"/>
    <w:rsid w:val="005605CD"/>
    <w:rsid w:val="005605DE"/>
    <w:rsid w:val="00560E3D"/>
    <w:rsid w:val="00560F65"/>
    <w:rsid w:val="0056126C"/>
    <w:rsid w:val="0056174E"/>
    <w:rsid w:val="00561A27"/>
    <w:rsid w:val="00561B70"/>
    <w:rsid w:val="00561D2D"/>
    <w:rsid w:val="00562112"/>
    <w:rsid w:val="00562263"/>
    <w:rsid w:val="00562323"/>
    <w:rsid w:val="005623D7"/>
    <w:rsid w:val="00562503"/>
    <w:rsid w:val="0056283D"/>
    <w:rsid w:val="005629D4"/>
    <w:rsid w:val="00562C72"/>
    <w:rsid w:val="005630FB"/>
    <w:rsid w:val="00563128"/>
    <w:rsid w:val="00563585"/>
    <w:rsid w:val="0056377A"/>
    <w:rsid w:val="00563C6F"/>
    <w:rsid w:val="00563DAF"/>
    <w:rsid w:val="00563E5D"/>
    <w:rsid w:val="00563E7F"/>
    <w:rsid w:val="00563F44"/>
    <w:rsid w:val="00563F5D"/>
    <w:rsid w:val="0056412E"/>
    <w:rsid w:val="00564821"/>
    <w:rsid w:val="00564DE6"/>
    <w:rsid w:val="00564ED4"/>
    <w:rsid w:val="00564F63"/>
    <w:rsid w:val="00564FDE"/>
    <w:rsid w:val="0056576C"/>
    <w:rsid w:val="0056579E"/>
    <w:rsid w:val="005659AA"/>
    <w:rsid w:val="005659B2"/>
    <w:rsid w:val="00565B14"/>
    <w:rsid w:val="00565EC0"/>
    <w:rsid w:val="00565ED1"/>
    <w:rsid w:val="00565F46"/>
    <w:rsid w:val="005660F3"/>
    <w:rsid w:val="0056623C"/>
    <w:rsid w:val="0056623F"/>
    <w:rsid w:val="005662EB"/>
    <w:rsid w:val="005663EF"/>
    <w:rsid w:val="005664F5"/>
    <w:rsid w:val="00566FA3"/>
    <w:rsid w:val="00567263"/>
    <w:rsid w:val="00567412"/>
    <w:rsid w:val="005678E2"/>
    <w:rsid w:val="00567A35"/>
    <w:rsid w:val="00567A79"/>
    <w:rsid w:val="005700F4"/>
    <w:rsid w:val="00570130"/>
    <w:rsid w:val="005703D6"/>
    <w:rsid w:val="0057069C"/>
    <w:rsid w:val="005707E9"/>
    <w:rsid w:val="00570B0F"/>
    <w:rsid w:val="00571218"/>
    <w:rsid w:val="005716A3"/>
    <w:rsid w:val="00571AF0"/>
    <w:rsid w:val="00572350"/>
    <w:rsid w:val="00572396"/>
    <w:rsid w:val="00572631"/>
    <w:rsid w:val="00572643"/>
    <w:rsid w:val="00572785"/>
    <w:rsid w:val="00572AD0"/>
    <w:rsid w:val="0057314F"/>
    <w:rsid w:val="005736A7"/>
    <w:rsid w:val="00573900"/>
    <w:rsid w:val="005739C7"/>
    <w:rsid w:val="00574373"/>
    <w:rsid w:val="00574441"/>
    <w:rsid w:val="005744C5"/>
    <w:rsid w:val="005745B5"/>
    <w:rsid w:val="005745DE"/>
    <w:rsid w:val="00574930"/>
    <w:rsid w:val="00574A04"/>
    <w:rsid w:val="00574AB0"/>
    <w:rsid w:val="00574E47"/>
    <w:rsid w:val="00574F91"/>
    <w:rsid w:val="0057563B"/>
    <w:rsid w:val="00575A73"/>
    <w:rsid w:val="00575AB2"/>
    <w:rsid w:val="00575B03"/>
    <w:rsid w:val="005761C8"/>
    <w:rsid w:val="005762E1"/>
    <w:rsid w:val="00576458"/>
    <w:rsid w:val="00576758"/>
    <w:rsid w:val="00576966"/>
    <w:rsid w:val="00576A06"/>
    <w:rsid w:val="00576EA5"/>
    <w:rsid w:val="00576FA1"/>
    <w:rsid w:val="00577091"/>
    <w:rsid w:val="00577367"/>
    <w:rsid w:val="00577460"/>
    <w:rsid w:val="00577626"/>
    <w:rsid w:val="0057764C"/>
    <w:rsid w:val="00577663"/>
    <w:rsid w:val="00577DBF"/>
    <w:rsid w:val="00577E34"/>
    <w:rsid w:val="00577F3A"/>
    <w:rsid w:val="005800ED"/>
    <w:rsid w:val="0058032B"/>
    <w:rsid w:val="00580574"/>
    <w:rsid w:val="00580A54"/>
    <w:rsid w:val="00580CC8"/>
    <w:rsid w:val="00580E51"/>
    <w:rsid w:val="00581479"/>
    <w:rsid w:val="005815D5"/>
    <w:rsid w:val="00581B51"/>
    <w:rsid w:val="00581B5F"/>
    <w:rsid w:val="00581BDF"/>
    <w:rsid w:val="00581D52"/>
    <w:rsid w:val="00581F68"/>
    <w:rsid w:val="0058234F"/>
    <w:rsid w:val="005827F0"/>
    <w:rsid w:val="005828A1"/>
    <w:rsid w:val="00582E06"/>
    <w:rsid w:val="00582F8A"/>
    <w:rsid w:val="00583093"/>
    <w:rsid w:val="00583959"/>
    <w:rsid w:val="00583989"/>
    <w:rsid w:val="005839D2"/>
    <w:rsid w:val="00583B99"/>
    <w:rsid w:val="00583E6B"/>
    <w:rsid w:val="00583EC8"/>
    <w:rsid w:val="00583F78"/>
    <w:rsid w:val="00584245"/>
    <w:rsid w:val="00584437"/>
    <w:rsid w:val="005844DF"/>
    <w:rsid w:val="0058468C"/>
    <w:rsid w:val="005854CC"/>
    <w:rsid w:val="00585716"/>
    <w:rsid w:val="00585BEA"/>
    <w:rsid w:val="00585EFA"/>
    <w:rsid w:val="00585F5B"/>
    <w:rsid w:val="005861F3"/>
    <w:rsid w:val="005862D2"/>
    <w:rsid w:val="005865BA"/>
    <w:rsid w:val="005869CC"/>
    <w:rsid w:val="00586CA7"/>
    <w:rsid w:val="00586CF0"/>
    <w:rsid w:val="00586D51"/>
    <w:rsid w:val="00586D92"/>
    <w:rsid w:val="005873C1"/>
    <w:rsid w:val="0058748F"/>
    <w:rsid w:val="0058780A"/>
    <w:rsid w:val="005879D5"/>
    <w:rsid w:val="00587C37"/>
    <w:rsid w:val="005902A8"/>
    <w:rsid w:val="005907BB"/>
    <w:rsid w:val="005908FC"/>
    <w:rsid w:val="00590C25"/>
    <w:rsid w:val="0059114C"/>
    <w:rsid w:val="00591776"/>
    <w:rsid w:val="00591814"/>
    <w:rsid w:val="00591CC5"/>
    <w:rsid w:val="00591D2B"/>
    <w:rsid w:val="0059214D"/>
    <w:rsid w:val="005927B3"/>
    <w:rsid w:val="0059290B"/>
    <w:rsid w:val="00592A4A"/>
    <w:rsid w:val="00592CE5"/>
    <w:rsid w:val="00592D1A"/>
    <w:rsid w:val="00592F0D"/>
    <w:rsid w:val="00593501"/>
    <w:rsid w:val="0059358D"/>
    <w:rsid w:val="00593614"/>
    <w:rsid w:val="00593745"/>
    <w:rsid w:val="005937D7"/>
    <w:rsid w:val="005940E4"/>
    <w:rsid w:val="00594570"/>
    <w:rsid w:val="005949C9"/>
    <w:rsid w:val="00594A8C"/>
    <w:rsid w:val="00594BAF"/>
    <w:rsid w:val="00594D57"/>
    <w:rsid w:val="00595117"/>
    <w:rsid w:val="00595193"/>
    <w:rsid w:val="00595387"/>
    <w:rsid w:val="00595977"/>
    <w:rsid w:val="00595BC3"/>
    <w:rsid w:val="00595D94"/>
    <w:rsid w:val="0059604A"/>
    <w:rsid w:val="00596072"/>
    <w:rsid w:val="0059641F"/>
    <w:rsid w:val="0059666F"/>
    <w:rsid w:val="005966B0"/>
    <w:rsid w:val="00596833"/>
    <w:rsid w:val="00596855"/>
    <w:rsid w:val="005971F1"/>
    <w:rsid w:val="005973D2"/>
    <w:rsid w:val="0059743F"/>
    <w:rsid w:val="00597475"/>
    <w:rsid w:val="00597FEF"/>
    <w:rsid w:val="005A042C"/>
    <w:rsid w:val="005A04DF"/>
    <w:rsid w:val="005A0785"/>
    <w:rsid w:val="005A0CC4"/>
    <w:rsid w:val="005A0E56"/>
    <w:rsid w:val="005A1466"/>
    <w:rsid w:val="005A1BEF"/>
    <w:rsid w:val="005A2194"/>
    <w:rsid w:val="005A21E5"/>
    <w:rsid w:val="005A246B"/>
    <w:rsid w:val="005A24B2"/>
    <w:rsid w:val="005A259F"/>
    <w:rsid w:val="005A26F9"/>
    <w:rsid w:val="005A2CDD"/>
    <w:rsid w:val="005A2E87"/>
    <w:rsid w:val="005A31F6"/>
    <w:rsid w:val="005A37EE"/>
    <w:rsid w:val="005A389B"/>
    <w:rsid w:val="005A39E4"/>
    <w:rsid w:val="005A3C68"/>
    <w:rsid w:val="005A3CE6"/>
    <w:rsid w:val="005A3E6E"/>
    <w:rsid w:val="005A3E98"/>
    <w:rsid w:val="005A412C"/>
    <w:rsid w:val="005A4234"/>
    <w:rsid w:val="005A46E3"/>
    <w:rsid w:val="005A4AA1"/>
    <w:rsid w:val="005A4D50"/>
    <w:rsid w:val="005A5039"/>
    <w:rsid w:val="005A51F4"/>
    <w:rsid w:val="005A51FD"/>
    <w:rsid w:val="005A5216"/>
    <w:rsid w:val="005A5655"/>
    <w:rsid w:val="005A56B2"/>
    <w:rsid w:val="005A5B8C"/>
    <w:rsid w:val="005A5CCE"/>
    <w:rsid w:val="005A5D86"/>
    <w:rsid w:val="005A5F0A"/>
    <w:rsid w:val="005A622F"/>
    <w:rsid w:val="005A6247"/>
    <w:rsid w:val="005A636A"/>
    <w:rsid w:val="005A6A45"/>
    <w:rsid w:val="005A6B06"/>
    <w:rsid w:val="005A6BEB"/>
    <w:rsid w:val="005A6DE3"/>
    <w:rsid w:val="005A705F"/>
    <w:rsid w:val="005A788E"/>
    <w:rsid w:val="005A7F40"/>
    <w:rsid w:val="005B0054"/>
    <w:rsid w:val="005B0176"/>
    <w:rsid w:val="005B02D2"/>
    <w:rsid w:val="005B058B"/>
    <w:rsid w:val="005B061A"/>
    <w:rsid w:val="005B06C1"/>
    <w:rsid w:val="005B0718"/>
    <w:rsid w:val="005B083E"/>
    <w:rsid w:val="005B084A"/>
    <w:rsid w:val="005B0F27"/>
    <w:rsid w:val="005B1196"/>
    <w:rsid w:val="005B15B3"/>
    <w:rsid w:val="005B1650"/>
    <w:rsid w:val="005B1763"/>
    <w:rsid w:val="005B1959"/>
    <w:rsid w:val="005B19A8"/>
    <w:rsid w:val="005B1AA8"/>
    <w:rsid w:val="005B1C8C"/>
    <w:rsid w:val="005B24FC"/>
    <w:rsid w:val="005B26FF"/>
    <w:rsid w:val="005B2B47"/>
    <w:rsid w:val="005B2BD0"/>
    <w:rsid w:val="005B2BDB"/>
    <w:rsid w:val="005B3716"/>
    <w:rsid w:val="005B3855"/>
    <w:rsid w:val="005B3EDA"/>
    <w:rsid w:val="005B3F80"/>
    <w:rsid w:val="005B40D0"/>
    <w:rsid w:val="005B436C"/>
    <w:rsid w:val="005B46D3"/>
    <w:rsid w:val="005B47EA"/>
    <w:rsid w:val="005B4975"/>
    <w:rsid w:val="005B4A45"/>
    <w:rsid w:val="005B4C44"/>
    <w:rsid w:val="005B5208"/>
    <w:rsid w:val="005B54C9"/>
    <w:rsid w:val="005B550B"/>
    <w:rsid w:val="005B5653"/>
    <w:rsid w:val="005B59AF"/>
    <w:rsid w:val="005B5D1A"/>
    <w:rsid w:val="005B5FEF"/>
    <w:rsid w:val="005B6181"/>
    <w:rsid w:val="005B64B2"/>
    <w:rsid w:val="005B64E1"/>
    <w:rsid w:val="005B679C"/>
    <w:rsid w:val="005B6C58"/>
    <w:rsid w:val="005B6D5E"/>
    <w:rsid w:val="005B72BE"/>
    <w:rsid w:val="005B7565"/>
    <w:rsid w:val="005B7785"/>
    <w:rsid w:val="005B7790"/>
    <w:rsid w:val="005B7BDD"/>
    <w:rsid w:val="005B7EB7"/>
    <w:rsid w:val="005C0135"/>
    <w:rsid w:val="005C0323"/>
    <w:rsid w:val="005C04DF"/>
    <w:rsid w:val="005C07DD"/>
    <w:rsid w:val="005C0AD5"/>
    <w:rsid w:val="005C0EB1"/>
    <w:rsid w:val="005C0F10"/>
    <w:rsid w:val="005C0FB2"/>
    <w:rsid w:val="005C0FD5"/>
    <w:rsid w:val="005C128E"/>
    <w:rsid w:val="005C164E"/>
    <w:rsid w:val="005C16E7"/>
    <w:rsid w:val="005C1729"/>
    <w:rsid w:val="005C1C1F"/>
    <w:rsid w:val="005C1CF9"/>
    <w:rsid w:val="005C20C1"/>
    <w:rsid w:val="005C20ED"/>
    <w:rsid w:val="005C2257"/>
    <w:rsid w:val="005C2461"/>
    <w:rsid w:val="005C250D"/>
    <w:rsid w:val="005C277A"/>
    <w:rsid w:val="005C27E8"/>
    <w:rsid w:val="005C2892"/>
    <w:rsid w:val="005C2E83"/>
    <w:rsid w:val="005C306D"/>
    <w:rsid w:val="005C3428"/>
    <w:rsid w:val="005C3440"/>
    <w:rsid w:val="005C3464"/>
    <w:rsid w:val="005C34EF"/>
    <w:rsid w:val="005C3BA1"/>
    <w:rsid w:val="005C40E1"/>
    <w:rsid w:val="005C41EB"/>
    <w:rsid w:val="005C4413"/>
    <w:rsid w:val="005C449C"/>
    <w:rsid w:val="005C4890"/>
    <w:rsid w:val="005C4A84"/>
    <w:rsid w:val="005C51F6"/>
    <w:rsid w:val="005C54AF"/>
    <w:rsid w:val="005C5628"/>
    <w:rsid w:val="005C566E"/>
    <w:rsid w:val="005C56E9"/>
    <w:rsid w:val="005C5A04"/>
    <w:rsid w:val="005C5BCC"/>
    <w:rsid w:val="005C5CFA"/>
    <w:rsid w:val="005C6168"/>
    <w:rsid w:val="005C6469"/>
    <w:rsid w:val="005C660F"/>
    <w:rsid w:val="005C6D67"/>
    <w:rsid w:val="005C6FB6"/>
    <w:rsid w:val="005C6FD6"/>
    <w:rsid w:val="005C711D"/>
    <w:rsid w:val="005C72BA"/>
    <w:rsid w:val="005C7465"/>
    <w:rsid w:val="005C7596"/>
    <w:rsid w:val="005C7608"/>
    <w:rsid w:val="005C76AF"/>
    <w:rsid w:val="005C76EB"/>
    <w:rsid w:val="005C7D53"/>
    <w:rsid w:val="005C7E6B"/>
    <w:rsid w:val="005D004C"/>
    <w:rsid w:val="005D061D"/>
    <w:rsid w:val="005D065C"/>
    <w:rsid w:val="005D0D08"/>
    <w:rsid w:val="005D1079"/>
    <w:rsid w:val="005D11A7"/>
    <w:rsid w:val="005D16C8"/>
    <w:rsid w:val="005D16F9"/>
    <w:rsid w:val="005D1AAE"/>
    <w:rsid w:val="005D1BD9"/>
    <w:rsid w:val="005D1C88"/>
    <w:rsid w:val="005D1E0C"/>
    <w:rsid w:val="005D2011"/>
    <w:rsid w:val="005D20DA"/>
    <w:rsid w:val="005D21EF"/>
    <w:rsid w:val="005D2316"/>
    <w:rsid w:val="005D2732"/>
    <w:rsid w:val="005D27A9"/>
    <w:rsid w:val="005D2A1A"/>
    <w:rsid w:val="005D2B25"/>
    <w:rsid w:val="005D2D67"/>
    <w:rsid w:val="005D2DAA"/>
    <w:rsid w:val="005D2DFF"/>
    <w:rsid w:val="005D3081"/>
    <w:rsid w:val="005D350C"/>
    <w:rsid w:val="005D38B4"/>
    <w:rsid w:val="005D38F0"/>
    <w:rsid w:val="005D3A66"/>
    <w:rsid w:val="005D3B3F"/>
    <w:rsid w:val="005D3ED6"/>
    <w:rsid w:val="005D4152"/>
    <w:rsid w:val="005D4178"/>
    <w:rsid w:val="005D45F7"/>
    <w:rsid w:val="005D4789"/>
    <w:rsid w:val="005D49C5"/>
    <w:rsid w:val="005D49CF"/>
    <w:rsid w:val="005D4F75"/>
    <w:rsid w:val="005D4FBC"/>
    <w:rsid w:val="005D5065"/>
    <w:rsid w:val="005D5291"/>
    <w:rsid w:val="005D52F3"/>
    <w:rsid w:val="005D53CA"/>
    <w:rsid w:val="005D5593"/>
    <w:rsid w:val="005D5954"/>
    <w:rsid w:val="005D5B02"/>
    <w:rsid w:val="005D5C77"/>
    <w:rsid w:val="005D5CB4"/>
    <w:rsid w:val="005D6074"/>
    <w:rsid w:val="005D616C"/>
    <w:rsid w:val="005D64D5"/>
    <w:rsid w:val="005D64EC"/>
    <w:rsid w:val="005D679E"/>
    <w:rsid w:val="005D6A13"/>
    <w:rsid w:val="005D6C20"/>
    <w:rsid w:val="005D6C5A"/>
    <w:rsid w:val="005D6CF9"/>
    <w:rsid w:val="005D6EFB"/>
    <w:rsid w:val="005D71E5"/>
    <w:rsid w:val="005D72C8"/>
    <w:rsid w:val="005D730F"/>
    <w:rsid w:val="005D7429"/>
    <w:rsid w:val="005D7480"/>
    <w:rsid w:val="005E0440"/>
    <w:rsid w:val="005E066B"/>
    <w:rsid w:val="005E077B"/>
    <w:rsid w:val="005E0C74"/>
    <w:rsid w:val="005E0D91"/>
    <w:rsid w:val="005E11BA"/>
    <w:rsid w:val="005E1556"/>
    <w:rsid w:val="005E162E"/>
    <w:rsid w:val="005E195A"/>
    <w:rsid w:val="005E1C5A"/>
    <w:rsid w:val="005E2013"/>
    <w:rsid w:val="005E233C"/>
    <w:rsid w:val="005E2379"/>
    <w:rsid w:val="005E24AD"/>
    <w:rsid w:val="005E257D"/>
    <w:rsid w:val="005E260A"/>
    <w:rsid w:val="005E293C"/>
    <w:rsid w:val="005E2D06"/>
    <w:rsid w:val="005E2E1E"/>
    <w:rsid w:val="005E2FFF"/>
    <w:rsid w:val="005E3148"/>
    <w:rsid w:val="005E3315"/>
    <w:rsid w:val="005E337E"/>
    <w:rsid w:val="005E3805"/>
    <w:rsid w:val="005E39B8"/>
    <w:rsid w:val="005E3BEE"/>
    <w:rsid w:val="005E3CBF"/>
    <w:rsid w:val="005E3E67"/>
    <w:rsid w:val="005E3E6E"/>
    <w:rsid w:val="005E3F9A"/>
    <w:rsid w:val="005E4230"/>
    <w:rsid w:val="005E44D1"/>
    <w:rsid w:val="005E4810"/>
    <w:rsid w:val="005E49F9"/>
    <w:rsid w:val="005E4DC1"/>
    <w:rsid w:val="005E4E25"/>
    <w:rsid w:val="005E500E"/>
    <w:rsid w:val="005E5113"/>
    <w:rsid w:val="005E53DD"/>
    <w:rsid w:val="005E5413"/>
    <w:rsid w:val="005E557D"/>
    <w:rsid w:val="005E577D"/>
    <w:rsid w:val="005E605F"/>
    <w:rsid w:val="005E62E8"/>
    <w:rsid w:val="005E6493"/>
    <w:rsid w:val="005E66C5"/>
    <w:rsid w:val="005E6A12"/>
    <w:rsid w:val="005E6CEF"/>
    <w:rsid w:val="005E6DB2"/>
    <w:rsid w:val="005E70D8"/>
    <w:rsid w:val="005E7545"/>
    <w:rsid w:val="005E781E"/>
    <w:rsid w:val="005E78B7"/>
    <w:rsid w:val="005E7A43"/>
    <w:rsid w:val="005E7E61"/>
    <w:rsid w:val="005F026D"/>
    <w:rsid w:val="005F045F"/>
    <w:rsid w:val="005F04CF"/>
    <w:rsid w:val="005F0553"/>
    <w:rsid w:val="005F0575"/>
    <w:rsid w:val="005F0A77"/>
    <w:rsid w:val="005F0B54"/>
    <w:rsid w:val="005F0B5A"/>
    <w:rsid w:val="005F0D95"/>
    <w:rsid w:val="005F0E2A"/>
    <w:rsid w:val="005F0E6D"/>
    <w:rsid w:val="005F13DF"/>
    <w:rsid w:val="005F1614"/>
    <w:rsid w:val="005F19C8"/>
    <w:rsid w:val="005F1C28"/>
    <w:rsid w:val="005F1C9B"/>
    <w:rsid w:val="005F217B"/>
    <w:rsid w:val="005F2591"/>
    <w:rsid w:val="005F276C"/>
    <w:rsid w:val="005F27A8"/>
    <w:rsid w:val="005F2C2A"/>
    <w:rsid w:val="005F2C42"/>
    <w:rsid w:val="005F333C"/>
    <w:rsid w:val="005F3447"/>
    <w:rsid w:val="005F34CE"/>
    <w:rsid w:val="005F387A"/>
    <w:rsid w:val="005F3ADB"/>
    <w:rsid w:val="005F3E30"/>
    <w:rsid w:val="005F3E42"/>
    <w:rsid w:val="005F3ED9"/>
    <w:rsid w:val="005F3F83"/>
    <w:rsid w:val="005F4062"/>
    <w:rsid w:val="005F43D8"/>
    <w:rsid w:val="005F43F3"/>
    <w:rsid w:val="005F4659"/>
    <w:rsid w:val="005F4667"/>
    <w:rsid w:val="005F4768"/>
    <w:rsid w:val="005F4774"/>
    <w:rsid w:val="005F48A8"/>
    <w:rsid w:val="005F4BDD"/>
    <w:rsid w:val="005F4F12"/>
    <w:rsid w:val="005F5163"/>
    <w:rsid w:val="005F516C"/>
    <w:rsid w:val="005F53CE"/>
    <w:rsid w:val="005F5974"/>
    <w:rsid w:val="005F5E88"/>
    <w:rsid w:val="005F5ED9"/>
    <w:rsid w:val="005F649A"/>
    <w:rsid w:val="005F680B"/>
    <w:rsid w:val="005F734C"/>
    <w:rsid w:val="005F7583"/>
    <w:rsid w:val="005F7A07"/>
    <w:rsid w:val="005F7AE4"/>
    <w:rsid w:val="006001E3"/>
    <w:rsid w:val="006002BD"/>
    <w:rsid w:val="00600606"/>
    <w:rsid w:val="00600A7F"/>
    <w:rsid w:val="00600F12"/>
    <w:rsid w:val="00601284"/>
    <w:rsid w:val="006012A4"/>
    <w:rsid w:val="0060148E"/>
    <w:rsid w:val="00601758"/>
    <w:rsid w:val="006017BF"/>
    <w:rsid w:val="0060183D"/>
    <w:rsid w:val="006019A4"/>
    <w:rsid w:val="00601B62"/>
    <w:rsid w:val="00601C4B"/>
    <w:rsid w:val="00601D15"/>
    <w:rsid w:val="00601EB8"/>
    <w:rsid w:val="00601F56"/>
    <w:rsid w:val="0060200A"/>
    <w:rsid w:val="00602243"/>
    <w:rsid w:val="0060237F"/>
    <w:rsid w:val="0060266D"/>
    <w:rsid w:val="00602821"/>
    <w:rsid w:val="00602DED"/>
    <w:rsid w:val="006030AA"/>
    <w:rsid w:val="0060324C"/>
    <w:rsid w:val="00603306"/>
    <w:rsid w:val="00603B4D"/>
    <w:rsid w:val="0060417C"/>
    <w:rsid w:val="00604458"/>
    <w:rsid w:val="006045B3"/>
    <w:rsid w:val="00604960"/>
    <w:rsid w:val="00605323"/>
    <w:rsid w:val="00605541"/>
    <w:rsid w:val="006056E7"/>
    <w:rsid w:val="006057A2"/>
    <w:rsid w:val="006058DD"/>
    <w:rsid w:val="00605EB9"/>
    <w:rsid w:val="00605FD1"/>
    <w:rsid w:val="00606223"/>
    <w:rsid w:val="006063F6"/>
    <w:rsid w:val="0060650A"/>
    <w:rsid w:val="00606510"/>
    <w:rsid w:val="00606BB0"/>
    <w:rsid w:val="00606FE1"/>
    <w:rsid w:val="00606FE2"/>
    <w:rsid w:val="006075A0"/>
    <w:rsid w:val="00607677"/>
    <w:rsid w:val="00607D8D"/>
    <w:rsid w:val="00607D9F"/>
    <w:rsid w:val="00607FA5"/>
    <w:rsid w:val="00610043"/>
    <w:rsid w:val="006100F4"/>
    <w:rsid w:val="00610681"/>
    <w:rsid w:val="00610713"/>
    <w:rsid w:val="006108F1"/>
    <w:rsid w:val="006108FC"/>
    <w:rsid w:val="0061093C"/>
    <w:rsid w:val="00610C28"/>
    <w:rsid w:val="00610CDF"/>
    <w:rsid w:val="006114D9"/>
    <w:rsid w:val="006119FA"/>
    <w:rsid w:val="00611A7A"/>
    <w:rsid w:val="00611B0A"/>
    <w:rsid w:val="0061202F"/>
    <w:rsid w:val="0061225B"/>
    <w:rsid w:val="00612362"/>
    <w:rsid w:val="006123FF"/>
    <w:rsid w:val="0061249E"/>
    <w:rsid w:val="0061269A"/>
    <w:rsid w:val="006126E7"/>
    <w:rsid w:val="00612FA5"/>
    <w:rsid w:val="00613230"/>
    <w:rsid w:val="006132E3"/>
    <w:rsid w:val="006133BC"/>
    <w:rsid w:val="00613573"/>
    <w:rsid w:val="0061387A"/>
    <w:rsid w:val="006141AB"/>
    <w:rsid w:val="00614C4D"/>
    <w:rsid w:val="00614C9F"/>
    <w:rsid w:val="00614D34"/>
    <w:rsid w:val="00614DB6"/>
    <w:rsid w:val="00614DF7"/>
    <w:rsid w:val="00615256"/>
    <w:rsid w:val="00615551"/>
    <w:rsid w:val="006159B6"/>
    <w:rsid w:val="00615AB1"/>
    <w:rsid w:val="00615BCE"/>
    <w:rsid w:val="0061601B"/>
    <w:rsid w:val="00616044"/>
    <w:rsid w:val="00616053"/>
    <w:rsid w:val="00616229"/>
    <w:rsid w:val="00616271"/>
    <w:rsid w:val="006168B2"/>
    <w:rsid w:val="00616DD0"/>
    <w:rsid w:val="00616E8B"/>
    <w:rsid w:val="00616EE0"/>
    <w:rsid w:val="006174A8"/>
    <w:rsid w:val="00617785"/>
    <w:rsid w:val="0061784D"/>
    <w:rsid w:val="00617933"/>
    <w:rsid w:val="00617A7A"/>
    <w:rsid w:val="00617C7B"/>
    <w:rsid w:val="0062054B"/>
    <w:rsid w:val="006208B6"/>
    <w:rsid w:val="00620A43"/>
    <w:rsid w:val="00620B1D"/>
    <w:rsid w:val="00620DCF"/>
    <w:rsid w:val="00620FE3"/>
    <w:rsid w:val="0062135B"/>
    <w:rsid w:val="006216FC"/>
    <w:rsid w:val="00621891"/>
    <w:rsid w:val="0062196C"/>
    <w:rsid w:val="006219DD"/>
    <w:rsid w:val="00622005"/>
    <w:rsid w:val="00622089"/>
    <w:rsid w:val="006222CE"/>
    <w:rsid w:val="006225F6"/>
    <w:rsid w:val="006226AA"/>
    <w:rsid w:val="00622A0D"/>
    <w:rsid w:val="00622DD1"/>
    <w:rsid w:val="00622E6C"/>
    <w:rsid w:val="006233AC"/>
    <w:rsid w:val="006234B2"/>
    <w:rsid w:val="00623543"/>
    <w:rsid w:val="0062359F"/>
    <w:rsid w:val="006235F1"/>
    <w:rsid w:val="006238C9"/>
    <w:rsid w:val="00623B07"/>
    <w:rsid w:val="00623B09"/>
    <w:rsid w:val="00623F1D"/>
    <w:rsid w:val="00623F1E"/>
    <w:rsid w:val="00624065"/>
    <w:rsid w:val="006241D0"/>
    <w:rsid w:val="00624348"/>
    <w:rsid w:val="006243C7"/>
    <w:rsid w:val="00624470"/>
    <w:rsid w:val="0062455E"/>
    <w:rsid w:val="0062471C"/>
    <w:rsid w:val="00624783"/>
    <w:rsid w:val="00624EC1"/>
    <w:rsid w:val="00625334"/>
    <w:rsid w:val="006254C9"/>
    <w:rsid w:val="00625710"/>
    <w:rsid w:val="006257AD"/>
    <w:rsid w:val="0062603B"/>
    <w:rsid w:val="0062603D"/>
    <w:rsid w:val="006260F0"/>
    <w:rsid w:val="00626684"/>
    <w:rsid w:val="0062685C"/>
    <w:rsid w:val="00626902"/>
    <w:rsid w:val="00626A72"/>
    <w:rsid w:val="00626B7F"/>
    <w:rsid w:val="00626C11"/>
    <w:rsid w:val="00627049"/>
    <w:rsid w:val="0062765E"/>
    <w:rsid w:val="00627A65"/>
    <w:rsid w:val="00627A8A"/>
    <w:rsid w:val="00627C43"/>
    <w:rsid w:val="00627E77"/>
    <w:rsid w:val="006303E8"/>
    <w:rsid w:val="0063066A"/>
    <w:rsid w:val="00630DF0"/>
    <w:rsid w:val="006311B9"/>
    <w:rsid w:val="006313F0"/>
    <w:rsid w:val="00631564"/>
    <w:rsid w:val="006317AB"/>
    <w:rsid w:val="00631D38"/>
    <w:rsid w:val="00631F67"/>
    <w:rsid w:val="0063226F"/>
    <w:rsid w:val="00632934"/>
    <w:rsid w:val="006329AF"/>
    <w:rsid w:val="00633990"/>
    <w:rsid w:val="00633B69"/>
    <w:rsid w:val="00633BE6"/>
    <w:rsid w:val="00633C1E"/>
    <w:rsid w:val="00634104"/>
    <w:rsid w:val="006341D6"/>
    <w:rsid w:val="006342EB"/>
    <w:rsid w:val="0063493A"/>
    <w:rsid w:val="00634ADB"/>
    <w:rsid w:val="00634FF7"/>
    <w:rsid w:val="006352C2"/>
    <w:rsid w:val="006352F4"/>
    <w:rsid w:val="0063548B"/>
    <w:rsid w:val="00635AC0"/>
    <w:rsid w:val="006360AF"/>
    <w:rsid w:val="006364E7"/>
    <w:rsid w:val="0063679D"/>
    <w:rsid w:val="00636836"/>
    <w:rsid w:val="00636848"/>
    <w:rsid w:val="0063728D"/>
    <w:rsid w:val="00637647"/>
    <w:rsid w:val="006376BE"/>
    <w:rsid w:val="006379A8"/>
    <w:rsid w:val="00637A8C"/>
    <w:rsid w:val="00637B41"/>
    <w:rsid w:val="00637F4D"/>
    <w:rsid w:val="00637FAE"/>
    <w:rsid w:val="0064013F"/>
    <w:rsid w:val="00640265"/>
    <w:rsid w:val="0064080A"/>
    <w:rsid w:val="00640859"/>
    <w:rsid w:val="00640AD7"/>
    <w:rsid w:val="00640B34"/>
    <w:rsid w:val="00640CA5"/>
    <w:rsid w:val="00640E04"/>
    <w:rsid w:val="00641378"/>
    <w:rsid w:val="006418C6"/>
    <w:rsid w:val="00641AFD"/>
    <w:rsid w:val="00641C75"/>
    <w:rsid w:val="00641D3C"/>
    <w:rsid w:val="00641FD0"/>
    <w:rsid w:val="00642058"/>
    <w:rsid w:val="00642326"/>
    <w:rsid w:val="006425F9"/>
    <w:rsid w:val="0064287C"/>
    <w:rsid w:val="00642933"/>
    <w:rsid w:val="00642BF2"/>
    <w:rsid w:val="00642F65"/>
    <w:rsid w:val="00643160"/>
    <w:rsid w:val="00643589"/>
    <w:rsid w:val="00643641"/>
    <w:rsid w:val="00643806"/>
    <w:rsid w:val="00643965"/>
    <w:rsid w:val="006443EE"/>
    <w:rsid w:val="00644BB2"/>
    <w:rsid w:val="00644C26"/>
    <w:rsid w:val="00644C57"/>
    <w:rsid w:val="00644D74"/>
    <w:rsid w:val="00644F35"/>
    <w:rsid w:val="0064526C"/>
    <w:rsid w:val="006452DB"/>
    <w:rsid w:val="00645427"/>
    <w:rsid w:val="006455A3"/>
    <w:rsid w:val="00645B25"/>
    <w:rsid w:val="00645DE0"/>
    <w:rsid w:val="006463EC"/>
    <w:rsid w:val="006464A4"/>
    <w:rsid w:val="0064651F"/>
    <w:rsid w:val="0064690F"/>
    <w:rsid w:val="00646EF3"/>
    <w:rsid w:val="00646FA2"/>
    <w:rsid w:val="006470BB"/>
    <w:rsid w:val="006470E7"/>
    <w:rsid w:val="00647294"/>
    <w:rsid w:val="00647297"/>
    <w:rsid w:val="006472BC"/>
    <w:rsid w:val="006473B1"/>
    <w:rsid w:val="006474A8"/>
    <w:rsid w:val="006478EA"/>
    <w:rsid w:val="00647ACE"/>
    <w:rsid w:val="00647AFC"/>
    <w:rsid w:val="00647D4D"/>
    <w:rsid w:val="00650109"/>
    <w:rsid w:val="00650491"/>
    <w:rsid w:val="006507A1"/>
    <w:rsid w:val="00650ADE"/>
    <w:rsid w:val="00650BAB"/>
    <w:rsid w:val="00650E6D"/>
    <w:rsid w:val="006514C8"/>
    <w:rsid w:val="006516EC"/>
    <w:rsid w:val="00651ABF"/>
    <w:rsid w:val="00651B0A"/>
    <w:rsid w:val="00651BC5"/>
    <w:rsid w:val="00651E20"/>
    <w:rsid w:val="00651EF1"/>
    <w:rsid w:val="0065204A"/>
    <w:rsid w:val="0065225C"/>
    <w:rsid w:val="0065230B"/>
    <w:rsid w:val="00652330"/>
    <w:rsid w:val="006527C1"/>
    <w:rsid w:val="00652B90"/>
    <w:rsid w:val="00652C53"/>
    <w:rsid w:val="00653387"/>
    <w:rsid w:val="00653850"/>
    <w:rsid w:val="00653988"/>
    <w:rsid w:val="00653ECA"/>
    <w:rsid w:val="00653ECE"/>
    <w:rsid w:val="00654170"/>
    <w:rsid w:val="0065428F"/>
    <w:rsid w:val="006543D0"/>
    <w:rsid w:val="00654AD1"/>
    <w:rsid w:val="00654B06"/>
    <w:rsid w:val="00654EC4"/>
    <w:rsid w:val="0065524E"/>
    <w:rsid w:val="0065544A"/>
    <w:rsid w:val="006554D7"/>
    <w:rsid w:val="00655557"/>
    <w:rsid w:val="006555A4"/>
    <w:rsid w:val="00655D3C"/>
    <w:rsid w:val="0065605C"/>
    <w:rsid w:val="006564CE"/>
    <w:rsid w:val="006567A1"/>
    <w:rsid w:val="0065698D"/>
    <w:rsid w:val="00656CF7"/>
    <w:rsid w:val="00656EA9"/>
    <w:rsid w:val="006571A1"/>
    <w:rsid w:val="00657796"/>
    <w:rsid w:val="00657813"/>
    <w:rsid w:val="00660CC6"/>
    <w:rsid w:val="0066129E"/>
    <w:rsid w:val="00661C58"/>
    <w:rsid w:val="00661CE1"/>
    <w:rsid w:val="00661FAF"/>
    <w:rsid w:val="00662174"/>
    <w:rsid w:val="00662602"/>
    <w:rsid w:val="00662C95"/>
    <w:rsid w:val="00662F16"/>
    <w:rsid w:val="00663099"/>
    <w:rsid w:val="006630D0"/>
    <w:rsid w:val="006630D8"/>
    <w:rsid w:val="006633A7"/>
    <w:rsid w:val="0066343B"/>
    <w:rsid w:val="00663667"/>
    <w:rsid w:val="00663A43"/>
    <w:rsid w:val="00663B8D"/>
    <w:rsid w:val="00663BE4"/>
    <w:rsid w:val="00663C3A"/>
    <w:rsid w:val="00663ED6"/>
    <w:rsid w:val="0066419B"/>
    <w:rsid w:val="006641B2"/>
    <w:rsid w:val="006648B8"/>
    <w:rsid w:val="00664A81"/>
    <w:rsid w:val="00665192"/>
    <w:rsid w:val="00665355"/>
    <w:rsid w:val="00665887"/>
    <w:rsid w:val="006659C3"/>
    <w:rsid w:val="00665A9B"/>
    <w:rsid w:val="00665B62"/>
    <w:rsid w:val="00666029"/>
    <w:rsid w:val="00666188"/>
    <w:rsid w:val="006662F6"/>
    <w:rsid w:val="00666559"/>
    <w:rsid w:val="006669BD"/>
    <w:rsid w:val="00666A79"/>
    <w:rsid w:val="00666F35"/>
    <w:rsid w:val="006671E2"/>
    <w:rsid w:val="00667413"/>
    <w:rsid w:val="006674FC"/>
    <w:rsid w:val="00667643"/>
    <w:rsid w:val="00667911"/>
    <w:rsid w:val="00667B3D"/>
    <w:rsid w:val="00667D00"/>
    <w:rsid w:val="00667D5F"/>
    <w:rsid w:val="00667F5A"/>
    <w:rsid w:val="00670650"/>
    <w:rsid w:val="006707B7"/>
    <w:rsid w:val="006707E3"/>
    <w:rsid w:val="006709A3"/>
    <w:rsid w:val="00670A56"/>
    <w:rsid w:val="00670CAA"/>
    <w:rsid w:val="00670E6B"/>
    <w:rsid w:val="00670F9D"/>
    <w:rsid w:val="00671277"/>
    <w:rsid w:val="006717BC"/>
    <w:rsid w:val="00671A3E"/>
    <w:rsid w:val="00671B0C"/>
    <w:rsid w:val="00671CB6"/>
    <w:rsid w:val="0067243A"/>
    <w:rsid w:val="006727A9"/>
    <w:rsid w:val="0067282F"/>
    <w:rsid w:val="00672C5A"/>
    <w:rsid w:val="00672DF0"/>
    <w:rsid w:val="00672EC1"/>
    <w:rsid w:val="00673271"/>
    <w:rsid w:val="006734F9"/>
    <w:rsid w:val="006736C7"/>
    <w:rsid w:val="00673913"/>
    <w:rsid w:val="00673DD1"/>
    <w:rsid w:val="00673DF7"/>
    <w:rsid w:val="00673E30"/>
    <w:rsid w:val="0067417E"/>
    <w:rsid w:val="006743CD"/>
    <w:rsid w:val="006747A4"/>
    <w:rsid w:val="006748C9"/>
    <w:rsid w:val="00674AC1"/>
    <w:rsid w:val="00674B0F"/>
    <w:rsid w:val="00674DDB"/>
    <w:rsid w:val="00675050"/>
    <w:rsid w:val="00675107"/>
    <w:rsid w:val="006758BF"/>
    <w:rsid w:val="00675AF8"/>
    <w:rsid w:val="00675B04"/>
    <w:rsid w:val="0067618F"/>
    <w:rsid w:val="0067627F"/>
    <w:rsid w:val="006764DD"/>
    <w:rsid w:val="0067653D"/>
    <w:rsid w:val="006767CE"/>
    <w:rsid w:val="006767D6"/>
    <w:rsid w:val="006768CC"/>
    <w:rsid w:val="00676965"/>
    <w:rsid w:val="00676B11"/>
    <w:rsid w:val="00676C3E"/>
    <w:rsid w:val="006772ED"/>
    <w:rsid w:val="00677344"/>
    <w:rsid w:val="00677765"/>
    <w:rsid w:val="0067778F"/>
    <w:rsid w:val="00677932"/>
    <w:rsid w:val="00677C7D"/>
    <w:rsid w:val="00680460"/>
    <w:rsid w:val="00680644"/>
    <w:rsid w:val="0068080E"/>
    <w:rsid w:val="00680A4C"/>
    <w:rsid w:val="00680B39"/>
    <w:rsid w:val="00680B5A"/>
    <w:rsid w:val="00680D53"/>
    <w:rsid w:val="00680FAD"/>
    <w:rsid w:val="00681346"/>
    <w:rsid w:val="006817EE"/>
    <w:rsid w:val="00681849"/>
    <w:rsid w:val="00681BD6"/>
    <w:rsid w:val="00681DB2"/>
    <w:rsid w:val="00681F72"/>
    <w:rsid w:val="006824F4"/>
    <w:rsid w:val="0068274E"/>
    <w:rsid w:val="00682774"/>
    <w:rsid w:val="0068287A"/>
    <w:rsid w:val="006829DD"/>
    <w:rsid w:val="00682CFD"/>
    <w:rsid w:val="0068343A"/>
    <w:rsid w:val="00683447"/>
    <w:rsid w:val="00683B4D"/>
    <w:rsid w:val="006841D5"/>
    <w:rsid w:val="00684388"/>
    <w:rsid w:val="00684AB6"/>
    <w:rsid w:val="00684B00"/>
    <w:rsid w:val="00684C46"/>
    <w:rsid w:val="00684CA8"/>
    <w:rsid w:val="00684F50"/>
    <w:rsid w:val="00684FD9"/>
    <w:rsid w:val="00685533"/>
    <w:rsid w:val="006856BA"/>
    <w:rsid w:val="00685851"/>
    <w:rsid w:val="0068592E"/>
    <w:rsid w:val="00685959"/>
    <w:rsid w:val="00685963"/>
    <w:rsid w:val="00685A39"/>
    <w:rsid w:val="00685B68"/>
    <w:rsid w:val="00685E98"/>
    <w:rsid w:val="00686652"/>
    <w:rsid w:val="006866B0"/>
    <w:rsid w:val="00686886"/>
    <w:rsid w:val="006869D7"/>
    <w:rsid w:val="00686F67"/>
    <w:rsid w:val="00687379"/>
    <w:rsid w:val="00687A43"/>
    <w:rsid w:val="006900B6"/>
    <w:rsid w:val="00690225"/>
    <w:rsid w:val="00690239"/>
    <w:rsid w:val="00690434"/>
    <w:rsid w:val="00690503"/>
    <w:rsid w:val="006906D7"/>
    <w:rsid w:val="0069083E"/>
    <w:rsid w:val="006909B5"/>
    <w:rsid w:val="006909E1"/>
    <w:rsid w:val="00690ABD"/>
    <w:rsid w:val="00690C50"/>
    <w:rsid w:val="00690D82"/>
    <w:rsid w:val="00691071"/>
    <w:rsid w:val="0069125D"/>
    <w:rsid w:val="00691366"/>
    <w:rsid w:val="006916A7"/>
    <w:rsid w:val="0069188A"/>
    <w:rsid w:val="0069194A"/>
    <w:rsid w:val="00691D0E"/>
    <w:rsid w:val="00691F73"/>
    <w:rsid w:val="00691FA5"/>
    <w:rsid w:val="0069203A"/>
    <w:rsid w:val="00692108"/>
    <w:rsid w:val="00692194"/>
    <w:rsid w:val="00692556"/>
    <w:rsid w:val="006926D0"/>
    <w:rsid w:val="006926D3"/>
    <w:rsid w:val="006927F8"/>
    <w:rsid w:val="006928DC"/>
    <w:rsid w:val="00692A09"/>
    <w:rsid w:val="00692B78"/>
    <w:rsid w:val="00692BF3"/>
    <w:rsid w:val="00692EE5"/>
    <w:rsid w:val="00692FF1"/>
    <w:rsid w:val="0069329A"/>
    <w:rsid w:val="006938C3"/>
    <w:rsid w:val="00693DC4"/>
    <w:rsid w:val="00693E33"/>
    <w:rsid w:val="0069402F"/>
    <w:rsid w:val="006944D7"/>
    <w:rsid w:val="00694B66"/>
    <w:rsid w:val="00694E38"/>
    <w:rsid w:val="006957FE"/>
    <w:rsid w:val="006958DC"/>
    <w:rsid w:val="00695988"/>
    <w:rsid w:val="00695A09"/>
    <w:rsid w:val="00695D15"/>
    <w:rsid w:val="00695D7B"/>
    <w:rsid w:val="00695E30"/>
    <w:rsid w:val="00695E49"/>
    <w:rsid w:val="00695F4D"/>
    <w:rsid w:val="006960EA"/>
    <w:rsid w:val="00696977"/>
    <w:rsid w:val="00696A98"/>
    <w:rsid w:val="00696DD4"/>
    <w:rsid w:val="00696EF0"/>
    <w:rsid w:val="00697126"/>
    <w:rsid w:val="006971E9"/>
    <w:rsid w:val="0069747B"/>
    <w:rsid w:val="006974AA"/>
    <w:rsid w:val="0069756B"/>
    <w:rsid w:val="0069794A"/>
    <w:rsid w:val="006979E4"/>
    <w:rsid w:val="00697A48"/>
    <w:rsid w:val="00697DD2"/>
    <w:rsid w:val="00697E2F"/>
    <w:rsid w:val="00697FB5"/>
    <w:rsid w:val="006A01A1"/>
    <w:rsid w:val="006A0377"/>
    <w:rsid w:val="006A04DA"/>
    <w:rsid w:val="006A064D"/>
    <w:rsid w:val="006A0659"/>
    <w:rsid w:val="006A06F9"/>
    <w:rsid w:val="006A077E"/>
    <w:rsid w:val="006A08E0"/>
    <w:rsid w:val="006A0AE0"/>
    <w:rsid w:val="006A0B58"/>
    <w:rsid w:val="006A156E"/>
    <w:rsid w:val="006A18A0"/>
    <w:rsid w:val="006A1D3F"/>
    <w:rsid w:val="006A1D4E"/>
    <w:rsid w:val="006A1F75"/>
    <w:rsid w:val="006A1F82"/>
    <w:rsid w:val="006A2A22"/>
    <w:rsid w:val="006A2B6B"/>
    <w:rsid w:val="006A2F1F"/>
    <w:rsid w:val="006A34FE"/>
    <w:rsid w:val="006A3A46"/>
    <w:rsid w:val="006A3E0D"/>
    <w:rsid w:val="006A4103"/>
    <w:rsid w:val="006A4346"/>
    <w:rsid w:val="006A46D2"/>
    <w:rsid w:val="006A4777"/>
    <w:rsid w:val="006A484C"/>
    <w:rsid w:val="006A4A29"/>
    <w:rsid w:val="006A4CE3"/>
    <w:rsid w:val="006A4FA9"/>
    <w:rsid w:val="006A5257"/>
    <w:rsid w:val="006A548C"/>
    <w:rsid w:val="006A555F"/>
    <w:rsid w:val="006A5633"/>
    <w:rsid w:val="006A602E"/>
    <w:rsid w:val="006A6035"/>
    <w:rsid w:val="006A609A"/>
    <w:rsid w:val="006A626C"/>
    <w:rsid w:val="006A630F"/>
    <w:rsid w:val="006A6583"/>
    <w:rsid w:val="006A6876"/>
    <w:rsid w:val="006A68FE"/>
    <w:rsid w:val="006A6BC7"/>
    <w:rsid w:val="006A6D50"/>
    <w:rsid w:val="006A6DC0"/>
    <w:rsid w:val="006A6F26"/>
    <w:rsid w:val="006A6F41"/>
    <w:rsid w:val="006A7499"/>
    <w:rsid w:val="006A74AD"/>
    <w:rsid w:val="006A7AA6"/>
    <w:rsid w:val="006A7E73"/>
    <w:rsid w:val="006B000F"/>
    <w:rsid w:val="006B0376"/>
    <w:rsid w:val="006B03BE"/>
    <w:rsid w:val="006B03C1"/>
    <w:rsid w:val="006B05DE"/>
    <w:rsid w:val="006B065C"/>
    <w:rsid w:val="006B0889"/>
    <w:rsid w:val="006B0A07"/>
    <w:rsid w:val="006B0C61"/>
    <w:rsid w:val="006B0D96"/>
    <w:rsid w:val="006B0DB2"/>
    <w:rsid w:val="006B0DE2"/>
    <w:rsid w:val="006B1057"/>
    <w:rsid w:val="006B13CB"/>
    <w:rsid w:val="006B158C"/>
    <w:rsid w:val="006B17D2"/>
    <w:rsid w:val="006B1AC2"/>
    <w:rsid w:val="006B1BD7"/>
    <w:rsid w:val="006B2108"/>
    <w:rsid w:val="006B2492"/>
    <w:rsid w:val="006B2506"/>
    <w:rsid w:val="006B27BF"/>
    <w:rsid w:val="006B2964"/>
    <w:rsid w:val="006B29B5"/>
    <w:rsid w:val="006B2F55"/>
    <w:rsid w:val="006B3647"/>
    <w:rsid w:val="006B36E2"/>
    <w:rsid w:val="006B3774"/>
    <w:rsid w:val="006B3A09"/>
    <w:rsid w:val="006B3AC0"/>
    <w:rsid w:val="006B3B87"/>
    <w:rsid w:val="006B3DA9"/>
    <w:rsid w:val="006B3EA4"/>
    <w:rsid w:val="006B3FC2"/>
    <w:rsid w:val="006B43CA"/>
    <w:rsid w:val="006B461C"/>
    <w:rsid w:val="006B4C92"/>
    <w:rsid w:val="006B4E7D"/>
    <w:rsid w:val="006B4F63"/>
    <w:rsid w:val="006B50AF"/>
    <w:rsid w:val="006B5753"/>
    <w:rsid w:val="006B584E"/>
    <w:rsid w:val="006B58A5"/>
    <w:rsid w:val="006B6157"/>
    <w:rsid w:val="006B6345"/>
    <w:rsid w:val="006B694F"/>
    <w:rsid w:val="006B6C81"/>
    <w:rsid w:val="006B6D77"/>
    <w:rsid w:val="006B6F7A"/>
    <w:rsid w:val="006B72C7"/>
    <w:rsid w:val="006B73FA"/>
    <w:rsid w:val="006B74C5"/>
    <w:rsid w:val="006B7501"/>
    <w:rsid w:val="006B7546"/>
    <w:rsid w:val="006B7692"/>
    <w:rsid w:val="006B76F0"/>
    <w:rsid w:val="006B787D"/>
    <w:rsid w:val="006B790E"/>
    <w:rsid w:val="006B7AF3"/>
    <w:rsid w:val="006B7E32"/>
    <w:rsid w:val="006B7E55"/>
    <w:rsid w:val="006C01A0"/>
    <w:rsid w:val="006C01C8"/>
    <w:rsid w:val="006C0659"/>
    <w:rsid w:val="006C08F5"/>
    <w:rsid w:val="006C0923"/>
    <w:rsid w:val="006C0A07"/>
    <w:rsid w:val="006C0F05"/>
    <w:rsid w:val="006C11D0"/>
    <w:rsid w:val="006C1260"/>
    <w:rsid w:val="006C135A"/>
    <w:rsid w:val="006C14EC"/>
    <w:rsid w:val="006C1697"/>
    <w:rsid w:val="006C1C13"/>
    <w:rsid w:val="006C1C30"/>
    <w:rsid w:val="006C204C"/>
    <w:rsid w:val="006C2600"/>
    <w:rsid w:val="006C2628"/>
    <w:rsid w:val="006C2A1F"/>
    <w:rsid w:val="006C2A4F"/>
    <w:rsid w:val="006C2D25"/>
    <w:rsid w:val="006C2D6A"/>
    <w:rsid w:val="006C306E"/>
    <w:rsid w:val="006C3159"/>
    <w:rsid w:val="006C343F"/>
    <w:rsid w:val="006C373C"/>
    <w:rsid w:val="006C37AA"/>
    <w:rsid w:val="006C3C03"/>
    <w:rsid w:val="006C40EA"/>
    <w:rsid w:val="006C426E"/>
    <w:rsid w:val="006C4494"/>
    <w:rsid w:val="006C4511"/>
    <w:rsid w:val="006C4909"/>
    <w:rsid w:val="006C49C2"/>
    <w:rsid w:val="006C4A10"/>
    <w:rsid w:val="006C4A1C"/>
    <w:rsid w:val="006C4A9B"/>
    <w:rsid w:val="006C4CD8"/>
    <w:rsid w:val="006C4F03"/>
    <w:rsid w:val="006C4F4A"/>
    <w:rsid w:val="006C51CA"/>
    <w:rsid w:val="006C5598"/>
    <w:rsid w:val="006C5716"/>
    <w:rsid w:val="006C5731"/>
    <w:rsid w:val="006C58CB"/>
    <w:rsid w:val="006C59FB"/>
    <w:rsid w:val="006C5DD0"/>
    <w:rsid w:val="006C6094"/>
    <w:rsid w:val="006C61B9"/>
    <w:rsid w:val="006C6223"/>
    <w:rsid w:val="006C6239"/>
    <w:rsid w:val="006C62F0"/>
    <w:rsid w:val="006C6392"/>
    <w:rsid w:val="006C6826"/>
    <w:rsid w:val="006C696B"/>
    <w:rsid w:val="006C6A17"/>
    <w:rsid w:val="006C6AA3"/>
    <w:rsid w:val="006C6B45"/>
    <w:rsid w:val="006C70D7"/>
    <w:rsid w:val="006C7A2D"/>
    <w:rsid w:val="006C7CAF"/>
    <w:rsid w:val="006C7D1F"/>
    <w:rsid w:val="006C7D98"/>
    <w:rsid w:val="006C7E95"/>
    <w:rsid w:val="006D0299"/>
    <w:rsid w:val="006D0355"/>
    <w:rsid w:val="006D0459"/>
    <w:rsid w:val="006D0E28"/>
    <w:rsid w:val="006D0F9D"/>
    <w:rsid w:val="006D0FA8"/>
    <w:rsid w:val="006D11DF"/>
    <w:rsid w:val="006D1285"/>
    <w:rsid w:val="006D143D"/>
    <w:rsid w:val="006D18AF"/>
    <w:rsid w:val="006D1AEC"/>
    <w:rsid w:val="006D1DC7"/>
    <w:rsid w:val="006D1E24"/>
    <w:rsid w:val="006D22F5"/>
    <w:rsid w:val="006D2495"/>
    <w:rsid w:val="006D24FD"/>
    <w:rsid w:val="006D2825"/>
    <w:rsid w:val="006D2FC0"/>
    <w:rsid w:val="006D30B0"/>
    <w:rsid w:val="006D348A"/>
    <w:rsid w:val="006D351A"/>
    <w:rsid w:val="006D3560"/>
    <w:rsid w:val="006D370F"/>
    <w:rsid w:val="006D3915"/>
    <w:rsid w:val="006D3971"/>
    <w:rsid w:val="006D4096"/>
    <w:rsid w:val="006D40F5"/>
    <w:rsid w:val="006D41AD"/>
    <w:rsid w:val="006D420E"/>
    <w:rsid w:val="006D436F"/>
    <w:rsid w:val="006D443F"/>
    <w:rsid w:val="006D48F7"/>
    <w:rsid w:val="006D49B5"/>
    <w:rsid w:val="006D4BE1"/>
    <w:rsid w:val="006D5219"/>
    <w:rsid w:val="006D5292"/>
    <w:rsid w:val="006D52AC"/>
    <w:rsid w:val="006D5315"/>
    <w:rsid w:val="006D5CBA"/>
    <w:rsid w:val="006D5DE9"/>
    <w:rsid w:val="006D5E23"/>
    <w:rsid w:val="006D6094"/>
    <w:rsid w:val="006D633E"/>
    <w:rsid w:val="006D6391"/>
    <w:rsid w:val="006D6441"/>
    <w:rsid w:val="006D6512"/>
    <w:rsid w:val="006D655D"/>
    <w:rsid w:val="006D670F"/>
    <w:rsid w:val="006D6745"/>
    <w:rsid w:val="006D67F0"/>
    <w:rsid w:val="006D7144"/>
    <w:rsid w:val="006D72C8"/>
    <w:rsid w:val="006D7366"/>
    <w:rsid w:val="006D78C6"/>
    <w:rsid w:val="006D7A1A"/>
    <w:rsid w:val="006D7CC0"/>
    <w:rsid w:val="006E0D1C"/>
    <w:rsid w:val="006E0DE8"/>
    <w:rsid w:val="006E0F1B"/>
    <w:rsid w:val="006E107A"/>
    <w:rsid w:val="006E1199"/>
    <w:rsid w:val="006E195C"/>
    <w:rsid w:val="006E1CEA"/>
    <w:rsid w:val="006E1D00"/>
    <w:rsid w:val="006E1E6C"/>
    <w:rsid w:val="006E21DD"/>
    <w:rsid w:val="006E222F"/>
    <w:rsid w:val="006E235C"/>
    <w:rsid w:val="006E27A3"/>
    <w:rsid w:val="006E2814"/>
    <w:rsid w:val="006E2E77"/>
    <w:rsid w:val="006E3119"/>
    <w:rsid w:val="006E33D8"/>
    <w:rsid w:val="006E35FE"/>
    <w:rsid w:val="006E36F4"/>
    <w:rsid w:val="006E393E"/>
    <w:rsid w:val="006E3A28"/>
    <w:rsid w:val="006E3CD0"/>
    <w:rsid w:val="006E3CD8"/>
    <w:rsid w:val="006E3F78"/>
    <w:rsid w:val="006E3FFA"/>
    <w:rsid w:val="006E40B4"/>
    <w:rsid w:val="006E40BB"/>
    <w:rsid w:val="006E4314"/>
    <w:rsid w:val="006E443C"/>
    <w:rsid w:val="006E47D5"/>
    <w:rsid w:val="006E4CC8"/>
    <w:rsid w:val="006E4D61"/>
    <w:rsid w:val="006E4F1D"/>
    <w:rsid w:val="006E5487"/>
    <w:rsid w:val="006E5653"/>
    <w:rsid w:val="006E572A"/>
    <w:rsid w:val="006E590F"/>
    <w:rsid w:val="006E5927"/>
    <w:rsid w:val="006E62A9"/>
    <w:rsid w:val="006E63F9"/>
    <w:rsid w:val="006E6881"/>
    <w:rsid w:val="006E7174"/>
    <w:rsid w:val="006E7210"/>
    <w:rsid w:val="006E7372"/>
    <w:rsid w:val="006E76DD"/>
    <w:rsid w:val="006E7C3F"/>
    <w:rsid w:val="006F03C2"/>
    <w:rsid w:val="006F05F6"/>
    <w:rsid w:val="006F08A1"/>
    <w:rsid w:val="006F0C8D"/>
    <w:rsid w:val="006F0CA3"/>
    <w:rsid w:val="006F0F00"/>
    <w:rsid w:val="006F0F7C"/>
    <w:rsid w:val="006F13F9"/>
    <w:rsid w:val="006F18B7"/>
    <w:rsid w:val="006F1A0B"/>
    <w:rsid w:val="006F1A2D"/>
    <w:rsid w:val="006F1E20"/>
    <w:rsid w:val="006F1E8E"/>
    <w:rsid w:val="006F211C"/>
    <w:rsid w:val="006F21CF"/>
    <w:rsid w:val="006F21D2"/>
    <w:rsid w:val="006F22EE"/>
    <w:rsid w:val="006F232A"/>
    <w:rsid w:val="006F2488"/>
    <w:rsid w:val="006F25E3"/>
    <w:rsid w:val="006F2614"/>
    <w:rsid w:val="006F26B8"/>
    <w:rsid w:val="006F2D8F"/>
    <w:rsid w:val="006F2DD0"/>
    <w:rsid w:val="006F3393"/>
    <w:rsid w:val="006F346A"/>
    <w:rsid w:val="006F39CF"/>
    <w:rsid w:val="006F3AD3"/>
    <w:rsid w:val="006F3B3C"/>
    <w:rsid w:val="006F3B7E"/>
    <w:rsid w:val="006F41BF"/>
    <w:rsid w:val="006F4272"/>
    <w:rsid w:val="006F45CC"/>
    <w:rsid w:val="006F46C3"/>
    <w:rsid w:val="006F4743"/>
    <w:rsid w:val="006F5082"/>
    <w:rsid w:val="006F50E8"/>
    <w:rsid w:val="006F5243"/>
    <w:rsid w:val="006F5685"/>
    <w:rsid w:val="006F56C5"/>
    <w:rsid w:val="006F5811"/>
    <w:rsid w:val="006F5961"/>
    <w:rsid w:val="006F5ED4"/>
    <w:rsid w:val="006F5F2B"/>
    <w:rsid w:val="006F6349"/>
    <w:rsid w:val="006F651D"/>
    <w:rsid w:val="006F65F5"/>
    <w:rsid w:val="006F684A"/>
    <w:rsid w:val="006F6BCE"/>
    <w:rsid w:val="006F6D89"/>
    <w:rsid w:val="006F74F1"/>
    <w:rsid w:val="006F766D"/>
    <w:rsid w:val="006F769D"/>
    <w:rsid w:val="006F7794"/>
    <w:rsid w:val="006F78D4"/>
    <w:rsid w:val="006F79C2"/>
    <w:rsid w:val="006F7A62"/>
    <w:rsid w:val="006F7AE7"/>
    <w:rsid w:val="006F7B7A"/>
    <w:rsid w:val="006F7C49"/>
    <w:rsid w:val="006F7ED7"/>
    <w:rsid w:val="006F7F86"/>
    <w:rsid w:val="00700637"/>
    <w:rsid w:val="00700A5C"/>
    <w:rsid w:val="007012E7"/>
    <w:rsid w:val="007013D4"/>
    <w:rsid w:val="00701559"/>
    <w:rsid w:val="0070158B"/>
    <w:rsid w:val="007017F8"/>
    <w:rsid w:val="00701DA2"/>
    <w:rsid w:val="00702308"/>
    <w:rsid w:val="007024CB"/>
    <w:rsid w:val="00702506"/>
    <w:rsid w:val="007028C5"/>
    <w:rsid w:val="00702968"/>
    <w:rsid w:val="00702C16"/>
    <w:rsid w:val="0070303B"/>
    <w:rsid w:val="00703368"/>
    <w:rsid w:val="0070377F"/>
    <w:rsid w:val="007037BA"/>
    <w:rsid w:val="007038D9"/>
    <w:rsid w:val="007039DC"/>
    <w:rsid w:val="00703A47"/>
    <w:rsid w:val="00703F53"/>
    <w:rsid w:val="007043C3"/>
    <w:rsid w:val="0070451F"/>
    <w:rsid w:val="00704641"/>
    <w:rsid w:val="00704D5E"/>
    <w:rsid w:val="00705276"/>
    <w:rsid w:val="007056A9"/>
    <w:rsid w:val="007056CB"/>
    <w:rsid w:val="007057B6"/>
    <w:rsid w:val="00705A47"/>
    <w:rsid w:val="00705A48"/>
    <w:rsid w:val="00705A5C"/>
    <w:rsid w:val="00705AF0"/>
    <w:rsid w:val="00705C36"/>
    <w:rsid w:val="00706039"/>
    <w:rsid w:val="00706073"/>
    <w:rsid w:val="0070670F"/>
    <w:rsid w:val="007068D4"/>
    <w:rsid w:val="00706D2C"/>
    <w:rsid w:val="00706F94"/>
    <w:rsid w:val="0070720A"/>
    <w:rsid w:val="00707556"/>
    <w:rsid w:val="007076DE"/>
    <w:rsid w:val="00707794"/>
    <w:rsid w:val="00707883"/>
    <w:rsid w:val="00707A39"/>
    <w:rsid w:val="00707C3F"/>
    <w:rsid w:val="007102F8"/>
    <w:rsid w:val="007106DF"/>
    <w:rsid w:val="007107EA"/>
    <w:rsid w:val="007108F9"/>
    <w:rsid w:val="00710E40"/>
    <w:rsid w:val="007110A5"/>
    <w:rsid w:val="00711138"/>
    <w:rsid w:val="0071119D"/>
    <w:rsid w:val="007111FC"/>
    <w:rsid w:val="007117ED"/>
    <w:rsid w:val="00711883"/>
    <w:rsid w:val="0071188B"/>
    <w:rsid w:val="00711E9C"/>
    <w:rsid w:val="00711F3E"/>
    <w:rsid w:val="00712080"/>
    <w:rsid w:val="007121A2"/>
    <w:rsid w:val="0071233B"/>
    <w:rsid w:val="00712488"/>
    <w:rsid w:val="0071291C"/>
    <w:rsid w:val="00712A01"/>
    <w:rsid w:val="00712B75"/>
    <w:rsid w:val="00712BB7"/>
    <w:rsid w:val="00712F58"/>
    <w:rsid w:val="00712FBB"/>
    <w:rsid w:val="00713184"/>
    <w:rsid w:val="007133EA"/>
    <w:rsid w:val="00713423"/>
    <w:rsid w:val="007134E5"/>
    <w:rsid w:val="007135FA"/>
    <w:rsid w:val="007136AE"/>
    <w:rsid w:val="007136CC"/>
    <w:rsid w:val="0071373A"/>
    <w:rsid w:val="007139EA"/>
    <w:rsid w:val="00713AD3"/>
    <w:rsid w:val="00713E2C"/>
    <w:rsid w:val="00714236"/>
    <w:rsid w:val="007144A5"/>
    <w:rsid w:val="0071463D"/>
    <w:rsid w:val="007146A6"/>
    <w:rsid w:val="00714759"/>
    <w:rsid w:val="00714844"/>
    <w:rsid w:val="00714964"/>
    <w:rsid w:val="00714A71"/>
    <w:rsid w:val="00714B19"/>
    <w:rsid w:val="00714BF3"/>
    <w:rsid w:val="00714C59"/>
    <w:rsid w:val="00714CB5"/>
    <w:rsid w:val="007152C8"/>
    <w:rsid w:val="00715386"/>
    <w:rsid w:val="007154ED"/>
    <w:rsid w:val="00715508"/>
    <w:rsid w:val="00715752"/>
    <w:rsid w:val="0071578E"/>
    <w:rsid w:val="00715B1E"/>
    <w:rsid w:val="0071611E"/>
    <w:rsid w:val="007165A4"/>
    <w:rsid w:val="00716767"/>
    <w:rsid w:val="0071685D"/>
    <w:rsid w:val="00716902"/>
    <w:rsid w:val="00716A71"/>
    <w:rsid w:val="00716C40"/>
    <w:rsid w:val="00716D4C"/>
    <w:rsid w:val="00716EF5"/>
    <w:rsid w:val="007170D1"/>
    <w:rsid w:val="0071719B"/>
    <w:rsid w:val="007172BF"/>
    <w:rsid w:val="00717636"/>
    <w:rsid w:val="007176FD"/>
    <w:rsid w:val="007177F1"/>
    <w:rsid w:val="00717D11"/>
    <w:rsid w:val="007201D1"/>
    <w:rsid w:val="00720418"/>
    <w:rsid w:val="007204D6"/>
    <w:rsid w:val="0072056E"/>
    <w:rsid w:val="00720DE2"/>
    <w:rsid w:val="00720E2E"/>
    <w:rsid w:val="00720EBE"/>
    <w:rsid w:val="00720ED7"/>
    <w:rsid w:val="00720F29"/>
    <w:rsid w:val="0072166B"/>
    <w:rsid w:val="007218C1"/>
    <w:rsid w:val="00721C6C"/>
    <w:rsid w:val="00721EB4"/>
    <w:rsid w:val="00722BBC"/>
    <w:rsid w:val="00722D66"/>
    <w:rsid w:val="00722D9A"/>
    <w:rsid w:val="00722FC9"/>
    <w:rsid w:val="0072325E"/>
    <w:rsid w:val="0072346A"/>
    <w:rsid w:val="00723ACE"/>
    <w:rsid w:val="00723B9E"/>
    <w:rsid w:val="00723DFC"/>
    <w:rsid w:val="00723F6C"/>
    <w:rsid w:val="007242D1"/>
    <w:rsid w:val="0072478C"/>
    <w:rsid w:val="007249C6"/>
    <w:rsid w:val="007249DC"/>
    <w:rsid w:val="00724C44"/>
    <w:rsid w:val="00724D0B"/>
    <w:rsid w:val="00724D52"/>
    <w:rsid w:val="00725267"/>
    <w:rsid w:val="0072545D"/>
    <w:rsid w:val="007257A5"/>
    <w:rsid w:val="00725827"/>
    <w:rsid w:val="00725B24"/>
    <w:rsid w:val="00725BDB"/>
    <w:rsid w:val="00725CE6"/>
    <w:rsid w:val="00725E7B"/>
    <w:rsid w:val="00725F43"/>
    <w:rsid w:val="00725FF2"/>
    <w:rsid w:val="0072604E"/>
    <w:rsid w:val="00726193"/>
    <w:rsid w:val="007268F7"/>
    <w:rsid w:val="00726A6E"/>
    <w:rsid w:val="00726B31"/>
    <w:rsid w:val="00726EFC"/>
    <w:rsid w:val="00727197"/>
    <w:rsid w:val="007272C3"/>
    <w:rsid w:val="00727754"/>
    <w:rsid w:val="0073006A"/>
    <w:rsid w:val="0073016D"/>
    <w:rsid w:val="00730602"/>
    <w:rsid w:val="00730A7E"/>
    <w:rsid w:val="00730C27"/>
    <w:rsid w:val="00730CC6"/>
    <w:rsid w:val="0073121A"/>
    <w:rsid w:val="007315BF"/>
    <w:rsid w:val="00731A36"/>
    <w:rsid w:val="00731D85"/>
    <w:rsid w:val="00731EF1"/>
    <w:rsid w:val="00731F02"/>
    <w:rsid w:val="00731F57"/>
    <w:rsid w:val="00732172"/>
    <w:rsid w:val="00732894"/>
    <w:rsid w:val="00732B75"/>
    <w:rsid w:val="00733011"/>
    <w:rsid w:val="0073307F"/>
    <w:rsid w:val="007332CC"/>
    <w:rsid w:val="0073347F"/>
    <w:rsid w:val="007334E5"/>
    <w:rsid w:val="0073358C"/>
    <w:rsid w:val="007335CD"/>
    <w:rsid w:val="00734085"/>
    <w:rsid w:val="007342B1"/>
    <w:rsid w:val="007346EB"/>
    <w:rsid w:val="0073473B"/>
    <w:rsid w:val="00734842"/>
    <w:rsid w:val="00734D2E"/>
    <w:rsid w:val="00734D83"/>
    <w:rsid w:val="00735137"/>
    <w:rsid w:val="00735265"/>
    <w:rsid w:val="0073538D"/>
    <w:rsid w:val="00735628"/>
    <w:rsid w:val="00735645"/>
    <w:rsid w:val="007357CB"/>
    <w:rsid w:val="007358C0"/>
    <w:rsid w:val="00735D03"/>
    <w:rsid w:val="00736255"/>
    <w:rsid w:val="00736374"/>
    <w:rsid w:val="00736386"/>
    <w:rsid w:val="0073642B"/>
    <w:rsid w:val="007370E1"/>
    <w:rsid w:val="0073772F"/>
    <w:rsid w:val="0073780B"/>
    <w:rsid w:val="007379C9"/>
    <w:rsid w:val="007379FB"/>
    <w:rsid w:val="00737B7B"/>
    <w:rsid w:val="00740392"/>
    <w:rsid w:val="0074066A"/>
    <w:rsid w:val="007409CA"/>
    <w:rsid w:val="00740A0F"/>
    <w:rsid w:val="00740C7D"/>
    <w:rsid w:val="00740FF4"/>
    <w:rsid w:val="00741088"/>
    <w:rsid w:val="00741240"/>
    <w:rsid w:val="007413D6"/>
    <w:rsid w:val="0074156E"/>
    <w:rsid w:val="00741A6C"/>
    <w:rsid w:val="00741B0F"/>
    <w:rsid w:val="00741B43"/>
    <w:rsid w:val="00741E81"/>
    <w:rsid w:val="007422B3"/>
    <w:rsid w:val="007422FF"/>
    <w:rsid w:val="007424B5"/>
    <w:rsid w:val="007425D4"/>
    <w:rsid w:val="00742753"/>
    <w:rsid w:val="00742F1C"/>
    <w:rsid w:val="00742FA2"/>
    <w:rsid w:val="0074349C"/>
    <w:rsid w:val="007436B6"/>
    <w:rsid w:val="00743F16"/>
    <w:rsid w:val="00744343"/>
    <w:rsid w:val="00744597"/>
    <w:rsid w:val="007448EE"/>
    <w:rsid w:val="00744E7A"/>
    <w:rsid w:val="00744F55"/>
    <w:rsid w:val="007450D3"/>
    <w:rsid w:val="007454AB"/>
    <w:rsid w:val="007454B1"/>
    <w:rsid w:val="007454CC"/>
    <w:rsid w:val="00745E4E"/>
    <w:rsid w:val="00745FF5"/>
    <w:rsid w:val="00746319"/>
    <w:rsid w:val="00746473"/>
    <w:rsid w:val="00746AD6"/>
    <w:rsid w:val="00746DBD"/>
    <w:rsid w:val="00747121"/>
    <w:rsid w:val="007472F4"/>
    <w:rsid w:val="00747843"/>
    <w:rsid w:val="00747A6A"/>
    <w:rsid w:val="007502DF"/>
    <w:rsid w:val="00750435"/>
    <w:rsid w:val="00750639"/>
    <w:rsid w:val="00750701"/>
    <w:rsid w:val="00750705"/>
    <w:rsid w:val="0075091B"/>
    <w:rsid w:val="00750E05"/>
    <w:rsid w:val="007511C0"/>
    <w:rsid w:val="00751670"/>
    <w:rsid w:val="00751852"/>
    <w:rsid w:val="00751A7E"/>
    <w:rsid w:val="00751A81"/>
    <w:rsid w:val="007523BE"/>
    <w:rsid w:val="00752A0A"/>
    <w:rsid w:val="00752A75"/>
    <w:rsid w:val="00752B93"/>
    <w:rsid w:val="00752F90"/>
    <w:rsid w:val="00753091"/>
    <w:rsid w:val="0075328C"/>
    <w:rsid w:val="00753352"/>
    <w:rsid w:val="00753814"/>
    <w:rsid w:val="0075408B"/>
    <w:rsid w:val="00754205"/>
    <w:rsid w:val="007544C7"/>
    <w:rsid w:val="007544E5"/>
    <w:rsid w:val="00754615"/>
    <w:rsid w:val="00754ED8"/>
    <w:rsid w:val="00754EFB"/>
    <w:rsid w:val="00754F97"/>
    <w:rsid w:val="00754FCE"/>
    <w:rsid w:val="007553AF"/>
    <w:rsid w:val="00755610"/>
    <w:rsid w:val="00755669"/>
    <w:rsid w:val="007556FC"/>
    <w:rsid w:val="00755E0B"/>
    <w:rsid w:val="00755FD5"/>
    <w:rsid w:val="00756312"/>
    <w:rsid w:val="007565C0"/>
    <w:rsid w:val="007569F0"/>
    <w:rsid w:val="00756DDD"/>
    <w:rsid w:val="00756EE4"/>
    <w:rsid w:val="00756F9E"/>
    <w:rsid w:val="0075706E"/>
    <w:rsid w:val="007570C9"/>
    <w:rsid w:val="0075756A"/>
    <w:rsid w:val="00757622"/>
    <w:rsid w:val="007576A8"/>
    <w:rsid w:val="007576B4"/>
    <w:rsid w:val="00757844"/>
    <w:rsid w:val="00757A7F"/>
    <w:rsid w:val="00757B07"/>
    <w:rsid w:val="00757D91"/>
    <w:rsid w:val="00757F81"/>
    <w:rsid w:val="00760343"/>
    <w:rsid w:val="007603CB"/>
    <w:rsid w:val="0076044B"/>
    <w:rsid w:val="007604A7"/>
    <w:rsid w:val="00760899"/>
    <w:rsid w:val="00760FA1"/>
    <w:rsid w:val="0076121F"/>
    <w:rsid w:val="00761734"/>
    <w:rsid w:val="007617BD"/>
    <w:rsid w:val="00761A14"/>
    <w:rsid w:val="00761DB7"/>
    <w:rsid w:val="00761F87"/>
    <w:rsid w:val="007620AF"/>
    <w:rsid w:val="00762574"/>
    <w:rsid w:val="00762612"/>
    <w:rsid w:val="007627F3"/>
    <w:rsid w:val="00762937"/>
    <w:rsid w:val="00762AE5"/>
    <w:rsid w:val="00762C16"/>
    <w:rsid w:val="00762E43"/>
    <w:rsid w:val="00762F1E"/>
    <w:rsid w:val="0076345D"/>
    <w:rsid w:val="00763470"/>
    <w:rsid w:val="0076356F"/>
    <w:rsid w:val="007638D8"/>
    <w:rsid w:val="0076391E"/>
    <w:rsid w:val="0076396E"/>
    <w:rsid w:val="00763BFD"/>
    <w:rsid w:val="00763D50"/>
    <w:rsid w:val="00763D94"/>
    <w:rsid w:val="00763E78"/>
    <w:rsid w:val="0076406D"/>
    <w:rsid w:val="007641BF"/>
    <w:rsid w:val="00764875"/>
    <w:rsid w:val="00764952"/>
    <w:rsid w:val="00764A9F"/>
    <w:rsid w:val="00764C50"/>
    <w:rsid w:val="007650D4"/>
    <w:rsid w:val="0076521C"/>
    <w:rsid w:val="00765294"/>
    <w:rsid w:val="0076565A"/>
    <w:rsid w:val="00765799"/>
    <w:rsid w:val="0076596E"/>
    <w:rsid w:val="00765994"/>
    <w:rsid w:val="00765CD2"/>
    <w:rsid w:val="00765F3C"/>
    <w:rsid w:val="00765F95"/>
    <w:rsid w:val="0076602B"/>
    <w:rsid w:val="007665CC"/>
    <w:rsid w:val="007665E5"/>
    <w:rsid w:val="00766A9C"/>
    <w:rsid w:val="00766C95"/>
    <w:rsid w:val="00767024"/>
    <w:rsid w:val="0076709C"/>
    <w:rsid w:val="0076710B"/>
    <w:rsid w:val="0076749E"/>
    <w:rsid w:val="007674E8"/>
    <w:rsid w:val="00767922"/>
    <w:rsid w:val="00767930"/>
    <w:rsid w:val="00767A48"/>
    <w:rsid w:val="00767A7A"/>
    <w:rsid w:val="00767E61"/>
    <w:rsid w:val="00770038"/>
    <w:rsid w:val="0077026F"/>
    <w:rsid w:val="00770406"/>
    <w:rsid w:val="007704D2"/>
    <w:rsid w:val="0077056B"/>
    <w:rsid w:val="007706FA"/>
    <w:rsid w:val="00770A0D"/>
    <w:rsid w:val="00770A54"/>
    <w:rsid w:val="007710A1"/>
    <w:rsid w:val="007710F6"/>
    <w:rsid w:val="0077120A"/>
    <w:rsid w:val="007714FF"/>
    <w:rsid w:val="00771690"/>
    <w:rsid w:val="00771C18"/>
    <w:rsid w:val="00771F58"/>
    <w:rsid w:val="00772043"/>
    <w:rsid w:val="007720D7"/>
    <w:rsid w:val="007722AD"/>
    <w:rsid w:val="007723D8"/>
    <w:rsid w:val="007724DD"/>
    <w:rsid w:val="0077270A"/>
    <w:rsid w:val="007729CC"/>
    <w:rsid w:val="00772B09"/>
    <w:rsid w:val="00772FDD"/>
    <w:rsid w:val="00773989"/>
    <w:rsid w:val="007739AB"/>
    <w:rsid w:val="00773A74"/>
    <w:rsid w:val="00773E7D"/>
    <w:rsid w:val="00773E89"/>
    <w:rsid w:val="00773F83"/>
    <w:rsid w:val="00773FC0"/>
    <w:rsid w:val="00774627"/>
    <w:rsid w:val="0077469E"/>
    <w:rsid w:val="00774B18"/>
    <w:rsid w:val="00774E45"/>
    <w:rsid w:val="00774FD5"/>
    <w:rsid w:val="0077504C"/>
    <w:rsid w:val="007753B3"/>
    <w:rsid w:val="00775756"/>
    <w:rsid w:val="00775A6E"/>
    <w:rsid w:val="00775AE3"/>
    <w:rsid w:val="00775B2C"/>
    <w:rsid w:val="00775D1C"/>
    <w:rsid w:val="00775E5E"/>
    <w:rsid w:val="007761EC"/>
    <w:rsid w:val="007767CC"/>
    <w:rsid w:val="0077683D"/>
    <w:rsid w:val="00776C00"/>
    <w:rsid w:val="00776EB6"/>
    <w:rsid w:val="00777000"/>
    <w:rsid w:val="00777199"/>
    <w:rsid w:val="007771D0"/>
    <w:rsid w:val="007771D9"/>
    <w:rsid w:val="00777354"/>
    <w:rsid w:val="0077745E"/>
    <w:rsid w:val="007774BC"/>
    <w:rsid w:val="00777695"/>
    <w:rsid w:val="00777D86"/>
    <w:rsid w:val="00777DDD"/>
    <w:rsid w:val="00777DF5"/>
    <w:rsid w:val="00777FEC"/>
    <w:rsid w:val="007805B1"/>
    <w:rsid w:val="0078096D"/>
    <w:rsid w:val="00780B43"/>
    <w:rsid w:val="00781190"/>
    <w:rsid w:val="007813CD"/>
    <w:rsid w:val="00781544"/>
    <w:rsid w:val="00781610"/>
    <w:rsid w:val="00781C66"/>
    <w:rsid w:val="00781C71"/>
    <w:rsid w:val="00781F2D"/>
    <w:rsid w:val="00781FFF"/>
    <w:rsid w:val="00782103"/>
    <w:rsid w:val="007821B3"/>
    <w:rsid w:val="00782327"/>
    <w:rsid w:val="00782342"/>
    <w:rsid w:val="00782391"/>
    <w:rsid w:val="00782569"/>
    <w:rsid w:val="00782609"/>
    <w:rsid w:val="0078290B"/>
    <w:rsid w:val="00782A39"/>
    <w:rsid w:val="00782A42"/>
    <w:rsid w:val="00782C56"/>
    <w:rsid w:val="00782FA7"/>
    <w:rsid w:val="007839E0"/>
    <w:rsid w:val="00783BA9"/>
    <w:rsid w:val="0078426F"/>
    <w:rsid w:val="00784534"/>
    <w:rsid w:val="007848EC"/>
    <w:rsid w:val="00784987"/>
    <w:rsid w:val="00784BF8"/>
    <w:rsid w:val="00784EE3"/>
    <w:rsid w:val="007850DC"/>
    <w:rsid w:val="007853C6"/>
    <w:rsid w:val="00785695"/>
    <w:rsid w:val="0078597D"/>
    <w:rsid w:val="00785B7A"/>
    <w:rsid w:val="00785ED9"/>
    <w:rsid w:val="007865B3"/>
    <w:rsid w:val="007867C8"/>
    <w:rsid w:val="0078686D"/>
    <w:rsid w:val="00786A06"/>
    <w:rsid w:val="00786B8D"/>
    <w:rsid w:val="00786BA3"/>
    <w:rsid w:val="00786BFF"/>
    <w:rsid w:val="00786D27"/>
    <w:rsid w:val="00786F03"/>
    <w:rsid w:val="00787115"/>
    <w:rsid w:val="007872D9"/>
    <w:rsid w:val="00787553"/>
    <w:rsid w:val="007876B7"/>
    <w:rsid w:val="007876ED"/>
    <w:rsid w:val="00787821"/>
    <w:rsid w:val="00787930"/>
    <w:rsid w:val="007879C6"/>
    <w:rsid w:val="00787A46"/>
    <w:rsid w:val="00787AD9"/>
    <w:rsid w:val="00787DCF"/>
    <w:rsid w:val="00787FF5"/>
    <w:rsid w:val="0079032F"/>
    <w:rsid w:val="00790AA7"/>
    <w:rsid w:val="00790BC6"/>
    <w:rsid w:val="00791190"/>
    <w:rsid w:val="00791C7E"/>
    <w:rsid w:val="00791DAC"/>
    <w:rsid w:val="007920BC"/>
    <w:rsid w:val="00792133"/>
    <w:rsid w:val="007921BC"/>
    <w:rsid w:val="0079229D"/>
    <w:rsid w:val="007922C0"/>
    <w:rsid w:val="007923A2"/>
    <w:rsid w:val="007924AD"/>
    <w:rsid w:val="00792B0E"/>
    <w:rsid w:val="00792B86"/>
    <w:rsid w:val="00792BA1"/>
    <w:rsid w:val="00792CE7"/>
    <w:rsid w:val="0079357B"/>
    <w:rsid w:val="00794378"/>
    <w:rsid w:val="0079459E"/>
    <w:rsid w:val="0079481C"/>
    <w:rsid w:val="00794D2D"/>
    <w:rsid w:val="00794D9D"/>
    <w:rsid w:val="00794E96"/>
    <w:rsid w:val="00794FF9"/>
    <w:rsid w:val="007957B5"/>
    <w:rsid w:val="00795BD7"/>
    <w:rsid w:val="00795C4B"/>
    <w:rsid w:val="00795D6D"/>
    <w:rsid w:val="007975D6"/>
    <w:rsid w:val="00797754"/>
    <w:rsid w:val="00797773"/>
    <w:rsid w:val="007978DF"/>
    <w:rsid w:val="00797923"/>
    <w:rsid w:val="007979E5"/>
    <w:rsid w:val="00797C1E"/>
    <w:rsid w:val="00797CBA"/>
    <w:rsid w:val="007A0126"/>
    <w:rsid w:val="007A01F4"/>
    <w:rsid w:val="007A0496"/>
    <w:rsid w:val="007A06CF"/>
    <w:rsid w:val="007A0767"/>
    <w:rsid w:val="007A0C92"/>
    <w:rsid w:val="007A0DD8"/>
    <w:rsid w:val="007A0DF7"/>
    <w:rsid w:val="007A0E0A"/>
    <w:rsid w:val="007A1365"/>
    <w:rsid w:val="007A166F"/>
    <w:rsid w:val="007A1850"/>
    <w:rsid w:val="007A1C18"/>
    <w:rsid w:val="007A1F43"/>
    <w:rsid w:val="007A25BF"/>
    <w:rsid w:val="007A2925"/>
    <w:rsid w:val="007A29DE"/>
    <w:rsid w:val="007A2CCE"/>
    <w:rsid w:val="007A2FA1"/>
    <w:rsid w:val="007A346B"/>
    <w:rsid w:val="007A381B"/>
    <w:rsid w:val="007A3908"/>
    <w:rsid w:val="007A3F9C"/>
    <w:rsid w:val="007A4516"/>
    <w:rsid w:val="007A4775"/>
    <w:rsid w:val="007A47EC"/>
    <w:rsid w:val="007A4C58"/>
    <w:rsid w:val="007A4EA1"/>
    <w:rsid w:val="007A5304"/>
    <w:rsid w:val="007A53AB"/>
    <w:rsid w:val="007A59A9"/>
    <w:rsid w:val="007A59BA"/>
    <w:rsid w:val="007A5A8F"/>
    <w:rsid w:val="007A5CFB"/>
    <w:rsid w:val="007A63D6"/>
    <w:rsid w:val="007A63E4"/>
    <w:rsid w:val="007A66C7"/>
    <w:rsid w:val="007A6A7E"/>
    <w:rsid w:val="007A6DCB"/>
    <w:rsid w:val="007A6F34"/>
    <w:rsid w:val="007A7467"/>
    <w:rsid w:val="007A74D6"/>
    <w:rsid w:val="007A78E7"/>
    <w:rsid w:val="007A7EDF"/>
    <w:rsid w:val="007A7FA7"/>
    <w:rsid w:val="007B01F6"/>
    <w:rsid w:val="007B0A7B"/>
    <w:rsid w:val="007B0C15"/>
    <w:rsid w:val="007B1315"/>
    <w:rsid w:val="007B14F3"/>
    <w:rsid w:val="007B168E"/>
    <w:rsid w:val="007B19ED"/>
    <w:rsid w:val="007B1C89"/>
    <w:rsid w:val="007B1FD2"/>
    <w:rsid w:val="007B22EA"/>
    <w:rsid w:val="007B23C1"/>
    <w:rsid w:val="007B28DD"/>
    <w:rsid w:val="007B2AD8"/>
    <w:rsid w:val="007B2BD0"/>
    <w:rsid w:val="007B2BF3"/>
    <w:rsid w:val="007B2F4B"/>
    <w:rsid w:val="007B3024"/>
    <w:rsid w:val="007B35A6"/>
    <w:rsid w:val="007B3805"/>
    <w:rsid w:val="007B38AB"/>
    <w:rsid w:val="007B38E0"/>
    <w:rsid w:val="007B3A39"/>
    <w:rsid w:val="007B3BB1"/>
    <w:rsid w:val="007B3C0F"/>
    <w:rsid w:val="007B3CD3"/>
    <w:rsid w:val="007B3DCA"/>
    <w:rsid w:val="007B3F00"/>
    <w:rsid w:val="007B412F"/>
    <w:rsid w:val="007B44DB"/>
    <w:rsid w:val="007B47D5"/>
    <w:rsid w:val="007B4943"/>
    <w:rsid w:val="007B4B82"/>
    <w:rsid w:val="007B4BEA"/>
    <w:rsid w:val="007B4C26"/>
    <w:rsid w:val="007B4C6E"/>
    <w:rsid w:val="007B5162"/>
    <w:rsid w:val="007B52AA"/>
    <w:rsid w:val="007B52BE"/>
    <w:rsid w:val="007B5361"/>
    <w:rsid w:val="007B54F3"/>
    <w:rsid w:val="007B558C"/>
    <w:rsid w:val="007B5A46"/>
    <w:rsid w:val="007B5C25"/>
    <w:rsid w:val="007B5CCA"/>
    <w:rsid w:val="007B63EA"/>
    <w:rsid w:val="007B6744"/>
    <w:rsid w:val="007B67B2"/>
    <w:rsid w:val="007B6BBD"/>
    <w:rsid w:val="007B6BD7"/>
    <w:rsid w:val="007B6E66"/>
    <w:rsid w:val="007B7135"/>
    <w:rsid w:val="007B728F"/>
    <w:rsid w:val="007B73F2"/>
    <w:rsid w:val="007B79AC"/>
    <w:rsid w:val="007C03CF"/>
    <w:rsid w:val="007C052F"/>
    <w:rsid w:val="007C0666"/>
    <w:rsid w:val="007C06E3"/>
    <w:rsid w:val="007C0901"/>
    <w:rsid w:val="007C09ED"/>
    <w:rsid w:val="007C0B72"/>
    <w:rsid w:val="007C10F9"/>
    <w:rsid w:val="007C1270"/>
    <w:rsid w:val="007C136A"/>
    <w:rsid w:val="007C1669"/>
    <w:rsid w:val="007C1671"/>
    <w:rsid w:val="007C16D4"/>
    <w:rsid w:val="007C1B88"/>
    <w:rsid w:val="007C1E06"/>
    <w:rsid w:val="007C219A"/>
    <w:rsid w:val="007C2231"/>
    <w:rsid w:val="007C234C"/>
    <w:rsid w:val="007C2433"/>
    <w:rsid w:val="007C26A8"/>
    <w:rsid w:val="007C2A71"/>
    <w:rsid w:val="007C2EA2"/>
    <w:rsid w:val="007C319C"/>
    <w:rsid w:val="007C3D30"/>
    <w:rsid w:val="007C4037"/>
    <w:rsid w:val="007C4352"/>
    <w:rsid w:val="007C448E"/>
    <w:rsid w:val="007C452E"/>
    <w:rsid w:val="007C4538"/>
    <w:rsid w:val="007C4A19"/>
    <w:rsid w:val="007C4A7F"/>
    <w:rsid w:val="007C4CC4"/>
    <w:rsid w:val="007C4D3D"/>
    <w:rsid w:val="007C544F"/>
    <w:rsid w:val="007C5933"/>
    <w:rsid w:val="007C5C21"/>
    <w:rsid w:val="007C5C53"/>
    <w:rsid w:val="007C5E27"/>
    <w:rsid w:val="007C5F07"/>
    <w:rsid w:val="007C614D"/>
    <w:rsid w:val="007C6221"/>
    <w:rsid w:val="007C63B7"/>
    <w:rsid w:val="007C6AE9"/>
    <w:rsid w:val="007C6B51"/>
    <w:rsid w:val="007C6CF4"/>
    <w:rsid w:val="007C7181"/>
    <w:rsid w:val="007C7248"/>
    <w:rsid w:val="007C731B"/>
    <w:rsid w:val="007C762F"/>
    <w:rsid w:val="007C797B"/>
    <w:rsid w:val="007C7AA4"/>
    <w:rsid w:val="007C7B01"/>
    <w:rsid w:val="007C7D35"/>
    <w:rsid w:val="007D07DB"/>
    <w:rsid w:val="007D0842"/>
    <w:rsid w:val="007D085F"/>
    <w:rsid w:val="007D08AD"/>
    <w:rsid w:val="007D0C5F"/>
    <w:rsid w:val="007D0D86"/>
    <w:rsid w:val="007D0D8D"/>
    <w:rsid w:val="007D12DC"/>
    <w:rsid w:val="007D12FE"/>
    <w:rsid w:val="007D1425"/>
    <w:rsid w:val="007D1438"/>
    <w:rsid w:val="007D17D1"/>
    <w:rsid w:val="007D18B2"/>
    <w:rsid w:val="007D1BAB"/>
    <w:rsid w:val="007D1F00"/>
    <w:rsid w:val="007D20E3"/>
    <w:rsid w:val="007D239F"/>
    <w:rsid w:val="007D2703"/>
    <w:rsid w:val="007D2881"/>
    <w:rsid w:val="007D293D"/>
    <w:rsid w:val="007D38C0"/>
    <w:rsid w:val="007D3D8E"/>
    <w:rsid w:val="007D3FF7"/>
    <w:rsid w:val="007D43DF"/>
    <w:rsid w:val="007D4656"/>
    <w:rsid w:val="007D46B8"/>
    <w:rsid w:val="007D46FD"/>
    <w:rsid w:val="007D4940"/>
    <w:rsid w:val="007D4960"/>
    <w:rsid w:val="007D4AF5"/>
    <w:rsid w:val="007D4B58"/>
    <w:rsid w:val="007D4D4E"/>
    <w:rsid w:val="007D4DA6"/>
    <w:rsid w:val="007D523F"/>
    <w:rsid w:val="007D52B6"/>
    <w:rsid w:val="007D5418"/>
    <w:rsid w:val="007D5EB6"/>
    <w:rsid w:val="007D63B0"/>
    <w:rsid w:val="007D69B3"/>
    <w:rsid w:val="007D6A38"/>
    <w:rsid w:val="007D6F1C"/>
    <w:rsid w:val="007D79A2"/>
    <w:rsid w:val="007D7C6D"/>
    <w:rsid w:val="007E03C9"/>
    <w:rsid w:val="007E06B3"/>
    <w:rsid w:val="007E0B59"/>
    <w:rsid w:val="007E0FCA"/>
    <w:rsid w:val="007E10CC"/>
    <w:rsid w:val="007E1360"/>
    <w:rsid w:val="007E159B"/>
    <w:rsid w:val="007E1A30"/>
    <w:rsid w:val="007E1BA5"/>
    <w:rsid w:val="007E1EAE"/>
    <w:rsid w:val="007E1EFB"/>
    <w:rsid w:val="007E2285"/>
    <w:rsid w:val="007E24F0"/>
    <w:rsid w:val="007E2754"/>
    <w:rsid w:val="007E2B9B"/>
    <w:rsid w:val="007E2BD3"/>
    <w:rsid w:val="007E2D8B"/>
    <w:rsid w:val="007E332C"/>
    <w:rsid w:val="007E3707"/>
    <w:rsid w:val="007E37B3"/>
    <w:rsid w:val="007E3D9C"/>
    <w:rsid w:val="007E42DA"/>
    <w:rsid w:val="007E4339"/>
    <w:rsid w:val="007E4584"/>
    <w:rsid w:val="007E466F"/>
    <w:rsid w:val="007E4747"/>
    <w:rsid w:val="007E4CAD"/>
    <w:rsid w:val="007E5009"/>
    <w:rsid w:val="007E5126"/>
    <w:rsid w:val="007E528E"/>
    <w:rsid w:val="007E5B81"/>
    <w:rsid w:val="007E5E34"/>
    <w:rsid w:val="007E60AA"/>
    <w:rsid w:val="007E659D"/>
    <w:rsid w:val="007E65BF"/>
    <w:rsid w:val="007E6639"/>
    <w:rsid w:val="007E674D"/>
    <w:rsid w:val="007E6FA0"/>
    <w:rsid w:val="007E6FA2"/>
    <w:rsid w:val="007E718A"/>
    <w:rsid w:val="007E7298"/>
    <w:rsid w:val="007E784C"/>
    <w:rsid w:val="007E79B1"/>
    <w:rsid w:val="007E7B9A"/>
    <w:rsid w:val="007E7C47"/>
    <w:rsid w:val="007E7F24"/>
    <w:rsid w:val="007E7FFD"/>
    <w:rsid w:val="007F027C"/>
    <w:rsid w:val="007F02CD"/>
    <w:rsid w:val="007F02DE"/>
    <w:rsid w:val="007F073C"/>
    <w:rsid w:val="007F086E"/>
    <w:rsid w:val="007F1079"/>
    <w:rsid w:val="007F1D13"/>
    <w:rsid w:val="007F1DC2"/>
    <w:rsid w:val="007F2009"/>
    <w:rsid w:val="007F203B"/>
    <w:rsid w:val="007F2172"/>
    <w:rsid w:val="007F27FA"/>
    <w:rsid w:val="007F2A59"/>
    <w:rsid w:val="007F2DF6"/>
    <w:rsid w:val="007F3240"/>
    <w:rsid w:val="007F387D"/>
    <w:rsid w:val="007F3C47"/>
    <w:rsid w:val="007F3CBE"/>
    <w:rsid w:val="007F4015"/>
    <w:rsid w:val="007F427C"/>
    <w:rsid w:val="007F45FA"/>
    <w:rsid w:val="007F4702"/>
    <w:rsid w:val="007F49E5"/>
    <w:rsid w:val="007F4DC7"/>
    <w:rsid w:val="007F4EDB"/>
    <w:rsid w:val="007F4F77"/>
    <w:rsid w:val="007F54F8"/>
    <w:rsid w:val="007F5811"/>
    <w:rsid w:val="007F58F8"/>
    <w:rsid w:val="007F5BD8"/>
    <w:rsid w:val="007F6014"/>
    <w:rsid w:val="007F6157"/>
    <w:rsid w:val="007F6383"/>
    <w:rsid w:val="007F661C"/>
    <w:rsid w:val="007F66CE"/>
    <w:rsid w:val="007F6759"/>
    <w:rsid w:val="007F6D1A"/>
    <w:rsid w:val="007F6D95"/>
    <w:rsid w:val="007F6E85"/>
    <w:rsid w:val="007F7074"/>
    <w:rsid w:val="007F71BD"/>
    <w:rsid w:val="007F74D4"/>
    <w:rsid w:val="007F7634"/>
    <w:rsid w:val="007F765E"/>
    <w:rsid w:val="007F7B7B"/>
    <w:rsid w:val="007F7DCE"/>
    <w:rsid w:val="007F7EB7"/>
    <w:rsid w:val="007F7EC4"/>
    <w:rsid w:val="007F7F32"/>
    <w:rsid w:val="008007C5"/>
    <w:rsid w:val="00800ED6"/>
    <w:rsid w:val="00801209"/>
    <w:rsid w:val="00801292"/>
    <w:rsid w:val="008013DF"/>
    <w:rsid w:val="00801581"/>
    <w:rsid w:val="0080177D"/>
    <w:rsid w:val="00801F8F"/>
    <w:rsid w:val="00802070"/>
    <w:rsid w:val="008020CF"/>
    <w:rsid w:val="0080219E"/>
    <w:rsid w:val="00802678"/>
    <w:rsid w:val="008026EB"/>
    <w:rsid w:val="00802964"/>
    <w:rsid w:val="00802C2C"/>
    <w:rsid w:val="00802C83"/>
    <w:rsid w:val="0080310C"/>
    <w:rsid w:val="0080315A"/>
    <w:rsid w:val="00803767"/>
    <w:rsid w:val="00803846"/>
    <w:rsid w:val="00803BE2"/>
    <w:rsid w:val="00803CDE"/>
    <w:rsid w:val="00803D60"/>
    <w:rsid w:val="00803D9C"/>
    <w:rsid w:val="0080433C"/>
    <w:rsid w:val="0080455C"/>
    <w:rsid w:val="00804E6A"/>
    <w:rsid w:val="0080521F"/>
    <w:rsid w:val="008058DD"/>
    <w:rsid w:val="00805933"/>
    <w:rsid w:val="00805A19"/>
    <w:rsid w:val="00805DC7"/>
    <w:rsid w:val="008064A2"/>
    <w:rsid w:val="008067E0"/>
    <w:rsid w:val="00806C27"/>
    <w:rsid w:val="00806E51"/>
    <w:rsid w:val="00806F14"/>
    <w:rsid w:val="0080764F"/>
    <w:rsid w:val="008078BC"/>
    <w:rsid w:val="00807998"/>
    <w:rsid w:val="008079B0"/>
    <w:rsid w:val="0081018D"/>
    <w:rsid w:val="0081024F"/>
    <w:rsid w:val="0081038E"/>
    <w:rsid w:val="00810794"/>
    <w:rsid w:val="008109CE"/>
    <w:rsid w:val="00810B3E"/>
    <w:rsid w:val="00810BF0"/>
    <w:rsid w:val="00810C5A"/>
    <w:rsid w:val="00810DA1"/>
    <w:rsid w:val="00811A5C"/>
    <w:rsid w:val="00811C6C"/>
    <w:rsid w:val="00811DD0"/>
    <w:rsid w:val="0081203C"/>
    <w:rsid w:val="0081229D"/>
    <w:rsid w:val="008127FC"/>
    <w:rsid w:val="00812E87"/>
    <w:rsid w:val="00813020"/>
    <w:rsid w:val="008131A1"/>
    <w:rsid w:val="008135BC"/>
    <w:rsid w:val="00813994"/>
    <w:rsid w:val="00814237"/>
    <w:rsid w:val="0081425F"/>
    <w:rsid w:val="008143CC"/>
    <w:rsid w:val="008145A7"/>
    <w:rsid w:val="00814A6F"/>
    <w:rsid w:val="00814E61"/>
    <w:rsid w:val="00814F5E"/>
    <w:rsid w:val="00814F99"/>
    <w:rsid w:val="008154B7"/>
    <w:rsid w:val="00815506"/>
    <w:rsid w:val="008158BC"/>
    <w:rsid w:val="00815918"/>
    <w:rsid w:val="008159AB"/>
    <w:rsid w:val="00815BBD"/>
    <w:rsid w:val="00815BD1"/>
    <w:rsid w:val="00815FD4"/>
    <w:rsid w:val="00816162"/>
    <w:rsid w:val="0081656F"/>
    <w:rsid w:val="008166DA"/>
    <w:rsid w:val="008166E2"/>
    <w:rsid w:val="008169F3"/>
    <w:rsid w:val="00816A87"/>
    <w:rsid w:val="00816DA4"/>
    <w:rsid w:val="00816FDE"/>
    <w:rsid w:val="0081724F"/>
    <w:rsid w:val="00817849"/>
    <w:rsid w:val="008179E9"/>
    <w:rsid w:val="00817A67"/>
    <w:rsid w:val="00817DD4"/>
    <w:rsid w:val="00817FF8"/>
    <w:rsid w:val="0082007C"/>
    <w:rsid w:val="00820221"/>
    <w:rsid w:val="008202BC"/>
    <w:rsid w:val="0082035F"/>
    <w:rsid w:val="00820497"/>
    <w:rsid w:val="008204ED"/>
    <w:rsid w:val="008208BE"/>
    <w:rsid w:val="00820B48"/>
    <w:rsid w:val="00820D98"/>
    <w:rsid w:val="00820E63"/>
    <w:rsid w:val="00821244"/>
    <w:rsid w:val="00821668"/>
    <w:rsid w:val="008218F8"/>
    <w:rsid w:val="00821C39"/>
    <w:rsid w:val="00821F0F"/>
    <w:rsid w:val="00821F1A"/>
    <w:rsid w:val="00822407"/>
    <w:rsid w:val="008225C1"/>
    <w:rsid w:val="008225D9"/>
    <w:rsid w:val="00822603"/>
    <w:rsid w:val="00822742"/>
    <w:rsid w:val="00822779"/>
    <w:rsid w:val="00822B5F"/>
    <w:rsid w:val="00822D8B"/>
    <w:rsid w:val="00822E60"/>
    <w:rsid w:val="00822EA6"/>
    <w:rsid w:val="008230CA"/>
    <w:rsid w:val="008231A8"/>
    <w:rsid w:val="008232EC"/>
    <w:rsid w:val="00823343"/>
    <w:rsid w:val="0082349A"/>
    <w:rsid w:val="0082366B"/>
    <w:rsid w:val="008236EF"/>
    <w:rsid w:val="00823C33"/>
    <w:rsid w:val="00823E1B"/>
    <w:rsid w:val="008240F8"/>
    <w:rsid w:val="008241AF"/>
    <w:rsid w:val="008249DC"/>
    <w:rsid w:val="00824C6C"/>
    <w:rsid w:val="00824D55"/>
    <w:rsid w:val="00824E34"/>
    <w:rsid w:val="008251FC"/>
    <w:rsid w:val="00825354"/>
    <w:rsid w:val="00825581"/>
    <w:rsid w:val="00825935"/>
    <w:rsid w:val="00825E95"/>
    <w:rsid w:val="00826224"/>
    <w:rsid w:val="00826497"/>
    <w:rsid w:val="00826B1C"/>
    <w:rsid w:val="00826BBE"/>
    <w:rsid w:val="00826C23"/>
    <w:rsid w:val="00826D75"/>
    <w:rsid w:val="00827220"/>
    <w:rsid w:val="00827440"/>
    <w:rsid w:val="008274AD"/>
    <w:rsid w:val="008278D2"/>
    <w:rsid w:val="008279E1"/>
    <w:rsid w:val="00827B31"/>
    <w:rsid w:val="00827C32"/>
    <w:rsid w:val="00830385"/>
    <w:rsid w:val="008304BA"/>
    <w:rsid w:val="00830CF5"/>
    <w:rsid w:val="00831041"/>
    <w:rsid w:val="008313D8"/>
    <w:rsid w:val="0083140B"/>
    <w:rsid w:val="008314F0"/>
    <w:rsid w:val="008318A3"/>
    <w:rsid w:val="008319B0"/>
    <w:rsid w:val="00831D67"/>
    <w:rsid w:val="0083203F"/>
    <w:rsid w:val="00832791"/>
    <w:rsid w:val="008328C8"/>
    <w:rsid w:val="00832A22"/>
    <w:rsid w:val="0083320F"/>
    <w:rsid w:val="0083332F"/>
    <w:rsid w:val="008333D3"/>
    <w:rsid w:val="008334A3"/>
    <w:rsid w:val="00833AC0"/>
    <w:rsid w:val="00833D6C"/>
    <w:rsid w:val="00834014"/>
    <w:rsid w:val="0083417C"/>
    <w:rsid w:val="00834395"/>
    <w:rsid w:val="0083461F"/>
    <w:rsid w:val="008346D0"/>
    <w:rsid w:val="008347CA"/>
    <w:rsid w:val="00834BDB"/>
    <w:rsid w:val="00834CE0"/>
    <w:rsid w:val="00834E2A"/>
    <w:rsid w:val="00834FF1"/>
    <w:rsid w:val="0083516F"/>
    <w:rsid w:val="008352C0"/>
    <w:rsid w:val="0083540C"/>
    <w:rsid w:val="008356A9"/>
    <w:rsid w:val="00835822"/>
    <w:rsid w:val="0083584F"/>
    <w:rsid w:val="00835B60"/>
    <w:rsid w:val="00835DA0"/>
    <w:rsid w:val="00836185"/>
    <w:rsid w:val="008361B7"/>
    <w:rsid w:val="00836252"/>
    <w:rsid w:val="008364E6"/>
    <w:rsid w:val="0083658A"/>
    <w:rsid w:val="0083678C"/>
    <w:rsid w:val="00836794"/>
    <w:rsid w:val="008367D2"/>
    <w:rsid w:val="00836992"/>
    <w:rsid w:val="008373AD"/>
    <w:rsid w:val="00837A2C"/>
    <w:rsid w:val="00837CA8"/>
    <w:rsid w:val="00837DCC"/>
    <w:rsid w:val="00837EEE"/>
    <w:rsid w:val="00837F86"/>
    <w:rsid w:val="00840082"/>
    <w:rsid w:val="008401D7"/>
    <w:rsid w:val="00840A14"/>
    <w:rsid w:val="00840F27"/>
    <w:rsid w:val="00841381"/>
    <w:rsid w:val="008416F3"/>
    <w:rsid w:val="00841951"/>
    <w:rsid w:val="00841B0C"/>
    <w:rsid w:val="00841FC8"/>
    <w:rsid w:val="00841FCF"/>
    <w:rsid w:val="008424A1"/>
    <w:rsid w:val="008427C6"/>
    <w:rsid w:val="00842840"/>
    <w:rsid w:val="00842B34"/>
    <w:rsid w:val="00843026"/>
    <w:rsid w:val="0084311A"/>
    <w:rsid w:val="00843B03"/>
    <w:rsid w:val="00843BC7"/>
    <w:rsid w:val="00843D0C"/>
    <w:rsid w:val="00843EC1"/>
    <w:rsid w:val="00843F59"/>
    <w:rsid w:val="00844813"/>
    <w:rsid w:val="00844B8F"/>
    <w:rsid w:val="00844D5C"/>
    <w:rsid w:val="00844DCA"/>
    <w:rsid w:val="00844DD7"/>
    <w:rsid w:val="00844DE4"/>
    <w:rsid w:val="008452EE"/>
    <w:rsid w:val="008455CA"/>
    <w:rsid w:val="00845720"/>
    <w:rsid w:val="0084577B"/>
    <w:rsid w:val="00845828"/>
    <w:rsid w:val="0084599E"/>
    <w:rsid w:val="008459BE"/>
    <w:rsid w:val="00845BFA"/>
    <w:rsid w:val="00845D54"/>
    <w:rsid w:val="00845D72"/>
    <w:rsid w:val="00845F0A"/>
    <w:rsid w:val="00845FC9"/>
    <w:rsid w:val="00846116"/>
    <w:rsid w:val="008461FE"/>
    <w:rsid w:val="00846371"/>
    <w:rsid w:val="00846D3D"/>
    <w:rsid w:val="00846F8A"/>
    <w:rsid w:val="008475AF"/>
    <w:rsid w:val="00847760"/>
    <w:rsid w:val="008477EF"/>
    <w:rsid w:val="00847897"/>
    <w:rsid w:val="00847A5D"/>
    <w:rsid w:val="00847A83"/>
    <w:rsid w:val="00850747"/>
    <w:rsid w:val="00850915"/>
    <w:rsid w:val="008509F1"/>
    <w:rsid w:val="00850C79"/>
    <w:rsid w:val="00850DA9"/>
    <w:rsid w:val="00850FA0"/>
    <w:rsid w:val="00850FB7"/>
    <w:rsid w:val="008511A2"/>
    <w:rsid w:val="00851412"/>
    <w:rsid w:val="008514DE"/>
    <w:rsid w:val="00851AEB"/>
    <w:rsid w:val="00851D83"/>
    <w:rsid w:val="00851ED9"/>
    <w:rsid w:val="00851EE6"/>
    <w:rsid w:val="0085218B"/>
    <w:rsid w:val="00852307"/>
    <w:rsid w:val="00852558"/>
    <w:rsid w:val="0085259E"/>
    <w:rsid w:val="0085270B"/>
    <w:rsid w:val="0085284A"/>
    <w:rsid w:val="00852879"/>
    <w:rsid w:val="00852AA9"/>
    <w:rsid w:val="00852BD5"/>
    <w:rsid w:val="00852F07"/>
    <w:rsid w:val="0085305D"/>
    <w:rsid w:val="0085333A"/>
    <w:rsid w:val="00853341"/>
    <w:rsid w:val="0085352D"/>
    <w:rsid w:val="008535D6"/>
    <w:rsid w:val="0085368F"/>
    <w:rsid w:val="008538D5"/>
    <w:rsid w:val="00853E9D"/>
    <w:rsid w:val="00854285"/>
    <w:rsid w:val="00854286"/>
    <w:rsid w:val="008542BE"/>
    <w:rsid w:val="0085441E"/>
    <w:rsid w:val="0085451D"/>
    <w:rsid w:val="008547EF"/>
    <w:rsid w:val="00854AC8"/>
    <w:rsid w:val="00854B54"/>
    <w:rsid w:val="00854E95"/>
    <w:rsid w:val="00855193"/>
    <w:rsid w:val="008551C4"/>
    <w:rsid w:val="0085526B"/>
    <w:rsid w:val="0085570B"/>
    <w:rsid w:val="008559F1"/>
    <w:rsid w:val="00855A8F"/>
    <w:rsid w:val="00855AE0"/>
    <w:rsid w:val="00855DD4"/>
    <w:rsid w:val="00855EF3"/>
    <w:rsid w:val="00855FFE"/>
    <w:rsid w:val="0085608B"/>
    <w:rsid w:val="0085639B"/>
    <w:rsid w:val="00856831"/>
    <w:rsid w:val="00856BC3"/>
    <w:rsid w:val="00856D1F"/>
    <w:rsid w:val="00856F2C"/>
    <w:rsid w:val="00857200"/>
    <w:rsid w:val="00857A4A"/>
    <w:rsid w:val="00857AAC"/>
    <w:rsid w:val="00857EE8"/>
    <w:rsid w:val="0086031D"/>
    <w:rsid w:val="0086070B"/>
    <w:rsid w:val="00860809"/>
    <w:rsid w:val="00860CFB"/>
    <w:rsid w:val="00860F91"/>
    <w:rsid w:val="0086113B"/>
    <w:rsid w:val="008616F6"/>
    <w:rsid w:val="00861749"/>
    <w:rsid w:val="00861BFB"/>
    <w:rsid w:val="008622E7"/>
    <w:rsid w:val="0086238E"/>
    <w:rsid w:val="00862608"/>
    <w:rsid w:val="008626A3"/>
    <w:rsid w:val="00862896"/>
    <w:rsid w:val="00862A03"/>
    <w:rsid w:val="00862BE4"/>
    <w:rsid w:val="00862C31"/>
    <w:rsid w:val="008631F4"/>
    <w:rsid w:val="00863396"/>
    <w:rsid w:val="0086354B"/>
    <w:rsid w:val="00863BE6"/>
    <w:rsid w:val="00863EB0"/>
    <w:rsid w:val="00864078"/>
    <w:rsid w:val="008640D2"/>
    <w:rsid w:val="0086433A"/>
    <w:rsid w:val="008643DC"/>
    <w:rsid w:val="0086483E"/>
    <w:rsid w:val="00864B44"/>
    <w:rsid w:val="00864BBE"/>
    <w:rsid w:val="00864BDA"/>
    <w:rsid w:val="00864F38"/>
    <w:rsid w:val="00864F69"/>
    <w:rsid w:val="00865120"/>
    <w:rsid w:val="008654D7"/>
    <w:rsid w:val="008654F3"/>
    <w:rsid w:val="00865B68"/>
    <w:rsid w:val="00865E37"/>
    <w:rsid w:val="00865FD4"/>
    <w:rsid w:val="0086611D"/>
    <w:rsid w:val="00866526"/>
    <w:rsid w:val="008666FB"/>
    <w:rsid w:val="00866773"/>
    <w:rsid w:val="008667E8"/>
    <w:rsid w:val="00866CB2"/>
    <w:rsid w:val="0086729E"/>
    <w:rsid w:val="008672CB"/>
    <w:rsid w:val="00867386"/>
    <w:rsid w:val="008677D5"/>
    <w:rsid w:val="008678B7"/>
    <w:rsid w:val="008678EA"/>
    <w:rsid w:val="00867C4D"/>
    <w:rsid w:val="00867E98"/>
    <w:rsid w:val="00867F22"/>
    <w:rsid w:val="00867F89"/>
    <w:rsid w:val="0087025D"/>
    <w:rsid w:val="0087065D"/>
    <w:rsid w:val="00870C88"/>
    <w:rsid w:val="00871911"/>
    <w:rsid w:val="00871A19"/>
    <w:rsid w:val="00871EE0"/>
    <w:rsid w:val="00871F26"/>
    <w:rsid w:val="00872218"/>
    <w:rsid w:val="0087227E"/>
    <w:rsid w:val="008723F7"/>
    <w:rsid w:val="008724D6"/>
    <w:rsid w:val="00872ED6"/>
    <w:rsid w:val="008731BF"/>
    <w:rsid w:val="0087343E"/>
    <w:rsid w:val="00873ACA"/>
    <w:rsid w:val="00873B39"/>
    <w:rsid w:val="00873C51"/>
    <w:rsid w:val="00873CCA"/>
    <w:rsid w:val="0087471C"/>
    <w:rsid w:val="008747BE"/>
    <w:rsid w:val="008747CC"/>
    <w:rsid w:val="008748D1"/>
    <w:rsid w:val="00874A98"/>
    <w:rsid w:val="00874AD1"/>
    <w:rsid w:val="00874DD5"/>
    <w:rsid w:val="00874FC4"/>
    <w:rsid w:val="0087518C"/>
    <w:rsid w:val="00875424"/>
    <w:rsid w:val="008758A1"/>
    <w:rsid w:val="00875AA7"/>
    <w:rsid w:val="00875AE3"/>
    <w:rsid w:val="00875B96"/>
    <w:rsid w:val="00875BB3"/>
    <w:rsid w:val="008765AB"/>
    <w:rsid w:val="00876681"/>
    <w:rsid w:val="00876AF0"/>
    <w:rsid w:val="00876C5D"/>
    <w:rsid w:val="00876C6A"/>
    <w:rsid w:val="00876E52"/>
    <w:rsid w:val="008770A3"/>
    <w:rsid w:val="0087740E"/>
    <w:rsid w:val="008775AA"/>
    <w:rsid w:val="008778C8"/>
    <w:rsid w:val="00877B1A"/>
    <w:rsid w:val="0088014E"/>
    <w:rsid w:val="00880261"/>
    <w:rsid w:val="008803DD"/>
    <w:rsid w:val="00880495"/>
    <w:rsid w:val="008806E4"/>
    <w:rsid w:val="00880A33"/>
    <w:rsid w:val="00880D43"/>
    <w:rsid w:val="00880DE9"/>
    <w:rsid w:val="00881071"/>
    <w:rsid w:val="0088108F"/>
    <w:rsid w:val="008813A3"/>
    <w:rsid w:val="00881461"/>
    <w:rsid w:val="00881945"/>
    <w:rsid w:val="00881E8B"/>
    <w:rsid w:val="00882D31"/>
    <w:rsid w:val="008832A0"/>
    <w:rsid w:val="00883318"/>
    <w:rsid w:val="00883425"/>
    <w:rsid w:val="0088366B"/>
    <w:rsid w:val="008839AA"/>
    <w:rsid w:val="00883EB8"/>
    <w:rsid w:val="008846E8"/>
    <w:rsid w:val="00884A1F"/>
    <w:rsid w:val="00884D29"/>
    <w:rsid w:val="008853A3"/>
    <w:rsid w:val="00885555"/>
    <w:rsid w:val="0088591A"/>
    <w:rsid w:val="00885D3C"/>
    <w:rsid w:val="008868E7"/>
    <w:rsid w:val="00886C2F"/>
    <w:rsid w:val="00886C82"/>
    <w:rsid w:val="00886F8C"/>
    <w:rsid w:val="008870F4"/>
    <w:rsid w:val="00887137"/>
    <w:rsid w:val="00887378"/>
    <w:rsid w:val="008875E2"/>
    <w:rsid w:val="00887666"/>
    <w:rsid w:val="00887E63"/>
    <w:rsid w:val="00890470"/>
    <w:rsid w:val="0089089A"/>
    <w:rsid w:val="008908D9"/>
    <w:rsid w:val="00890C37"/>
    <w:rsid w:val="00890DE0"/>
    <w:rsid w:val="00890DEF"/>
    <w:rsid w:val="00890FA8"/>
    <w:rsid w:val="0089105A"/>
    <w:rsid w:val="0089108F"/>
    <w:rsid w:val="008913C2"/>
    <w:rsid w:val="008918F8"/>
    <w:rsid w:val="00891A37"/>
    <w:rsid w:val="00891BC5"/>
    <w:rsid w:val="00891E03"/>
    <w:rsid w:val="00892166"/>
    <w:rsid w:val="00892415"/>
    <w:rsid w:val="008924DE"/>
    <w:rsid w:val="0089252E"/>
    <w:rsid w:val="008925CB"/>
    <w:rsid w:val="00892692"/>
    <w:rsid w:val="008926A6"/>
    <w:rsid w:val="00892ABA"/>
    <w:rsid w:val="00892D1C"/>
    <w:rsid w:val="00893126"/>
    <w:rsid w:val="00893130"/>
    <w:rsid w:val="008931FD"/>
    <w:rsid w:val="008934CE"/>
    <w:rsid w:val="008936AC"/>
    <w:rsid w:val="00893BF3"/>
    <w:rsid w:val="0089408D"/>
    <w:rsid w:val="008944D6"/>
    <w:rsid w:val="00894A52"/>
    <w:rsid w:val="00894C2A"/>
    <w:rsid w:val="00894F85"/>
    <w:rsid w:val="0089503A"/>
    <w:rsid w:val="00895062"/>
    <w:rsid w:val="0089520C"/>
    <w:rsid w:val="00895857"/>
    <w:rsid w:val="00895B63"/>
    <w:rsid w:val="00895CED"/>
    <w:rsid w:val="0089604A"/>
    <w:rsid w:val="0089611F"/>
    <w:rsid w:val="00896205"/>
    <w:rsid w:val="0089648A"/>
    <w:rsid w:val="008966A8"/>
    <w:rsid w:val="008968B0"/>
    <w:rsid w:val="00896998"/>
    <w:rsid w:val="00896E7C"/>
    <w:rsid w:val="00896F06"/>
    <w:rsid w:val="00896FC0"/>
    <w:rsid w:val="0089760B"/>
    <w:rsid w:val="00897CEB"/>
    <w:rsid w:val="00897E76"/>
    <w:rsid w:val="008A00C0"/>
    <w:rsid w:val="008A05DD"/>
    <w:rsid w:val="008A078B"/>
    <w:rsid w:val="008A1077"/>
    <w:rsid w:val="008A111F"/>
    <w:rsid w:val="008A1227"/>
    <w:rsid w:val="008A12D1"/>
    <w:rsid w:val="008A16C6"/>
    <w:rsid w:val="008A17C0"/>
    <w:rsid w:val="008A197B"/>
    <w:rsid w:val="008A1C1D"/>
    <w:rsid w:val="008A1D0C"/>
    <w:rsid w:val="008A1E10"/>
    <w:rsid w:val="008A1E1B"/>
    <w:rsid w:val="008A1EAB"/>
    <w:rsid w:val="008A1F7F"/>
    <w:rsid w:val="008A1F81"/>
    <w:rsid w:val="008A2105"/>
    <w:rsid w:val="008A2197"/>
    <w:rsid w:val="008A2B79"/>
    <w:rsid w:val="008A2C24"/>
    <w:rsid w:val="008A2CB1"/>
    <w:rsid w:val="008A2ECE"/>
    <w:rsid w:val="008A360E"/>
    <w:rsid w:val="008A3903"/>
    <w:rsid w:val="008A3938"/>
    <w:rsid w:val="008A3BF4"/>
    <w:rsid w:val="008A41B4"/>
    <w:rsid w:val="008A4472"/>
    <w:rsid w:val="008A4997"/>
    <w:rsid w:val="008A4A15"/>
    <w:rsid w:val="008A4B6A"/>
    <w:rsid w:val="008A4DBF"/>
    <w:rsid w:val="008A5148"/>
    <w:rsid w:val="008A549B"/>
    <w:rsid w:val="008A54D7"/>
    <w:rsid w:val="008A59B1"/>
    <w:rsid w:val="008A5AA4"/>
    <w:rsid w:val="008A5E3F"/>
    <w:rsid w:val="008A5E5F"/>
    <w:rsid w:val="008A5FB5"/>
    <w:rsid w:val="008A6065"/>
    <w:rsid w:val="008A61D1"/>
    <w:rsid w:val="008A65FE"/>
    <w:rsid w:val="008A6917"/>
    <w:rsid w:val="008A698A"/>
    <w:rsid w:val="008A6B8D"/>
    <w:rsid w:val="008A6C25"/>
    <w:rsid w:val="008A6D04"/>
    <w:rsid w:val="008A6E21"/>
    <w:rsid w:val="008A6F10"/>
    <w:rsid w:val="008A7025"/>
    <w:rsid w:val="008A7344"/>
    <w:rsid w:val="008A7364"/>
    <w:rsid w:val="008A75AC"/>
    <w:rsid w:val="008A75CC"/>
    <w:rsid w:val="008A78D3"/>
    <w:rsid w:val="008A798A"/>
    <w:rsid w:val="008A79A2"/>
    <w:rsid w:val="008A79F5"/>
    <w:rsid w:val="008A7A18"/>
    <w:rsid w:val="008A7CA2"/>
    <w:rsid w:val="008B052B"/>
    <w:rsid w:val="008B0B45"/>
    <w:rsid w:val="008B0BB3"/>
    <w:rsid w:val="008B0D55"/>
    <w:rsid w:val="008B1031"/>
    <w:rsid w:val="008B15D5"/>
    <w:rsid w:val="008B16FC"/>
    <w:rsid w:val="008B1721"/>
    <w:rsid w:val="008B1732"/>
    <w:rsid w:val="008B179D"/>
    <w:rsid w:val="008B1A90"/>
    <w:rsid w:val="008B1BC9"/>
    <w:rsid w:val="008B1BDA"/>
    <w:rsid w:val="008B1E4F"/>
    <w:rsid w:val="008B2072"/>
    <w:rsid w:val="008B21FE"/>
    <w:rsid w:val="008B2B1E"/>
    <w:rsid w:val="008B2B26"/>
    <w:rsid w:val="008B2D5A"/>
    <w:rsid w:val="008B2E79"/>
    <w:rsid w:val="008B2F27"/>
    <w:rsid w:val="008B320D"/>
    <w:rsid w:val="008B322C"/>
    <w:rsid w:val="008B32EE"/>
    <w:rsid w:val="008B3948"/>
    <w:rsid w:val="008B396B"/>
    <w:rsid w:val="008B3A35"/>
    <w:rsid w:val="008B3B09"/>
    <w:rsid w:val="008B4148"/>
    <w:rsid w:val="008B41D4"/>
    <w:rsid w:val="008B43B7"/>
    <w:rsid w:val="008B43BA"/>
    <w:rsid w:val="008B48B1"/>
    <w:rsid w:val="008B4BA7"/>
    <w:rsid w:val="008B50DA"/>
    <w:rsid w:val="008B5AAD"/>
    <w:rsid w:val="008B5BBF"/>
    <w:rsid w:val="008B611B"/>
    <w:rsid w:val="008B6544"/>
    <w:rsid w:val="008B66AC"/>
    <w:rsid w:val="008B6C26"/>
    <w:rsid w:val="008B6F8B"/>
    <w:rsid w:val="008B71A8"/>
    <w:rsid w:val="008B7290"/>
    <w:rsid w:val="008B72F0"/>
    <w:rsid w:val="008B79FD"/>
    <w:rsid w:val="008B7BCE"/>
    <w:rsid w:val="008B7E7B"/>
    <w:rsid w:val="008B7FA9"/>
    <w:rsid w:val="008C05A5"/>
    <w:rsid w:val="008C06C6"/>
    <w:rsid w:val="008C080C"/>
    <w:rsid w:val="008C0A5F"/>
    <w:rsid w:val="008C0B38"/>
    <w:rsid w:val="008C0C3E"/>
    <w:rsid w:val="008C0CC1"/>
    <w:rsid w:val="008C0FE6"/>
    <w:rsid w:val="008C11F9"/>
    <w:rsid w:val="008C12EE"/>
    <w:rsid w:val="008C15E0"/>
    <w:rsid w:val="008C16B8"/>
    <w:rsid w:val="008C188C"/>
    <w:rsid w:val="008C18FF"/>
    <w:rsid w:val="008C1B43"/>
    <w:rsid w:val="008C1F17"/>
    <w:rsid w:val="008C1FE0"/>
    <w:rsid w:val="008C20A6"/>
    <w:rsid w:val="008C289D"/>
    <w:rsid w:val="008C2C1E"/>
    <w:rsid w:val="008C2D7C"/>
    <w:rsid w:val="008C2EE1"/>
    <w:rsid w:val="008C2F85"/>
    <w:rsid w:val="008C2FB3"/>
    <w:rsid w:val="008C2FD9"/>
    <w:rsid w:val="008C30EC"/>
    <w:rsid w:val="008C3555"/>
    <w:rsid w:val="008C3727"/>
    <w:rsid w:val="008C3972"/>
    <w:rsid w:val="008C3E9D"/>
    <w:rsid w:val="008C409E"/>
    <w:rsid w:val="008C40AD"/>
    <w:rsid w:val="008C42DE"/>
    <w:rsid w:val="008C4481"/>
    <w:rsid w:val="008C4538"/>
    <w:rsid w:val="008C45C2"/>
    <w:rsid w:val="008C45E9"/>
    <w:rsid w:val="008C47E4"/>
    <w:rsid w:val="008C4834"/>
    <w:rsid w:val="008C49B1"/>
    <w:rsid w:val="008C4D72"/>
    <w:rsid w:val="008C51B9"/>
    <w:rsid w:val="008C5624"/>
    <w:rsid w:val="008C5692"/>
    <w:rsid w:val="008C57C4"/>
    <w:rsid w:val="008C58B4"/>
    <w:rsid w:val="008C5996"/>
    <w:rsid w:val="008C5A8E"/>
    <w:rsid w:val="008C5C7B"/>
    <w:rsid w:val="008C5F79"/>
    <w:rsid w:val="008C6121"/>
    <w:rsid w:val="008C61AE"/>
    <w:rsid w:val="008C6537"/>
    <w:rsid w:val="008C66F5"/>
    <w:rsid w:val="008C672E"/>
    <w:rsid w:val="008C6DC8"/>
    <w:rsid w:val="008C6FE6"/>
    <w:rsid w:val="008C725C"/>
    <w:rsid w:val="008C74DB"/>
    <w:rsid w:val="008C773C"/>
    <w:rsid w:val="008C797C"/>
    <w:rsid w:val="008C7DEB"/>
    <w:rsid w:val="008C7E99"/>
    <w:rsid w:val="008D0136"/>
    <w:rsid w:val="008D0274"/>
    <w:rsid w:val="008D03A1"/>
    <w:rsid w:val="008D06DA"/>
    <w:rsid w:val="008D115F"/>
    <w:rsid w:val="008D1250"/>
    <w:rsid w:val="008D14EA"/>
    <w:rsid w:val="008D164A"/>
    <w:rsid w:val="008D1671"/>
    <w:rsid w:val="008D169A"/>
    <w:rsid w:val="008D18CE"/>
    <w:rsid w:val="008D1AF1"/>
    <w:rsid w:val="008D1D2E"/>
    <w:rsid w:val="008D2067"/>
    <w:rsid w:val="008D223B"/>
    <w:rsid w:val="008D2502"/>
    <w:rsid w:val="008D2513"/>
    <w:rsid w:val="008D2721"/>
    <w:rsid w:val="008D30FC"/>
    <w:rsid w:val="008D3375"/>
    <w:rsid w:val="008D360E"/>
    <w:rsid w:val="008D3786"/>
    <w:rsid w:val="008D382B"/>
    <w:rsid w:val="008D3874"/>
    <w:rsid w:val="008D39C2"/>
    <w:rsid w:val="008D3A64"/>
    <w:rsid w:val="008D3AF6"/>
    <w:rsid w:val="008D3DDB"/>
    <w:rsid w:val="008D4010"/>
    <w:rsid w:val="008D4324"/>
    <w:rsid w:val="008D4389"/>
    <w:rsid w:val="008D4635"/>
    <w:rsid w:val="008D470E"/>
    <w:rsid w:val="008D47D8"/>
    <w:rsid w:val="008D4B5E"/>
    <w:rsid w:val="008D4DA7"/>
    <w:rsid w:val="008D4E4A"/>
    <w:rsid w:val="008D58D6"/>
    <w:rsid w:val="008D67B8"/>
    <w:rsid w:val="008D69C5"/>
    <w:rsid w:val="008D69E4"/>
    <w:rsid w:val="008D712D"/>
    <w:rsid w:val="008D729F"/>
    <w:rsid w:val="008D7332"/>
    <w:rsid w:val="008D766D"/>
    <w:rsid w:val="008D7B7E"/>
    <w:rsid w:val="008D7C6B"/>
    <w:rsid w:val="008D7D13"/>
    <w:rsid w:val="008E01D8"/>
    <w:rsid w:val="008E069A"/>
    <w:rsid w:val="008E0AC8"/>
    <w:rsid w:val="008E1388"/>
    <w:rsid w:val="008E1398"/>
    <w:rsid w:val="008E14D0"/>
    <w:rsid w:val="008E1735"/>
    <w:rsid w:val="008E190B"/>
    <w:rsid w:val="008E19FA"/>
    <w:rsid w:val="008E1B99"/>
    <w:rsid w:val="008E1DA6"/>
    <w:rsid w:val="008E1F12"/>
    <w:rsid w:val="008E27BA"/>
    <w:rsid w:val="008E2B94"/>
    <w:rsid w:val="008E2CA4"/>
    <w:rsid w:val="008E3151"/>
    <w:rsid w:val="008E3265"/>
    <w:rsid w:val="008E35DD"/>
    <w:rsid w:val="008E3829"/>
    <w:rsid w:val="008E3974"/>
    <w:rsid w:val="008E3C04"/>
    <w:rsid w:val="008E3E8E"/>
    <w:rsid w:val="008E45EA"/>
    <w:rsid w:val="008E4859"/>
    <w:rsid w:val="008E4B61"/>
    <w:rsid w:val="008E4BA7"/>
    <w:rsid w:val="008E4CB5"/>
    <w:rsid w:val="008E4DCB"/>
    <w:rsid w:val="008E50B0"/>
    <w:rsid w:val="008E52CC"/>
    <w:rsid w:val="008E5662"/>
    <w:rsid w:val="008E5779"/>
    <w:rsid w:val="008E5A7E"/>
    <w:rsid w:val="008E5D87"/>
    <w:rsid w:val="008E6024"/>
    <w:rsid w:val="008E6172"/>
    <w:rsid w:val="008E62E1"/>
    <w:rsid w:val="008E69A3"/>
    <w:rsid w:val="008E6F49"/>
    <w:rsid w:val="008E7009"/>
    <w:rsid w:val="008E71CF"/>
    <w:rsid w:val="008E7419"/>
    <w:rsid w:val="008E7628"/>
    <w:rsid w:val="008E777F"/>
    <w:rsid w:val="008E7A49"/>
    <w:rsid w:val="008E7A94"/>
    <w:rsid w:val="008E7B32"/>
    <w:rsid w:val="008E7E0D"/>
    <w:rsid w:val="008F02AF"/>
    <w:rsid w:val="008F02F9"/>
    <w:rsid w:val="008F0357"/>
    <w:rsid w:val="008F06CD"/>
    <w:rsid w:val="008F0708"/>
    <w:rsid w:val="008F0784"/>
    <w:rsid w:val="008F089A"/>
    <w:rsid w:val="008F08A6"/>
    <w:rsid w:val="008F0A22"/>
    <w:rsid w:val="008F0ACF"/>
    <w:rsid w:val="008F0B30"/>
    <w:rsid w:val="008F0B74"/>
    <w:rsid w:val="008F0C2F"/>
    <w:rsid w:val="008F13D6"/>
    <w:rsid w:val="008F147F"/>
    <w:rsid w:val="008F16B0"/>
    <w:rsid w:val="008F17C1"/>
    <w:rsid w:val="008F1F67"/>
    <w:rsid w:val="008F1F6D"/>
    <w:rsid w:val="008F1FCD"/>
    <w:rsid w:val="008F215B"/>
    <w:rsid w:val="008F2252"/>
    <w:rsid w:val="008F227A"/>
    <w:rsid w:val="008F2429"/>
    <w:rsid w:val="008F266A"/>
    <w:rsid w:val="008F2775"/>
    <w:rsid w:val="008F29CF"/>
    <w:rsid w:val="008F2D15"/>
    <w:rsid w:val="008F3474"/>
    <w:rsid w:val="008F3A9A"/>
    <w:rsid w:val="008F3BAB"/>
    <w:rsid w:val="008F3BD2"/>
    <w:rsid w:val="008F3F1A"/>
    <w:rsid w:val="008F40B8"/>
    <w:rsid w:val="008F417D"/>
    <w:rsid w:val="008F4478"/>
    <w:rsid w:val="008F4713"/>
    <w:rsid w:val="008F4E03"/>
    <w:rsid w:val="008F4EB2"/>
    <w:rsid w:val="008F5050"/>
    <w:rsid w:val="008F5201"/>
    <w:rsid w:val="008F530F"/>
    <w:rsid w:val="008F54F3"/>
    <w:rsid w:val="008F5DC9"/>
    <w:rsid w:val="008F5DDA"/>
    <w:rsid w:val="008F5EE7"/>
    <w:rsid w:val="008F61CE"/>
    <w:rsid w:val="008F6235"/>
    <w:rsid w:val="008F63BC"/>
    <w:rsid w:val="008F6602"/>
    <w:rsid w:val="008F68BD"/>
    <w:rsid w:val="008F71F8"/>
    <w:rsid w:val="008F72A4"/>
    <w:rsid w:val="008F7341"/>
    <w:rsid w:val="008F7956"/>
    <w:rsid w:val="008F7A2E"/>
    <w:rsid w:val="008F7C5B"/>
    <w:rsid w:val="009002AE"/>
    <w:rsid w:val="009002BA"/>
    <w:rsid w:val="009002DB"/>
    <w:rsid w:val="009003B7"/>
    <w:rsid w:val="009003D3"/>
    <w:rsid w:val="009008AE"/>
    <w:rsid w:val="00900AA6"/>
    <w:rsid w:val="009012E2"/>
    <w:rsid w:val="00901310"/>
    <w:rsid w:val="0090147D"/>
    <w:rsid w:val="0090188D"/>
    <w:rsid w:val="00901CC6"/>
    <w:rsid w:val="00901F85"/>
    <w:rsid w:val="00902108"/>
    <w:rsid w:val="00902338"/>
    <w:rsid w:val="00902615"/>
    <w:rsid w:val="0090268C"/>
    <w:rsid w:val="00902A75"/>
    <w:rsid w:val="00902D5B"/>
    <w:rsid w:val="0090304E"/>
    <w:rsid w:val="009031FD"/>
    <w:rsid w:val="009032B2"/>
    <w:rsid w:val="00903481"/>
    <w:rsid w:val="009035E8"/>
    <w:rsid w:val="00903671"/>
    <w:rsid w:val="009037E2"/>
    <w:rsid w:val="00903A39"/>
    <w:rsid w:val="00903B5C"/>
    <w:rsid w:val="00904027"/>
    <w:rsid w:val="009040DC"/>
    <w:rsid w:val="00904A2D"/>
    <w:rsid w:val="00905025"/>
    <w:rsid w:val="00905508"/>
    <w:rsid w:val="00905709"/>
    <w:rsid w:val="00905742"/>
    <w:rsid w:val="00905817"/>
    <w:rsid w:val="009058CC"/>
    <w:rsid w:val="0090595E"/>
    <w:rsid w:val="0090598E"/>
    <w:rsid w:val="00905EDA"/>
    <w:rsid w:val="009062CD"/>
    <w:rsid w:val="009062FD"/>
    <w:rsid w:val="0090646D"/>
    <w:rsid w:val="009067BC"/>
    <w:rsid w:val="00906A58"/>
    <w:rsid w:val="00906AC3"/>
    <w:rsid w:val="00906F1B"/>
    <w:rsid w:val="00906FE0"/>
    <w:rsid w:val="00907289"/>
    <w:rsid w:val="009072A1"/>
    <w:rsid w:val="0090745A"/>
    <w:rsid w:val="00907481"/>
    <w:rsid w:val="009077BB"/>
    <w:rsid w:val="00907BBD"/>
    <w:rsid w:val="00907D0A"/>
    <w:rsid w:val="00907F03"/>
    <w:rsid w:val="00907FF5"/>
    <w:rsid w:val="00910214"/>
    <w:rsid w:val="0091053B"/>
    <w:rsid w:val="009108F7"/>
    <w:rsid w:val="00910D6A"/>
    <w:rsid w:val="00910E1E"/>
    <w:rsid w:val="00910EB7"/>
    <w:rsid w:val="00911039"/>
    <w:rsid w:val="009110A0"/>
    <w:rsid w:val="009111A4"/>
    <w:rsid w:val="009113BD"/>
    <w:rsid w:val="00911628"/>
    <w:rsid w:val="00911739"/>
    <w:rsid w:val="0091186A"/>
    <w:rsid w:val="009119B5"/>
    <w:rsid w:val="00911E1D"/>
    <w:rsid w:val="0091269C"/>
    <w:rsid w:val="009127CF"/>
    <w:rsid w:val="00912C6D"/>
    <w:rsid w:val="00912D45"/>
    <w:rsid w:val="00912F2E"/>
    <w:rsid w:val="009130B1"/>
    <w:rsid w:val="009133BF"/>
    <w:rsid w:val="0091376C"/>
    <w:rsid w:val="00913AC3"/>
    <w:rsid w:val="00913B62"/>
    <w:rsid w:val="00913B84"/>
    <w:rsid w:val="00913BC8"/>
    <w:rsid w:val="00913E57"/>
    <w:rsid w:val="00914098"/>
    <w:rsid w:val="00914291"/>
    <w:rsid w:val="0091474A"/>
    <w:rsid w:val="0091480D"/>
    <w:rsid w:val="0091489B"/>
    <w:rsid w:val="00914AF7"/>
    <w:rsid w:val="00914F8B"/>
    <w:rsid w:val="00915422"/>
    <w:rsid w:val="00915792"/>
    <w:rsid w:val="00915A65"/>
    <w:rsid w:val="00915E8B"/>
    <w:rsid w:val="00915FC9"/>
    <w:rsid w:val="00916096"/>
    <w:rsid w:val="0091619D"/>
    <w:rsid w:val="00916C30"/>
    <w:rsid w:val="00916DE0"/>
    <w:rsid w:val="0091707D"/>
    <w:rsid w:val="009171DA"/>
    <w:rsid w:val="0091727E"/>
    <w:rsid w:val="0091748F"/>
    <w:rsid w:val="009200AC"/>
    <w:rsid w:val="0092031A"/>
    <w:rsid w:val="00920460"/>
    <w:rsid w:val="00920551"/>
    <w:rsid w:val="00920722"/>
    <w:rsid w:val="00920847"/>
    <w:rsid w:val="0092101B"/>
    <w:rsid w:val="00921363"/>
    <w:rsid w:val="009213C2"/>
    <w:rsid w:val="0092143C"/>
    <w:rsid w:val="0092193E"/>
    <w:rsid w:val="00921CFB"/>
    <w:rsid w:val="009226FB"/>
    <w:rsid w:val="00922796"/>
    <w:rsid w:val="00922B8F"/>
    <w:rsid w:val="00922D56"/>
    <w:rsid w:val="00922E67"/>
    <w:rsid w:val="00922EDC"/>
    <w:rsid w:val="00923361"/>
    <w:rsid w:val="0092344C"/>
    <w:rsid w:val="009234D2"/>
    <w:rsid w:val="009236A6"/>
    <w:rsid w:val="00923DAB"/>
    <w:rsid w:val="00923DD2"/>
    <w:rsid w:val="0092444A"/>
    <w:rsid w:val="00924973"/>
    <w:rsid w:val="00924B1F"/>
    <w:rsid w:val="00924C11"/>
    <w:rsid w:val="00924CBD"/>
    <w:rsid w:val="00924E8B"/>
    <w:rsid w:val="00925497"/>
    <w:rsid w:val="009256A9"/>
    <w:rsid w:val="009256E3"/>
    <w:rsid w:val="009257AC"/>
    <w:rsid w:val="00925CD9"/>
    <w:rsid w:val="00925F51"/>
    <w:rsid w:val="00926102"/>
    <w:rsid w:val="009263D6"/>
    <w:rsid w:val="00926563"/>
    <w:rsid w:val="009265A2"/>
    <w:rsid w:val="00926863"/>
    <w:rsid w:val="0092694B"/>
    <w:rsid w:val="00926ABC"/>
    <w:rsid w:val="00926CAD"/>
    <w:rsid w:val="00926D09"/>
    <w:rsid w:val="00926FEB"/>
    <w:rsid w:val="00927092"/>
    <w:rsid w:val="0092718A"/>
    <w:rsid w:val="0092789D"/>
    <w:rsid w:val="009278E2"/>
    <w:rsid w:val="00927A95"/>
    <w:rsid w:val="00927ECD"/>
    <w:rsid w:val="00927F79"/>
    <w:rsid w:val="00927FDA"/>
    <w:rsid w:val="009301E6"/>
    <w:rsid w:val="00930241"/>
    <w:rsid w:val="00930320"/>
    <w:rsid w:val="00930519"/>
    <w:rsid w:val="00930676"/>
    <w:rsid w:val="00930A6C"/>
    <w:rsid w:val="00930B2D"/>
    <w:rsid w:val="00930DCF"/>
    <w:rsid w:val="009310D0"/>
    <w:rsid w:val="0093199B"/>
    <w:rsid w:val="00931A6F"/>
    <w:rsid w:val="00931C71"/>
    <w:rsid w:val="00931F0F"/>
    <w:rsid w:val="00931FB1"/>
    <w:rsid w:val="00931FB3"/>
    <w:rsid w:val="0093253C"/>
    <w:rsid w:val="00932C80"/>
    <w:rsid w:val="00932E39"/>
    <w:rsid w:val="009331AF"/>
    <w:rsid w:val="009331C8"/>
    <w:rsid w:val="009335E6"/>
    <w:rsid w:val="00933707"/>
    <w:rsid w:val="0093373E"/>
    <w:rsid w:val="009337A1"/>
    <w:rsid w:val="00933802"/>
    <w:rsid w:val="00933C83"/>
    <w:rsid w:val="00933D20"/>
    <w:rsid w:val="00933DA2"/>
    <w:rsid w:val="00933DBE"/>
    <w:rsid w:val="00933E9D"/>
    <w:rsid w:val="00933EF6"/>
    <w:rsid w:val="00934549"/>
    <w:rsid w:val="009347F8"/>
    <w:rsid w:val="009348AE"/>
    <w:rsid w:val="00934931"/>
    <w:rsid w:val="00934B69"/>
    <w:rsid w:val="00934D85"/>
    <w:rsid w:val="00934E39"/>
    <w:rsid w:val="0093580B"/>
    <w:rsid w:val="009358B8"/>
    <w:rsid w:val="009358FF"/>
    <w:rsid w:val="00935AB2"/>
    <w:rsid w:val="00935B0B"/>
    <w:rsid w:val="00935C50"/>
    <w:rsid w:val="00935F5A"/>
    <w:rsid w:val="0093674F"/>
    <w:rsid w:val="00936762"/>
    <w:rsid w:val="0093685E"/>
    <w:rsid w:val="00936A16"/>
    <w:rsid w:val="00936AA0"/>
    <w:rsid w:val="00936C96"/>
    <w:rsid w:val="00936FE2"/>
    <w:rsid w:val="00937136"/>
    <w:rsid w:val="00937145"/>
    <w:rsid w:val="009371FB"/>
    <w:rsid w:val="00937439"/>
    <w:rsid w:val="009374FB"/>
    <w:rsid w:val="009375AF"/>
    <w:rsid w:val="0093769B"/>
    <w:rsid w:val="00937B1E"/>
    <w:rsid w:val="00937BD2"/>
    <w:rsid w:val="00937DE8"/>
    <w:rsid w:val="009401B1"/>
    <w:rsid w:val="009403A5"/>
    <w:rsid w:val="009403D5"/>
    <w:rsid w:val="00940804"/>
    <w:rsid w:val="009409F6"/>
    <w:rsid w:val="00940D82"/>
    <w:rsid w:val="00941016"/>
    <w:rsid w:val="0094124A"/>
    <w:rsid w:val="00941988"/>
    <w:rsid w:val="00941A1D"/>
    <w:rsid w:val="00942030"/>
    <w:rsid w:val="009420AD"/>
    <w:rsid w:val="009422C1"/>
    <w:rsid w:val="00942382"/>
    <w:rsid w:val="00942477"/>
    <w:rsid w:val="00942561"/>
    <w:rsid w:val="0094281D"/>
    <w:rsid w:val="00942B47"/>
    <w:rsid w:val="00942FC5"/>
    <w:rsid w:val="0094348D"/>
    <w:rsid w:val="0094362F"/>
    <w:rsid w:val="0094367B"/>
    <w:rsid w:val="00943BBB"/>
    <w:rsid w:val="00943D17"/>
    <w:rsid w:val="0094401B"/>
    <w:rsid w:val="0094426B"/>
    <w:rsid w:val="00944781"/>
    <w:rsid w:val="00944A1A"/>
    <w:rsid w:val="00944EBB"/>
    <w:rsid w:val="00944FD7"/>
    <w:rsid w:val="00945255"/>
    <w:rsid w:val="0094532C"/>
    <w:rsid w:val="00945389"/>
    <w:rsid w:val="00945687"/>
    <w:rsid w:val="0094596F"/>
    <w:rsid w:val="00945A41"/>
    <w:rsid w:val="00945C2E"/>
    <w:rsid w:val="00945CE4"/>
    <w:rsid w:val="009463E9"/>
    <w:rsid w:val="0094650D"/>
    <w:rsid w:val="009468FB"/>
    <w:rsid w:val="00946931"/>
    <w:rsid w:val="00946A33"/>
    <w:rsid w:val="00946AC7"/>
    <w:rsid w:val="00946BB0"/>
    <w:rsid w:val="00946E94"/>
    <w:rsid w:val="00946F50"/>
    <w:rsid w:val="00946FCD"/>
    <w:rsid w:val="009471D7"/>
    <w:rsid w:val="0094767B"/>
    <w:rsid w:val="00947897"/>
    <w:rsid w:val="009478EF"/>
    <w:rsid w:val="00947C09"/>
    <w:rsid w:val="00947D7E"/>
    <w:rsid w:val="0095016C"/>
    <w:rsid w:val="0095035B"/>
    <w:rsid w:val="009503EA"/>
    <w:rsid w:val="009506EF"/>
    <w:rsid w:val="00950A5F"/>
    <w:rsid w:val="00950AA4"/>
    <w:rsid w:val="00950C1A"/>
    <w:rsid w:val="00950C65"/>
    <w:rsid w:val="00951089"/>
    <w:rsid w:val="00951654"/>
    <w:rsid w:val="00952386"/>
    <w:rsid w:val="0095267C"/>
    <w:rsid w:val="00952F26"/>
    <w:rsid w:val="00952F4A"/>
    <w:rsid w:val="00953014"/>
    <w:rsid w:val="009532DC"/>
    <w:rsid w:val="009533C7"/>
    <w:rsid w:val="0095392D"/>
    <w:rsid w:val="00953B27"/>
    <w:rsid w:val="00953FCE"/>
    <w:rsid w:val="00954659"/>
    <w:rsid w:val="00955111"/>
    <w:rsid w:val="009553B7"/>
    <w:rsid w:val="00955B15"/>
    <w:rsid w:val="0095620F"/>
    <w:rsid w:val="009562E7"/>
    <w:rsid w:val="0095632E"/>
    <w:rsid w:val="00956512"/>
    <w:rsid w:val="009568D9"/>
    <w:rsid w:val="00956AA9"/>
    <w:rsid w:val="00956B82"/>
    <w:rsid w:val="00956F80"/>
    <w:rsid w:val="0095707E"/>
    <w:rsid w:val="00957477"/>
    <w:rsid w:val="00957496"/>
    <w:rsid w:val="00957B75"/>
    <w:rsid w:val="00957BF1"/>
    <w:rsid w:val="009608B7"/>
    <w:rsid w:val="00960E31"/>
    <w:rsid w:val="00960FC4"/>
    <w:rsid w:val="00961499"/>
    <w:rsid w:val="00961580"/>
    <w:rsid w:val="009615E0"/>
    <w:rsid w:val="00961683"/>
    <w:rsid w:val="009618ED"/>
    <w:rsid w:val="00961B9C"/>
    <w:rsid w:val="00961D59"/>
    <w:rsid w:val="00962517"/>
    <w:rsid w:val="00962530"/>
    <w:rsid w:val="00962721"/>
    <w:rsid w:val="0096296C"/>
    <w:rsid w:val="00962A6D"/>
    <w:rsid w:val="00962B61"/>
    <w:rsid w:val="00962ECA"/>
    <w:rsid w:val="00962F4F"/>
    <w:rsid w:val="00963753"/>
    <w:rsid w:val="00964083"/>
    <w:rsid w:val="0096439C"/>
    <w:rsid w:val="009645FA"/>
    <w:rsid w:val="00964A54"/>
    <w:rsid w:val="00964A89"/>
    <w:rsid w:val="00964D1C"/>
    <w:rsid w:val="009650B2"/>
    <w:rsid w:val="00965385"/>
    <w:rsid w:val="009653BA"/>
    <w:rsid w:val="009654D4"/>
    <w:rsid w:val="00965FEC"/>
    <w:rsid w:val="00966027"/>
    <w:rsid w:val="00966548"/>
    <w:rsid w:val="009665BD"/>
    <w:rsid w:val="009665DC"/>
    <w:rsid w:val="009667C6"/>
    <w:rsid w:val="00966BF8"/>
    <w:rsid w:val="00966D2A"/>
    <w:rsid w:val="00966E38"/>
    <w:rsid w:val="00966F09"/>
    <w:rsid w:val="009670C7"/>
    <w:rsid w:val="009671A5"/>
    <w:rsid w:val="009674B6"/>
    <w:rsid w:val="009675A0"/>
    <w:rsid w:val="009676DA"/>
    <w:rsid w:val="009677C8"/>
    <w:rsid w:val="00967ADE"/>
    <w:rsid w:val="00967C06"/>
    <w:rsid w:val="00967EA6"/>
    <w:rsid w:val="00967FF0"/>
    <w:rsid w:val="00970047"/>
    <w:rsid w:val="009700F8"/>
    <w:rsid w:val="00970268"/>
    <w:rsid w:val="009702DA"/>
    <w:rsid w:val="00970506"/>
    <w:rsid w:val="00970690"/>
    <w:rsid w:val="00970B40"/>
    <w:rsid w:val="00970C51"/>
    <w:rsid w:val="00970DBD"/>
    <w:rsid w:val="0097133F"/>
    <w:rsid w:val="009719CD"/>
    <w:rsid w:val="00971AB2"/>
    <w:rsid w:val="00971C9C"/>
    <w:rsid w:val="00971EA3"/>
    <w:rsid w:val="0097217E"/>
    <w:rsid w:val="0097220E"/>
    <w:rsid w:val="00972260"/>
    <w:rsid w:val="009723DC"/>
    <w:rsid w:val="00972A59"/>
    <w:rsid w:val="00972A95"/>
    <w:rsid w:val="00972D61"/>
    <w:rsid w:val="00972F01"/>
    <w:rsid w:val="0097344C"/>
    <w:rsid w:val="00973495"/>
    <w:rsid w:val="009734D3"/>
    <w:rsid w:val="00973E99"/>
    <w:rsid w:val="00974073"/>
    <w:rsid w:val="00974A99"/>
    <w:rsid w:val="00974E18"/>
    <w:rsid w:val="00974E8F"/>
    <w:rsid w:val="0097576E"/>
    <w:rsid w:val="00975D5D"/>
    <w:rsid w:val="00975DEE"/>
    <w:rsid w:val="00975FD1"/>
    <w:rsid w:val="009762B5"/>
    <w:rsid w:val="00976306"/>
    <w:rsid w:val="00976595"/>
    <w:rsid w:val="0097669C"/>
    <w:rsid w:val="00976BCE"/>
    <w:rsid w:val="009772B3"/>
    <w:rsid w:val="0097764D"/>
    <w:rsid w:val="00977707"/>
    <w:rsid w:val="0097780B"/>
    <w:rsid w:val="00977DE3"/>
    <w:rsid w:val="00977DF6"/>
    <w:rsid w:val="00977E5A"/>
    <w:rsid w:val="00977EB0"/>
    <w:rsid w:val="009802BD"/>
    <w:rsid w:val="009802E4"/>
    <w:rsid w:val="00980732"/>
    <w:rsid w:val="00980819"/>
    <w:rsid w:val="00980A19"/>
    <w:rsid w:val="00980C19"/>
    <w:rsid w:val="00980C8F"/>
    <w:rsid w:val="00980CF6"/>
    <w:rsid w:val="00980F2E"/>
    <w:rsid w:val="009814C5"/>
    <w:rsid w:val="00981701"/>
    <w:rsid w:val="0098180F"/>
    <w:rsid w:val="00981C2A"/>
    <w:rsid w:val="00981CE2"/>
    <w:rsid w:val="00981E5F"/>
    <w:rsid w:val="00981E96"/>
    <w:rsid w:val="00981F31"/>
    <w:rsid w:val="00981F42"/>
    <w:rsid w:val="00981F5F"/>
    <w:rsid w:val="009822A0"/>
    <w:rsid w:val="00982430"/>
    <w:rsid w:val="009825C0"/>
    <w:rsid w:val="00982F0B"/>
    <w:rsid w:val="00983108"/>
    <w:rsid w:val="009834C7"/>
    <w:rsid w:val="009836AC"/>
    <w:rsid w:val="00983775"/>
    <w:rsid w:val="00983CBE"/>
    <w:rsid w:val="00983CBF"/>
    <w:rsid w:val="00983CDA"/>
    <w:rsid w:val="00983E7C"/>
    <w:rsid w:val="00983FCD"/>
    <w:rsid w:val="00983FDC"/>
    <w:rsid w:val="00984023"/>
    <w:rsid w:val="009843E1"/>
    <w:rsid w:val="009847FC"/>
    <w:rsid w:val="00984AC1"/>
    <w:rsid w:val="00984F7E"/>
    <w:rsid w:val="0098506C"/>
    <w:rsid w:val="0098509A"/>
    <w:rsid w:val="009852D2"/>
    <w:rsid w:val="00985634"/>
    <w:rsid w:val="00985C33"/>
    <w:rsid w:val="00986151"/>
    <w:rsid w:val="009861C4"/>
    <w:rsid w:val="0098627B"/>
    <w:rsid w:val="0098629C"/>
    <w:rsid w:val="009868E2"/>
    <w:rsid w:val="00986D57"/>
    <w:rsid w:val="00986DB3"/>
    <w:rsid w:val="00986DC7"/>
    <w:rsid w:val="00986E45"/>
    <w:rsid w:val="00986F42"/>
    <w:rsid w:val="00986FB3"/>
    <w:rsid w:val="0098705C"/>
    <w:rsid w:val="0098770D"/>
    <w:rsid w:val="0098790E"/>
    <w:rsid w:val="00987D5E"/>
    <w:rsid w:val="00987E26"/>
    <w:rsid w:val="00990C37"/>
    <w:rsid w:val="00990D46"/>
    <w:rsid w:val="00990DCC"/>
    <w:rsid w:val="00990F6F"/>
    <w:rsid w:val="009914C8"/>
    <w:rsid w:val="0099162A"/>
    <w:rsid w:val="009917A3"/>
    <w:rsid w:val="00991CE1"/>
    <w:rsid w:val="0099208A"/>
    <w:rsid w:val="00992396"/>
    <w:rsid w:val="00992697"/>
    <w:rsid w:val="00992A74"/>
    <w:rsid w:val="00992AF8"/>
    <w:rsid w:val="009934D9"/>
    <w:rsid w:val="009935F3"/>
    <w:rsid w:val="00993A11"/>
    <w:rsid w:val="00993CBA"/>
    <w:rsid w:val="009941A8"/>
    <w:rsid w:val="009943D5"/>
    <w:rsid w:val="009945D1"/>
    <w:rsid w:val="0099494C"/>
    <w:rsid w:val="00994989"/>
    <w:rsid w:val="00994B62"/>
    <w:rsid w:val="0099529D"/>
    <w:rsid w:val="009953FE"/>
    <w:rsid w:val="00995F45"/>
    <w:rsid w:val="00996386"/>
    <w:rsid w:val="0099641A"/>
    <w:rsid w:val="0099648F"/>
    <w:rsid w:val="00996788"/>
    <w:rsid w:val="00996C38"/>
    <w:rsid w:val="00996ED6"/>
    <w:rsid w:val="00996FBD"/>
    <w:rsid w:val="0099738F"/>
    <w:rsid w:val="00997435"/>
    <w:rsid w:val="00997ADE"/>
    <w:rsid w:val="00997E50"/>
    <w:rsid w:val="00997EB1"/>
    <w:rsid w:val="009A0137"/>
    <w:rsid w:val="009A0410"/>
    <w:rsid w:val="009A0610"/>
    <w:rsid w:val="009A0809"/>
    <w:rsid w:val="009A08FE"/>
    <w:rsid w:val="009A0F38"/>
    <w:rsid w:val="009A10CF"/>
    <w:rsid w:val="009A16C0"/>
    <w:rsid w:val="009A184D"/>
    <w:rsid w:val="009A1907"/>
    <w:rsid w:val="009A19D7"/>
    <w:rsid w:val="009A1EEB"/>
    <w:rsid w:val="009A20D7"/>
    <w:rsid w:val="009A2154"/>
    <w:rsid w:val="009A230E"/>
    <w:rsid w:val="009A291E"/>
    <w:rsid w:val="009A2C0C"/>
    <w:rsid w:val="009A2E00"/>
    <w:rsid w:val="009A2E12"/>
    <w:rsid w:val="009A2F1A"/>
    <w:rsid w:val="009A2F36"/>
    <w:rsid w:val="009A2F7C"/>
    <w:rsid w:val="009A2FBC"/>
    <w:rsid w:val="009A302E"/>
    <w:rsid w:val="009A3475"/>
    <w:rsid w:val="009A3666"/>
    <w:rsid w:val="009A371E"/>
    <w:rsid w:val="009A37B4"/>
    <w:rsid w:val="009A3BD5"/>
    <w:rsid w:val="009A40E3"/>
    <w:rsid w:val="009A4AEC"/>
    <w:rsid w:val="009A4BD5"/>
    <w:rsid w:val="009A53AB"/>
    <w:rsid w:val="009A53D1"/>
    <w:rsid w:val="009A5570"/>
    <w:rsid w:val="009A564B"/>
    <w:rsid w:val="009A5904"/>
    <w:rsid w:val="009A5DF4"/>
    <w:rsid w:val="009A60EC"/>
    <w:rsid w:val="009A6127"/>
    <w:rsid w:val="009A6527"/>
    <w:rsid w:val="009A6531"/>
    <w:rsid w:val="009A664C"/>
    <w:rsid w:val="009A6A22"/>
    <w:rsid w:val="009A6C4E"/>
    <w:rsid w:val="009A6F9E"/>
    <w:rsid w:val="009A6FED"/>
    <w:rsid w:val="009A747B"/>
    <w:rsid w:val="009A753F"/>
    <w:rsid w:val="009A7936"/>
    <w:rsid w:val="009B0188"/>
    <w:rsid w:val="009B0272"/>
    <w:rsid w:val="009B0473"/>
    <w:rsid w:val="009B05FE"/>
    <w:rsid w:val="009B066F"/>
    <w:rsid w:val="009B089C"/>
    <w:rsid w:val="009B094C"/>
    <w:rsid w:val="009B0A9D"/>
    <w:rsid w:val="009B10AE"/>
    <w:rsid w:val="009B17E1"/>
    <w:rsid w:val="009B1859"/>
    <w:rsid w:val="009B1995"/>
    <w:rsid w:val="009B19A1"/>
    <w:rsid w:val="009B1E13"/>
    <w:rsid w:val="009B1FBD"/>
    <w:rsid w:val="009B2317"/>
    <w:rsid w:val="009B251F"/>
    <w:rsid w:val="009B2EBB"/>
    <w:rsid w:val="009B3169"/>
    <w:rsid w:val="009B3305"/>
    <w:rsid w:val="009B3432"/>
    <w:rsid w:val="009B3522"/>
    <w:rsid w:val="009B371D"/>
    <w:rsid w:val="009B381D"/>
    <w:rsid w:val="009B3A7C"/>
    <w:rsid w:val="009B3FD1"/>
    <w:rsid w:val="009B412F"/>
    <w:rsid w:val="009B46E9"/>
    <w:rsid w:val="009B4B49"/>
    <w:rsid w:val="009B4D21"/>
    <w:rsid w:val="009B4EC5"/>
    <w:rsid w:val="009B4F17"/>
    <w:rsid w:val="009B5495"/>
    <w:rsid w:val="009B55EF"/>
    <w:rsid w:val="009B5956"/>
    <w:rsid w:val="009B5AFD"/>
    <w:rsid w:val="009B5B28"/>
    <w:rsid w:val="009B5D74"/>
    <w:rsid w:val="009B5F9E"/>
    <w:rsid w:val="009B6138"/>
    <w:rsid w:val="009B62BC"/>
    <w:rsid w:val="009B6845"/>
    <w:rsid w:val="009B68D7"/>
    <w:rsid w:val="009B6915"/>
    <w:rsid w:val="009B6976"/>
    <w:rsid w:val="009B6B29"/>
    <w:rsid w:val="009B6F65"/>
    <w:rsid w:val="009B70B0"/>
    <w:rsid w:val="009B7730"/>
    <w:rsid w:val="009B799D"/>
    <w:rsid w:val="009B7AB7"/>
    <w:rsid w:val="009B7BCE"/>
    <w:rsid w:val="009B7C84"/>
    <w:rsid w:val="009B7E49"/>
    <w:rsid w:val="009B7E7A"/>
    <w:rsid w:val="009C0503"/>
    <w:rsid w:val="009C05A0"/>
    <w:rsid w:val="009C06E8"/>
    <w:rsid w:val="009C089A"/>
    <w:rsid w:val="009C0B80"/>
    <w:rsid w:val="009C0FFB"/>
    <w:rsid w:val="009C115F"/>
    <w:rsid w:val="009C1361"/>
    <w:rsid w:val="009C144E"/>
    <w:rsid w:val="009C1541"/>
    <w:rsid w:val="009C1579"/>
    <w:rsid w:val="009C171C"/>
    <w:rsid w:val="009C183A"/>
    <w:rsid w:val="009C1C1F"/>
    <w:rsid w:val="009C1DC4"/>
    <w:rsid w:val="009C24F4"/>
    <w:rsid w:val="009C2930"/>
    <w:rsid w:val="009C2DEA"/>
    <w:rsid w:val="009C32E6"/>
    <w:rsid w:val="009C35F3"/>
    <w:rsid w:val="009C37B5"/>
    <w:rsid w:val="009C384F"/>
    <w:rsid w:val="009C399B"/>
    <w:rsid w:val="009C3B56"/>
    <w:rsid w:val="009C3C16"/>
    <w:rsid w:val="009C3E68"/>
    <w:rsid w:val="009C46D1"/>
    <w:rsid w:val="009C4921"/>
    <w:rsid w:val="009C4EA5"/>
    <w:rsid w:val="009C4EE0"/>
    <w:rsid w:val="009C5238"/>
    <w:rsid w:val="009C5379"/>
    <w:rsid w:val="009C559A"/>
    <w:rsid w:val="009C5707"/>
    <w:rsid w:val="009C577B"/>
    <w:rsid w:val="009C5C6D"/>
    <w:rsid w:val="009C5CF7"/>
    <w:rsid w:val="009C5D5A"/>
    <w:rsid w:val="009C5EAF"/>
    <w:rsid w:val="009C60B7"/>
    <w:rsid w:val="009C61DD"/>
    <w:rsid w:val="009C6502"/>
    <w:rsid w:val="009C6CFF"/>
    <w:rsid w:val="009C6DA6"/>
    <w:rsid w:val="009C6DE9"/>
    <w:rsid w:val="009C6FE4"/>
    <w:rsid w:val="009C7367"/>
    <w:rsid w:val="009C7699"/>
    <w:rsid w:val="009C7735"/>
    <w:rsid w:val="009C782A"/>
    <w:rsid w:val="009C7860"/>
    <w:rsid w:val="009C794A"/>
    <w:rsid w:val="009C7BA6"/>
    <w:rsid w:val="009C7CE8"/>
    <w:rsid w:val="009C7E6F"/>
    <w:rsid w:val="009C7F05"/>
    <w:rsid w:val="009D0264"/>
    <w:rsid w:val="009D05B1"/>
    <w:rsid w:val="009D05D6"/>
    <w:rsid w:val="009D05DE"/>
    <w:rsid w:val="009D068A"/>
    <w:rsid w:val="009D0B6E"/>
    <w:rsid w:val="009D0CB9"/>
    <w:rsid w:val="009D0D97"/>
    <w:rsid w:val="009D1814"/>
    <w:rsid w:val="009D1A08"/>
    <w:rsid w:val="009D1FC5"/>
    <w:rsid w:val="009D22C5"/>
    <w:rsid w:val="009D2445"/>
    <w:rsid w:val="009D25F3"/>
    <w:rsid w:val="009D25F5"/>
    <w:rsid w:val="009D2B35"/>
    <w:rsid w:val="009D2BC6"/>
    <w:rsid w:val="009D2C20"/>
    <w:rsid w:val="009D2C8A"/>
    <w:rsid w:val="009D2F1B"/>
    <w:rsid w:val="009D3267"/>
    <w:rsid w:val="009D3287"/>
    <w:rsid w:val="009D3444"/>
    <w:rsid w:val="009D3B4F"/>
    <w:rsid w:val="009D3B70"/>
    <w:rsid w:val="009D3CC1"/>
    <w:rsid w:val="009D3E51"/>
    <w:rsid w:val="009D3E7B"/>
    <w:rsid w:val="009D3F03"/>
    <w:rsid w:val="009D42DF"/>
    <w:rsid w:val="009D43B9"/>
    <w:rsid w:val="009D4D4E"/>
    <w:rsid w:val="009D4ED8"/>
    <w:rsid w:val="009D4FE1"/>
    <w:rsid w:val="009D54FA"/>
    <w:rsid w:val="009D55C1"/>
    <w:rsid w:val="009D56B9"/>
    <w:rsid w:val="009D5F95"/>
    <w:rsid w:val="009D631C"/>
    <w:rsid w:val="009D632B"/>
    <w:rsid w:val="009D6373"/>
    <w:rsid w:val="009D655A"/>
    <w:rsid w:val="009D6F3E"/>
    <w:rsid w:val="009D6F6C"/>
    <w:rsid w:val="009D7708"/>
    <w:rsid w:val="009D77C9"/>
    <w:rsid w:val="009D786A"/>
    <w:rsid w:val="009D7F0B"/>
    <w:rsid w:val="009E00B2"/>
    <w:rsid w:val="009E02C0"/>
    <w:rsid w:val="009E05F0"/>
    <w:rsid w:val="009E062D"/>
    <w:rsid w:val="009E074A"/>
    <w:rsid w:val="009E07C8"/>
    <w:rsid w:val="009E0897"/>
    <w:rsid w:val="009E0BC5"/>
    <w:rsid w:val="009E0D7A"/>
    <w:rsid w:val="009E0E18"/>
    <w:rsid w:val="009E0EB2"/>
    <w:rsid w:val="009E1025"/>
    <w:rsid w:val="009E1184"/>
    <w:rsid w:val="009E1202"/>
    <w:rsid w:val="009E12BE"/>
    <w:rsid w:val="009E145C"/>
    <w:rsid w:val="009E1548"/>
    <w:rsid w:val="009E1738"/>
    <w:rsid w:val="009E1949"/>
    <w:rsid w:val="009E1A3E"/>
    <w:rsid w:val="009E1E2E"/>
    <w:rsid w:val="009E1EDB"/>
    <w:rsid w:val="009E225C"/>
    <w:rsid w:val="009E2741"/>
    <w:rsid w:val="009E2818"/>
    <w:rsid w:val="009E2895"/>
    <w:rsid w:val="009E2A37"/>
    <w:rsid w:val="009E2E07"/>
    <w:rsid w:val="009E32DC"/>
    <w:rsid w:val="009E3318"/>
    <w:rsid w:val="009E3415"/>
    <w:rsid w:val="009E34CA"/>
    <w:rsid w:val="009E3682"/>
    <w:rsid w:val="009E38D0"/>
    <w:rsid w:val="009E3B6A"/>
    <w:rsid w:val="009E3E10"/>
    <w:rsid w:val="009E4180"/>
    <w:rsid w:val="009E4574"/>
    <w:rsid w:val="009E45E0"/>
    <w:rsid w:val="009E4E84"/>
    <w:rsid w:val="009E4E99"/>
    <w:rsid w:val="009E5170"/>
    <w:rsid w:val="009E5952"/>
    <w:rsid w:val="009E59FA"/>
    <w:rsid w:val="009E5B33"/>
    <w:rsid w:val="009E5B8E"/>
    <w:rsid w:val="009E642A"/>
    <w:rsid w:val="009E672E"/>
    <w:rsid w:val="009E673B"/>
    <w:rsid w:val="009E6C5A"/>
    <w:rsid w:val="009E6D69"/>
    <w:rsid w:val="009E7195"/>
    <w:rsid w:val="009E760C"/>
    <w:rsid w:val="009E77CD"/>
    <w:rsid w:val="009E7998"/>
    <w:rsid w:val="009E7A49"/>
    <w:rsid w:val="009E7AE6"/>
    <w:rsid w:val="009E7B84"/>
    <w:rsid w:val="009E7C64"/>
    <w:rsid w:val="009F08C7"/>
    <w:rsid w:val="009F0917"/>
    <w:rsid w:val="009F0AE2"/>
    <w:rsid w:val="009F0B8D"/>
    <w:rsid w:val="009F1078"/>
    <w:rsid w:val="009F1095"/>
    <w:rsid w:val="009F10AE"/>
    <w:rsid w:val="009F1351"/>
    <w:rsid w:val="009F16C8"/>
    <w:rsid w:val="009F1853"/>
    <w:rsid w:val="009F1998"/>
    <w:rsid w:val="009F19DD"/>
    <w:rsid w:val="009F1EA9"/>
    <w:rsid w:val="009F200D"/>
    <w:rsid w:val="009F26B2"/>
    <w:rsid w:val="009F2CCB"/>
    <w:rsid w:val="009F2D3F"/>
    <w:rsid w:val="009F2DFE"/>
    <w:rsid w:val="009F2E8D"/>
    <w:rsid w:val="009F2F83"/>
    <w:rsid w:val="009F302F"/>
    <w:rsid w:val="009F3199"/>
    <w:rsid w:val="009F3440"/>
    <w:rsid w:val="009F40F0"/>
    <w:rsid w:val="009F439D"/>
    <w:rsid w:val="009F4404"/>
    <w:rsid w:val="009F454B"/>
    <w:rsid w:val="009F496E"/>
    <w:rsid w:val="009F4A2A"/>
    <w:rsid w:val="009F4D0E"/>
    <w:rsid w:val="009F4FCF"/>
    <w:rsid w:val="009F527B"/>
    <w:rsid w:val="009F53DF"/>
    <w:rsid w:val="009F5525"/>
    <w:rsid w:val="009F566C"/>
    <w:rsid w:val="009F5A52"/>
    <w:rsid w:val="009F5CDF"/>
    <w:rsid w:val="009F5DA6"/>
    <w:rsid w:val="009F630F"/>
    <w:rsid w:val="009F639B"/>
    <w:rsid w:val="009F6520"/>
    <w:rsid w:val="009F6599"/>
    <w:rsid w:val="009F65AE"/>
    <w:rsid w:val="009F6B43"/>
    <w:rsid w:val="009F6D96"/>
    <w:rsid w:val="009F6E0F"/>
    <w:rsid w:val="009F6F2B"/>
    <w:rsid w:val="009F71B2"/>
    <w:rsid w:val="009F7265"/>
    <w:rsid w:val="009F77A5"/>
    <w:rsid w:val="009F79FD"/>
    <w:rsid w:val="009F7C73"/>
    <w:rsid w:val="009F7D50"/>
    <w:rsid w:val="00A001EE"/>
    <w:rsid w:val="00A003A8"/>
    <w:rsid w:val="00A00449"/>
    <w:rsid w:val="00A0087C"/>
    <w:rsid w:val="00A008DC"/>
    <w:rsid w:val="00A0090A"/>
    <w:rsid w:val="00A00DD5"/>
    <w:rsid w:val="00A014F6"/>
    <w:rsid w:val="00A01587"/>
    <w:rsid w:val="00A016A9"/>
    <w:rsid w:val="00A017B2"/>
    <w:rsid w:val="00A0185B"/>
    <w:rsid w:val="00A01976"/>
    <w:rsid w:val="00A01C65"/>
    <w:rsid w:val="00A01FF1"/>
    <w:rsid w:val="00A0210C"/>
    <w:rsid w:val="00A025CD"/>
    <w:rsid w:val="00A02B19"/>
    <w:rsid w:val="00A02B2B"/>
    <w:rsid w:val="00A02EA4"/>
    <w:rsid w:val="00A03561"/>
    <w:rsid w:val="00A037A6"/>
    <w:rsid w:val="00A03805"/>
    <w:rsid w:val="00A03946"/>
    <w:rsid w:val="00A03978"/>
    <w:rsid w:val="00A03A64"/>
    <w:rsid w:val="00A03EED"/>
    <w:rsid w:val="00A03F8C"/>
    <w:rsid w:val="00A041D2"/>
    <w:rsid w:val="00A0449B"/>
    <w:rsid w:val="00A048E4"/>
    <w:rsid w:val="00A049DF"/>
    <w:rsid w:val="00A04DF5"/>
    <w:rsid w:val="00A05578"/>
    <w:rsid w:val="00A0557F"/>
    <w:rsid w:val="00A05DBA"/>
    <w:rsid w:val="00A061DD"/>
    <w:rsid w:val="00A06237"/>
    <w:rsid w:val="00A0657F"/>
    <w:rsid w:val="00A06A9A"/>
    <w:rsid w:val="00A06C2D"/>
    <w:rsid w:val="00A06CF7"/>
    <w:rsid w:val="00A07404"/>
    <w:rsid w:val="00A07601"/>
    <w:rsid w:val="00A07C06"/>
    <w:rsid w:val="00A07C10"/>
    <w:rsid w:val="00A07E0C"/>
    <w:rsid w:val="00A1027D"/>
    <w:rsid w:val="00A10710"/>
    <w:rsid w:val="00A107D1"/>
    <w:rsid w:val="00A107E4"/>
    <w:rsid w:val="00A109B8"/>
    <w:rsid w:val="00A10CFD"/>
    <w:rsid w:val="00A11208"/>
    <w:rsid w:val="00A11255"/>
    <w:rsid w:val="00A115C9"/>
    <w:rsid w:val="00A116A7"/>
    <w:rsid w:val="00A11D02"/>
    <w:rsid w:val="00A11D1E"/>
    <w:rsid w:val="00A11F91"/>
    <w:rsid w:val="00A121FD"/>
    <w:rsid w:val="00A122A0"/>
    <w:rsid w:val="00A12312"/>
    <w:rsid w:val="00A12388"/>
    <w:rsid w:val="00A12721"/>
    <w:rsid w:val="00A12741"/>
    <w:rsid w:val="00A12A6F"/>
    <w:rsid w:val="00A12E46"/>
    <w:rsid w:val="00A12E91"/>
    <w:rsid w:val="00A1313C"/>
    <w:rsid w:val="00A1321A"/>
    <w:rsid w:val="00A13338"/>
    <w:rsid w:val="00A13476"/>
    <w:rsid w:val="00A134B2"/>
    <w:rsid w:val="00A13A82"/>
    <w:rsid w:val="00A13B4E"/>
    <w:rsid w:val="00A13E9D"/>
    <w:rsid w:val="00A14283"/>
    <w:rsid w:val="00A14539"/>
    <w:rsid w:val="00A146DF"/>
    <w:rsid w:val="00A147EC"/>
    <w:rsid w:val="00A14CBF"/>
    <w:rsid w:val="00A15180"/>
    <w:rsid w:val="00A1532C"/>
    <w:rsid w:val="00A15619"/>
    <w:rsid w:val="00A15639"/>
    <w:rsid w:val="00A15805"/>
    <w:rsid w:val="00A15913"/>
    <w:rsid w:val="00A15D63"/>
    <w:rsid w:val="00A1601D"/>
    <w:rsid w:val="00A168D2"/>
    <w:rsid w:val="00A16B84"/>
    <w:rsid w:val="00A16BC1"/>
    <w:rsid w:val="00A16F96"/>
    <w:rsid w:val="00A17138"/>
    <w:rsid w:val="00A1750F"/>
    <w:rsid w:val="00A176F4"/>
    <w:rsid w:val="00A17B39"/>
    <w:rsid w:val="00A17B8A"/>
    <w:rsid w:val="00A17D52"/>
    <w:rsid w:val="00A17D58"/>
    <w:rsid w:val="00A17F90"/>
    <w:rsid w:val="00A2027F"/>
    <w:rsid w:val="00A20460"/>
    <w:rsid w:val="00A20B67"/>
    <w:rsid w:val="00A20C12"/>
    <w:rsid w:val="00A20C15"/>
    <w:rsid w:val="00A20DD1"/>
    <w:rsid w:val="00A21288"/>
    <w:rsid w:val="00A216C6"/>
    <w:rsid w:val="00A216FF"/>
    <w:rsid w:val="00A219BC"/>
    <w:rsid w:val="00A21AAF"/>
    <w:rsid w:val="00A21E09"/>
    <w:rsid w:val="00A21FDA"/>
    <w:rsid w:val="00A22057"/>
    <w:rsid w:val="00A22498"/>
    <w:rsid w:val="00A2253F"/>
    <w:rsid w:val="00A2286B"/>
    <w:rsid w:val="00A2296D"/>
    <w:rsid w:val="00A22E47"/>
    <w:rsid w:val="00A22F4D"/>
    <w:rsid w:val="00A22FA3"/>
    <w:rsid w:val="00A2322D"/>
    <w:rsid w:val="00A235AE"/>
    <w:rsid w:val="00A238E6"/>
    <w:rsid w:val="00A23C22"/>
    <w:rsid w:val="00A23C42"/>
    <w:rsid w:val="00A23D49"/>
    <w:rsid w:val="00A23F91"/>
    <w:rsid w:val="00A244E2"/>
    <w:rsid w:val="00A248D3"/>
    <w:rsid w:val="00A24BD2"/>
    <w:rsid w:val="00A24E4B"/>
    <w:rsid w:val="00A256CC"/>
    <w:rsid w:val="00A256EA"/>
    <w:rsid w:val="00A25929"/>
    <w:rsid w:val="00A25BA9"/>
    <w:rsid w:val="00A25DCC"/>
    <w:rsid w:val="00A25E06"/>
    <w:rsid w:val="00A25FC3"/>
    <w:rsid w:val="00A261D2"/>
    <w:rsid w:val="00A26276"/>
    <w:rsid w:val="00A26358"/>
    <w:rsid w:val="00A26449"/>
    <w:rsid w:val="00A264EA"/>
    <w:rsid w:val="00A26567"/>
    <w:rsid w:val="00A265F8"/>
    <w:rsid w:val="00A267BF"/>
    <w:rsid w:val="00A2690A"/>
    <w:rsid w:val="00A26B80"/>
    <w:rsid w:val="00A26D91"/>
    <w:rsid w:val="00A26E80"/>
    <w:rsid w:val="00A26EEB"/>
    <w:rsid w:val="00A26FC0"/>
    <w:rsid w:val="00A270D4"/>
    <w:rsid w:val="00A2717B"/>
    <w:rsid w:val="00A27217"/>
    <w:rsid w:val="00A27802"/>
    <w:rsid w:val="00A279BD"/>
    <w:rsid w:val="00A27A6B"/>
    <w:rsid w:val="00A27BB8"/>
    <w:rsid w:val="00A27C3E"/>
    <w:rsid w:val="00A27DF5"/>
    <w:rsid w:val="00A27EEC"/>
    <w:rsid w:val="00A27F19"/>
    <w:rsid w:val="00A30004"/>
    <w:rsid w:val="00A300AB"/>
    <w:rsid w:val="00A301C4"/>
    <w:rsid w:val="00A30416"/>
    <w:rsid w:val="00A306C6"/>
    <w:rsid w:val="00A30818"/>
    <w:rsid w:val="00A30A2D"/>
    <w:rsid w:val="00A30C53"/>
    <w:rsid w:val="00A30DB7"/>
    <w:rsid w:val="00A30EA5"/>
    <w:rsid w:val="00A310D6"/>
    <w:rsid w:val="00A31189"/>
    <w:rsid w:val="00A313C8"/>
    <w:rsid w:val="00A31C80"/>
    <w:rsid w:val="00A31DC3"/>
    <w:rsid w:val="00A320A4"/>
    <w:rsid w:val="00A3211E"/>
    <w:rsid w:val="00A32320"/>
    <w:rsid w:val="00A323DD"/>
    <w:rsid w:val="00A32578"/>
    <w:rsid w:val="00A32868"/>
    <w:rsid w:val="00A32970"/>
    <w:rsid w:val="00A32CB9"/>
    <w:rsid w:val="00A33595"/>
    <w:rsid w:val="00A337BD"/>
    <w:rsid w:val="00A338B2"/>
    <w:rsid w:val="00A33CD3"/>
    <w:rsid w:val="00A33CE1"/>
    <w:rsid w:val="00A33D34"/>
    <w:rsid w:val="00A33DB2"/>
    <w:rsid w:val="00A33E07"/>
    <w:rsid w:val="00A34075"/>
    <w:rsid w:val="00A343CD"/>
    <w:rsid w:val="00A343E8"/>
    <w:rsid w:val="00A34EA4"/>
    <w:rsid w:val="00A34ECE"/>
    <w:rsid w:val="00A34FEF"/>
    <w:rsid w:val="00A3522F"/>
    <w:rsid w:val="00A353BE"/>
    <w:rsid w:val="00A35463"/>
    <w:rsid w:val="00A358EF"/>
    <w:rsid w:val="00A3596C"/>
    <w:rsid w:val="00A35E61"/>
    <w:rsid w:val="00A362A6"/>
    <w:rsid w:val="00A365AC"/>
    <w:rsid w:val="00A3672A"/>
    <w:rsid w:val="00A36902"/>
    <w:rsid w:val="00A36C76"/>
    <w:rsid w:val="00A36FE5"/>
    <w:rsid w:val="00A3715F"/>
    <w:rsid w:val="00A37407"/>
    <w:rsid w:val="00A37442"/>
    <w:rsid w:val="00A376E5"/>
    <w:rsid w:val="00A377FD"/>
    <w:rsid w:val="00A37939"/>
    <w:rsid w:val="00A3793D"/>
    <w:rsid w:val="00A37951"/>
    <w:rsid w:val="00A37B9E"/>
    <w:rsid w:val="00A37E28"/>
    <w:rsid w:val="00A37F7C"/>
    <w:rsid w:val="00A37FD3"/>
    <w:rsid w:val="00A401AC"/>
    <w:rsid w:val="00A404C7"/>
    <w:rsid w:val="00A4053B"/>
    <w:rsid w:val="00A40F6C"/>
    <w:rsid w:val="00A4145B"/>
    <w:rsid w:val="00A41BBE"/>
    <w:rsid w:val="00A42058"/>
    <w:rsid w:val="00A42441"/>
    <w:rsid w:val="00A429AD"/>
    <w:rsid w:val="00A42AB9"/>
    <w:rsid w:val="00A42FCB"/>
    <w:rsid w:val="00A43704"/>
    <w:rsid w:val="00A438F6"/>
    <w:rsid w:val="00A43BC0"/>
    <w:rsid w:val="00A44121"/>
    <w:rsid w:val="00A44662"/>
    <w:rsid w:val="00A44886"/>
    <w:rsid w:val="00A44D67"/>
    <w:rsid w:val="00A44DC3"/>
    <w:rsid w:val="00A45334"/>
    <w:rsid w:val="00A453DC"/>
    <w:rsid w:val="00A4555D"/>
    <w:rsid w:val="00A455C2"/>
    <w:rsid w:val="00A45892"/>
    <w:rsid w:val="00A458EE"/>
    <w:rsid w:val="00A45AC2"/>
    <w:rsid w:val="00A45BAF"/>
    <w:rsid w:val="00A45C19"/>
    <w:rsid w:val="00A45E29"/>
    <w:rsid w:val="00A45E4D"/>
    <w:rsid w:val="00A4619E"/>
    <w:rsid w:val="00A462FF"/>
    <w:rsid w:val="00A46376"/>
    <w:rsid w:val="00A4680B"/>
    <w:rsid w:val="00A46884"/>
    <w:rsid w:val="00A46D2E"/>
    <w:rsid w:val="00A47656"/>
    <w:rsid w:val="00A47816"/>
    <w:rsid w:val="00A47A0C"/>
    <w:rsid w:val="00A47D04"/>
    <w:rsid w:val="00A47E70"/>
    <w:rsid w:val="00A5027A"/>
    <w:rsid w:val="00A50805"/>
    <w:rsid w:val="00A50A7F"/>
    <w:rsid w:val="00A50E83"/>
    <w:rsid w:val="00A50F4C"/>
    <w:rsid w:val="00A50F68"/>
    <w:rsid w:val="00A51198"/>
    <w:rsid w:val="00A515E3"/>
    <w:rsid w:val="00A5185D"/>
    <w:rsid w:val="00A51E30"/>
    <w:rsid w:val="00A51EAE"/>
    <w:rsid w:val="00A521C1"/>
    <w:rsid w:val="00A52C29"/>
    <w:rsid w:val="00A52C2F"/>
    <w:rsid w:val="00A52C37"/>
    <w:rsid w:val="00A52F71"/>
    <w:rsid w:val="00A5341B"/>
    <w:rsid w:val="00A5347D"/>
    <w:rsid w:val="00A53596"/>
    <w:rsid w:val="00A535BB"/>
    <w:rsid w:val="00A53740"/>
    <w:rsid w:val="00A53A53"/>
    <w:rsid w:val="00A53CDD"/>
    <w:rsid w:val="00A5425B"/>
    <w:rsid w:val="00A54479"/>
    <w:rsid w:val="00A54B34"/>
    <w:rsid w:val="00A54FC9"/>
    <w:rsid w:val="00A55078"/>
    <w:rsid w:val="00A55214"/>
    <w:rsid w:val="00A555D6"/>
    <w:rsid w:val="00A55673"/>
    <w:rsid w:val="00A557F1"/>
    <w:rsid w:val="00A55DEC"/>
    <w:rsid w:val="00A561F5"/>
    <w:rsid w:val="00A56508"/>
    <w:rsid w:val="00A5667C"/>
    <w:rsid w:val="00A568E3"/>
    <w:rsid w:val="00A56D0C"/>
    <w:rsid w:val="00A56F24"/>
    <w:rsid w:val="00A57AE7"/>
    <w:rsid w:val="00A57B9E"/>
    <w:rsid w:val="00A57BE3"/>
    <w:rsid w:val="00A57D31"/>
    <w:rsid w:val="00A57EA5"/>
    <w:rsid w:val="00A60595"/>
    <w:rsid w:val="00A608A6"/>
    <w:rsid w:val="00A60918"/>
    <w:rsid w:val="00A6107B"/>
    <w:rsid w:val="00A612AE"/>
    <w:rsid w:val="00A612EA"/>
    <w:rsid w:val="00A613A3"/>
    <w:rsid w:val="00A614A2"/>
    <w:rsid w:val="00A614B3"/>
    <w:rsid w:val="00A61F4B"/>
    <w:rsid w:val="00A61F81"/>
    <w:rsid w:val="00A6250F"/>
    <w:rsid w:val="00A628F4"/>
    <w:rsid w:val="00A62A85"/>
    <w:rsid w:val="00A62DC1"/>
    <w:rsid w:val="00A632E5"/>
    <w:rsid w:val="00A637BB"/>
    <w:rsid w:val="00A63B8E"/>
    <w:rsid w:val="00A63D0C"/>
    <w:rsid w:val="00A63FF7"/>
    <w:rsid w:val="00A64111"/>
    <w:rsid w:val="00A64183"/>
    <w:rsid w:val="00A641DC"/>
    <w:rsid w:val="00A64370"/>
    <w:rsid w:val="00A643A6"/>
    <w:rsid w:val="00A64454"/>
    <w:rsid w:val="00A64599"/>
    <w:rsid w:val="00A645D5"/>
    <w:rsid w:val="00A646BF"/>
    <w:rsid w:val="00A646D5"/>
    <w:rsid w:val="00A649F6"/>
    <w:rsid w:val="00A64A37"/>
    <w:rsid w:val="00A64B91"/>
    <w:rsid w:val="00A64CD1"/>
    <w:rsid w:val="00A654F4"/>
    <w:rsid w:val="00A658CA"/>
    <w:rsid w:val="00A65CB3"/>
    <w:rsid w:val="00A65D9C"/>
    <w:rsid w:val="00A65E24"/>
    <w:rsid w:val="00A65EF7"/>
    <w:rsid w:val="00A65F9F"/>
    <w:rsid w:val="00A66103"/>
    <w:rsid w:val="00A6619C"/>
    <w:rsid w:val="00A6643B"/>
    <w:rsid w:val="00A66551"/>
    <w:rsid w:val="00A6661A"/>
    <w:rsid w:val="00A667A9"/>
    <w:rsid w:val="00A667C5"/>
    <w:rsid w:val="00A66BC3"/>
    <w:rsid w:val="00A66F39"/>
    <w:rsid w:val="00A67094"/>
    <w:rsid w:val="00A6709C"/>
    <w:rsid w:val="00A6743A"/>
    <w:rsid w:val="00A6750A"/>
    <w:rsid w:val="00A675F8"/>
    <w:rsid w:val="00A67894"/>
    <w:rsid w:val="00A67CA7"/>
    <w:rsid w:val="00A67D9E"/>
    <w:rsid w:val="00A67F8A"/>
    <w:rsid w:val="00A67FB7"/>
    <w:rsid w:val="00A67FDA"/>
    <w:rsid w:val="00A70155"/>
    <w:rsid w:val="00A701A8"/>
    <w:rsid w:val="00A7020A"/>
    <w:rsid w:val="00A7059E"/>
    <w:rsid w:val="00A706D9"/>
    <w:rsid w:val="00A707B7"/>
    <w:rsid w:val="00A7091A"/>
    <w:rsid w:val="00A709B6"/>
    <w:rsid w:val="00A70B7C"/>
    <w:rsid w:val="00A70C78"/>
    <w:rsid w:val="00A713BE"/>
    <w:rsid w:val="00A71491"/>
    <w:rsid w:val="00A71577"/>
    <w:rsid w:val="00A71753"/>
    <w:rsid w:val="00A7178B"/>
    <w:rsid w:val="00A719D6"/>
    <w:rsid w:val="00A71A54"/>
    <w:rsid w:val="00A72305"/>
    <w:rsid w:val="00A7291D"/>
    <w:rsid w:val="00A72D1F"/>
    <w:rsid w:val="00A73047"/>
    <w:rsid w:val="00A7317F"/>
    <w:rsid w:val="00A732A0"/>
    <w:rsid w:val="00A7337E"/>
    <w:rsid w:val="00A739D7"/>
    <w:rsid w:val="00A73B20"/>
    <w:rsid w:val="00A73B22"/>
    <w:rsid w:val="00A73F5C"/>
    <w:rsid w:val="00A73F73"/>
    <w:rsid w:val="00A74199"/>
    <w:rsid w:val="00A7430D"/>
    <w:rsid w:val="00A744FE"/>
    <w:rsid w:val="00A7457C"/>
    <w:rsid w:val="00A74AB8"/>
    <w:rsid w:val="00A74C46"/>
    <w:rsid w:val="00A74E3E"/>
    <w:rsid w:val="00A74F0B"/>
    <w:rsid w:val="00A756E0"/>
    <w:rsid w:val="00A75A9F"/>
    <w:rsid w:val="00A75D57"/>
    <w:rsid w:val="00A75DCF"/>
    <w:rsid w:val="00A75ECE"/>
    <w:rsid w:val="00A75F5B"/>
    <w:rsid w:val="00A75F66"/>
    <w:rsid w:val="00A761BC"/>
    <w:rsid w:val="00A76438"/>
    <w:rsid w:val="00A76716"/>
    <w:rsid w:val="00A76B7B"/>
    <w:rsid w:val="00A77155"/>
    <w:rsid w:val="00A77691"/>
    <w:rsid w:val="00A776AC"/>
    <w:rsid w:val="00A778D4"/>
    <w:rsid w:val="00A77C4E"/>
    <w:rsid w:val="00A77F99"/>
    <w:rsid w:val="00A801B4"/>
    <w:rsid w:val="00A80563"/>
    <w:rsid w:val="00A80647"/>
    <w:rsid w:val="00A807F4"/>
    <w:rsid w:val="00A80883"/>
    <w:rsid w:val="00A80A76"/>
    <w:rsid w:val="00A80B4D"/>
    <w:rsid w:val="00A80BCD"/>
    <w:rsid w:val="00A80FA0"/>
    <w:rsid w:val="00A81365"/>
    <w:rsid w:val="00A81515"/>
    <w:rsid w:val="00A815AB"/>
    <w:rsid w:val="00A815C1"/>
    <w:rsid w:val="00A8180F"/>
    <w:rsid w:val="00A818BE"/>
    <w:rsid w:val="00A81BF0"/>
    <w:rsid w:val="00A8216D"/>
    <w:rsid w:val="00A82320"/>
    <w:rsid w:val="00A8253C"/>
    <w:rsid w:val="00A82550"/>
    <w:rsid w:val="00A826C9"/>
    <w:rsid w:val="00A82A6F"/>
    <w:rsid w:val="00A82C62"/>
    <w:rsid w:val="00A82E00"/>
    <w:rsid w:val="00A82FB3"/>
    <w:rsid w:val="00A83260"/>
    <w:rsid w:val="00A83574"/>
    <w:rsid w:val="00A835DE"/>
    <w:rsid w:val="00A83712"/>
    <w:rsid w:val="00A837E8"/>
    <w:rsid w:val="00A83A93"/>
    <w:rsid w:val="00A83B71"/>
    <w:rsid w:val="00A84445"/>
    <w:rsid w:val="00A84E65"/>
    <w:rsid w:val="00A8515E"/>
    <w:rsid w:val="00A85705"/>
    <w:rsid w:val="00A85A99"/>
    <w:rsid w:val="00A85DB7"/>
    <w:rsid w:val="00A85E07"/>
    <w:rsid w:val="00A85E2E"/>
    <w:rsid w:val="00A861C3"/>
    <w:rsid w:val="00A86337"/>
    <w:rsid w:val="00A86510"/>
    <w:rsid w:val="00A8659C"/>
    <w:rsid w:val="00A86714"/>
    <w:rsid w:val="00A86ABD"/>
    <w:rsid w:val="00A87005"/>
    <w:rsid w:val="00A8710A"/>
    <w:rsid w:val="00A87141"/>
    <w:rsid w:val="00A874FC"/>
    <w:rsid w:val="00A876C7"/>
    <w:rsid w:val="00A87735"/>
    <w:rsid w:val="00A877C9"/>
    <w:rsid w:val="00A877D9"/>
    <w:rsid w:val="00A87956"/>
    <w:rsid w:val="00A87A3A"/>
    <w:rsid w:val="00A87B3D"/>
    <w:rsid w:val="00A87BAD"/>
    <w:rsid w:val="00A87FF5"/>
    <w:rsid w:val="00A90C18"/>
    <w:rsid w:val="00A90D99"/>
    <w:rsid w:val="00A90F66"/>
    <w:rsid w:val="00A912DE"/>
    <w:rsid w:val="00A91325"/>
    <w:rsid w:val="00A91519"/>
    <w:rsid w:val="00A916BB"/>
    <w:rsid w:val="00A91759"/>
    <w:rsid w:val="00A91B76"/>
    <w:rsid w:val="00A91C94"/>
    <w:rsid w:val="00A91E14"/>
    <w:rsid w:val="00A92232"/>
    <w:rsid w:val="00A92A19"/>
    <w:rsid w:val="00A92CC7"/>
    <w:rsid w:val="00A92EB2"/>
    <w:rsid w:val="00A92F02"/>
    <w:rsid w:val="00A92FEF"/>
    <w:rsid w:val="00A932BB"/>
    <w:rsid w:val="00A932F2"/>
    <w:rsid w:val="00A93381"/>
    <w:rsid w:val="00A933B2"/>
    <w:rsid w:val="00A9341F"/>
    <w:rsid w:val="00A93546"/>
    <w:rsid w:val="00A93B66"/>
    <w:rsid w:val="00A93C51"/>
    <w:rsid w:val="00A93E44"/>
    <w:rsid w:val="00A940FA"/>
    <w:rsid w:val="00A94500"/>
    <w:rsid w:val="00A94664"/>
    <w:rsid w:val="00A9467D"/>
    <w:rsid w:val="00A94699"/>
    <w:rsid w:val="00A948A2"/>
    <w:rsid w:val="00A948E6"/>
    <w:rsid w:val="00A94E09"/>
    <w:rsid w:val="00A94F76"/>
    <w:rsid w:val="00A9524B"/>
    <w:rsid w:val="00A954EF"/>
    <w:rsid w:val="00A95740"/>
    <w:rsid w:val="00A95747"/>
    <w:rsid w:val="00A95AE0"/>
    <w:rsid w:val="00A95B5E"/>
    <w:rsid w:val="00A95CF7"/>
    <w:rsid w:val="00A95F61"/>
    <w:rsid w:val="00A96153"/>
    <w:rsid w:val="00A96240"/>
    <w:rsid w:val="00A96420"/>
    <w:rsid w:val="00A964AC"/>
    <w:rsid w:val="00A96B08"/>
    <w:rsid w:val="00A96BFB"/>
    <w:rsid w:val="00A97069"/>
    <w:rsid w:val="00A970DC"/>
    <w:rsid w:val="00A972EC"/>
    <w:rsid w:val="00A9734F"/>
    <w:rsid w:val="00A97613"/>
    <w:rsid w:val="00A9772D"/>
    <w:rsid w:val="00A97DDE"/>
    <w:rsid w:val="00A97EAF"/>
    <w:rsid w:val="00AA006D"/>
    <w:rsid w:val="00AA0665"/>
    <w:rsid w:val="00AA0A65"/>
    <w:rsid w:val="00AA0A7C"/>
    <w:rsid w:val="00AA0BAB"/>
    <w:rsid w:val="00AA0C7B"/>
    <w:rsid w:val="00AA0DAE"/>
    <w:rsid w:val="00AA1638"/>
    <w:rsid w:val="00AA16F8"/>
    <w:rsid w:val="00AA1FF0"/>
    <w:rsid w:val="00AA2103"/>
    <w:rsid w:val="00AA26F7"/>
    <w:rsid w:val="00AA2742"/>
    <w:rsid w:val="00AA28CB"/>
    <w:rsid w:val="00AA2A9A"/>
    <w:rsid w:val="00AA2EAB"/>
    <w:rsid w:val="00AA2FBC"/>
    <w:rsid w:val="00AA307B"/>
    <w:rsid w:val="00AA32E3"/>
    <w:rsid w:val="00AA36BB"/>
    <w:rsid w:val="00AA36CB"/>
    <w:rsid w:val="00AA386B"/>
    <w:rsid w:val="00AA38C5"/>
    <w:rsid w:val="00AA3AA8"/>
    <w:rsid w:val="00AA3C99"/>
    <w:rsid w:val="00AA46B9"/>
    <w:rsid w:val="00AA4739"/>
    <w:rsid w:val="00AA49AD"/>
    <w:rsid w:val="00AA4E2A"/>
    <w:rsid w:val="00AA5039"/>
    <w:rsid w:val="00AA506E"/>
    <w:rsid w:val="00AA5205"/>
    <w:rsid w:val="00AA571C"/>
    <w:rsid w:val="00AA58F3"/>
    <w:rsid w:val="00AA5B4B"/>
    <w:rsid w:val="00AA5CD1"/>
    <w:rsid w:val="00AA6171"/>
    <w:rsid w:val="00AA62A0"/>
    <w:rsid w:val="00AA65A0"/>
    <w:rsid w:val="00AA6B21"/>
    <w:rsid w:val="00AA6E37"/>
    <w:rsid w:val="00AA6F3D"/>
    <w:rsid w:val="00AA7164"/>
    <w:rsid w:val="00AA737E"/>
    <w:rsid w:val="00AA73DB"/>
    <w:rsid w:val="00AA75A6"/>
    <w:rsid w:val="00AA7692"/>
    <w:rsid w:val="00AA7C9E"/>
    <w:rsid w:val="00AA7CAE"/>
    <w:rsid w:val="00AB0249"/>
    <w:rsid w:val="00AB03AB"/>
    <w:rsid w:val="00AB044D"/>
    <w:rsid w:val="00AB077B"/>
    <w:rsid w:val="00AB0D65"/>
    <w:rsid w:val="00AB0DD5"/>
    <w:rsid w:val="00AB0FBB"/>
    <w:rsid w:val="00AB118D"/>
    <w:rsid w:val="00AB140B"/>
    <w:rsid w:val="00AB1989"/>
    <w:rsid w:val="00AB1A6C"/>
    <w:rsid w:val="00AB21AD"/>
    <w:rsid w:val="00AB259C"/>
    <w:rsid w:val="00AB2ABD"/>
    <w:rsid w:val="00AB2CDC"/>
    <w:rsid w:val="00AB3404"/>
    <w:rsid w:val="00AB34F2"/>
    <w:rsid w:val="00AB3695"/>
    <w:rsid w:val="00AB3B2E"/>
    <w:rsid w:val="00AB3C15"/>
    <w:rsid w:val="00AB3C6E"/>
    <w:rsid w:val="00AB429A"/>
    <w:rsid w:val="00AB4436"/>
    <w:rsid w:val="00AB4705"/>
    <w:rsid w:val="00AB4873"/>
    <w:rsid w:val="00AB49E1"/>
    <w:rsid w:val="00AB4B43"/>
    <w:rsid w:val="00AB52A8"/>
    <w:rsid w:val="00AB53A0"/>
    <w:rsid w:val="00AB64BE"/>
    <w:rsid w:val="00AB64E3"/>
    <w:rsid w:val="00AB65AD"/>
    <w:rsid w:val="00AB6978"/>
    <w:rsid w:val="00AB6A0C"/>
    <w:rsid w:val="00AB6BD7"/>
    <w:rsid w:val="00AB71AC"/>
    <w:rsid w:val="00AB7359"/>
    <w:rsid w:val="00AB7421"/>
    <w:rsid w:val="00AB752A"/>
    <w:rsid w:val="00AB7AF3"/>
    <w:rsid w:val="00AB7D9A"/>
    <w:rsid w:val="00AB7E22"/>
    <w:rsid w:val="00AC02F9"/>
    <w:rsid w:val="00AC0514"/>
    <w:rsid w:val="00AC05F8"/>
    <w:rsid w:val="00AC0A43"/>
    <w:rsid w:val="00AC0B1B"/>
    <w:rsid w:val="00AC0C75"/>
    <w:rsid w:val="00AC0C96"/>
    <w:rsid w:val="00AC0E9A"/>
    <w:rsid w:val="00AC1007"/>
    <w:rsid w:val="00AC1A4E"/>
    <w:rsid w:val="00AC1B16"/>
    <w:rsid w:val="00AC1E3D"/>
    <w:rsid w:val="00AC2686"/>
    <w:rsid w:val="00AC2AC2"/>
    <w:rsid w:val="00AC2AE6"/>
    <w:rsid w:val="00AC2C51"/>
    <w:rsid w:val="00AC2FD9"/>
    <w:rsid w:val="00AC3010"/>
    <w:rsid w:val="00AC3308"/>
    <w:rsid w:val="00AC3597"/>
    <w:rsid w:val="00AC35B6"/>
    <w:rsid w:val="00AC373B"/>
    <w:rsid w:val="00AC390F"/>
    <w:rsid w:val="00AC3B91"/>
    <w:rsid w:val="00AC3D79"/>
    <w:rsid w:val="00AC3F16"/>
    <w:rsid w:val="00AC3FF1"/>
    <w:rsid w:val="00AC4074"/>
    <w:rsid w:val="00AC4149"/>
    <w:rsid w:val="00AC4621"/>
    <w:rsid w:val="00AC469F"/>
    <w:rsid w:val="00AC4725"/>
    <w:rsid w:val="00AC4DB8"/>
    <w:rsid w:val="00AC4F23"/>
    <w:rsid w:val="00AC5552"/>
    <w:rsid w:val="00AC564E"/>
    <w:rsid w:val="00AC5AC1"/>
    <w:rsid w:val="00AC5B4D"/>
    <w:rsid w:val="00AC5F46"/>
    <w:rsid w:val="00AC5FE3"/>
    <w:rsid w:val="00AC638A"/>
    <w:rsid w:val="00AC65FE"/>
    <w:rsid w:val="00AC6E54"/>
    <w:rsid w:val="00AC6EA8"/>
    <w:rsid w:val="00AC7213"/>
    <w:rsid w:val="00AC7610"/>
    <w:rsid w:val="00AC763A"/>
    <w:rsid w:val="00AC76FD"/>
    <w:rsid w:val="00AC795D"/>
    <w:rsid w:val="00AD002F"/>
    <w:rsid w:val="00AD007E"/>
    <w:rsid w:val="00AD0115"/>
    <w:rsid w:val="00AD0548"/>
    <w:rsid w:val="00AD0B07"/>
    <w:rsid w:val="00AD0D48"/>
    <w:rsid w:val="00AD0E07"/>
    <w:rsid w:val="00AD1673"/>
    <w:rsid w:val="00AD1B43"/>
    <w:rsid w:val="00AD1C5E"/>
    <w:rsid w:val="00AD1C8B"/>
    <w:rsid w:val="00AD23C8"/>
    <w:rsid w:val="00AD2422"/>
    <w:rsid w:val="00AD296E"/>
    <w:rsid w:val="00AD2B62"/>
    <w:rsid w:val="00AD2C8A"/>
    <w:rsid w:val="00AD2E7F"/>
    <w:rsid w:val="00AD2ECD"/>
    <w:rsid w:val="00AD30FA"/>
    <w:rsid w:val="00AD327B"/>
    <w:rsid w:val="00AD3950"/>
    <w:rsid w:val="00AD3B4F"/>
    <w:rsid w:val="00AD3E89"/>
    <w:rsid w:val="00AD3EF5"/>
    <w:rsid w:val="00AD3FC7"/>
    <w:rsid w:val="00AD41CC"/>
    <w:rsid w:val="00AD43F9"/>
    <w:rsid w:val="00AD443B"/>
    <w:rsid w:val="00AD4687"/>
    <w:rsid w:val="00AD56AA"/>
    <w:rsid w:val="00AD59A2"/>
    <w:rsid w:val="00AD5CCE"/>
    <w:rsid w:val="00AD5D21"/>
    <w:rsid w:val="00AD5FE6"/>
    <w:rsid w:val="00AD6400"/>
    <w:rsid w:val="00AD643B"/>
    <w:rsid w:val="00AD68C0"/>
    <w:rsid w:val="00AD6A85"/>
    <w:rsid w:val="00AD6B3E"/>
    <w:rsid w:val="00AD6C85"/>
    <w:rsid w:val="00AD6CB2"/>
    <w:rsid w:val="00AD6CD3"/>
    <w:rsid w:val="00AD6D4B"/>
    <w:rsid w:val="00AD71CF"/>
    <w:rsid w:val="00AD7202"/>
    <w:rsid w:val="00AD7481"/>
    <w:rsid w:val="00AD7675"/>
    <w:rsid w:val="00AD7AB8"/>
    <w:rsid w:val="00AD7B28"/>
    <w:rsid w:val="00AD7D2E"/>
    <w:rsid w:val="00AD7DBE"/>
    <w:rsid w:val="00AD7FEC"/>
    <w:rsid w:val="00AE0286"/>
    <w:rsid w:val="00AE038D"/>
    <w:rsid w:val="00AE0542"/>
    <w:rsid w:val="00AE069A"/>
    <w:rsid w:val="00AE0A2C"/>
    <w:rsid w:val="00AE0D66"/>
    <w:rsid w:val="00AE0F89"/>
    <w:rsid w:val="00AE1008"/>
    <w:rsid w:val="00AE1080"/>
    <w:rsid w:val="00AE1514"/>
    <w:rsid w:val="00AE1898"/>
    <w:rsid w:val="00AE1B8D"/>
    <w:rsid w:val="00AE1C70"/>
    <w:rsid w:val="00AE21F3"/>
    <w:rsid w:val="00AE2299"/>
    <w:rsid w:val="00AE25A5"/>
    <w:rsid w:val="00AE26BA"/>
    <w:rsid w:val="00AE274F"/>
    <w:rsid w:val="00AE27E5"/>
    <w:rsid w:val="00AE29BF"/>
    <w:rsid w:val="00AE2A99"/>
    <w:rsid w:val="00AE2BDC"/>
    <w:rsid w:val="00AE2CD4"/>
    <w:rsid w:val="00AE32E6"/>
    <w:rsid w:val="00AE3322"/>
    <w:rsid w:val="00AE3BCC"/>
    <w:rsid w:val="00AE3DD2"/>
    <w:rsid w:val="00AE3DE8"/>
    <w:rsid w:val="00AE3EFA"/>
    <w:rsid w:val="00AE3FD6"/>
    <w:rsid w:val="00AE4335"/>
    <w:rsid w:val="00AE44E8"/>
    <w:rsid w:val="00AE469E"/>
    <w:rsid w:val="00AE47DA"/>
    <w:rsid w:val="00AE4863"/>
    <w:rsid w:val="00AE4B3A"/>
    <w:rsid w:val="00AE4F95"/>
    <w:rsid w:val="00AE5221"/>
    <w:rsid w:val="00AE5A75"/>
    <w:rsid w:val="00AE5C8B"/>
    <w:rsid w:val="00AE5FB3"/>
    <w:rsid w:val="00AE6354"/>
    <w:rsid w:val="00AE65EE"/>
    <w:rsid w:val="00AE66B4"/>
    <w:rsid w:val="00AE67D7"/>
    <w:rsid w:val="00AE70A2"/>
    <w:rsid w:val="00AE71BB"/>
    <w:rsid w:val="00AE7318"/>
    <w:rsid w:val="00AE7804"/>
    <w:rsid w:val="00AE7AE2"/>
    <w:rsid w:val="00AE7CD4"/>
    <w:rsid w:val="00AE7CEF"/>
    <w:rsid w:val="00AE7F16"/>
    <w:rsid w:val="00AF0007"/>
    <w:rsid w:val="00AF0064"/>
    <w:rsid w:val="00AF00C3"/>
    <w:rsid w:val="00AF0167"/>
    <w:rsid w:val="00AF01D1"/>
    <w:rsid w:val="00AF03CA"/>
    <w:rsid w:val="00AF044C"/>
    <w:rsid w:val="00AF05C5"/>
    <w:rsid w:val="00AF0626"/>
    <w:rsid w:val="00AF0BD8"/>
    <w:rsid w:val="00AF0E26"/>
    <w:rsid w:val="00AF128F"/>
    <w:rsid w:val="00AF12E4"/>
    <w:rsid w:val="00AF1353"/>
    <w:rsid w:val="00AF1757"/>
    <w:rsid w:val="00AF19E3"/>
    <w:rsid w:val="00AF19EE"/>
    <w:rsid w:val="00AF1F1A"/>
    <w:rsid w:val="00AF23F1"/>
    <w:rsid w:val="00AF27CE"/>
    <w:rsid w:val="00AF280D"/>
    <w:rsid w:val="00AF2AE8"/>
    <w:rsid w:val="00AF3103"/>
    <w:rsid w:val="00AF3109"/>
    <w:rsid w:val="00AF313A"/>
    <w:rsid w:val="00AF38A7"/>
    <w:rsid w:val="00AF3B54"/>
    <w:rsid w:val="00AF400B"/>
    <w:rsid w:val="00AF4359"/>
    <w:rsid w:val="00AF45C5"/>
    <w:rsid w:val="00AF4D25"/>
    <w:rsid w:val="00AF4DF7"/>
    <w:rsid w:val="00AF50E1"/>
    <w:rsid w:val="00AF5209"/>
    <w:rsid w:val="00AF5265"/>
    <w:rsid w:val="00AF583A"/>
    <w:rsid w:val="00AF59E2"/>
    <w:rsid w:val="00AF5A75"/>
    <w:rsid w:val="00AF5AC6"/>
    <w:rsid w:val="00AF5D01"/>
    <w:rsid w:val="00AF5DEC"/>
    <w:rsid w:val="00AF5F15"/>
    <w:rsid w:val="00AF6364"/>
    <w:rsid w:val="00AF690A"/>
    <w:rsid w:val="00AF6BD0"/>
    <w:rsid w:val="00AF6E3C"/>
    <w:rsid w:val="00AF6E3E"/>
    <w:rsid w:val="00AF6E5D"/>
    <w:rsid w:val="00AF6EC1"/>
    <w:rsid w:val="00AF73B5"/>
    <w:rsid w:val="00AF74BE"/>
    <w:rsid w:val="00AF75ED"/>
    <w:rsid w:val="00AF7BF9"/>
    <w:rsid w:val="00AF7E3B"/>
    <w:rsid w:val="00AF7EA4"/>
    <w:rsid w:val="00AF7EF1"/>
    <w:rsid w:val="00B00373"/>
    <w:rsid w:val="00B00A06"/>
    <w:rsid w:val="00B00ECE"/>
    <w:rsid w:val="00B014DB"/>
    <w:rsid w:val="00B01531"/>
    <w:rsid w:val="00B015AE"/>
    <w:rsid w:val="00B015E6"/>
    <w:rsid w:val="00B01C06"/>
    <w:rsid w:val="00B01E07"/>
    <w:rsid w:val="00B01F97"/>
    <w:rsid w:val="00B023A9"/>
    <w:rsid w:val="00B028A3"/>
    <w:rsid w:val="00B02AEB"/>
    <w:rsid w:val="00B02BB0"/>
    <w:rsid w:val="00B02CB0"/>
    <w:rsid w:val="00B02FBB"/>
    <w:rsid w:val="00B0332C"/>
    <w:rsid w:val="00B03355"/>
    <w:rsid w:val="00B03A9F"/>
    <w:rsid w:val="00B0486D"/>
    <w:rsid w:val="00B049EA"/>
    <w:rsid w:val="00B04A40"/>
    <w:rsid w:val="00B04CCF"/>
    <w:rsid w:val="00B051CD"/>
    <w:rsid w:val="00B05CBE"/>
    <w:rsid w:val="00B05D28"/>
    <w:rsid w:val="00B05EA5"/>
    <w:rsid w:val="00B05F8D"/>
    <w:rsid w:val="00B06177"/>
    <w:rsid w:val="00B0662B"/>
    <w:rsid w:val="00B06878"/>
    <w:rsid w:val="00B06B0C"/>
    <w:rsid w:val="00B06B41"/>
    <w:rsid w:val="00B06BEE"/>
    <w:rsid w:val="00B06C82"/>
    <w:rsid w:val="00B06CE9"/>
    <w:rsid w:val="00B06F0A"/>
    <w:rsid w:val="00B07197"/>
    <w:rsid w:val="00B0742F"/>
    <w:rsid w:val="00B07572"/>
    <w:rsid w:val="00B07748"/>
    <w:rsid w:val="00B07E19"/>
    <w:rsid w:val="00B07F3E"/>
    <w:rsid w:val="00B07F60"/>
    <w:rsid w:val="00B100B9"/>
    <w:rsid w:val="00B1011A"/>
    <w:rsid w:val="00B1050A"/>
    <w:rsid w:val="00B10692"/>
    <w:rsid w:val="00B10B15"/>
    <w:rsid w:val="00B10EAF"/>
    <w:rsid w:val="00B10FA8"/>
    <w:rsid w:val="00B110E7"/>
    <w:rsid w:val="00B113CB"/>
    <w:rsid w:val="00B11490"/>
    <w:rsid w:val="00B117FF"/>
    <w:rsid w:val="00B11BBC"/>
    <w:rsid w:val="00B123E3"/>
    <w:rsid w:val="00B1249A"/>
    <w:rsid w:val="00B124A3"/>
    <w:rsid w:val="00B12742"/>
    <w:rsid w:val="00B1278A"/>
    <w:rsid w:val="00B128C5"/>
    <w:rsid w:val="00B12B63"/>
    <w:rsid w:val="00B12C7D"/>
    <w:rsid w:val="00B12F75"/>
    <w:rsid w:val="00B1300B"/>
    <w:rsid w:val="00B13918"/>
    <w:rsid w:val="00B13C73"/>
    <w:rsid w:val="00B13E5E"/>
    <w:rsid w:val="00B140A8"/>
    <w:rsid w:val="00B141D7"/>
    <w:rsid w:val="00B148BE"/>
    <w:rsid w:val="00B14AB0"/>
    <w:rsid w:val="00B14D16"/>
    <w:rsid w:val="00B14E72"/>
    <w:rsid w:val="00B14FE0"/>
    <w:rsid w:val="00B151A8"/>
    <w:rsid w:val="00B15378"/>
    <w:rsid w:val="00B156AB"/>
    <w:rsid w:val="00B15745"/>
    <w:rsid w:val="00B157A0"/>
    <w:rsid w:val="00B15CE1"/>
    <w:rsid w:val="00B15ECE"/>
    <w:rsid w:val="00B1617A"/>
    <w:rsid w:val="00B1623B"/>
    <w:rsid w:val="00B16323"/>
    <w:rsid w:val="00B167CA"/>
    <w:rsid w:val="00B168ED"/>
    <w:rsid w:val="00B16B25"/>
    <w:rsid w:val="00B16D31"/>
    <w:rsid w:val="00B170BA"/>
    <w:rsid w:val="00B17168"/>
    <w:rsid w:val="00B173A6"/>
    <w:rsid w:val="00B174B6"/>
    <w:rsid w:val="00B1777E"/>
    <w:rsid w:val="00B179AF"/>
    <w:rsid w:val="00B17D54"/>
    <w:rsid w:val="00B201B5"/>
    <w:rsid w:val="00B2048D"/>
    <w:rsid w:val="00B205F8"/>
    <w:rsid w:val="00B20A1F"/>
    <w:rsid w:val="00B20E3B"/>
    <w:rsid w:val="00B2139E"/>
    <w:rsid w:val="00B21779"/>
    <w:rsid w:val="00B218CF"/>
    <w:rsid w:val="00B2198C"/>
    <w:rsid w:val="00B222A5"/>
    <w:rsid w:val="00B222EC"/>
    <w:rsid w:val="00B22351"/>
    <w:rsid w:val="00B22352"/>
    <w:rsid w:val="00B22616"/>
    <w:rsid w:val="00B22685"/>
    <w:rsid w:val="00B227E6"/>
    <w:rsid w:val="00B22BDC"/>
    <w:rsid w:val="00B22DB4"/>
    <w:rsid w:val="00B22E57"/>
    <w:rsid w:val="00B23187"/>
    <w:rsid w:val="00B23202"/>
    <w:rsid w:val="00B23583"/>
    <w:rsid w:val="00B23A32"/>
    <w:rsid w:val="00B23FAE"/>
    <w:rsid w:val="00B24191"/>
    <w:rsid w:val="00B24939"/>
    <w:rsid w:val="00B2502E"/>
    <w:rsid w:val="00B2515A"/>
    <w:rsid w:val="00B25266"/>
    <w:rsid w:val="00B253CE"/>
    <w:rsid w:val="00B253D7"/>
    <w:rsid w:val="00B25599"/>
    <w:rsid w:val="00B256B8"/>
    <w:rsid w:val="00B25721"/>
    <w:rsid w:val="00B25782"/>
    <w:rsid w:val="00B25897"/>
    <w:rsid w:val="00B258B3"/>
    <w:rsid w:val="00B25F17"/>
    <w:rsid w:val="00B262F4"/>
    <w:rsid w:val="00B2633B"/>
    <w:rsid w:val="00B26658"/>
    <w:rsid w:val="00B26948"/>
    <w:rsid w:val="00B26CFA"/>
    <w:rsid w:val="00B26D6D"/>
    <w:rsid w:val="00B26E26"/>
    <w:rsid w:val="00B27159"/>
    <w:rsid w:val="00B2727E"/>
    <w:rsid w:val="00B2729A"/>
    <w:rsid w:val="00B2773E"/>
    <w:rsid w:val="00B277EF"/>
    <w:rsid w:val="00B277F9"/>
    <w:rsid w:val="00B27ABA"/>
    <w:rsid w:val="00B27AFC"/>
    <w:rsid w:val="00B27CFD"/>
    <w:rsid w:val="00B27EC2"/>
    <w:rsid w:val="00B27FDC"/>
    <w:rsid w:val="00B27FDD"/>
    <w:rsid w:val="00B3032F"/>
    <w:rsid w:val="00B30344"/>
    <w:rsid w:val="00B303E2"/>
    <w:rsid w:val="00B30621"/>
    <w:rsid w:val="00B30A12"/>
    <w:rsid w:val="00B30D26"/>
    <w:rsid w:val="00B31363"/>
    <w:rsid w:val="00B3167D"/>
    <w:rsid w:val="00B3179C"/>
    <w:rsid w:val="00B319A1"/>
    <w:rsid w:val="00B31A05"/>
    <w:rsid w:val="00B31AEE"/>
    <w:rsid w:val="00B31CF7"/>
    <w:rsid w:val="00B31E7E"/>
    <w:rsid w:val="00B321DD"/>
    <w:rsid w:val="00B32411"/>
    <w:rsid w:val="00B32724"/>
    <w:rsid w:val="00B32B64"/>
    <w:rsid w:val="00B32D17"/>
    <w:rsid w:val="00B3353C"/>
    <w:rsid w:val="00B33542"/>
    <w:rsid w:val="00B339AD"/>
    <w:rsid w:val="00B33B05"/>
    <w:rsid w:val="00B341D3"/>
    <w:rsid w:val="00B341E2"/>
    <w:rsid w:val="00B3446F"/>
    <w:rsid w:val="00B34503"/>
    <w:rsid w:val="00B34520"/>
    <w:rsid w:val="00B3465A"/>
    <w:rsid w:val="00B34663"/>
    <w:rsid w:val="00B34C1D"/>
    <w:rsid w:val="00B34D74"/>
    <w:rsid w:val="00B350D2"/>
    <w:rsid w:val="00B35567"/>
    <w:rsid w:val="00B357B5"/>
    <w:rsid w:val="00B35968"/>
    <w:rsid w:val="00B35EAB"/>
    <w:rsid w:val="00B35EC7"/>
    <w:rsid w:val="00B35F34"/>
    <w:rsid w:val="00B3610B"/>
    <w:rsid w:val="00B3617A"/>
    <w:rsid w:val="00B36277"/>
    <w:rsid w:val="00B36458"/>
    <w:rsid w:val="00B364EE"/>
    <w:rsid w:val="00B367F9"/>
    <w:rsid w:val="00B367FD"/>
    <w:rsid w:val="00B36916"/>
    <w:rsid w:val="00B36C7F"/>
    <w:rsid w:val="00B36DED"/>
    <w:rsid w:val="00B37041"/>
    <w:rsid w:val="00B371BA"/>
    <w:rsid w:val="00B375C7"/>
    <w:rsid w:val="00B375D5"/>
    <w:rsid w:val="00B37956"/>
    <w:rsid w:val="00B37A59"/>
    <w:rsid w:val="00B37C5B"/>
    <w:rsid w:val="00B37CF5"/>
    <w:rsid w:val="00B37DDB"/>
    <w:rsid w:val="00B40474"/>
    <w:rsid w:val="00B40518"/>
    <w:rsid w:val="00B40584"/>
    <w:rsid w:val="00B40821"/>
    <w:rsid w:val="00B408E8"/>
    <w:rsid w:val="00B40D9F"/>
    <w:rsid w:val="00B40DEA"/>
    <w:rsid w:val="00B4137C"/>
    <w:rsid w:val="00B41864"/>
    <w:rsid w:val="00B41ABA"/>
    <w:rsid w:val="00B41DAC"/>
    <w:rsid w:val="00B41E89"/>
    <w:rsid w:val="00B424B3"/>
    <w:rsid w:val="00B425A6"/>
    <w:rsid w:val="00B428CE"/>
    <w:rsid w:val="00B42917"/>
    <w:rsid w:val="00B42A00"/>
    <w:rsid w:val="00B42A9C"/>
    <w:rsid w:val="00B42C1A"/>
    <w:rsid w:val="00B42D0F"/>
    <w:rsid w:val="00B430DB"/>
    <w:rsid w:val="00B432BE"/>
    <w:rsid w:val="00B432C6"/>
    <w:rsid w:val="00B4340D"/>
    <w:rsid w:val="00B4355A"/>
    <w:rsid w:val="00B43616"/>
    <w:rsid w:val="00B436A7"/>
    <w:rsid w:val="00B436E1"/>
    <w:rsid w:val="00B43ACB"/>
    <w:rsid w:val="00B43C77"/>
    <w:rsid w:val="00B43D82"/>
    <w:rsid w:val="00B4408C"/>
    <w:rsid w:val="00B440B6"/>
    <w:rsid w:val="00B444BF"/>
    <w:rsid w:val="00B449C5"/>
    <w:rsid w:val="00B44A19"/>
    <w:rsid w:val="00B44D19"/>
    <w:rsid w:val="00B44E78"/>
    <w:rsid w:val="00B44F4C"/>
    <w:rsid w:val="00B45448"/>
    <w:rsid w:val="00B45BEF"/>
    <w:rsid w:val="00B46140"/>
    <w:rsid w:val="00B463CD"/>
    <w:rsid w:val="00B463DC"/>
    <w:rsid w:val="00B465E6"/>
    <w:rsid w:val="00B4663D"/>
    <w:rsid w:val="00B46A88"/>
    <w:rsid w:val="00B46B1F"/>
    <w:rsid w:val="00B46D10"/>
    <w:rsid w:val="00B46DFB"/>
    <w:rsid w:val="00B46FB8"/>
    <w:rsid w:val="00B47649"/>
    <w:rsid w:val="00B47A07"/>
    <w:rsid w:val="00B47C21"/>
    <w:rsid w:val="00B5040B"/>
    <w:rsid w:val="00B50782"/>
    <w:rsid w:val="00B5081E"/>
    <w:rsid w:val="00B50AB2"/>
    <w:rsid w:val="00B50AD1"/>
    <w:rsid w:val="00B50C0B"/>
    <w:rsid w:val="00B50C41"/>
    <w:rsid w:val="00B510C4"/>
    <w:rsid w:val="00B510E9"/>
    <w:rsid w:val="00B5112E"/>
    <w:rsid w:val="00B51342"/>
    <w:rsid w:val="00B51769"/>
    <w:rsid w:val="00B517DD"/>
    <w:rsid w:val="00B51BBB"/>
    <w:rsid w:val="00B51D3C"/>
    <w:rsid w:val="00B51E48"/>
    <w:rsid w:val="00B51E9A"/>
    <w:rsid w:val="00B51F34"/>
    <w:rsid w:val="00B51F5D"/>
    <w:rsid w:val="00B5200B"/>
    <w:rsid w:val="00B52BB0"/>
    <w:rsid w:val="00B531A4"/>
    <w:rsid w:val="00B53423"/>
    <w:rsid w:val="00B53A28"/>
    <w:rsid w:val="00B53B61"/>
    <w:rsid w:val="00B53CD0"/>
    <w:rsid w:val="00B540F7"/>
    <w:rsid w:val="00B54126"/>
    <w:rsid w:val="00B54689"/>
    <w:rsid w:val="00B5499B"/>
    <w:rsid w:val="00B549C5"/>
    <w:rsid w:val="00B54A5C"/>
    <w:rsid w:val="00B5500B"/>
    <w:rsid w:val="00B551F9"/>
    <w:rsid w:val="00B554AA"/>
    <w:rsid w:val="00B55942"/>
    <w:rsid w:val="00B559DA"/>
    <w:rsid w:val="00B56071"/>
    <w:rsid w:val="00B561AF"/>
    <w:rsid w:val="00B56313"/>
    <w:rsid w:val="00B56631"/>
    <w:rsid w:val="00B56637"/>
    <w:rsid w:val="00B56715"/>
    <w:rsid w:val="00B56A7B"/>
    <w:rsid w:val="00B56AA7"/>
    <w:rsid w:val="00B56AD5"/>
    <w:rsid w:val="00B56B42"/>
    <w:rsid w:val="00B5701F"/>
    <w:rsid w:val="00B5712D"/>
    <w:rsid w:val="00B571F9"/>
    <w:rsid w:val="00B57317"/>
    <w:rsid w:val="00B5747A"/>
    <w:rsid w:val="00B57693"/>
    <w:rsid w:val="00B577C4"/>
    <w:rsid w:val="00B57BF1"/>
    <w:rsid w:val="00B57D51"/>
    <w:rsid w:val="00B607C8"/>
    <w:rsid w:val="00B60A54"/>
    <w:rsid w:val="00B60B12"/>
    <w:rsid w:val="00B6118F"/>
    <w:rsid w:val="00B61253"/>
    <w:rsid w:val="00B614F3"/>
    <w:rsid w:val="00B61574"/>
    <w:rsid w:val="00B61729"/>
    <w:rsid w:val="00B61B0D"/>
    <w:rsid w:val="00B61B24"/>
    <w:rsid w:val="00B61C56"/>
    <w:rsid w:val="00B61D5C"/>
    <w:rsid w:val="00B61DD7"/>
    <w:rsid w:val="00B61DEE"/>
    <w:rsid w:val="00B61F7C"/>
    <w:rsid w:val="00B627D9"/>
    <w:rsid w:val="00B62A7B"/>
    <w:rsid w:val="00B62CA2"/>
    <w:rsid w:val="00B63505"/>
    <w:rsid w:val="00B6381B"/>
    <w:rsid w:val="00B639E1"/>
    <w:rsid w:val="00B63B74"/>
    <w:rsid w:val="00B63BDF"/>
    <w:rsid w:val="00B63CBD"/>
    <w:rsid w:val="00B63EB9"/>
    <w:rsid w:val="00B64095"/>
    <w:rsid w:val="00B64220"/>
    <w:rsid w:val="00B6430A"/>
    <w:rsid w:val="00B6494B"/>
    <w:rsid w:val="00B64982"/>
    <w:rsid w:val="00B64BEF"/>
    <w:rsid w:val="00B64C86"/>
    <w:rsid w:val="00B64D55"/>
    <w:rsid w:val="00B64F5F"/>
    <w:rsid w:val="00B65391"/>
    <w:rsid w:val="00B65456"/>
    <w:rsid w:val="00B657F3"/>
    <w:rsid w:val="00B65BF1"/>
    <w:rsid w:val="00B65EBC"/>
    <w:rsid w:val="00B65F60"/>
    <w:rsid w:val="00B6604B"/>
    <w:rsid w:val="00B663F6"/>
    <w:rsid w:val="00B666A9"/>
    <w:rsid w:val="00B66A21"/>
    <w:rsid w:val="00B66C65"/>
    <w:rsid w:val="00B66FC5"/>
    <w:rsid w:val="00B67058"/>
    <w:rsid w:val="00B67153"/>
    <w:rsid w:val="00B67293"/>
    <w:rsid w:val="00B67310"/>
    <w:rsid w:val="00B67B56"/>
    <w:rsid w:val="00B67B82"/>
    <w:rsid w:val="00B67D90"/>
    <w:rsid w:val="00B67E8F"/>
    <w:rsid w:val="00B70615"/>
    <w:rsid w:val="00B7091F"/>
    <w:rsid w:val="00B70D17"/>
    <w:rsid w:val="00B70FD3"/>
    <w:rsid w:val="00B7128B"/>
    <w:rsid w:val="00B71429"/>
    <w:rsid w:val="00B72989"/>
    <w:rsid w:val="00B72A1A"/>
    <w:rsid w:val="00B72A9B"/>
    <w:rsid w:val="00B72D9A"/>
    <w:rsid w:val="00B7356D"/>
    <w:rsid w:val="00B7389A"/>
    <w:rsid w:val="00B738EC"/>
    <w:rsid w:val="00B73A2B"/>
    <w:rsid w:val="00B73D92"/>
    <w:rsid w:val="00B73E24"/>
    <w:rsid w:val="00B740D7"/>
    <w:rsid w:val="00B740FB"/>
    <w:rsid w:val="00B74411"/>
    <w:rsid w:val="00B74A3B"/>
    <w:rsid w:val="00B74EAF"/>
    <w:rsid w:val="00B74EC4"/>
    <w:rsid w:val="00B7527D"/>
    <w:rsid w:val="00B754F8"/>
    <w:rsid w:val="00B75589"/>
    <w:rsid w:val="00B75668"/>
    <w:rsid w:val="00B757BF"/>
    <w:rsid w:val="00B7594F"/>
    <w:rsid w:val="00B75956"/>
    <w:rsid w:val="00B75C0D"/>
    <w:rsid w:val="00B75FAC"/>
    <w:rsid w:val="00B75FE7"/>
    <w:rsid w:val="00B76124"/>
    <w:rsid w:val="00B7649A"/>
    <w:rsid w:val="00B76553"/>
    <w:rsid w:val="00B76594"/>
    <w:rsid w:val="00B76B00"/>
    <w:rsid w:val="00B76D31"/>
    <w:rsid w:val="00B770CD"/>
    <w:rsid w:val="00B77156"/>
    <w:rsid w:val="00B77BC6"/>
    <w:rsid w:val="00B77D70"/>
    <w:rsid w:val="00B80093"/>
    <w:rsid w:val="00B8009F"/>
    <w:rsid w:val="00B80496"/>
    <w:rsid w:val="00B81186"/>
    <w:rsid w:val="00B8130A"/>
    <w:rsid w:val="00B81476"/>
    <w:rsid w:val="00B816F7"/>
    <w:rsid w:val="00B817D5"/>
    <w:rsid w:val="00B81F8F"/>
    <w:rsid w:val="00B825C4"/>
    <w:rsid w:val="00B831EC"/>
    <w:rsid w:val="00B83247"/>
    <w:rsid w:val="00B83C19"/>
    <w:rsid w:val="00B84175"/>
    <w:rsid w:val="00B841D0"/>
    <w:rsid w:val="00B8494E"/>
    <w:rsid w:val="00B84D2E"/>
    <w:rsid w:val="00B84E2C"/>
    <w:rsid w:val="00B84EBF"/>
    <w:rsid w:val="00B85011"/>
    <w:rsid w:val="00B85145"/>
    <w:rsid w:val="00B852A9"/>
    <w:rsid w:val="00B853E9"/>
    <w:rsid w:val="00B85415"/>
    <w:rsid w:val="00B858DC"/>
    <w:rsid w:val="00B85A63"/>
    <w:rsid w:val="00B861AF"/>
    <w:rsid w:val="00B866FC"/>
    <w:rsid w:val="00B86A5E"/>
    <w:rsid w:val="00B86B14"/>
    <w:rsid w:val="00B86BC6"/>
    <w:rsid w:val="00B86D6D"/>
    <w:rsid w:val="00B86E5B"/>
    <w:rsid w:val="00B876F2"/>
    <w:rsid w:val="00B877F9"/>
    <w:rsid w:val="00B87C41"/>
    <w:rsid w:val="00B87DBA"/>
    <w:rsid w:val="00B87DD9"/>
    <w:rsid w:val="00B9045C"/>
    <w:rsid w:val="00B908E8"/>
    <w:rsid w:val="00B9090E"/>
    <w:rsid w:val="00B90CA8"/>
    <w:rsid w:val="00B90D56"/>
    <w:rsid w:val="00B90DD3"/>
    <w:rsid w:val="00B9122C"/>
    <w:rsid w:val="00B91813"/>
    <w:rsid w:val="00B91A05"/>
    <w:rsid w:val="00B91D24"/>
    <w:rsid w:val="00B91E0D"/>
    <w:rsid w:val="00B920AE"/>
    <w:rsid w:val="00B922EE"/>
    <w:rsid w:val="00B92355"/>
    <w:rsid w:val="00B92AB7"/>
    <w:rsid w:val="00B92B29"/>
    <w:rsid w:val="00B92D4A"/>
    <w:rsid w:val="00B93489"/>
    <w:rsid w:val="00B9354C"/>
    <w:rsid w:val="00B935BE"/>
    <w:rsid w:val="00B93909"/>
    <w:rsid w:val="00B93BEA"/>
    <w:rsid w:val="00B94418"/>
    <w:rsid w:val="00B9443E"/>
    <w:rsid w:val="00B94503"/>
    <w:rsid w:val="00B94536"/>
    <w:rsid w:val="00B94864"/>
    <w:rsid w:val="00B9487F"/>
    <w:rsid w:val="00B948BE"/>
    <w:rsid w:val="00B94949"/>
    <w:rsid w:val="00B94AD1"/>
    <w:rsid w:val="00B94B2B"/>
    <w:rsid w:val="00B94BC2"/>
    <w:rsid w:val="00B94F12"/>
    <w:rsid w:val="00B94FF6"/>
    <w:rsid w:val="00B9516E"/>
    <w:rsid w:val="00B95522"/>
    <w:rsid w:val="00B956C3"/>
    <w:rsid w:val="00B95745"/>
    <w:rsid w:val="00B95860"/>
    <w:rsid w:val="00B95A78"/>
    <w:rsid w:val="00B95C6F"/>
    <w:rsid w:val="00B95F42"/>
    <w:rsid w:val="00B960F0"/>
    <w:rsid w:val="00B96ADC"/>
    <w:rsid w:val="00B96FFF"/>
    <w:rsid w:val="00B971FB"/>
    <w:rsid w:val="00B974D6"/>
    <w:rsid w:val="00B97726"/>
    <w:rsid w:val="00B978EF"/>
    <w:rsid w:val="00B979FB"/>
    <w:rsid w:val="00B97B2D"/>
    <w:rsid w:val="00B97C48"/>
    <w:rsid w:val="00BA03E6"/>
    <w:rsid w:val="00BA0DF3"/>
    <w:rsid w:val="00BA1113"/>
    <w:rsid w:val="00BA118F"/>
    <w:rsid w:val="00BA1CDF"/>
    <w:rsid w:val="00BA1D30"/>
    <w:rsid w:val="00BA1D51"/>
    <w:rsid w:val="00BA1F54"/>
    <w:rsid w:val="00BA1F86"/>
    <w:rsid w:val="00BA2201"/>
    <w:rsid w:val="00BA2473"/>
    <w:rsid w:val="00BA2741"/>
    <w:rsid w:val="00BA282F"/>
    <w:rsid w:val="00BA28C0"/>
    <w:rsid w:val="00BA329C"/>
    <w:rsid w:val="00BA338E"/>
    <w:rsid w:val="00BA34FC"/>
    <w:rsid w:val="00BA3958"/>
    <w:rsid w:val="00BA3A25"/>
    <w:rsid w:val="00BA3F9E"/>
    <w:rsid w:val="00BA3FE9"/>
    <w:rsid w:val="00BA4615"/>
    <w:rsid w:val="00BA46D8"/>
    <w:rsid w:val="00BA4952"/>
    <w:rsid w:val="00BA4A99"/>
    <w:rsid w:val="00BA4CFD"/>
    <w:rsid w:val="00BA4F98"/>
    <w:rsid w:val="00BA5B35"/>
    <w:rsid w:val="00BA5F72"/>
    <w:rsid w:val="00BA60FA"/>
    <w:rsid w:val="00BA67B5"/>
    <w:rsid w:val="00BA67E9"/>
    <w:rsid w:val="00BA690A"/>
    <w:rsid w:val="00BA6D8F"/>
    <w:rsid w:val="00BA7324"/>
    <w:rsid w:val="00BA7822"/>
    <w:rsid w:val="00BA7867"/>
    <w:rsid w:val="00BA7B02"/>
    <w:rsid w:val="00BB0016"/>
    <w:rsid w:val="00BB045B"/>
    <w:rsid w:val="00BB04A0"/>
    <w:rsid w:val="00BB0737"/>
    <w:rsid w:val="00BB0873"/>
    <w:rsid w:val="00BB098B"/>
    <w:rsid w:val="00BB0AC4"/>
    <w:rsid w:val="00BB0CED"/>
    <w:rsid w:val="00BB0E1B"/>
    <w:rsid w:val="00BB0EA6"/>
    <w:rsid w:val="00BB0ED8"/>
    <w:rsid w:val="00BB1185"/>
    <w:rsid w:val="00BB11DD"/>
    <w:rsid w:val="00BB11E9"/>
    <w:rsid w:val="00BB1208"/>
    <w:rsid w:val="00BB1707"/>
    <w:rsid w:val="00BB1730"/>
    <w:rsid w:val="00BB1AFD"/>
    <w:rsid w:val="00BB25D0"/>
    <w:rsid w:val="00BB2613"/>
    <w:rsid w:val="00BB26EC"/>
    <w:rsid w:val="00BB2778"/>
    <w:rsid w:val="00BB2835"/>
    <w:rsid w:val="00BB2C42"/>
    <w:rsid w:val="00BB2DC1"/>
    <w:rsid w:val="00BB2EFC"/>
    <w:rsid w:val="00BB3157"/>
    <w:rsid w:val="00BB3C80"/>
    <w:rsid w:val="00BB43FE"/>
    <w:rsid w:val="00BB4461"/>
    <w:rsid w:val="00BB4616"/>
    <w:rsid w:val="00BB4621"/>
    <w:rsid w:val="00BB47A6"/>
    <w:rsid w:val="00BB4F5F"/>
    <w:rsid w:val="00BB527B"/>
    <w:rsid w:val="00BB5317"/>
    <w:rsid w:val="00BB5774"/>
    <w:rsid w:val="00BB5B20"/>
    <w:rsid w:val="00BB6493"/>
    <w:rsid w:val="00BB662F"/>
    <w:rsid w:val="00BB664C"/>
    <w:rsid w:val="00BB66B3"/>
    <w:rsid w:val="00BB6C77"/>
    <w:rsid w:val="00BB6E1F"/>
    <w:rsid w:val="00BB6F06"/>
    <w:rsid w:val="00BB6F0A"/>
    <w:rsid w:val="00BB70B7"/>
    <w:rsid w:val="00BB7285"/>
    <w:rsid w:val="00BB73D1"/>
    <w:rsid w:val="00BB75D8"/>
    <w:rsid w:val="00BB7838"/>
    <w:rsid w:val="00BB7EDC"/>
    <w:rsid w:val="00BC050D"/>
    <w:rsid w:val="00BC07E9"/>
    <w:rsid w:val="00BC0C97"/>
    <w:rsid w:val="00BC10A8"/>
    <w:rsid w:val="00BC110F"/>
    <w:rsid w:val="00BC12A5"/>
    <w:rsid w:val="00BC1654"/>
    <w:rsid w:val="00BC1695"/>
    <w:rsid w:val="00BC1862"/>
    <w:rsid w:val="00BC1A8D"/>
    <w:rsid w:val="00BC1D9C"/>
    <w:rsid w:val="00BC1E23"/>
    <w:rsid w:val="00BC1E39"/>
    <w:rsid w:val="00BC1F77"/>
    <w:rsid w:val="00BC22CF"/>
    <w:rsid w:val="00BC2C9B"/>
    <w:rsid w:val="00BC2ECC"/>
    <w:rsid w:val="00BC3036"/>
    <w:rsid w:val="00BC32CF"/>
    <w:rsid w:val="00BC37AE"/>
    <w:rsid w:val="00BC3832"/>
    <w:rsid w:val="00BC38F4"/>
    <w:rsid w:val="00BC3C03"/>
    <w:rsid w:val="00BC3E43"/>
    <w:rsid w:val="00BC4233"/>
    <w:rsid w:val="00BC42E5"/>
    <w:rsid w:val="00BC475D"/>
    <w:rsid w:val="00BC48AD"/>
    <w:rsid w:val="00BC4A86"/>
    <w:rsid w:val="00BC4D6F"/>
    <w:rsid w:val="00BC4F50"/>
    <w:rsid w:val="00BC572C"/>
    <w:rsid w:val="00BC5888"/>
    <w:rsid w:val="00BC5AC3"/>
    <w:rsid w:val="00BC5B3A"/>
    <w:rsid w:val="00BC5C83"/>
    <w:rsid w:val="00BC5F82"/>
    <w:rsid w:val="00BC60E0"/>
    <w:rsid w:val="00BC6568"/>
    <w:rsid w:val="00BC67EA"/>
    <w:rsid w:val="00BC693D"/>
    <w:rsid w:val="00BC6975"/>
    <w:rsid w:val="00BC6C19"/>
    <w:rsid w:val="00BC7293"/>
    <w:rsid w:val="00BC751C"/>
    <w:rsid w:val="00BC75CE"/>
    <w:rsid w:val="00BC7A45"/>
    <w:rsid w:val="00BC7C74"/>
    <w:rsid w:val="00BC7D22"/>
    <w:rsid w:val="00BD002B"/>
    <w:rsid w:val="00BD012D"/>
    <w:rsid w:val="00BD0647"/>
    <w:rsid w:val="00BD0DCD"/>
    <w:rsid w:val="00BD10BB"/>
    <w:rsid w:val="00BD13E0"/>
    <w:rsid w:val="00BD149A"/>
    <w:rsid w:val="00BD14F8"/>
    <w:rsid w:val="00BD1637"/>
    <w:rsid w:val="00BD1A65"/>
    <w:rsid w:val="00BD1B10"/>
    <w:rsid w:val="00BD1DA1"/>
    <w:rsid w:val="00BD2728"/>
    <w:rsid w:val="00BD278E"/>
    <w:rsid w:val="00BD285C"/>
    <w:rsid w:val="00BD28C4"/>
    <w:rsid w:val="00BD2FA4"/>
    <w:rsid w:val="00BD3066"/>
    <w:rsid w:val="00BD311F"/>
    <w:rsid w:val="00BD38AD"/>
    <w:rsid w:val="00BD3A1F"/>
    <w:rsid w:val="00BD3ABD"/>
    <w:rsid w:val="00BD3B60"/>
    <w:rsid w:val="00BD3ECB"/>
    <w:rsid w:val="00BD3F29"/>
    <w:rsid w:val="00BD41B7"/>
    <w:rsid w:val="00BD42FE"/>
    <w:rsid w:val="00BD442D"/>
    <w:rsid w:val="00BD4906"/>
    <w:rsid w:val="00BD4D81"/>
    <w:rsid w:val="00BD4F84"/>
    <w:rsid w:val="00BD52D0"/>
    <w:rsid w:val="00BD54D7"/>
    <w:rsid w:val="00BD560F"/>
    <w:rsid w:val="00BD56C5"/>
    <w:rsid w:val="00BD5806"/>
    <w:rsid w:val="00BD5E23"/>
    <w:rsid w:val="00BD5F6B"/>
    <w:rsid w:val="00BD6185"/>
    <w:rsid w:val="00BD6574"/>
    <w:rsid w:val="00BD6CF9"/>
    <w:rsid w:val="00BD77AF"/>
    <w:rsid w:val="00BD784C"/>
    <w:rsid w:val="00BD7A08"/>
    <w:rsid w:val="00BD7DCA"/>
    <w:rsid w:val="00BD7EB2"/>
    <w:rsid w:val="00BE0342"/>
    <w:rsid w:val="00BE03BB"/>
    <w:rsid w:val="00BE04B0"/>
    <w:rsid w:val="00BE0679"/>
    <w:rsid w:val="00BE085B"/>
    <w:rsid w:val="00BE0886"/>
    <w:rsid w:val="00BE0A20"/>
    <w:rsid w:val="00BE0F18"/>
    <w:rsid w:val="00BE1571"/>
    <w:rsid w:val="00BE1B42"/>
    <w:rsid w:val="00BE21AB"/>
    <w:rsid w:val="00BE2694"/>
    <w:rsid w:val="00BE2B19"/>
    <w:rsid w:val="00BE2BED"/>
    <w:rsid w:val="00BE2BF8"/>
    <w:rsid w:val="00BE2C0F"/>
    <w:rsid w:val="00BE2EFD"/>
    <w:rsid w:val="00BE312F"/>
    <w:rsid w:val="00BE31B8"/>
    <w:rsid w:val="00BE37B7"/>
    <w:rsid w:val="00BE3997"/>
    <w:rsid w:val="00BE3C6D"/>
    <w:rsid w:val="00BE3CE9"/>
    <w:rsid w:val="00BE3EC2"/>
    <w:rsid w:val="00BE4246"/>
    <w:rsid w:val="00BE435A"/>
    <w:rsid w:val="00BE43BD"/>
    <w:rsid w:val="00BE4630"/>
    <w:rsid w:val="00BE4755"/>
    <w:rsid w:val="00BE4810"/>
    <w:rsid w:val="00BE4882"/>
    <w:rsid w:val="00BE4B00"/>
    <w:rsid w:val="00BE4D49"/>
    <w:rsid w:val="00BE5085"/>
    <w:rsid w:val="00BE51D6"/>
    <w:rsid w:val="00BE5263"/>
    <w:rsid w:val="00BE537B"/>
    <w:rsid w:val="00BE597F"/>
    <w:rsid w:val="00BE5A5C"/>
    <w:rsid w:val="00BE5A81"/>
    <w:rsid w:val="00BE5B26"/>
    <w:rsid w:val="00BE5FC8"/>
    <w:rsid w:val="00BE634D"/>
    <w:rsid w:val="00BE64DC"/>
    <w:rsid w:val="00BE6EA9"/>
    <w:rsid w:val="00BE6EC8"/>
    <w:rsid w:val="00BE6ECE"/>
    <w:rsid w:val="00BE714F"/>
    <w:rsid w:val="00BE7190"/>
    <w:rsid w:val="00BE732D"/>
    <w:rsid w:val="00BE7464"/>
    <w:rsid w:val="00BE7828"/>
    <w:rsid w:val="00BE793C"/>
    <w:rsid w:val="00BE7C19"/>
    <w:rsid w:val="00BE7F47"/>
    <w:rsid w:val="00BF00F5"/>
    <w:rsid w:val="00BF078B"/>
    <w:rsid w:val="00BF088E"/>
    <w:rsid w:val="00BF099A"/>
    <w:rsid w:val="00BF0AA2"/>
    <w:rsid w:val="00BF0BDD"/>
    <w:rsid w:val="00BF0BE8"/>
    <w:rsid w:val="00BF0DF3"/>
    <w:rsid w:val="00BF0F1D"/>
    <w:rsid w:val="00BF0FBD"/>
    <w:rsid w:val="00BF11BA"/>
    <w:rsid w:val="00BF13F6"/>
    <w:rsid w:val="00BF1513"/>
    <w:rsid w:val="00BF194F"/>
    <w:rsid w:val="00BF19B4"/>
    <w:rsid w:val="00BF19FA"/>
    <w:rsid w:val="00BF1C51"/>
    <w:rsid w:val="00BF1CEC"/>
    <w:rsid w:val="00BF1EA5"/>
    <w:rsid w:val="00BF21FB"/>
    <w:rsid w:val="00BF22BD"/>
    <w:rsid w:val="00BF23BA"/>
    <w:rsid w:val="00BF26DE"/>
    <w:rsid w:val="00BF27A8"/>
    <w:rsid w:val="00BF280E"/>
    <w:rsid w:val="00BF28B8"/>
    <w:rsid w:val="00BF2AF0"/>
    <w:rsid w:val="00BF2E29"/>
    <w:rsid w:val="00BF2ED3"/>
    <w:rsid w:val="00BF3039"/>
    <w:rsid w:val="00BF3C0D"/>
    <w:rsid w:val="00BF41E4"/>
    <w:rsid w:val="00BF4252"/>
    <w:rsid w:val="00BF434F"/>
    <w:rsid w:val="00BF44CD"/>
    <w:rsid w:val="00BF48A9"/>
    <w:rsid w:val="00BF48CB"/>
    <w:rsid w:val="00BF49F8"/>
    <w:rsid w:val="00BF4C3F"/>
    <w:rsid w:val="00BF4C4E"/>
    <w:rsid w:val="00BF4E7C"/>
    <w:rsid w:val="00BF4F3F"/>
    <w:rsid w:val="00BF511A"/>
    <w:rsid w:val="00BF517D"/>
    <w:rsid w:val="00BF51B0"/>
    <w:rsid w:val="00BF5574"/>
    <w:rsid w:val="00BF55AF"/>
    <w:rsid w:val="00BF56C8"/>
    <w:rsid w:val="00BF5A66"/>
    <w:rsid w:val="00BF6255"/>
    <w:rsid w:val="00BF6313"/>
    <w:rsid w:val="00BF6414"/>
    <w:rsid w:val="00BF64AB"/>
    <w:rsid w:val="00BF654B"/>
    <w:rsid w:val="00BF66DD"/>
    <w:rsid w:val="00BF6855"/>
    <w:rsid w:val="00BF6CBA"/>
    <w:rsid w:val="00BF6F39"/>
    <w:rsid w:val="00BF6F96"/>
    <w:rsid w:val="00BF6FEC"/>
    <w:rsid w:val="00BF7183"/>
    <w:rsid w:val="00BF74A4"/>
    <w:rsid w:val="00C00167"/>
    <w:rsid w:val="00C003E1"/>
    <w:rsid w:val="00C005C0"/>
    <w:rsid w:val="00C00BAC"/>
    <w:rsid w:val="00C00BD0"/>
    <w:rsid w:val="00C01196"/>
    <w:rsid w:val="00C01264"/>
    <w:rsid w:val="00C0164E"/>
    <w:rsid w:val="00C016B5"/>
    <w:rsid w:val="00C01FE7"/>
    <w:rsid w:val="00C020BE"/>
    <w:rsid w:val="00C025BD"/>
    <w:rsid w:val="00C026D5"/>
    <w:rsid w:val="00C02812"/>
    <w:rsid w:val="00C02B2B"/>
    <w:rsid w:val="00C02B7B"/>
    <w:rsid w:val="00C02C38"/>
    <w:rsid w:val="00C02EDA"/>
    <w:rsid w:val="00C0303E"/>
    <w:rsid w:val="00C03051"/>
    <w:rsid w:val="00C0320E"/>
    <w:rsid w:val="00C0335E"/>
    <w:rsid w:val="00C03375"/>
    <w:rsid w:val="00C033D0"/>
    <w:rsid w:val="00C0366F"/>
    <w:rsid w:val="00C0397B"/>
    <w:rsid w:val="00C039CD"/>
    <w:rsid w:val="00C03AD6"/>
    <w:rsid w:val="00C03C02"/>
    <w:rsid w:val="00C03CCA"/>
    <w:rsid w:val="00C03D8F"/>
    <w:rsid w:val="00C03E1F"/>
    <w:rsid w:val="00C03E57"/>
    <w:rsid w:val="00C04110"/>
    <w:rsid w:val="00C041FC"/>
    <w:rsid w:val="00C04483"/>
    <w:rsid w:val="00C0486E"/>
    <w:rsid w:val="00C0492B"/>
    <w:rsid w:val="00C04BFE"/>
    <w:rsid w:val="00C052A5"/>
    <w:rsid w:val="00C052D7"/>
    <w:rsid w:val="00C0585D"/>
    <w:rsid w:val="00C059E2"/>
    <w:rsid w:val="00C05A72"/>
    <w:rsid w:val="00C05AD1"/>
    <w:rsid w:val="00C05C1D"/>
    <w:rsid w:val="00C05CF7"/>
    <w:rsid w:val="00C06150"/>
    <w:rsid w:val="00C06335"/>
    <w:rsid w:val="00C066F6"/>
    <w:rsid w:val="00C06BDB"/>
    <w:rsid w:val="00C06CD1"/>
    <w:rsid w:val="00C07088"/>
    <w:rsid w:val="00C0712E"/>
    <w:rsid w:val="00C07499"/>
    <w:rsid w:val="00C0758C"/>
    <w:rsid w:val="00C07864"/>
    <w:rsid w:val="00C0797D"/>
    <w:rsid w:val="00C10342"/>
    <w:rsid w:val="00C10479"/>
    <w:rsid w:val="00C104FF"/>
    <w:rsid w:val="00C1077B"/>
    <w:rsid w:val="00C10787"/>
    <w:rsid w:val="00C10AE2"/>
    <w:rsid w:val="00C10EF7"/>
    <w:rsid w:val="00C10F90"/>
    <w:rsid w:val="00C111E4"/>
    <w:rsid w:val="00C1150E"/>
    <w:rsid w:val="00C115A7"/>
    <w:rsid w:val="00C116AE"/>
    <w:rsid w:val="00C116CD"/>
    <w:rsid w:val="00C11896"/>
    <w:rsid w:val="00C118FC"/>
    <w:rsid w:val="00C11B19"/>
    <w:rsid w:val="00C11C1E"/>
    <w:rsid w:val="00C1244F"/>
    <w:rsid w:val="00C12490"/>
    <w:rsid w:val="00C12556"/>
    <w:rsid w:val="00C12816"/>
    <w:rsid w:val="00C1297E"/>
    <w:rsid w:val="00C12CA7"/>
    <w:rsid w:val="00C12CF3"/>
    <w:rsid w:val="00C12F9D"/>
    <w:rsid w:val="00C138DC"/>
    <w:rsid w:val="00C13A57"/>
    <w:rsid w:val="00C13CBA"/>
    <w:rsid w:val="00C13E47"/>
    <w:rsid w:val="00C13E9F"/>
    <w:rsid w:val="00C13ECE"/>
    <w:rsid w:val="00C13FAB"/>
    <w:rsid w:val="00C14242"/>
    <w:rsid w:val="00C1437F"/>
    <w:rsid w:val="00C14423"/>
    <w:rsid w:val="00C148C0"/>
    <w:rsid w:val="00C149E5"/>
    <w:rsid w:val="00C14B59"/>
    <w:rsid w:val="00C14D7E"/>
    <w:rsid w:val="00C14F9E"/>
    <w:rsid w:val="00C15079"/>
    <w:rsid w:val="00C152F8"/>
    <w:rsid w:val="00C153CE"/>
    <w:rsid w:val="00C153F2"/>
    <w:rsid w:val="00C15470"/>
    <w:rsid w:val="00C15771"/>
    <w:rsid w:val="00C157A5"/>
    <w:rsid w:val="00C158A1"/>
    <w:rsid w:val="00C1596C"/>
    <w:rsid w:val="00C15976"/>
    <w:rsid w:val="00C15A04"/>
    <w:rsid w:val="00C15BFF"/>
    <w:rsid w:val="00C15F84"/>
    <w:rsid w:val="00C16408"/>
    <w:rsid w:val="00C1667C"/>
    <w:rsid w:val="00C16687"/>
    <w:rsid w:val="00C1686D"/>
    <w:rsid w:val="00C16944"/>
    <w:rsid w:val="00C169E0"/>
    <w:rsid w:val="00C16AE9"/>
    <w:rsid w:val="00C16B2F"/>
    <w:rsid w:val="00C16CD9"/>
    <w:rsid w:val="00C173F3"/>
    <w:rsid w:val="00C17847"/>
    <w:rsid w:val="00C17B2D"/>
    <w:rsid w:val="00C17CE9"/>
    <w:rsid w:val="00C201BF"/>
    <w:rsid w:val="00C202F5"/>
    <w:rsid w:val="00C202FC"/>
    <w:rsid w:val="00C2093C"/>
    <w:rsid w:val="00C20DC5"/>
    <w:rsid w:val="00C20E15"/>
    <w:rsid w:val="00C21041"/>
    <w:rsid w:val="00C210A7"/>
    <w:rsid w:val="00C210EE"/>
    <w:rsid w:val="00C21222"/>
    <w:rsid w:val="00C212E6"/>
    <w:rsid w:val="00C2153B"/>
    <w:rsid w:val="00C2167B"/>
    <w:rsid w:val="00C216B8"/>
    <w:rsid w:val="00C21856"/>
    <w:rsid w:val="00C21898"/>
    <w:rsid w:val="00C21CE8"/>
    <w:rsid w:val="00C21CFE"/>
    <w:rsid w:val="00C21D6C"/>
    <w:rsid w:val="00C21D73"/>
    <w:rsid w:val="00C21FFE"/>
    <w:rsid w:val="00C22255"/>
    <w:rsid w:val="00C22510"/>
    <w:rsid w:val="00C22CA2"/>
    <w:rsid w:val="00C22CBB"/>
    <w:rsid w:val="00C22D5A"/>
    <w:rsid w:val="00C22E23"/>
    <w:rsid w:val="00C2308C"/>
    <w:rsid w:val="00C237C3"/>
    <w:rsid w:val="00C23848"/>
    <w:rsid w:val="00C23B33"/>
    <w:rsid w:val="00C23B79"/>
    <w:rsid w:val="00C23E02"/>
    <w:rsid w:val="00C23F4C"/>
    <w:rsid w:val="00C240F1"/>
    <w:rsid w:val="00C2419E"/>
    <w:rsid w:val="00C2463D"/>
    <w:rsid w:val="00C2490E"/>
    <w:rsid w:val="00C24F46"/>
    <w:rsid w:val="00C24FB3"/>
    <w:rsid w:val="00C2529F"/>
    <w:rsid w:val="00C25311"/>
    <w:rsid w:val="00C2537B"/>
    <w:rsid w:val="00C25470"/>
    <w:rsid w:val="00C26016"/>
    <w:rsid w:val="00C26270"/>
    <w:rsid w:val="00C262B2"/>
    <w:rsid w:val="00C26416"/>
    <w:rsid w:val="00C26A0C"/>
    <w:rsid w:val="00C26D1A"/>
    <w:rsid w:val="00C26E37"/>
    <w:rsid w:val="00C273CE"/>
    <w:rsid w:val="00C275D5"/>
    <w:rsid w:val="00C2790E"/>
    <w:rsid w:val="00C279D7"/>
    <w:rsid w:val="00C279EE"/>
    <w:rsid w:val="00C27A85"/>
    <w:rsid w:val="00C27A89"/>
    <w:rsid w:val="00C27BE3"/>
    <w:rsid w:val="00C27C38"/>
    <w:rsid w:val="00C3018F"/>
    <w:rsid w:val="00C30245"/>
    <w:rsid w:val="00C30721"/>
    <w:rsid w:val="00C308B4"/>
    <w:rsid w:val="00C309ED"/>
    <w:rsid w:val="00C31086"/>
    <w:rsid w:val="00C31192"/>
    <w:rsid w:val="00C31880"/>
    <w:rsid w:val="00C31909"/>
    <w:rsid w:val="00C31CA0"/>
    <w:rsid w:val="00C31E65"/>
    <w:rsid w:val="00C321AE"/>
    <w:rsid w:val="00C3230E"/>
    <w:rsid w:val="00C32416"/>
    <w:rsid w:val="00C32450"/>
    <w:rsid w:val="00C32602"/>
    <w:rsid w:val="00C32884"/>
    <w:rsid w:val="00C32890"/>
    <w:rsid w:val="00C328AE"/>
    <w:rsid w:val="00C32964"/>
    <w:rsid w:val="00C32B18"/>
    <w:rsid w:val="00C32B50"/>
    <w:rsid w:val="00C32BA5"/>
    <w:rsid w:val="00C32E15"/>
    <w:rsid w:val="00C330B7"/>
    <w:rsid w:val="00C33169"/>
    <w:rsid w:val="00C3360B"/>
    <w:rsid w:val="00C3368D"/>
    <w:rsid w:val="00C339EB"/>
    <w:rsid w:val="00C34169"/>
    <w:rsid w:val="00C343D6"/>
    <w:rsid w:val="00C34543"/>
    <w:rsid w:val="00C3465E"/>
    <w:rsid w:val="00C349EE"/>
    <w:rsid w:val="00C34A79"/>
    <w:rsid w:val="00C34B1C"/>
    <w:rsid w:val="00C35012"/>
    <w:rsid w:val="00C35076"/>
    <w:rsid w:val="00C354FA"/>
    <w:rsid w:val="00C356B3"/>
    <w:rsid w:val="00C35A61"/>
    <w:rsid w:val="00C35D17"/>
    <w:rsid w:val="00C369A3"/>
    <w:rsid w:val="00C36ACC"/>
    <w:rsid w:val="00C36E0B"/>
    <w:rsid w:val="00C36F24"/>
    <w:rsid w:val="00C372F9"/>
    <w:rsid w:val="00C374D6"/>
    <w:rsid w:val="00C375C1"/>
    <w:rsid w:val="00C37FF3"/>
    <w:rsid w:val="00C40021"/>
    <w:rsid w:val="00C400F5"/>
    <w:rsid w:val="00C403D9"/>
    <w:rsid w:val="00C40573"/>
    <w:rsid w:val="00C405E0"/>
    <w:rsid w:val="00C40679"/>
    <w:rsid w:val="00C40A4E"/>
    <w:rsid w:val="00C40BF9"/>
    <w:rsid w:val="00C40C1A"/>
    <w:rsid w:val="00C40D02"/>
    <w:rsid w:val="00C41398"/>
    <w:rsid w:val="00C41B24"/>
    <w:rsid w:val="00C41C97"/>
    <w:rsid w:val="00C41F1C"/>
    <w:rsid w:val="00C41F70"/>
    <w:rsid w:val="00C420F8"/>
    <w:rsid w:val="00C428AD"/>
    <w:rsid w:val="00C4307C"/>
    <w:rsid w:val="00C436D5"/>
    <w:rsid w:val="00C43C32"/>
    <w:rsid w:val="00C43CB7"/>
    <w:rsid w:val="00C441D5"/>
    <w:rsid w:val="00C441DF"/>
    <w:rsid w:val="00C442B0"/>
    <w:rsid w:val="00C44371"/>
    <w:rsid w:val="00C44404"/>
    <w:rsid w:val="00C44486"/>
    <w:rsid w:val="00C44600"/>
    <w:rsid w:val="00C44A14"/>
    <w:rsid w:val="00C44C9F"/>
    <w:rsid w:val="00C453DA"/>
    <w:rsid w:val="00C456E8"/>
    <w:rsid w:val="00C45744"/>
    <w:rsid w:val="00C45758"/>
    <w:rsid w:val="00C45BD3"/>
    <w:rsid w:val="00C45C83"/>
    <w:rsid w:val="00C45E1C"/>
    <w:rsid w:val="00C46145"/>
    <w:rsid w:val="00C46557"/>
    <w:rsid w:val="00C4663B"/>
    <w:rsid w:val="00C469FC"/>
    <w:rsid w:val="00C46A37"/>
    <w:rsid w:val="00C46ADD"/>
    <w:rsid w:val="00C46DE8"/>
    <w:rsid w:val="00C47346"/>
    <w:rsid w:val="00C47836"/>
    <w:rsid w:val="00C4797C"/>
    <w:rsid w:val="00C47B2B"/>
    <w:rsid w:val="00C47C5B"/>
    <w:rsid w:val="00C47F3B"/>
    <w:rsid w:val="00C5021B"/>
    <w:rsid w:val="00C5021C"/>
    <w:rsid w:val="00C502EA"/>
    <w:rsid w:val="00C50467"/>
    <w:rsid w:val="00C50819"/>
    <w:rsid w:val="00C50858"/>
    <w:rsid w:val="00C5090A"/>
    <w:rsid w:val="00C50A93"/>
    <w:rsid w:val="00C516C9"/>
    <w:rsid w:val="00C5186F"/>
    <w:rsid w:val="00C51EF3"/>
    <w:rsid w:val="00C52259"/>
    <w:rsid w:val="00C522F8"/>
    <w:rsid w:val="00C524B4"/>
    <w:rsid w:val="00C5279A"/>
    <w:rsid w:val="00C528E5"/>
    <w:rsid w:val="00C52914"/>
    <w:rsid w:val="00C52AA6"/>
    <w:rsid w:val="00C52BC5"/>
    <w:rsid w:val="00C52C4A"/>
    <w:rsid w:val="00C53D95"/>
    <w:rsid w:val="00C54116"/>
    <w:rsid w:val="00C54172"/>
    <w:rsid w:val="00C542DC"/>
    <w:rsid w:val="00C5446C"/>
    <w:rsid w:val="00C54531"/>
    <w:rsid w:val="00C5475A"/>
    <w:rsid w:val="00C54FD9"/>
    <w:rsid w:val="00C5548F"/>
    <w:rsid w:val="00C55ADE"/>
    <w:rsid w:val="00C55D4E"/>
    <w:rsid w:val="00C55DCB"/>
    <w:rsid w:val="00C55F3D"/>
    <w:rsid w:val="00C56012"/>
    <w:rsid w:val="00C56069"/>
    <w:rsid w:val="00C5608B"/>
    <w:rsid w:val="00C56157"/>
    <w:rsid w:val="00C561A4"/>
    <w:rsid w:val="00C564A9"/>
    <w:rsid w:val="00C56577"/>
    <w:rsid w:val="00C57082"/>
    <w:rsid w:val="00C572AF"/>
    <w:rsid w:val="00C57562"/>
    <w:rsid w:val="00C57E79"/>
    <w:rsid w:val="00C57F6C"/>
    <w:rsid w:val="00C57F7F"/>
    <w:rsid w:val="00C60873"/>
    <w:rsid w:val="00C60EA7"/>
    <w:rsid w:val="00C6108D"/>
    <w:rsid w:val="00C61107"/>
    <w:rsid w:val="00C61464"/>
    <w:rsid w:val="00C61915"/>
    <w:rsid w:val="00C61D36"/>
    <w:rsid w:val="00C61EB6"/>
    <w:rsid w:val="00C61F51"/>
    <w:rsid w:val="00C621DA"/>
    <w:rsid w:val="00C622F3"/>
    <w:rsid w:val="00C6267D"/>
    <w:rsid w:val="00C62741"/>
    <w:rsid w:val="00C627E2"/>
    <w:rsid w:val="00C627E3"/>
    <w:rsid w:val="00C62AA7"/>
    <w:rsid w:val="00C62D13"/>
    <w:rsid w:val="00C62F71"/>
    <w:rsid w:val="00C62FEE"/>
    <w:rsid w:val="00C6304C"/>
    <w:rsid w:val="00C63185"/>
    <w:rsid w:val="00C632FA"/>
    <w:rsid w:val="00C6341B"/>
    <w:rsid w:val="00C634CE"/>
    <w:rsid w:val="00C63538"/>
    <w:rsid w:val="00C636B9"/>
    <w:rsid w:val="00C6379E"/>
    <w:rsid w:val="00C638AF"/>
    <w:rsid w:val="00C63AD9"/>
    <w:rsid w:val="00C63DB8"/>
    <w:rsid w:val="00C64058"/>
    <w:rsid w:val="00C640F9"/>
    <w:rsid w:val="00C645DD"/>
    <w:rsid w:val="00C645E0"/>
    <w:rsid w:val="00C6478C"/>
    <w:rsid w:val="00C64943"/>
    <w:rsid w:val="00C64A7C"/>
    <w:rsid w:val="00C64DB0"/>
    <w:rsid w:val="00C653F2"/>
    <w:rsid w:val="00C65522"/>
    <w:rsid w:val="00C65647"/>
    <w:rsid w:val="00C65791"/>
    <w:rsid w:val="00C65839"/>
    <w:rsid w:val="00C6598D"/>
    <w:rsid w:val="00C65AEB"/>
    <w:rsid w:val="00C65C52"/>
    <w:rsid w:val="00C65C76"/>
    <w:rsid w:val="00C65CE4"/>
    <w:rsid w:val="00C65E59"/>
    <w:rsid w:val="00C66120"/>
    <w:rsid w:val="00C66473"/>
    <w:rsid w:val="00C66712"/>
    <w:rsid w:val="00C66810"/>
    <w:rsid w:val="00C6681D"/>
    <w:rsid w:val="00C66855"/>
    <w:rsid w:val="00C66861"/>
    <w:rsid w:val="00C66AB9"/>
    <w:rsid w:val="00C66B99"/>
    <w:rsid w:val="00C670E9"/>
    <w:rsid w:val="00C670F7"/>
    <w:rsid w:val="00C67161"/>
    <w:rsid w:val="00C67304"/>
    <w:rsid w:val="00C67322"/>
    <w:rsid w:val="00C6752C"/>
    <w:rsid w:val="00C6775C"/>
    <w:rsid w:val="00C678B9"/>
    <w:rsid w:val="00C67AD3"/>
    <w:rsid w:val="00C67E88"/>
    <w:rsid w:val="00C700C5"/>
    <w:rsid w:val="00C7038F"/>
    <w:rsid w:val="00C703B5"/>
    <w:rsid w:val="00C70E6E"/>
    <w:rsid w:val="00C711AA"/>
    <w:rsid w:val="00C7135D"/>
    <w:rsid w:val="00C7145C"/>
    <w:rsid w:val="00C71538"/>
    <w:rsid w:val="00C7156E"/>
    <w:rsid w:val="00C71886"/>
    <w:rsid w:val="00C71917"/>
    <w:rsid w:val="00C71DAA"/>
    <w:rsid w:val="00C71DE4"/>
    <w:rsid w:val="00C71E06"/>
    <w:rsid w:val="00C72149"/>
    <w:rsid w:val="00C722D4"/>
    <w:rsid w:val="00C7265F"/>
    <w:rsid w:val="00C7299F"/>
    <w:rsid w:val="00C72A30"/>
    <w:rsid w:val="00C72C6D"/>
    <w:rsid w:val="00C7310A"/>
    <w:rsid w:val="00C7320E"/>
    <w:rsid w:val="00C73409"/>
    <w:rsid w:val="00C73411"/>
    <w:rsid w:val="00C73675"/>
    <w:rsid w:val="00C73678"/>
    <w:rsid w:val="00C73AC2"/>
    <w:rsid w:val="00C740B3"/>
    <w:rsid w:val="00C741F0"/>
    <w:rsid w:val="00C74442"/>
    <w:rsid w:val="00C7447A"/>
    <w:rsid w:val="00C74590"/>
    <w:rsid w:val="00C74614"/>
    <w:rsid w:val="00C74618"/>
    <w:rsid w:val="00C74648"/>
    <w:rsid w:val="00C74650"/>
    <w:rsid w:val="00C747F3"/>
    <w:rsid w:val="00C74881"/>
    <w:rsid w:val="00C74CEA"/>
    <w:rsid w:val="00C7569E"/>
    <w:rsid w:val="00C7585B"/>
    <w:rsid w:val="00C758CF"/>
    <w:rsid w:val="00C75B45"/>
    <w:rsid w:val="00C75FE9"/>
    <w:rsid w:val="00C761C4"/>
    <w:rsid w:val="00C76342"/>
    <w:rsid w:val="00C765D0"/>
    <w:rsid w:val="00C766D6"/>
    <w:rsid w:val="00C7677B"/>
    <w:rsid w:val="00C771EA"/>
    <w:rsid w:val="00C77286"/>
    <w:rsid w:val="00C772CA"/>
    <w:rsid w:val="00C774F2"/>
    <w:rsid w:val="00C7759D"/>
    <w:rsid w:val="00C778D1"/>
    <w:rsid w:val="00C77A4B"/>
    <w:rsid w:val="00C77B34"/>
    <w:rsid w:val="00C77C32"/>
    <w:rsid w:val="00C77C96"/>
    <w:rsid w:val="00C77EBE"/>
    <w:rsid w:val="00C8002B"/>
    <w:rsid w:val="00C803CE"/>
    <w:rsid w:val="00C807B6"/>
    <w:rsid w:val="00C80C69"/>
    <w:rsid w:val="00C80FDD"/>
    <w:rsid w:val="00C81477"/>
    <w:rsid w:val="00C818AD"/>
    <w:rsid w:val="00C82124"/>
    <w:rsid w:val="00C82417"/>
    <w:rsid w:val="00C826DD"/>
    <w:rsid w:val="00C8279B"/>
    <w:rsid w:val="00C82843"/>
    <w:rsid w:val="00C82894"/>
    <w:rsid w:val="00C8315C"/>
    <w:rsid w:val="00C83437"/>
    <w:rsid w:val="00C83706"/>
    <w:rsid w:val="00C83A6E"/>
    <w:rsid w:val="00C83B09"/>
    <w:rsid w:val="00C83BF8"/>
    <w:rsid w:val="00C83DC0"/>
    <w:rsid w:val="00C83F35"/>
    <w:rsid w:val="00C84034"/>
    <w:rsid w:val="00C843C0"/>
    <w:rsid w:val="00C8445D"/>
    <w:rsid w:val="00C84695"/>
    <w:rsid w:val="00C846AD"/>
    <w:rsid w:val="00C8478F"/>
    <w:rsid w:val="00C8493D"/>
    <w:rsid w:val="00C84E89"/>
    <w:rsid w:val="00C84F49"/>
    <w:rsid w:val="00C8514E"/>
    <w:rsid w:val="00C85267"/>
    <w:rsid w:val="00C85370"/>
    <w:rsid w:val="00C853AB"/>
    <w:rsid w:val="00C856CB"/>
    <w:rsid w:val="00C859FF"/>
    <w:rsid w:val="00C85BBF"/>
    <w:rsid w:val="00C85D9B"/>
    <w:rsid w:val="00C85E55"/>
    <w:rsid w:val="00C86047"/>
    <w:rsid w:val="00C86363"/>
    <w:rsid w:val="00C86540"/>
    <w:rsid w:val="00C867CE"/>
    <w:rsid w:val="00C869F2"/>
    <w:rsid w:val="00C86D86"/>
    <w:rsid w:val="00C86DBB"/>
    <w:rsid w:val="00C86ECC"/>
    <w:rsid w:val="00C87019"/>
    <w:rsid w:val="00C870CA"/>
    <w:rsid w:val="00C87463"/>
    <w:rsid w:val="00C8757D"/>
    <w:rsid w:val="00C87661"/>
    <w:rsid w:val="00C87A2A"/>
    <w:rsid w:val="00C87A3D"/>
    <w:rsid w:val="00C90041"/>
    <w:rsid w:val="00C9009E"/>
    <w:rsid w:val="00C90249"/>
    <w:rsid w:val="00C904F7"/>
    <w:rsid w:val="00C90852"/>
    <w:rsid w:val="00C90A8E"/>
    <w:rsid w:val="00C90BEE"/>
    <w:rsid w:val="00C91002"/>
    <w:rsid w:val="00C91275"/>
    <w:rsid w:val="00C9127E"/>
    <w:rsid w:val="00C91547"/>
    <w:rsid w:val="00C9161B"/>
    <w:rsid w:val="00C91716"/>
    <w:rsid w:val="00C9195D"/>
    <w:rsid w:val="00C91A39"/>
    <w:rsid w:val="00C91B12"/>
    <w:rsid w:val="00C91D31"/>
    <w:rsid w:val="00C91D34"/>
    <w:rsid w:val="00C91EE2"/>
    <w:rsid w:val="00C91F6E"/>
    <w:rsid w:val="00C92391"/>
    <w:rsid w:val="00C92657"/>
    <w:rsid w:val="00C9269B"/>
    <w:rsid w:val="00C92A25"/>
    <w:rsid w:val="00C92ABA"/>
    <w:rsid w:val="00C92AD5"/>
    <w:rsid w:val="00C92BBF"/>
    <w:rsid w:val="00C92CEB"/>
    <w:rsid w:val="00C9304A"/>
    <w:rsid w:val="00C93569"/>
    <w:rsid w:val="00C93A4A"/>
    <w:rsid w:val="00C93BB2"/>
    <w:rsid w:val="00C94004"/>
    <w:rsid w:val="00C944B6"/>
    <w:rsid w:val="00C944D2"/>
    <w:rsid w:val="00C9462D"/>
    <w:rsid w:val="00C946C5"/>
    <w:rsid w:val="00C948FD"/>
    <w:rsid w:val="00C94F86"/>
    <w:rsid w:val="00C94FE3"/>
    <w:rsid w:val="00C9500A"/>
    <w:rsid w:val="00C9508B"/>
    <w:rsid w:val="00C95223"/>
    <w:rsid w:val="00C952D4"/>
    <w:rsid w:val="00C95ECD"/>
    <w:rsid w:val="00C960B7"/>
    <w:rsid w:val="00C964A9"/>
    <w:rsid w:val="00C96561"/>
    <w:rsid w:val="00C96649"/>
    <w:rsid w:val="00C96837"/>
    <w:rsid w:val="00C969C2"/>
    <w:rsid w:val="00C96CFC"/>
    <w:rsid w:val="00C97113"/>
    <w:rsid w:val="00C97216"/>
    <w:rsid w:val="00C9730F"/>
    <w:rsid w:val="00C9753A"/>
    <w:rsid w:val="00C97D8F"/>
    <w:rsid w:val="00CA0382"/>
    <w:rsid w:val="00CA041C"/>
    <w:rsid w:val="00CA04D1"/>
    <w:rsid w:val="00CA053C"/>
    <w:rsid w:val="00CA054F"/>
    <w:rsid w:val="00CA0620"/>
    <w:rsid w:val="00CA084E"/>
    <w:rsid w:val="00CA0957"/>
    <w:rsid w:val="00CA0B31"/>
    <w:rsid w:val="00CA1069"/>
    <w:rsid w:val="00CA1071"/>
    <w:rsid w:val="00CA1843"/>
    <w:rsid w:val="00CA191D"/>
    <w:rsid w:val="00CA1D6F"/>
    <w:rsid w:val="00CA2528"/>
    <w:rsid w:val="00CA28A7"/>
    <w:rsid w:val="00CA29D7"/>
    <w:rsid w:val="00CA2A09"/>
    <w:rsid w:val="00CA313D"/>
    <w:rsid w:val="00CA3314"/>
    <w:rsid w:val="00CA3DC2"/>
    <w:rsid w:val="00CA3E17"/>
    <w:rsid w:val="00CA3FE6"/>
    <w:rsid w:val="00CA413B"/>
    <w:rsid w:val="00CA41CB"/>
    <w:rsid w:val="00CA4A01"/>
    <w:rsid w:val="00CA4BE7"/>
    <w:rsid w:val="00CA4CD1"/>
    <w:rsid w:val="00CA532D"/>
    <w:rsid w:val="00CA5608"/>
    <w:rsid w:val="00CA573A"/>
    <w:rsid w:val="00CA5897"/>
    <w:rsid w:val="00CA5C14"/>
    <w:rsid w:val="00CA5F91"/>
    <w:rsid w:val="00CA65F9"/>
    <w:rsid w:val="00CA6BB3"/>
    <w:rsid w:val="00CA6D40"/>
    <w:rsid w:val="00CA6E69"/>
    <w:rsid w:val="00CA6F62"/>
    <w:rsid w:val="00CA70B1"/>
    <w:rsid w:val="00CA726D"/>
    <w:rsid w:val="00CA730A"/>
    <w:rsid w:val="00CA7665"/>
    <w:rsid w:val="00CA77CA"/>
    <w:rsid w:val="00CA784C"/>
    <w:rsid w:val="00CA79AC"/>
    <w:rsid w:val="00CA7A7B"/>
    <w:rsid w:val="00CA7B0D"/>
    <w:rsid w:val="00CA7B30"/>
    <w:rsid w:val="00CB05B9"/>
    <w:rsid w:val="00CB067A"/>
    <w:rsid w:val="00CB078C"/>
    <w:rsid w:val="00CB086D"/>
    <w:rsid w:val="00CB0990"/>
    <w:rsid w:val="00CB0FD4"/>
    <w:rsid w:val="00CB1024"/>
    <w:rsid w:val="00CB1383"/>
    <w:rsid w:val="00CB13CE"/>
    <w:rsid w:val="00CB158C"/>
    <w:rsid w:val="00CB1A34"/>
    <w:rsid w:val="00CB1B7B"/>
    <w:rsid w:val="00CB1C10"/>
    <w:rsid w:val="00CB1D56"/>
    <w:rsid w:val="00CB1D60"/>
    <w:rsid w:val="00CB1DE6"/>
    <w:rsid w:val="00CB1E05"/>
    <w:rsid w:val="00CB1E0E"/>
    <w:rsid w:val="00CB22B9"/>
    <w:rsid w:val="00CB2B1A"/>
    <w:rsid w:val="00CB2B50"/>
    <w:rsid w:val="00CB30DD"/>
    <w:rsid w:val="00CB31A1"/>
    <w:rsid w:val="00CB330D"/>
    <w:rsid w:val="00CB3455"/>
    <w:rsid w:val="00CB3D92"/>
    <w:rsid w:val="00CB3E16"/>
    <w:rsid w:val="00CB3FE7"/>
    <w:rsid w:val="00CB4202"/>
    <w:rsid w:val="00CB433F"/>
    <w:rsid w:val="00CB43EF"/>
    <w:rsid w:val="00CB4434"/>
    <w:rsid w:val="00CB463A"/>
    <w:rsid w:val="00CB4BF4"/>
    <w:rsid w:val="00CB51AF"/>
    <w:rsid w:val="00CB557C"/>
    <w:rsid w:val="00CB5B1C"/>
    <w:rsid w:val="00CB5B1E"/>
    <w:rsid w:val="00CB5DAC"/>
    <w:rsid w:val="00CB61C3"/>
    <w:rsid w:val="00CB62D8"/>
    <w:rsid w:val="00CB65D7"/>
    <w:rsid w:val="00CB68DB"/>
    <w:rsid w:val="00CB6932"/>
    <w:rsid w:val="00CB69A7"/>
    <w:rsid w:val="00CB6B5B"/>
    <w:rsid w:val="00CB6BD2"/>
    <w:rsid w:val="00CB6F99"/>
    <w:rsid w:val="00CB720D"/>
    <w:rsid w:val="00CB734D"/>
    <w:rsid w:val="00CB75A8"/>
    <w:rsid w:val="00CB7BAE"/>
    <w:rsid w:val="00CB7DA3"/>
    <w:rsid w:val="00CC00EE"/>
    <w:rsid w:val="00CC0122"/>
    <w:rsid w:val="00CC0557"/>
    <w:rsid w:val="00CC05C8"/>
    <w:rsid w:val="00CC0656"/>
    <w:rsid w:val="00CC0E73"/>
    <w:rsid w:val="00CC1308"/>
    <w:rsid w:val="00CC17CE"/>
    <w:rsid w:val="00CC1800"/>
    <w:rsid w:val="00CC2252"/>
    <w:rsid w:val="00CC22AB"/>
    <w:rsid w:val="00CC26C8"/>
    <w:rsid w:val="00CC2BB9"/>
    <w:rsid w:val="00CC3097"/>
    <w:rsid w:val="00CC30AF"/>
    <w:rsid w:val="00CC3156"/>
    <w:rsid w:val="00CC31C8"/>
    <w:rsid w:val="00CC3438"/>
    <w:rsid w:val="00CC34C9"/>
    <w:rsid w:val="00CC359F"/>
    <w:rsid w:val="00CC41B2"/>
    <w:rsid w:val="00CC43E9"/>
    <w:rsid w:val="00CC4599"/>
    <w:rsid w:val="00CC478B"/>
    <w:rsid w:val="00CC4A67"/>
    <w:rsid w:val="00CC4C67"/>
    <w:rsid w:val="00CC50C0"/>
    <w:rsid w:val="00CC52CA"/>
    <w:rsid w:val="00CC54E2"/>
    <w:rsid w:val="00CC551C"/>
    <w:rsid w:val="00CC56D0"/>
    <w:rsid w:val="00CC57E5"/>
    <w:rsid w:val="00CC5882"/>
    <w:rsid w:val="00CC58B1"/>
    <w:rsid w:val="00CC58F7"/>
    <w:rsid w:val="00CC5ADE"/>
    <w:rsid w:val="00CC5AE4"/>
    <w:rsid w:val="00CC5C54"/>
    <w:rsid w:val="00CC5EC1"/>
    <w:rsid w:val="00CC653F"/>
    <w:rsid w:val="00CC66EA"/>
    <w:rsid w:val="00CC6D13"/>
    <w:rsid w:val="00CC6DEA"/>
    <w:rsid w:val="00CC6E46"/>
    <w:rsid w:val="00CC6F10"/>
    <w:rsid w:val="00CC6F90"/>
    <w:rsid w:val="00CC731A"/>
    <w:rsid w:val="00CC772A"/>
    <w:rsid w:val="00CC777E"/>
    <w:rsid w:val="00CC77D9"/>
    <w:rsid w:val="00CC785F"/>
    <w:rsid w:val="00CC7D5E"/>
    <w:rsid w:val="00CC7FB9"/>
    <w:rsid w:val="00CD00A3"/>
    <w:rsid w:val="00CD0204"/>
    <w:rsid w:val="00CD02B5"/>
    <w:rsid w:val="00CD04C5"/>
    <w:rsid w:val="00CD063C"/>
    <w:rsid w:val="00CD0641"/>
    <w:rsid w:val="00CD0953"/>
    <w:rsid w:val="00CD0C0F"/>
    <w:rsid w:val="00CD0C32"/>
    <w:rsid w:val="00CD0FC4"/>
    <w:rsid w:val="00CD10C7"/>
    <w:rsid w:val="00CD1BDC"/>
    <w:rsid w:val="00CD1E47"/>
    <w:rsid w:val="00CD20A4"/>
    <w:rsid w:val="00CD2773"/>
    <w:rsid w:val="00CD277B"/>
    <w:rsid w:val="00CD2F74"/>
    <w:rsid w:val="00CD301B"/>
    <w:rsid w:val="00CD3028"/>
    <w:rsid w:val="00CD337D"/>
    <w:rsid w:val="00CD3667"/>
    <w:rsid w:val="00CD37EB"/>
    <w:rsid w:val="00CD38A5"/>
    <w:rsid w:val="00CD3B78"/>
    <w:rsid w:val="00CD3D58"/>
    <w:rsid w:val="00CD3EF9"/>
    <w:rsid w:val="00CD3F7C"/>
    <w:rsid w:val="00CD4363"/>
    <w:rsid w:val="00CD450C"/>
    <w:rsid w:val="00CD45DC"/>
    <w:rsid w:val="00CD5244"/>
    <w:rsid w:val="00CD567D"/>
    <w:rsid w:val="00CD574E"/>
    <w:rsid w:val="00CD5921"/>
    <w:rsid w:val="00CD5AAC"/>
    <w:rsid w:val="00CD5DBB"/>
    <w:rsid w:val="00CD5ED0"/>
    <w:rsid w:val="00CD63F5"/>
    <w:rsid w:val="00CD644A"/>
    <w:rsid w:val="00CD6654"/>
    <w:rsid w:val="00CD6697"/>
    <w:rsid w:val="00CD66AE"/>
    <w:rsid w:val="00CD68AE"/>
    <w:rsid w:val="00CD68B6"/>
    <w:rsid w:val="00CD6A2A"/>
    <w:rsid w:val="00CD6A66"/>
    <w:rsid w:val="00CD6B3E"/>
    <w:rsid w:val="00CD6DBD"/>
    <w:rsid w:val="00CD6F5B"/>
    <w:rsid w:val="00CD705E"/>
    <w:rsid w:val="00CD7236"/>
    <w:rsid w:val="00CD728A"/>
    <w:rsid w:val="00CD758F"/>
    <w:rsid w:val="00CD7B73"/>
    <w:rsid w:val="00CD7CBD"/>
    <w:rsid w:val="00CD7F64"/>
    <w:rsid w:val="00CE0011"/>
    <w:rsid w:val="00CE00A2"/>
    <w:rsid w:val="00CE028C"/>
    <w:rsid w:val="00CE0379"/>
    <w:rsid w:val="00CE08C3"/>
    <w:rsid w:val="00CE0945"/>
    <w:rsid w:val="00CE0B51"/>
    <w:rsid w:val="00CE0BAC"/>
    <w:rsid w:val="00CE0BC5"/>
    <w:rsid w:val="00CE0EDA"/>
    <w:rsid w:val="00CE1130"/>
    <w:rsid w:val="00CE1531"/>
    <w:rsid w:val="00CE1769"/>
    <w:rsid w:val="00CE1803"/>
    <w:rsid w:val="00CE1846"/>
    <w:rsid w:val="00CE192B"/>
    <w:rsid w:val="00CE1986"/>
    <w:rsid w:val="00CE199D"/>
    <w:rsid w:val="00CE1B49"/>
    <w:rsid w:val="00CE1B98"/>
    <w:rsid w:val="00CE1F38"/>
    <w:rsid w:val="00CE1F5F"/>
    <w:rsid w:val="00CE20E9"/>
    <w:rsid w:val="00CE22DB"/>
    <w:rsid w:val="00CE23E7"/>
    <w:rsid w:val="00CE24B8"/>
    <w:rsid w:val="00CE2768"/>
    <w:rsid w:val="00CE2DC0"/>
    <w:rsid w:val="00CE2DC5"/>
    <w:rsid w:val="00CE2DD2"/>
    <w:rsid w:val="00CE2EA4"/>
    <w:rsid w:val="00CE31D3"/>
    <w:rsid w:val="00CE31F8"/>
    <w:rsid w:val="00CE3333"/>
    <w:rsid w:val="00CE3638"/>
    <w:rsid w:val="00CE365C"/>
    <w:rsid w:val="00CE371C"/>
    <w:rsid w:val="00CE3BD9"/>
    <w:rsid w:val="00CE3E65"/>
    <w:rsid w:val="00CE3F8A"/>
    <w:rsid w:val="00CE4469"/>
    <w:rsid w:val="00CE48F8"/>
    <w:rsid w:val="00CE4A39"/>
    <w:rsid w:val="00CE4CB4"/>
    <w:rsid w:val="00CE4F1A"/>
    <w:rsid w:val="00CE4F49"/>
    <w:rsid w:val="00CE525E"/>
    <w:rsid w:val="00CE5312"/>
    <w:rsid w:val="00CE55F3"/>
    <w:rsid w:val="00CE57E0"/>
    <w:rsid w:val="00CE5D1C"/>
    <w:rsid w:val="00CE6213"/>
    <w:rsid w:val="00CE62A2"/>
    <w:rsid w:val="00CE6339"/>
    <w:rsid w:val="00CE6723"/>
    <w:rsid w:val="00CE67A9"/>
    <w:rsid w:val="00CE691D"/>
    <w:rsid w:val="00CE69AE"/>
    <w:rsid w:val="00CE6A33"/>
    <w:rsid w:val="00CE6A9A"/>
    <w:rsid w:val="00CE6B45"/>
    <w:rsid w:val="00CE6B79"/>
    <w:rsid w:val="00CE6C59"/>
    <w:rsid w:val="00CE6E16"/>
    <w:rsid w:val="00CE6FBA"/>
    <w:rsid w:val="00CE728E"/>
    <w:rsid w:val="00CE738B"/>
    <w:rsid w:val="00CE78A8"/>
    <w:rsid w:val="00CE7B8D"/>
    <w:rsid w:val="00CE7DE5"/>
    <w:rsid w:val="00CF00C0"/>
    <w:rsid w:val="00CF048D"/>
    <w:rsid w:val="00CF04AD"/>
    <w:rsid w:val="00CF0719"/>
    <w:rsid w:val="00CF0E8C"/>
    <w:rsid w:val="00CF116A"/>
    <w:rsid w:val="00CF1723"/>
    <w:rsid w:val="00CF1890"/>
    <w:rsid w:val="00CF18BD"/>
    <w:rsid w:val="00CF1D0A"/>
    <w:rsid w:val="00CF272E"/>
    <w:rsid w:val="00CF27E2"/>
    <w:rsid w:val="00CF28F9"/>
    <w:rsid w:val="00CF2DF4"/>
    <w:rsid w:val="00CF2EAE"/>
    <w:rsid w:val="00CF2EBA"/>
    <w:rsid w:val="00CF32E5"/>
    <w:rsid w:val="00CF34A5"/>
    <w:rsid w:val="00CF3507"/>
    <w:rsid w:val="00CF3678"/>
    <w:rsid w:val="00CF38D8"/>
    <w:rsid w:val="00CF38E4"/>
    <w:rsid w:val="00CF3A57"/>
    <w:rsid w:val="00CF4115"/>
    <w:rsid w:val="00CF4544"/>
    <w:rsid w:val="00CF4C5C"/>
    <w:rsid w:val="00CF4D1B"/>
    <w:rsid w:val="00CF523A"/>
    <w:rsid w:val="00CF5612"/>
    <w:rsid w:val="00CF5666"/>
    <w:rsid w:val="00CF59BB"/>
    <w:rsid w:val="00CF59C3"/>
    <w:rsid w:val="00CF5AA9"/>
    <w:rsid w:val="00CF5D92"/>
    <w:rsid w:val="00CF5E06"/>
    <w:rsid w:val="00CF5F77"/>
    <w:rsid w:val="00CF60AD"/>
    <w:rsid w:val="00CF6150"/>
    <w:rsid w:val="00CF6492"/>
    <w:rsid w:val="00CF6829"/>
    <w:rsid w:val="00CF6C90"/>
    <w:rsid w:val="00CF7388"/>
    <w:rsid w:val="00CF7702"/>
    <w:rsid w:val="00CF7A18"/>
    <w:rsid w:val="00CF7EE5"/>
    <w:rsid w:val="00D00047"/>
    <w:rsid w:val="00D002CC"/>
    <w:rsid w:val="00D00680"/>
    <w:rsid w:val="00D0132B"/>
    <w:rsid w:val="00D01B53"/>
    <w:rsid w:val="00D020CF"/>
    <w:rsid w:val="00D02821"/>
    <w:rsid w:val="00D02922"/>
    <w:rsid w:val="00D02BAF"/>
    <w:rsid w:val="00D02FB5"/>
    <w:rsid w:val="00D0339E"/>
    <w:rsid w:val="00D03526"/>
    <w:rsid w:val="00D03636"/>
    <w:rsid w:val="00D03B93"/>
    <w:rsid w:val="00D03D03"/>
    <w:rsid w:val="00D04192"/>
    <w:rsid w:val="00D0432D"/>
    <w:rsid w:val="00D04845"/>
    <w:rsid w:val="00D04BF2"/>
    <w:rsid w:val="00D04C13"/>
    <w:rsid w:val="00D04C42"/>
    <w:rsid w:val="00D04D4A"/>
    <w:rsid w:val="00D05071"/>
    <w:rsid w:val="00D050B8"/>
    <w:rsid w:val="00D0530F"/>
    <w:rsid w:val="00D0551A"/>
    <w:rsid w:val="00D0685F"/>
    <w:rsid w:val="00D06873"/>
    <w:rsid w:val="00D06FFB"/>
    <w:rsid w:val="00D0726B"/>
    <w:rsid w:val="00D0749C"/>
    <w:rsid w:val="00D075DD"/>
    <w:rsid w:val="00D079A7"/>
    <w:rsid w:val="00D07B0B"/>
    <w:rsid w:val="00D07B65"/>
    <w:rsid w:val="00D07B84"/>
    <w:rsid w:val="00D1016E"/>
    <w:rsid w:val="00D104CA"/>
    <w:rsid w:val="00D105B3"/>
    <w:rsid w:val="00D1069B"/>
    <w:rsid w:val="00D1072C"/>
    <w:rsid w:val="00D107FA"/>
    <w:rsid w:val="00D10B29"/>
    <w:rsid w:val="00D10CE5"/>
    <w:rsid w:val="00D10D76"/>
    <w:rsid w:val="00D1104F"/>
    <w:rsid w:val="00D115D0"/>
    <w:rsid w:val="00D115F9"/>
    <w:rsid w:val="00D11A54"/>
    <w:rsid w:val="00D11D47"/>
    <w:rsid w:val="00D11D63"/>
    <w:rsid w:val="00D11EB8"/>
    <w:rsid w:val="00D11FDE"/>
    <w:rsid w:val="00D120F3"/>
    <w:rsid w:val="00D121F3"/>
    <w:rsid w:val="00D121F6"/>
    <w:rsid w:val="00D126D7"/>
    <w:rsid w:val="00D12720"/>
    <w:rsid w:val="00D129E2"/>
    <w:rsid w:val="00D12BF0"/>
    <w:rsid w:val="00D12E6E"/>
    <w:rsid w:val="00D12EEF"/>
    <w:rsid w:val="00D12F02"/>
    <w:rsid w:val="00D132AF"/>
    <w:rsid w:val="00D13BC7"/>
    <w:rsid w:val="00D14004"/>
    <w:rsid w:val="00D14184"/>
    <w:rsid w:val="00D1437A"/>
    <w:rsid w:val="00D1439A"/>
    <w:rsid w:val="00D148A0"/>
    <w:rsid w:val="00D14C0D"/>
    <w:rsid w:val="00D14DB9"/>
    <w:rsid w:val="00D14E5E"/>
    <w:rsid w:val="00D1520F"/>
    <w:rsid w:val="00D15389"/>
    <w:rsid w:val="00D157E7"/>
    <w:rsid w:val="00D159AF"/>
    <w:rsid w:val="00D15B10"/>
    <w:rsid w:val="00D16196"/>
    <w:rsid w:val="00D1663D"/>
    <w:rsid w:val="00D1705A"/>
    <w:rsid w:val="00D171F6"/>
    <w:rsid w:val="00D17603"/>
    <w:rsid w:val="00D17998"/>
    <w:rsid w:val="00D17CFA"/>
    <w:rsid w:val="00D17F01"/>
    <w:rsid w:val="00D17F97"/>
    <w:rsid w:val="00D20051"/>
    <w:rsid w:val="00D201A2"/>
    <w:rsid w:val="00D20737"/>
    <w:rsid w:val="00D2088F"/>
    <w:rsid w:val="00D20898"/>
    <w:rsid w:val="00D208CA"/>
    <w:rsid w:val="00D210D0"/>
    <w:rsid w:val="00D21268"/>
    <w:rsid w:val="00D21685"/>
    <w:rsid w:val="00D2181D"/>
    <w:rsid w:val="00D21D2B"/>
    <w:rsid w:val="00D21EA4"/>
    <w:rsid w:val="00D2235F"/>
    <w:rsid w:val="00D2253C"/>
    <w:rsid w:val="00D225DC"/>
    <w:rsid w:val="00D225EA"/>
    <w:rsid w:val="00D2280A"/>
    <w:rsid w:val="00D22AB2"/>
    <w:rsid w:val="00D22AD0"/>
    <w:rsid w:val="00D22B8B"/>
    <w:rsid w:val="00D23529"/>
    <w:rsid w:val="00D23615"/>
    <w:rsid w:val="00D23BF3"/>
    <w:rsid w:val="00D23DA5"/>
    <w:rsid w:val="00D23DDE"/>
    <w:rsid w:val="00D23E0C"/>
    <w:rsid w:val="00D240F1"/>
    <w:rsid w:val="00D242CA"/>
    <w:rsid w:val="00D24712"/>
    <w:rsid w:val="00D247D5"/>
    <w:rsid w:val="00D24854"/>
    <w:rsid w:val="00D24D62"/>
    <w:rsid w:val="00D24E1C"/>
    <w:rsid w:val="00D25861"/>
    <w:rsid w:val="00D25927"/>
    <w:rsid w:val="00D26065"/>
    <w:rsid w:val="00D2627F"/>
    <w:rsid w:val="00D26513"/>
    <w:rsid w:val="00D26546"/>
    <w:rsid w:val="00D267B5"/>
    <w:rsid w:val="00D269E4"/>
    <w:rsid w:val="00D26DB1"/>
    <w:rsid w:val="00D2742F"/>
    <w:rsid w:val="00D2757F"/>
    <w:rsid w:val="00D2766C"/>
    <w:rsid w:val="00D279FB"/>
    <w:rsid w:val="00D27E7B"/>
    <w:rsid w:val="00D301D4"/>
    <w:rsid w:val="00D302C4"/>
    <w:rsid w:val="00D3076D"/>
    <w:rsid w:val="00D30790"/>
    <w:rsid w:val="00D30A19"/>
    <w:rsid w:val="00D31042"/>
    <w:rsid w:val="00D31232"/>
    <w:rsid w:val="00D314FF"/>
    <w:rsid w:val="00D318C7"/>
    <w:rsid w:val="00D31A96"/>
    <w:rsid w:val="00D31E35"/>
    <w:rsid w:val="00D32179"/>
    <w:rsid w:val="00D3220C"/>
    <w:rsid w:val="00D3244F"/>
    <w:rsid w:val="00D32590"/>
    <w:rsid w:val="00D32796"/>
    <w:rsid w:val="00D3287A"/>
    <w:rsid w:val="00D32C0F"/>
    <w:rsid w:val="00D32D35"/>
    <w:rsid w:val="00D330E6"/>
    <w:rsid w:val="00D3319B"/>
    <w:rsid w:val="00D33296"/>
    <w:rsid w:val="00D333A6"/>
    <w:rsid w:val="00D33653"/>
    <w:rsid w:val="00D33783"/>
    <w:rsid w:val="00D338CF"/>
    <w:rsid w:val="00D33AFC"/>
    <w:rsid w:val="00D34190"/>
    <w:rsid w:val="00D34229"/>
    <w:rsid w:val="00D343F5"/>
    <w:rsid w:val="00D34432"/>
    <w:rsid w:val="00D3462F"/>
    <w:rsid w:val="00D346BA"/>
    <w:rsid w:val="00D34898"/>
    <w:rsid w:val="00D34B61"/>
    <w:rsid w:val="00D34BF9"/>
    <w:rsid w:val="00D354E9"/>
    <w:rsid w:val="00D35751"/>
    <w:rsid w:val="00D3576C"/>
    <w:rsid w:val="00D35A8D"/>
    <w:rsid w:val="00D35AE8"/>
    <w:rsid w:val="00D35B53"/>
    <w:rsid w:val="00D35BE9"/>
    <w:rsid w:val="00D35D73"/>
    <w:rsid w:val="00D35E09"/>
    <w:rsid w:val="00D35F21"/>
    <w:rsid w:val="00D36213"/>
    <w:rsid w:val="00D362A8"/>
    <w:rsid w:val="00D36369"/>
    <w:rsid w:val="00D363E6"/>
    <w:rsid w:val="00D36646"/>
    <w:rsid w:val="00D366B5"/>
    <w:rsid w:val="00D36FA5"/>
    <w:rsid w:val="00D3712E"/>
    <w:rsid w:val="00D371EB"/>
    <w:rsid w:val="00D373A3"/>
    <w:rsid w:val="00D373B3"/>
    <w:rsid w:val="00D374FE"/>
    <w:rsid w:val="00D37A2B"/>
    <w:rsid w:val="00D37DFE"/>
    <w:rsid w:val="00D37E09"/>
    <w:rsid w:val="00D401BC"/>
    <w:rsid w:val="00D40991"/>
    <w:rsid w:val="00D40B26"/>
    <w:rsid w:val="00D40DFB"/>
    <w:rsid w:val="00D40E68"/>
    <w:rsid w:val="00D411CF"/>
    <w:rsid w:val="00D411F8"/>
    <w:rsid w:val="00D412EA"/>
    <w:rsid w:val="00D41336"/>
    <w:rsid w:val="00D413CA"/>
    <w:rsid w:val="00D4145D"/>
    <w:rsid w:val="00D41580"/>
    <w:rsid w:val="00D41D56"/>
    <w:rsid w:val="00D41DAE"/>
    <w:rsid w:val="00D41E14"/>
    <w:rsid w:val="00D41FEB"/>
    <w:rsid w:val="00D4297C"/>
    <w:rsid w:val="00D42AE9"/>
    <w:rsid w:val="00D42BB8"/>
    <w:rsid w:val="00D42DD4"/>
    <w:rsid w:val="00D43362"/>
    <w:rsid w:val="00D433B8"/>
    <w:rsid w:val="00D43A77"/>
    <w:rsid w:val="00D43AEF"/>
    <w:rsid w:val="00D43B4F"/>
    <w:rsid w:val="00D43CA7"/>
    <w:rsid w:val="00D44041"/>
    <w:rsid w:val="00D44052"/>
    <w:rsid w:val="00D442BE"/>
    <w:rsid w:val="00D44449"/>
    <w:rsid w:val="00D4456D"/>
    <w:rsid w:val="00D44833"/>
    <w:rsid w:val="00D44BDC"/>
    <w:rsid w:val="00D44D28"/>
    <w:rsid w:val="00D4598D"/>
    <w:rsid w:val="00D45DD6"/>
    <w:rsid w:val="00D45E4E"/>
    <w:rsid w:val="00D460B0"/>
    <w:rsid w:val="00D46122"/>
    <w:rsid w:val="00D4614E"/>
    <w:rsid w:val="00D46510"/>
    <w:rsid w:val="00D46DC6"/>
    <w:rsid w:val="00D47133"/>
    <w:rsid w:val="00D4714B"/>
    <w:rsid w:val="00D471DE"/>
    <w:rsid w:val="00D476A3"/>
    <w:rsid w:val="00D47959"/>
    <w:rsid w:val="00D47CDB"/>
    <w:rsid w:val="00D47DC0"/>
    <w:rsid w:val="00D47EBA"/>
    <w:rsid w:val="00D502F7"/>
    <w:rsid w:val="00D504B1"/>
    <w:rsid w:val="00D504D8"/>
    <w:rsid w:val="00D505BA"/>
    <w:rsid w:val="00D5064A"/>
    <w:rsid w:val="00D508C1"/>
    <w:rsid w:val="00D508E4"/>
    <w:rsid w:val="00D50968"/>
    <w:rsid w:val="00D50ABD"/>
    <w:rsid w:val="00D50D5B"/>
    <w:rsid w:val="00D50F9C"/>
    <w:rsid w:val="00D51035"/>
    <w:rsid w:val="00D51085"/>
    <w:rsid w:val="00D51319"/>
    <w:rsid w:val="00D51320"/>
    <w:rsid w:val="00D516C1"/>
    <w:rsid w:val="00D51757"/>
    <w:rsid w:val="00D51D06"/>
    <w:rsid w:val="00D51D6F"/>
    <w:rsid w:val="00D51E26"/>
    <w:rsid w:val="00D51E8D"/>
    <w:rsid w:val="00D520B1"/>
    <w:rsid w:val="00D5245F"/>
    <w:rsid w:val="00D524F9"/>
    <w:rsid w:val="00D5274F"/>
    <w:rsid w:val="00D52C20"/>
    <w:rsid w:val="00D53672"/>
    <w:rsid w:val="00D53962"/>
    <w:rsid w:val="00D53ABB"/>
    <w:rsid w:val="00D53B3E"/>
    <w:rsid w:val="00D53FB5"/>
    <w:rsid w:val="00D53FCA"/>
    <w:rsid w:val="00D5400D"/>
    <w:rsid w:val="00D5418F"/>
    <w:rsid w:val="00D54244"/>
    <w:rsid w:val="00D544B3"/>
    <w:rsid w:val="00D5483F"/>
    <w:rsid w:val="00D5499D"/>
    <w:rsid w:val="00D54ED1"/>
    <w:rsid w:val="00D54FC7"/>
    <w:rsid w:val="00D552F3"/>
    <w:rsid w:val="00D559CC"/>
    <w:rsid w:val="00D55D0A"/>
    <w:rsid w:val="00D55DD5"/>
    <w:rsid w:val="00D56389"/>
    <w:rsid w:val="00D565B3"/>
    <w:rsid w:val="00D56EB0"/>
    <w:rsid w:val="00D570A3"/>
    <w:rsid w:val="00D573B4"/>
    <w:rsid w:val="00D57BCC"/>
    <w:rsid w:val="00D57C9F"/>
    <w:rsid w:val="00D57D7D"/>
    <w:rsid w:val="00D57F28"/>
    <w:rsid w:val="00D60071"/>
    <w:rsid w:val="00D60146"/>
    <w:rsid w:val="00D60157"/>
    <w:rsid w:val="00D60459"/>
    <w:rsid w:val="00D60802"/>
    <w:rsid w:val="00D6084D"/>
    <w:rsid w:val="00D60A50"/>
    <w:rsid w:val="00D60C0E"/>
    <w:rsid w:val="00D6124B"/>
    <w:rsid w:val="00D612D0"/>
    <w:rsid w:val="00D61681"/>
    <w:rsid w:val="00D6184D"/>
    <w:rsid w:val="00D61B30"/>
    <w:rsid w:val="00D62217"/>
    <w:rsid w:val="00D625F1"/>
    <w:rsid w:val="00D627B0"/>
    <w:rsid w:val="00D62877"/>
    <w:rsid w:val="00D628D9"/>
    <w:rsid w:val="00D62D67"/>
    <w:rsid w:val="00D62E48"/>
    <w:rsid w:val="00D62F26"/>
    <w:rsid w:val="00D62FF6"/>
    <w:rsid w:val="00D63186"/>
    <w:rsid w:val="00D6351D"/>
    <w:rsid w:val="00D637DF"/>
    <w:rsid w:val="00D63C4D"/>
    <w:rsid w:val="00D63CFB"/>
    <w:rsid w:val="00D63D12"/>
    <w:rsid w:val="00D63E61"/>
    <w:rsid w:val="00D63FA4"/>
    <w:rsid w:val="00D64043"/>
    <w:rsid w:val="00D64175"/>
    <w:rsid w:val="00D64312"/>
    <w:rsid w:val="00D6476E"/>
    <w:rsid w:val="00D6479D"/>
    <w:rsid w:val="00D64857"/>
    <w:rsid w:val="00D648EB"/>
    <w:rsid w:val="00D649DF"/>
    <w:rsid w:val="00D649F6"/>
    <w:rsid w:val="00D64D66"/>
    <w:rsid w:val="00D64E2B"/>
    <w:rsid w:val="00D64EA2"/>
    <w:rsid w:val="00D64F0B"/>
    <w:rsid w:val="00D6523E"/>
    <w:rsid w:val="00D65490"/>
    <w:rsid w:val="00D655CA"/>
    <w:rsid w:val="00D65631"/>
    <w:rsid w:val="00D65EE5"/>
    <w:rsid w:val="00D6607F"/>
    <w:rsid w:val="00D6611A"/>
    <w:rsid w:val="00D6616B"/>
    <w:rsid w:val="00D661F8"/>
    <w:rsid w:val="00D66274"/>
    <w:rsid w:val="00D6628F"/>
    <w:rsid w:val="00D662AB"/>
    <w:rsid w:val="00D667B3"/>
    <w:rsid w:val="00D66DCF"/>
    <w:rsid w:val="00D6703B"/>
    <w:rsid w:val="00D671E6"/>
    <w:rsid w:val="00D67263"/>
    <w:rsid w:val="00D676CD"/>
    <w:rsid w:val="00D67771"/>
    <w:rsid w:val="00D67D56"/>
    <w:rsid w:val="00D67DDF"/>
    <w:rsid w:val="00D700DD"/>
    <w:rsid w:val="00D7051C"/>
    <w:rsid w:val="00D706AA"/>
    <w:rsid w:val="00D70ABE"/>
    <w:rsid w:val="00D70B2F"/>
    <w:rsid w:val="00D70BA8"/>
    <w:rsid w:val="00D71192"/>
    <w:rsid w:val="00D7128B"/>
    <w:rsid w:val="00D71362"/>
    <w:rsid w:val="00D713E6"/>
    <w:rsid w:val="00D717BF"/>
    <w:rsid w:val="00D719C3"/>
    <w:rsid w:val="00D71AEF"/>
    <w:rsid w:val="00D71B05"/>
    <w:rsid w:val="00D71CBA"/>
    <w:rsid w:val="00D72563"/>
    <w:rsid w:val="00D72815"/>
    <w:rsid w:val="00D72B92"/>
    <w:rsid w:val="00D72C7A"/>
    <w:rsid w:val="00D72E17"/>
    <w:rsid w:val="00D732C0"/>
    <w:rsid w:val="00D73527"/>
    <w:rsid w:val="00D736F5"/>
    <w:rsid w:val="00D73895"/>
    <w:rsid w:val="00D73A5A"/>
    <w:rsid w:val="00D73B06"/>
    <w:rsid w:val="00D73E57"/>
    <w:rsid w:val="00D7427E"/>
    <w:rsid w:val="00D7434C"/>
    <w:rsid w:val="00D743ED"/>
    <w:rsid w:val="00D74744"/>
    <w:rsid w:val="00D74750"/>
    <w:rsid w:val="00D748E6"/>
    <w:rsid w:val="00D74BAF"/>
    <w:rsid w:val="00D7514C"/>
    <w:rsid w:val="00D7546B"/>
    <w:rsid w:val="00D75907"/>
    <w:rsid w:val="00D7596D"/>
    <w:rsid w:val="00D759F4"/>
    <w:rsid w:val="00D75AB4"/>
    <w:rsid w:val="00D75CB1"/>
    <w:rsid w:val="00D75DCA"/>
    <w:rsid w:val="00D75E4F"/>
    <w:rsid w:val="00D760C1"/>
    <w:rsid w:val="00D761A7"/>
    <w:rsid w:val="00D764F1"/>
    <w:rsid w:val="00D7662B"/>
    <w:rsid w:val="00D767DF"/>
    <w:rsid w:val="00D76803"/>
    <w:rsid w:val="00D76840"/>
    <w:rsid w:val="00D76DFB"/>
    <w:rsid w:val="00D76E6C"/>
    <w:rsid w:val="00D76F36"/>
    <w:rsid w:val="00D773B5"/>
    <w:rsid w:val="00D77550"/>
    <w:rsid w:val="00D777FE"/>
    <w:rsid w:val="00D77C67"/>
    <w:rsid w:val="00D80122"/>
    <w:rsid w:val="00D8026B"/>
    <w:rsid w:val="00D80631"/>
    <w:rsid w:val="00D8063A"/>
    <w:rsid w:val="00D8069B"/>
    <w:rsid w:val="00D80767"/>
    <w:rsid w:val="00D808A1"/>
    <w:rsid w:val="00D80C0C"/>
    <w:rsid w:val="00D81096"/>
    <w:rsid w:val="00D81144"/>
    <w:rsid w:val="00D812E8"/>
    <w:rsid w:val="00D81EFD"/>
    <w:rsid w:val="00D82090"/>
    <w:rsid w:val="00D8261C"/>
    <w:rsid w:val="00D82748"/>
    <w:rsid w:val="00D829A8"/>
    <w:rsid w:val="00D82B06"/>
    <w:rsid w:val="00D82CA4"/>
    <w:rsid w:val="00D82E5E"/>
    <w:rsid w:val="00D83165"/>
    <w:rsid w:val="00D8358C"/>
    <w:rsid w:val="00D8363F"/>
    <w:rsid w:val="00D8370E"/>
    <w:rsid w:val="00D83766"/>
    <w:rsid w:val="00D8385A"/>
    <w:rsid w:val="00D83A43"/>
    <w:rsid w:val="00D83BA5"/>
    <w:rsid w:val="00D83DBE"/>
    <w:rsid w:val="00D84261"/>
    <w:rsid w:val="00D846C2"/>
    <w:rsid w:val="00D84B86"/>
    <w:rsid w:val="00D851E0"/>
    <w:rsid w:val="00D8575D"/>
    <w:rsid w:val="00D85F89"/>
    <w:rsid w:val="00D86362"/>
    <w:rsid w:val="00D86817"/>
    <w:rsid w:val="00D86AAD"/>
    <w:rsid w:val="00D86EBB"/>
    <w:rsid w:val="00D87517"/>
    <w:rsid w:val="00D8755D"/>
    <w:rsid w:val="00D875EB"/>
    <w:rsid w:val="00D87671"/>
    <w:rsid w:val="00D8781A"/>
    <w:rsid w:val="00D87A28"/>
    <w:rsid w:val="00D87C08"/>
    <w:rsid w:val="00D87E8F"/>
    <w:rsid w:val="00D901DD"/>
    <w:rsid w:val="00D901E1"/>
    <w:rsid w:val="00D9071A"/>
    <w:rsid w:val="00D90B38"/>
    <w:rsid w:val="00D90B50"/>
    <w:rsid w:val="00D915AD"/>
    <w:rsid w:val="00D91990"/>
    <w:rsid w:val="00D91A66"/>
    <w:rsid w:val="00D91F08"/>
    <w:rsid w:val="00D92648"/>
    <w:rsid w:val="00D926ED"/>
    <w:rsid w:val="00D92888"/>
    <w:rsid w:val="00D928AD"/>
    <w:rsid w:val="00D92A60"/>
    <w:rsid w:val="00D92DA1"/>
    <w:rsid w:val="00D93118"/>
    <w:rsid w:val="00D9335B"/>
    <w:rsid w:val="00D937D6"/>
    <w:rsid w:val="00D93A1B"/>
    <w:rsid w:val="00D93BA3"/>
    <w:rsid w:val="00D93DBB"/>
    <w:rsid w:val="00D93E27"/>
    <w:rsid w:val="00D93F84"/>
    <w:rsid w:val="00D9401A"/>
    <w:rsid w:val="00D940BB"/>
    <w:rsid w:val="00D943D8"/>
    <w:rsid w:val="00D94680"/>
    <w:rsid w:val="00D948C2"/>
    <w:rsid w:val="00D948E3"/>
    <w:rsid w:val="00D94B23"/>
    <w:rsid w:val="00D94B92"/>
    <w:rsid w:val="00D94C0F"/>
    <w:rsid w:val="00D950DC"/>
    <w:rsid w:val="00D9512A"/>
    <w:rsid w:val="00D9533D"/>
    <w:rsid w:val="00D95399"/>
    <w:rsid w:val="00D95583"/>
    <w:rsid w:val="00D959A0"/>
    <w:rsid w:val="00D959EE"/>
    <w:rsid w:val="00D95A25"/>
    <w:rsid w:val="00D95A90"/>
    <w:rsid w:val="00D96637"/>
    <w:rsid w:val="00D9679E"/>
    <w:rsid w:val="00D96A25"/>
    <w:rsid w:val="00D96F4F"/>
    <w:rsid w:val="00D974CB"/>
    <w:rsid w:val="00D97A28"/>
    <w:rsid w:val="00D97D23"/>
    <w:rsid w:val="00D97DDD"/>
    <w:rsid w:val="00DA0469"/>
    <w:rsid w:val="00DA0676"/>
    <w:rsid w:val="00DA0A9E"/>
    <w:rsid w:val="00DA0C06"/>
    <w:rsid w:val="00DA0D82"/>
    <w:rsid w:val="00DA0E5B"/>
    <w:rsid w:val="00DA1100"/>
    <w:rsid w:val="00DA15BA"/>
    <w:rsid w:val="00DA18EF"/>
    <w:rsid w:val="00DA1F62"/>
    <w:rsid w:val="00DA1F9F"/>
    <w:rsid w:val="00DA26E7"/>
    <w:rsid w:val="00DA2B6C"/>
    <w:rsid w:val="00DA2EE9"/>
    <w:rsid w:val="00DA2F4D"/>
    <w:rsid w:val="00DA315A"/>
    <w:rsid w:val="00DA3199"/>
    <w:rsid w:val="00DA31B1"/>
    <w:rsid w:val="00DA3491"/>
    <w:rsid w:val="00DA37CE"/>
    <w:rsid w:val="00DA3A01"/>
    <w:rsid w:val="00DA3A2A"/>
    <w:rsid w:val="00DA3EF6"/>
    <w:rsid w:val="00DA4066"/>
    <w:rsid w:val="00DA413B"/>
    <w:rsid w:val="00DA4192"/>
    <w:rsid w:val="00DA444A"/>
    <w:rsid w:val="00DA45CD"/>
    <w:rsid w:val="00DA4D6C"/>
    <w:rsid w:val="00DA4DC6"/>
    <w:rsid w:val="00DA4E1E"/>
    <w:rsid w:val="00DA540E"/>
    <w:rsid w:val="00DA594E"/>
    <w:rsid w:val="00DA5AC9"/>
    <w:rsid w:val="00DA5AFB"/>
    <w:rsid w:val="00DA5B4D"/>
    <w:rsid w:val="00DA5BE3"/>
    <w:rsid w:val="00DA5BE4"/>
    <w:rsid w:val="00DA6176"/>
    <w:rsid w:val="00DA63CF"/>
    <w:rsid w:val="00DA66BF"/>
    <w:rsid w:val="00DA66CB"/>
    <w:rsid w:val="00DA6A71"/>
    <w:rsid w:val="00DA6C91"/>
    <w:rsid w:val="00DA6F5F"/>
    <w:rsid w:val="00DA700F"/>
    <w:rsid w:val="00DA7021"/>
    <w:rsid w:val="00DA7097"/>
    <w:rsid w:val="00DA70F4"/>
    <w:rsid w:val="00DA73D8"/>
    <w:rsid w:val="00DA74A5"/>
    <w:rsid w:val="00DA74E9"/>
    <w:rsid w:val="00DA7521"/>
    <w:rsid w:val="00DA75DF"/>
    <w:rsid w:val="00DA7821"/>
    <w:rsid w:val="00DA79CD"/>
    <w:rsid w:val="00DA7B09"/>
    <w:rsid w:val="00DA7BD2"/>
    <w:rsid w:val="00DA7CD4"/>
    <w:rsid w:val="00DA7F6A"/>
    <w:rsid w:val="00DB013A"/>
    <w:rsid w:val="00DB01EB"/>
    <w:rsid w:val="00DB03A7"/>
    <w:rsid w:val="00DB0541"/>
    <w:rsid w:val="00DB0610"/>
    <w:rsid w:val="00DB0672"/>
    <w:rsid w:val="00DB07F1"/>
    <w:rsid w:val="00DB0820"/>
    <w:rsid w:val="00DB0C15"/>
    <w:rsid w:val="00DB0C3E"/>
    <w:rsid w:val="00DB0DF0"/>
    <w:rsid w:val="00DB1267"/>
    <w:rsid w:val="00DB16F6"/>
    <w:rsid w:val="00DB1724"/>
    <w:rsid w:val="00DB176B"/>
    <w:rsid w:val="00DB17A9"/>
    <w:rsid w:val="00DB17CC"/>
    <w:rsid w:val="00DB2387"/>
    <w:rsid w:val="00DB2451"/>
    <w:rsid w:val="00DB24D2"/>
    <w:rsid w:val="00DB2525"/>
    <w:rsid w:val="00DB2599"/>
    <w:rsid w:val="00DB2633"/>
    <w:rsid w:val="00DB2820"/>
    <w:rsid w:val="00DB2B68"/>
    <w:rsid w:val="00DB3004"/>
    <w:rsid w:val="00DB3085"/>
    <w:rsid w:val="00DB314E"/>
    <w:rsid w:val="00DB3378"/>
    <w:rsid w:val="00DB3510"/>
    <w:rsid w:val="00DB35C6"/>
    <w:rsid w:val="00DB3D07"/>
    <w:rsid w:val="00DB40F8"/>
    <w:rsid w:val="00DB41DE"/>
    <w:rsid w:val="00DB423A"/>
    <w:rsid w:val="00DB4567"/>
    <w:rsid w:val="00DB479A"/>
    <w:rsid w:val="00DB4954"/>
    <w:rsid w:val="00DB4A52"/>
    <w:rsid w:val="00DB4AC8"/>
    <w:rsid w:val="00DB4B94"/>
    <w:rsid w:val="00DB5036"/>
    <w:rsid w:val="00DB52A3"/>
    <w:rsid w:val="00DB53A1"/>
    <w:rsid w:val="00DB53E3"/>
    <w:rsid w:val="00DB53FC"/>
    <w:rsid w:val="00DB5AF7"/>
    <w:rsid w:val="00DB5BBC"/>
    <w:rsid w:val="00DB60A1"/>
    <w:rsid w:val="00DB6201"/>
    <w:rsid w:val="00DB651E"/>
    <w:rsid w:val="00DB6552"/>
    <w:rsid w:val="00DB65A3"/>
    <w:rsid w:val="00DB66E7"/>
    <w:rsid w:val="00DB6F0F"/>
    <w:rsid w:val="00DB6F8C"/>
    <w:rsid w:val="00DB729F"/>
    <w:rsid w:val="00DB74EE"/>
    <w:rsid w:val="00DB751E"/>
    <w:rsid w:val="00DB7E7B"/>
    <w:rsid w:val="00DC018A"/>
    <w:rsid w:val="00DC0288"/>
    <w:rsid w:val="00DC03F7"/>
    <w:rsid w:val="00DC048F"/>
    <w:rsid w:val="00DC05FE"/>
    <w:rsid w:val="00DC0618"/>
    <w:rsid w:val="00DC0683"/>
    <w:rsid w:val="00DC115C"/>
    <w:rsid w:val="00DC1514"/>
    <w:rsid w:val="00DC1644"/>
    <w:rsid w:val="00DC1696"/>
    <w:rsid w:val="00DC1A06"/>
    <w:rsid w:val="00DC1C25"/>
    <w:rsid w:val="00DC1D0B"/>
    <w:rsid w:val="00DC1EAD"/>
    <w:rsid w:val="00DC2045"/>
    <w:rsid w:val="00DC2248"/>
    <w:rsid w:val="00DC236F"/>
    <w:rsid w:val="00DC23CA"/>
    <w:rsid w:val="00DC25EE"/>
    <w:rsid w:val="00DC2609"/>
    <w:rsid w:val="00DC2879"/>
    <w:rsid w:val="00DC2964"/>
    <w:rsid w:val="00DC33FF"/>
    <w:rsid w:val="00DC3590"/>
    <w:rsid w:val="00DC3B3B"/>
    <w:rsid w:val="00DC3F7F"/>
    <w:rsid w:val="00DC4534"/>
    <w:rsid w:val="00DC48CB"/>
    <w:rsid w:val="00DC4F8E"/>
    <w:rsid w:val="00DC53D3"/>
    <w:rsid w:val="00DC549F"/>
    <w:rsid w:val="00DC5508"/>
    <w:rsid w:val="00DC55D4"/>
    <w:rsid w:val="00DC56A3"/>
    <w:rsid w:val="00DC56CB"/>
    <w:rsid w:val="00DC589B"/>
    <w:rsid w:val="00DC595E"/>
    <w:rsid w:val="00DC5B65"/>
    <w:rsid w:val="00DC6098"/>
    <w:rsid w:val="00DC642B"/>
    <w:rsid w:val="00DC6B83"/>
    <w:rsid w:val="00DC6C4B"/>
    <w:rsid w:val="00DC6F45"/>
    <w:rsid w:val="00DC70E3"/>
    <w:rsid w:val="00DC72C5"/>
    <w:rsid w:val="00DC75DB"/>
    <w:rsid w:val="00DD0633"/>
    <w:rsid w:val="00DD0C70"/>
    <w:rsid w:val="00DD0D76"/>
    <w:rsid w:val="00DD0DB7"/>
    <w:rsid w:val="00DD0FB8"/>
    <w:rsid w:val="00DD11D6"/>
    <w:rsid w:val="00DD12E7"/>
    <w:rsid w:val="00DD1699"/>
    <w:rsid w:val="00DD1C41"/>
    <w:rsid w:val="00DD1CD2"/>
    <w:rsid w:val="00DD21BA"/>
    <w:rsid w:val="00DD21E9"/>
    <w:rsid w:val="00DD22D8"/>
    <w:rsid w:val="00DD230F"/>
    <w:rsid w:val="00DD2ACB"/>
    <w:rsid w:val="00DD2C08"/>
    <w:rsid w:val="00DD2C4C"/>
    <w:rsid w:val="00DD2FEC"/>
    <w:rsid w:val="00DD3012"/>
    <w:rsid w:val="00DD3235"/>
    <w:rsid w:val="00DD326B"/>
    <w:rsid w:val="00DD33A6"/>
    <w:rsid w:val="00DD386D"/>
    <w:rsid w:val="00DD38FF"/>
    <w:rsid w:val="00DD39CB"/>
    <w:rsid w:val="00DD3CF2"/>
    <w:rsid w:val="00DD3F8E"/>
    <w:rsid w:val="00DD43F9"/>
    <w:rsid w:val="00DD4BC1"/>
    <w:rsid w:val="00DD4BC9"/>
    <w:rsid w:val="00DD4C03"/>
    <w:rsid w:val="00DD4DB5"/>
    <w:rsid w:val="00DD4E83"/>
    <w:rsid w:val="00DD5289"/>
    <w:rsid w:val="00DD5B1A"/>
    <w:rsid w:val="00DD5CC3"/>
    <w:rsid w:val="00DD6253"/>
    <w:rsid w:val="00DD690A"/>
    <w:rsid w:val="00DD69E1"/>
    <w:rsid w:val="00DD7210"/>
    <w:rsid w:val="00DD72E3"/>
    <w:rsid w:val="00DD7301"/>
    <w:rsid w:val="00DD76B2"/>
    <w:rsid w:val="00DD7938"/>
    <w:rsid w:val="00DD7FD5"/>
    <w:rsid w:val="00DE02EF"/>
    <w:rsid w:val="00DE0464"/>
    <w:rsid w:val="00DE15C0"/>
    <w:rsid w:val="00DE16A4"/>
    <w:rsid w:val="00DE186E"/>
    <w:rsid w:val="00DE18CD"/>
    <w:rsid w:val="00DE1A03"/>
    <w:rsid w:val="00DE1A9C"/>
    <w:rsid w:val="00DE1D1B"/>
    <w:rsid w:val="00DE1E83"/>
    <w:rsid w:val="00DE1FA1"/>
    <w:rsid w:val="00DE1FE7"/>
    <w:rsid w:val="00DE265E"/>
    <w:rsid w:val="00DE350D"/>
    <w:rsid w:val="00DE3583"/>
    <w:rsid w:val="00DE38BF"/>
    <w:rsid w:val="00DE39BA"/>
    <w:rsid w:val="00DE3A5B"/>
    <w:rsid w:val="00DE3B45"/>
    <w:rsid w:val="00DE3E92"/>
    <w:rsid w:val="00DE402C"/>
    <w:rsid w:val="00DE43C7"/>
    <w:rsid w:val="00DE46E4"/>
    <w:rsid w:val="00DE4782"/>
    <w:rsid w:val="00DE4CB6"/>
    <w:rsid w:val="00DE4DD3"/>
    <w:rsid w:val="00DE4DD8"/>
    <w:rsid w:val="00DE4FDE"/>
    <w:rsid w:val="00DE515B"/>
    <w:rsid w:val="00DE54A6"/>
    <w:rsid w:val="00DE5631"/>
    <w:rsid w:val="00DE5BA2"/>
    <w:rsid w:val="00DE5BD9"/>
    <w:rsid w:val="00DE5D63"/>
    <w:rsid w:val="00DE63A4"/>
    <w:rsid w:val="00DE64C9"/>
    <w:rsid w:val="00DE6572"/>
    <w:rsid w:val="00DE671A"/>
    <w:rsid w:val="00DE6CD1"/>
    <w:rsid w:val="00DE6E3A"/>
    <w:rsid w:val="00DE6ECB"/>
    <w:rsid w:val="00DE74DD"/>
    <w:rsid w:val="00DE74F5"/>
    <w:rsid w:val="00DE791E"/>
    <w:rsid w:val="00DE796B"/>
    <w:rsid w:val="00DE7A6F"/>
    <w:rsid w:val="00DF00C0"/>
    <w:rsid w:val="00DF0112"/>
    <w:rsid w:val="00DF07FB"/>
    <w:rsid w:val="00DF0843"/>
    <w:rsid w:val="00DF087C"/>
    <w:rsid w:val="00DF09CA"/>
    <w:rsid w:val="00DF0A18"/>
    <w:rsid w:val="00DF0A20"/>
    <w:rsid w:val="00DF0AB0"/>
    <w:rsid w:val="00DF0CB4"/>
    <w:rsid w:val="00DF170F"/>
    <w:rsid w:val="00DF1848"/>
    <w:rsid w:val="00DF1B0A"/>
    <w:rsid w:val="00DF1BDC"/>
    <w:rsid w:val="00DF1C25"/>
    <w:rsid w:val="00DF1D3F"/>
    <w:rsid w:val="00DF1D6F"/>
    <w:rsid w:val="00DF22C5"/>
    <w:rsid w:val="00DF22DD"/>
    <w:rsid w:val="00DF2598"/>
    <w:rsid w:val="00DF268C"/>
    <w:rsid w:val="00DF279B"/>
    <w:rsid w:val="00DF290D"/>
    <w:rsid w:val="00DF2967"/>
    <w:rsid w:val="00DF2D5E"/>
    <w:rsid w:val="00DF2F60"/>
    <w:rsid w:val="00DF3063"/>
    <w:rsid w:val="00DF32EB"/>
    <w:rsid w:val="00DF3407"/>
    <w:rsid w:val="00DF368D"/>
    <w:rsid w:val="00DF3B3C"/>
    <w:rsid w:val="00DF3D33"/>
    <w:rsid w:val="00DF3D47"/>
    <w:rsid w:val="00DF3E67"/>
    <w:rsid w:val="00DF400B"/>
    <w:rsid w:val="00DF4140"/>
    <w:rsid w:val="00DF45E6"/>
    <w:rsid w:val="00DF4611"/>
    <w:rsid w:val="00DF49DA"/>
    <w:rsid w:val="00DF4E06"/>
    <w:rsid w:val="00DF4F0A"/>
    <w:rsid w:val="00DF5215"/>
    <w:rsid w:val="00DF54F7"/>
    <w:rsid w:val="00DF5586"/>
    <w:rsid w:val="00DF5722"/>
    <w:rsid w:val="00DF5728"/>
    <w:rsid w:val="00DF59A9"/>
    <w:rsid w:val="00DF5A76"/>
    <w:rsid w:val="00DF5C05"/>
    <w:rsid w:val="00DF5D31"/>
    <w:rsid w:val="00DF5D64"/>
    <w:rsid w:val="00DF5F64"/>
    <w:rsid w:val="00DF6590"/>
    <w:rsid w:val="00DF65D1"/>
    <w:rsid w:val="00DF68F6"/>
    <w:rsid w:val="00DF6B6F"/>
    <w:rsid w:val="00DF6D9C"/>
    <w:rsid w:val="00DF732A"/>
    <w:rsid w:val="00DF7412"/>
    <w:rsid w:val="00DF7B47"/>
    <w:rsid w:val="00DF7DC6"/>
    <w:rsid w:val="00E00090"/>
    <w:rsid w:val="00E002F1"/>
    <w:rsid w:val="00E00370"/>
    <w:rsid w:val="00E00432"/>
    <w:rsid w:val="00E004B2"/>
    <w:rsid w:val="00E0071C"/>
    <w:rsid w:val="00E00A56"/>
    <w:rsid w:val="00E00AEA"/>
    <w:rsid w:val="00E00BF6"/>
    <w:rsid w:val="00E010BD"/>
    <w:rsid w:val="00E011AE"/>
    <w:rsid w:val="00E0135B"/>
    <w:rsid w:val="00E014B3"/>
    <w:rsid w:val="00E015CC"/>
    <w:rsid w:val="00E018C5"/>
    <w:rsid w:val="00E0198C"/>
    <w:rsid w:val="00E01E2C"/>
    <w:rsid w:val="00E01F6A"/>
    <w:rsid w:val="00E01FB2"/>
    <w:rsid w:val="00E02122"/>
    <w:rsid w:val="00E0214F"/>
    <w:rsid w:val="00E02380"/>
    <w:rsid w:val="00E02539"/>
    <w:rsid w:val="00E0259D"/>
    <w:rsid w:val="00E02B19"/>
    <w:rsid w:val="00E02F3B"/>
    <w:rsid w:val="00E0325B"/>
    <w:rsid w:val="00E03362"/>
    <w:rsid w:val="00E0338C"/>
    <w:rsid w:val="00E035D7"/>
    <w:rsid w:val="00E0391C"/>
    <w:rsid w:val="00E03960"/>
    <w:rsid w:val="00E03974"/>
    <w:rsid w:val="00E03C68"/>
    <w:rsid w:val="00E03E63"/>
    <w:rsid w:val="00E03FDA"/>
    <w:rsid w:val="00E046CF"/>
    <w:rsid w:val="00E046D3"/>
    <w:rsid w:val="00E04727"/>
    <w:rsid w:val="00E04866"/>
    <w:rsid w:val="00E049B1"/>
    <w:rsid w:val="00E04CEB"/>
    <w:rsid w:val="00E04DF7"/>
    <w:rsid w:val="00E050A6"/>
    <w:rsid w:val="00E05138"/>
    <w:rsid w:val="00E0514D"/>
    <w:rsid w:val="00E052C0"/>
    <w:rsid w:val="00E05816"/>
    <w:rsid w:val="00E05917"/>
    <w:rsid w:val="00E05957"/>
    <w:rsid w:val="00E05C81"/>
    <w:rsid w:val="00E05E5C"/>
    <w:rsid w:val="00E0609C"/>
    <w:rsid w:val="00E06568"/>
    <w:rsid w:val="00E06574"/>
    <w:rsid w:val="00E06675"/>
    <w:rsid w:val="00E0688D"/>
    <w:rsid w:val="00E06B78"/>
    <w:rsid w:val="00E06B7D"/>
    <w:rsid w:val="00E06E19"/>
    <w:rsid w:val="00E06E82"/>
    <w:rsid w:val="00E074DA"/>
    <w:rsid w:val="00E076ED"/>
    <w:rsid w:val="00E077E0"/>
    <w:rsid w:val="00E079BE"/>
    <w:rsid w:val="00E101A9"/>
    <w:rsid w:val="00E101BE"/>
    <w:rsid w:val="00E1027A"/>
    <w:rsid w:val="00E102AF"/>
    <w:rsid w:val="00E102F5"/>
    <w:rsid w:val="00E10384"/>
    <w:rsid w:val="00E1058A"/>
    <w:rsid w:val="00E10664"/>
    <w:rsid w:val="00E1086B"/>
    <w:rsid w:val="00E1088B"/>
    <w:rsid w:val="00E1090D"/>
    <w:rsid w:val="00E10BBD"/>
    <w:rsid w:val="00E1104B"/>
    <w:rsid w:val="00E1115D"/>
    <w:rsid w:val="00E11480"/>
    <w:rsid w:val="00E116D7"/>
    <w:rsid w:val="00E11A42"/>
    <w:rsid w:val="00E126B2"/>
    <w:rsid w:val="00E12784"/>
    <w:rsid w:val="00E1290A"/>
    <w:rsid w:val="00E129F9"/>
    <w:rsid w:val="00E12A6B"/>
    <w:rsid w:val="00E12EF3"/>
    <w:rsid w:val="00E1302C"/>
    <w:rsid w:val="00E13351"/>
    <w:rsid w:val="00E1342C"/>
    <w:rsid w:val="00E134C5"/>
    <w:rsid w:val="00E13533"/>
    <w:rsid w:val="00E13553"/>
    <w:rsid w:val="00E1372F"/>
    <w:rsid w:val="00E1390E"/>
    <w:rsid w:val="00E13966"/>
    <w:rsid w:val="00E13A17"/>
    <w:rsid w:val="00E13F01"/>
    <w:rsid w:val="00E1458C"/>
    <w:rsid w:val="00E145A8"/>
    <w:rsid w:val="00E14617"/>
    <w:rsid w:val="00E147CF"/>
    <w:rsid w:val="00E1490E"/>
    <w:rsid w:val="00E1508D"/>
    <w:rsid w:val="00E153A0"/>
    <w:rsid w:val="00E15507"/>
    <w:rsid w:val="00E15534"/>
    <w:rsid w:val="00E1554B"/>
    <w:rsid w:val="00E15585"/>
    <w:rsid w:val="00E156BA"/>
    <w:rsid w:val="00E158EB"/>
    <w:rsid w:val="00E15AFE"/>
    <w:rsid w:val="00E15C99"/>
    <w:rsid w:val="00E15D5A"/>
    <w:rsid w:val="00E15D5F"/>
    <w:rsid w:val="00E15DF4"/>
    <w:rsid w:val="00E15E1E"/>
    <w:rsid w:val="00E15ECC"/>
    <w:rsid w:val="00E15F9D"/>
    <w:rsid w:val="00E16056"/>
    <w:rsid w:val="00E16094"/>
    <w:rsid w:val="00E16380"/>
    <w:rsid w:val="00E1646F"/>
    <w:rsid w:val="00E164E9"/>
    <w:rsid w:val="00E1681A"/>
    <w:rsid w:val="00E16944"/>
    <w:rsid w:val="00E169B9"/>
    <w:rsid w:val="00E1704A"/>
    <w:rsid w:val="00E17158"/>
    <w:rsid w:val="00E1728B"/>
    <w:rsid w:val="00E174F4"/>
    <w:rsid w:val="00E175CF"/>
    <w:rsid w:val="00E200CA"/>
    <w:rsid w:val="00E2026B"/>
    <w:rsid w:val="00E20DBE"/>
    <w:rsid w:val="00E20F16"/>
    <w:rsid w:val="00E21201"/>
    <w:rsid w:val="00E21592"/>
    <w:rsid w:val="00E21969"/>
    <w:rsid w:val="00E219AA"/>
    <w:rsid w:val="00E21C6B"/>
    <w:rsid w:val="00E21D0B"/>
    <w:rsid w:val="00E21D65"/>
    <w:rsid w:val="00E21DDA"/>
    <w:rsid w:val="00E21DED"/>
    <w:rsid w:val="00E21E02"/>
    <w:rsid w:val="00E21FB7"/>
    <w:rsid w:val="00E22087"/>
    <w:rsid w:val="00E220E3"/>
    <w:rsid w:val="00E221C4"/>
    <w:rsid w:val="00E2231F"/>
    <w:rsid w:val="00E2241C"/>
    <w:rsid w:val="00E227E9"/>
    <w:rsid w:val="00E229AA"/>
    <w:rsid w:val="00E229BC"/>
    <w:rsid w:val="00E23015"/>
    <w:rsid w:val="00E2315C"/>
    <w:rsid w:val="00E237A9"/>
    <w:rsid w:val="00E23851"/>
    <w:rsid w:val="00E2394D"/>
    <w:rsid w:val="00E239B6"/>
    <w:rsid w:val="00E23C45"/>
    <w:rsid w:val="00E23F1D"/>
    <w:rsid w:val="00E23F6D"/>
    <w:rsid w:val="00E24035"/>
    <w:rsid w:val="00E24382"/>
    <w:rsid w:val="00E245CA"/>
    <w:rsid w:val="00E24656"/>
    <w:rsid w:val="00E2481D"/>
    <w:rsid w:val="00E24A9F"/>
    <w:rsid w:val="00E24F30"/>
    <w:rsid w:val="00E2503C"/>
    <w:rsid w:val="00E2589C"/>
    <w:rsid w:val="00E25E57"/>
    <w:rsid w:val="00E25E81"/>
    <w:rsid w:val="00E25EC2"/>
    <w:rsid w:val="00E25FF3"/>
    <w:rsid w:val="00E26282"/>
    <w:rsid w:val="00E26763"/>
    <w:rsid w:val="00E2676E"/>
    <w:rsid w:val="00E2682C"/>
    <w:rsid w:val="00E26A0D"/>
    <w:rsid w:val="00E26A13"/>
    <w:rsid w:val="00E26AB7"/>
    <w:rsid w:val="00E26AF0"/>
    <w:rsid w:val="00E276FD"/>
    <w:rsid w:val="00E2787D"/>
    <w:rsid w:val="00E27C38"/>
    <w:rsid w:val="00E27C97"/>
    <w:rsid w:val="00E27D84"/>
    <w:rsid w:val="00E30167"/>
    <w:rsid w:val="00E304DA"/>
    <w:rsid w:val="00E30537"/>
    <w:rsid w:val="00E3059C"/>
    <w:rsid w:val="00E30873"/>
    <w:rsid w:val="00E30C5A"/>
    <w:rsid w:val="00E30FF7"/>
    <w:rsid w:val="00E31565"/>
    <w:rsid w:val="00E315C4"/>
    <w:rsid w:val="00E31676"/>
    <w:rsid w:val="00E31910"/>
    <w:rsid w:val="00E31AE9"/>
    <w:rsid w:val="00E31BB7"/>
    <w:rsid w:val="00E31C21"/>
    <w:rsid w:val="00E31DAB"/>
    <w:rsid w:val="00E3217D"/>
    <w:rsid w:val="00E321DD"/>
    <w:rsid w:val="00E3272E"/>
    <w:rsid w:val="00E328FF"/>
    <w:rsid w:val="00E32BB2"/>
    <w:rsid w:val="00E332FC"/>
    <w:rsid w:val="00E333B8"/>
    <w:rsid w:val="00E334A3"/>
    <w:rsid w:val="00E335EF"/>
    <w:rsid w:val="00E3372D"/>
    <w:rsid w:val="00E33AA4"/>
    <w:rsid w:val="00E33BB4"/>
    <w:rsid w:val="00E33BFD"/>
    <w:rsid w:val="00E33CD7"/>
    <w:rsid w:val="00E3415E"/>
    <w:rsid w:val="00E34379"/>
    <w:rsid w:val="00E3472C"/>
    <w:rsid w:val="00E34814"/>
    <w:rsid w:val="00E3494D"/>
    <w:rsid w:val="00E34986"/>
    <w:rsid w:val="00E34BF8"/>
    <w:rsid w:val="00E34DB9"/>
    <w:rsid w:val="00E35360"/>
    <w:rsid w:val="00E35555"/>
    <w:rsid w:val="00E356D6"/>
    <w:rsid w:val="00E356DE"/>
    <w:rsid w:val="00E35FA2"/>
    <w:rsid w:val="00E360B2"/>
    <w:rsid w:val="00E36379"/>
    <w:rsid w:val="00E36886"/>
    <w:rsid w:val="00E36947"/>
    <w:rsid w:val="00E36992"/>
    <w:rsid w:val="00E36A4B"/>
    <w:rsid w:val="00E36BB3"/>
    <w:rsid w:val="00E36CED"/>
    <w:rsid w:val="00E36E85"/>
    <w:rsid w:val="00E371A5"/>
    <w:rsid w:val="00E37260"/>
    <w:rsid w:val="00E373CC"/>
    <w:rsid w:val="00E373F4"/>
    <w:rsid w:val="00E374E4"/>
    <w:rsid w:val="00E37A13"/>
    <w:rsid w:val="00E37BBC"/>
    <w:rsid w:val="00E40142"/>
    <w:rsid w:val="00E40161"/>
    <w:rsid w:val="00E40189"/>
    <w:rsid w:val="00E40509"/>
    <w:rsid w:val="00E405EA"/>
    <w:rsid w:val="00E40713"/>
    <w:rsid w:val="00E40B4B"/>
    <w:rsid w:val="00E40D9E"/>
    <w:rsid w:val="00E413CD"/>
    <w:rsid w:val="00E41558"/>
    <w:rsid w:val="00E41930"/>
    <w:rsid w:val="00E41DB8"/>
    <w:rsid w:val="00E41E33"/>
    <w:rsid w:val="00E4279C"/>
    <w:rsid w:val="00E4355A"/>
    <w:rsid w:val="00E43633"/>
    <w:rsid w:val="00E438E6"/>
    <w:rsid w:val="00E439C4"/>
    <w:rsid w:val="00E440BB"/>
    <w:rsid w:val="00E44449"/>
    <w:rsid w:val="00E447D6"/>
    <w:rsid w:val="00E44823"/>
    <w:rsid w:val="00E44A1E"/>
    <w:rsid w:val="00E44AC3"/>
    <w:rsid w:val="00E44BB0"/>
    <w:rsid w:val="00E44CEB"/>
    <w:rsid w:val="00E4544A"/>
    <w:rsid w:val="00E45757"/>
    <w:rsid w:val="00E457A6"/>
    <w:rsid w:val="00E45C98"/>
    <w:rsid w:val="00E45D35"/>
    <w:rsid w:val="00E45F99"/>
    <w:rsid w:val="00E46752"/>
    <w:rsid w:val="00E4680C"/>
    <w:rsid w:val="00E46BE8"/>
    <w:rsid w:val="00E472E2"/>
    <w:rsid w:val="00E47486"/>
    <w:rsid w:val="00E475B8"/>
    <w:rsid w:val="00E47A5B"/>
    <w:rsid w:val="00E47BD5"/>
    <w:rsid w:val="00E47D62"/>
    <w:rsid w:val="00E47E3D"/>
    <w:rsid w:val="00E50079"/>
    <w:rsid w:val="00E50337"/>
    <w:rsid w:val="00E503E4"/>
    <w:rsid w:val="00E507BE"/>
    <w:rsid w:val="00E5094D"/>
    <w:rsid w:val="00E50A44"/>
    <w:rsid w:val="00E50AF8"/>
    <w:rsid w:val="00E50CD2"/>
    <w:rsid w:val="00E50E8C"/>
    <w:rsid w:val="00E510C3"/>
    <w:rsid w:val="00E51133"/>
    <w:rsid w:val="00E51199"/>
    <w:rsid w:val="00E51417"/>
    <w:rsid w:val="00E5168D"/>
    <w:rsid w:val="00E5171F"/>
    <w:rsid w:val="00E5173A"/>
    <w:rsid w:val="00E5176F"/>
    <w:rsid w:val="00E51783"/>
    <w:rsid w:val="00E51A90"/>
    <w:rsid w:val="00E51D93"/>
    <w:rsid w:val="00E51E4E"/>
    <w:rsid w:val="00E51F6E"/>
    <w:rsid w:val="00E52220"/>
    <w:rsid w:val="00E524FD"/>
    <w:rsid w:val="00E52CA2"/>
    <w:rsid w:val="00E52D64"/>
    <w:rsid w:val="00E52EC6"/>
    <w:rsid w:val="00E52FD6"/>
    <w:rsid w:val="00E5323A"/>
    <w:rsid w:val="00E532BE"/>
    <w:rsid w:val="00E53482"/>
    <w:rsid w:val="00E539B5"/>
    <w:rsid w:val="00E53F07"/>
    <w:rsid w:val="00E53FDA"/>
    <w:rsid w:val="00E54024"/>
    <w:rsid w:val="00E5443A"/>
    <w:rsid w:val="00E54465"/>
    <w:rsid w:val="00E54B3E"/>
    <w:rsid w:val="00E54B73"/>
    <w:rsid w:val="00E54EAF"/>
    <w:rsid w:val="00E54FC2"/>
    <w:rsid w:val="00E55412"/>
    <w:rsid w:val="00E5552F"/>
    <w:rsid w:val="00E5564B"/>
    <w:rsid w:val="00E5565A"/>
    <w:rsid w:val="00E5579A"/>
    <w:rsid w:val="00E55821"/>
    <w:rsid w:val="00E558F8"/>
    <w:rsid w:val="00E55D73"/>
    <w:rsid w:val="00E55DCF"/>
    <w:rsid w:val="00E56174"/>
    <w:rsid w:val="00E5634A"/>
    <w:rsid w:val="00E565C6"/>
    <w:rsid w:val="00E567A5"/>
    <w:rsid w:val="00E56852"/>
    <w:rsid w:val="00E56938"/>
    <w:rsid w:val="00E56E8E"/>
    <w:rsid w:val="00E5735A"/>
    <w:rsid w:val="00E57B25"/>
    <w:rsid w:val="00E57D40"/>
    <w:rsid w:val="00E57E99"/>
    <w:rsid w:val="00E57FAF"/>
    <w:rsid w:val="00E604EF"/>
    <w:rsid w:val="00E606F5"/>
    <w:rsid w:val="00E607B8"/>
    <w:rsid w:val="00E609D2"/>
    <w:rsid w:val="00E60B14"/>
    <w:rsid w:val="00E60BB7"/>
    <w:rsid w:val="00E60CB4"/>
    <w:rsid w:val="00E60CEF"/>
    <w:rsid w:val="00E6102F"/>
    <w:rsid w:val="00E612AE"/>
    <w:rsid w:val="00E61915"/>
    <w:rsid w:val="00E61F51"/>
    <w:rsid w:val="00E6200A"/>
    <w:rsid w:val="00E62300"/>
    <w:rsid w:val="00E629EC"/>
    <w:rsid w:val="00E62BB5"/>
    <w:rsid w:val="00E63041"/>
    <w:rsid w:val="00E63115"/>
    <w:rsid w:val="00E63197"/>
    <w:rsid w:val="00E63239"/>
    <w:rsid w:val="00E63403"/>
    <w:rsid w:val="00E634FA"/>
    <w:rsid w:val="00E635B5"/>
    <w:rsid w:val="00E635F2"/>
    <w:rsid w:val="00E635F3"/>
    <w:rsid w:val="00E638EE"/>
    <w:rsid w:val="00E647C5"/>
    <w:rsid w:val="00E64981"/>
    <w:rsid w:val="00E649CE"/>
    <w:rsid w:val="00E64A12"/>
    <w:rsid w:val="00E64ECF"/>
    <w:rsid w:val="00E64ED8"/>
    <w:rsid w:val="00E652AA"/>
    <w:rsid w:val="00E65E8C"/>
    <w:rsid w:val="00E6614B"/>
    <w:rsid w:val="00E662B9"/>
    <w:rsid w:val="00E66400"/>
    <w:rsid w:val="00E664FA"/>
    <w:rsid w:val="00E6663C"/>
    <w:rsid w:val="00E6692C"/>
    <w:rsid w:val="00E66C71"/>
    <w:rsid w:val="00E66C91"/>
    <w:rsid w:val="00E66D7D"/>
    <w:rsid w:val="00E66F03"/>
    <w:rsid w:val="00E671AE"/>
    <w:rsid w:val="00E6721C"/>
    <w:rsid w:val="00E67A6D"/>
    <w:rsid w:val="00E67CC6"/>
    <w:rsid w:val="00E67D33"/>
    <w:rsid w:val="00E67E79"/>
    <w:rsid w:val="00E67FDC"/>
    <w:rsid w:val="00E7037E"/>
    <w:rsid w:val="00E705F1"/>
    <w:rsid w:val="00E705F5"/>
    <w:rsid w:val="00E7078A"/>
    <w:rsid w:val="00E70809"/>
    <w:rsid w:val="00E711E7"/>
    <w:rsid w:val="00E711FA"/>
    <w:rsid w:val="00E7136B"/>
    <w:rsid w:val="00E713A4"/>
    <w:rsid w:val="00E718A2"/>
    <w:rsid w:val="00E719FC"/>
    <w:rsid w:val="00E71B3B"/>
    <w:rsid w:val="00E7211B"/>
    <w:rsid w:val="00E723C3"/>
    <w:rsid w:val="00E72517"/>
    <w:rsid w:val="00E72683"/>
    <w:rsid w:val="00E726BB"/>
    <w:rsid w:val="00E72916"/>
    <w:rsid w:val="00E72D24"/>
    <w:rsid w:val="00E72D6E"/>
    <w:rsid w:val="00E72DA1"/>
    <w:rsid w:val="00E73199"/>
    <w:rsid w:val="00E7323D"/>
    <w:rsid w:val="00E733CC"/>
    <w:rsid w:val="00E736EC"/>
    <w:rsid w:val="00E73B9A"/>
    <w:rsid w:val="00E73D36"/>
    <w:rsid w:val="00E74013"/>
    <w:rsid w:val="00E743B5"/>
    <w:rsid w:val="00E74544"/>
    <w:rsid w:val="00E74AD1"/>
    <w:rsid w:val="00E74F56"/>
    <w:rsid w:val="00E75023"/>
    <w:rsid w:val="00E75098"/>
    <w:rsid w:val="00E75229"/>
    <w:rsid w:val="00E752C2"/>
    <w:rsid w:val="00E75593"/>
    <w:rsid w:val="00E756E2"/>
    <w:rsid w:val="00E75998"/>
    <w:rsid w:val="00E75C41"/>
    <w:rsid w:val="00E75D8E"/>
    <w:rsid w:val="00E76194"/>
    <w:rsid w:val="00E762CC"/>
    <w:rsid w:val="00E76686"/>
    <w:rsid w:val="00E7682B"/>
    <w:rsid w:val="00E768A5"/>
    <w:rsid w:val="00E7691D"/>
    <w:rsid w:val="00E76ACE"/>
    <w:rsid w:val="00E76BF5"/>
    <w:rsid w:val="00E76D70"/>
    <w:rsid w:val="00E76D7B"/>
    <w:rsid w:val="00E76D80"/>
    <w:rsid w:val="00E77301"/>
    <w:rsid w:val="00E774DC"/>
    <w:rsid w:val="00E77837"/>
    <w:rsid w:val="00E7798A"/>
    <w:rsid w:val="00E77999"/>
    <w:rsid w:val="00E77A0B"/>
    <w:rsid w:val="00E77D6F"/>
    <w:rsid w:val="00E80196"/>
    <w:rsid w:val="00E805E5"/>
    <w:rsid w:val="00E80878"/>
    <w:rsid w:val="00E8097E"/>
    <w:rsid w:val="00E8099A"/>
    <w:rsid w:val="00E80AD5"/>
    <w:rsid w:val="00E80C19"/>
    <w:rsid w:val="00E80EFE"/>
    <w:rsid w:val="00E80FC9"/>
    <w:rsid w:val="00E80FD8"/>
    <w:rsid w:val="00E810E9"/>
    <w:rsid w:val="00E8122A"/>
    <w:rsid w:val="00E81E1B"/>
    <w:rsid w:val="00E8236C"/>
    <w:rsid w:val="00E8257A"/>
    <w:rsid w:val="00E82740"/>
    <w:rsid w:val="00E8283E"/>
    <w:rsid w:val="00E82B91"/>
    <w:rsid w:val="00E82C7E"/>
    <w:rsid w:val="00E830C8"/>
    <w:rsid w:val="00E831EF"/>
    <w:rsid w:val="00E83515"/>
    <w:rsid w:val="00E83A0B"/>
    <w:rsid w:val="00E83A3D"/>
    <w:rsid w:val="00E83AE2"/>
    <w:rsid w:val="00E83D71"/>
    <w:rsid w:val="00E8417E"/>
    <w:rsid w:val="00E8431F"/>
    <w:rsid w:val="00E84CD5"/>
    <w:rsid w:val="00E84E9D"/>
    <w:rsid w:val="00E84F56"/>
    <w:rsid w:val="00E84F7A"/>
    <w:rsid w:val="00E84F92"/>
    <w:rsid w:val="00E8590D"/>
    <w:rsid w:val="00E85B70"/>
    <w:rsid w:val="00E85D12"/>
    <w:rsid w:val="00E85D48"/>
    <w:rsid w:val="00E86009"/>
    <w:rsid w:val="00E86298"/>
    <w:rsid w:val="00E865CF"/>
    <w:rsid w:val="00E86989"/>
    <w:rsid w:val="00E86CB5"/>
    <w:rsid w:val="00E86F7C"/>
    <w:rsid w:val="00E87082"/>
    <w:rsid w:val="00E877D7"/>
    <w:rsid w:val="00E879CA"/>
    <w:rsid w:val="00E87B26"/>
    <w:rsid w:val="00E87C39"/>
    <w:rsid w:val="00E87EAE"/>
    <w:rsid w:val="00E87FAF"/>
    <w:rsid w:val="00E87FE7"/>
    <w:rsid w:val="00E909A9"/>
    <w:rsid w:val="00E90AF3"/>
    <w:rsid w:val="00E90BDD"/>
    <w:rsid w:val="00E90CEA"/>
    <w:rsid w:val="00E912C2"/>
    <w:rsid w:val="00E914C9"/>
    <w:rsid w:val="00E9165C"/>
    <w:rsid w:val="00E91753"/>
    <w:rsid w:val="00E918A2"/>
    <w:rsid w:val="00E91B6C"/>
    <w:rsid w:val="00E91C43"/>
    <w:rsid w:val="00E91F83"/>
    <w:rsid w:val="00E91FF5"/>
    <w:rsid w:val="00E92195"/>
    <w:rsid w:val="00E92354"/>
    <w:rsid w:val="00E923A9"/>
    <w:rsid w:val="00E92626"/>
    <w:rsid w:val="00E9271F"/>
    <w:rsid w:val="00E9274A"/>
    <w:rsid w:val="00E92793"/>
    <w:rsid w:val="00E92884"/>
    <w:rsid w:val="00E928F7"/>
    <w:rsid w:val="00E92D0D"/>
    <w:rsid w:val="00E92D4C"/>
    <w:rsid w:val="00E9304D"/>
    <w:rsid w:val="00E93229"/>
    <w:rsid w:val="00E9375E"/>
    <w:rsid w:val="00E9393E"/>
    <w:rsid w:val="00E93993"/>
    <w:rsid w:val="00E93B92"/>
    <w:rsid w:val="00E93CFB"/>
    <w:rsid w:val="00E942C0"/>
    <w:rsid w:val="00E94362"/>
    <w:rsid w:val="00E945FE"/>
    <w:rsid w:val="00E94761"/>
    <w:rsid w:val="00E94C67"/>
    <w:rsid w:val="00E94D06"/>
    <w:rsid w:val="00E94D51"/>
    <w:rsid w:val="00E95551"/>
    <w:rsid w:val="00E9574D"/>
    <w:rsid w:val="00E9575F"/>
    <w:rsid w:val="00E95794"/>
    <w:rsid w:val="00E95A4C"/>
    <w:rsid w:val="00E95E09"/>
    <w:rsid w:val="00E95F4B"/>
    <w:rsid w:val="00E96854"/>
    <w:rsid w:val="00E96943"/>
    <w:rsid w:val="00E969BA"/>
    <w:rsid w:val="00E96C37"/>
    <w:rsid w:val="00E96FC1"/>
    <w:rsid w:val="00E97281"/>
    <w:rsid w:val="00E97498"/>
    <w:rsid w:val="00E977F8"/>
    <w:rsid w:val="00E97C55"/>
    <w:rsid w:val="00E97E29"/>
    <w:rsid w:val="00E97F35"/>
    <w:rsid w:val="00EA042D"/>
    <w:rsid w:val="00EA06CE"/>
    <w:rsid w:val="00EA08EF"/>
    <w:rsid w:val="00EA0D18"/>
    <w:rsid w:val="00EA0F51"/>
    <w:rsid w:val="00EA0F78"/>
    <w:rsid w:val="00EA1192"/>
    <w:rsid w:val="00EA11B5"/>
    <w:rsid w:val="00EA1871"/>
    <w:rsid w:val="00EA1AEA"/>
    <w:rsid w:val="00EA1D7B"/>
    <w:rsid w:val="00EA1F99"/>
    <w:rsid w:val="00EA287A"/>
    <w:rsid w:val="00EA29DD"/>
    <w:rsid w:val="00EA2EB1"/>
    <w:rsid w:val="00EA30E3"/>
    <w:rsid w:val="00EA380D"/>
    <w:rsid w:val="00EA3843"/>
    <w:rsid w:val="00EA38E1"/>
    <w:rsid w:val="00EA394C"/>
    <w:rsid w:val="00EA3AA6"/>
    <w:rsid w:val="00EA3FCE"/>
    <w:rsid w:val="00EA40EE"/>
    <w:rsid w:val="00EA4729"/>
    <w:rsid w:val="00EA484D"/>
    <w:rsid w:val="00EA4C50"/>
    <w:rsid w:val="00EA4EFA"/>
    <w:rsid w:val="00EA509F"/>
    <w:rsid w:val="00EA5192"/>
    <w:rsid w:val="00EA51B9"/>
    <w:rsid w:val="00EA52DE"/>
    <w:rsid w:val="00EA56DA"/>
    <w:rsid w:val="00EA5965"/>
    <w:rsid w:val="00EA5C90"/>
    <w:rsid w:val="00EA5E4F"/>
    <w:rsid w:val="00EA5FD1"/>
    <w:rsid w:val="00EA6131"/>
    <w:rsid w:val="00EA615C"/>
    <w:rsid w:val="00EA6371"/>
    <w:rsid w:val="00EA64A2"/>
    <w:rsid w:val="00EA6AB7"/>
    <w:rsid w:val="00EA6C4B"/>
    <w:rsid w:val="00EA6D10"/>
    <w:rsid w:val="00EA6DB6"/>
    <w:rsid w:val="00EA6FCE"/>
    <w:rsid w:val="00EA7121"/>
    <w:rsid w:val="00EA723C"/>
    <w:rsid w:val="00EA75B2"/>
    <w:rsid w:val="00EA7699"/>
    <w:rsid w:val="00EA76F1"/>
    <w:rsid w:val="00EA78B7"/>
    <w:rsid w:val="00EA7A75"/>
    <w:rsid w:val="00EA7AAF"/>
    <w:rsid w:val="00EA7CBD"/>
    <w:rsid w:val="00EA7F8D"/>
    <w:rsid w:val="00EB006A"/>
    <w:rsid w:val="00EB02C5"/>
    <w:rsid w:val="00EB031F"/>
    <w:rsid w:val="00EB0C83"/>
    <w:rsid w:val="00EB0D0F"/>
    <w:rsid w:val="00EB0D90"/>
    <w:rsid w:val="00EB102A"/>
    <w:rsid w:val="00EB10CD"/>
    <w:rsid w:val="00EB10D4"/>
    <w:rsid w:val="00EB12A9"/>
    <w:rsid w:val="00EB15A2"/>
    <w:rsid w:val="00EB15A8"/>
    <w:rsid w:val="00EB1AAA"/>
    <w:rsid w:val="00EB1AE8"/>
    <w:rsid w:val="00EB1E06"/>
    <w:rsid w:val="00EB232C"/>
    <w:rsid w:val="00EB2439"/>
    <w:rsid w:val="00EB26F0"/>
    <w:rsid w:val="00EB2979"/>
    <w:rsid w:val="00EB2BC2"/>
    <w:rsid w:val="00EB2C1D"/>
    <w:rsid w:val="00EB2C6D"/>
    <w:rsid w:val="00EB2D32"/>
    <w:rsid w:val="00EB2D4B"/>
    <w:rsid w:val="00EB30F2"/>
    <w:rsid w:val="00EB3425"/>
    <w:rsid w:val="00EB37FD"/>
    <w:rsid w:val="00EB39E2"/>
    <w:rsid w:val="00EB39F2"/>
    <w:rsid w:val="00EB3A01"/>
    <w:rsid w:val="00EB3B9D"/>
    <w:rsid w:val="00EB3E49"/>
    <w:rsid w:val="00EB3E6B"/>
    <w:rsid w:val="00EB3F60"/>
    <w:rsid w:val="00EB41AF"/>
    <w:rsid w:val="00EB4200"/>
    <w:rsid w:val="00EB444B"/>
    <w:rsid w:val="00EB44DC"/>
    <w:rsid w:val="00EB451A"/>
    <w:rsid w:val="00EB4715"/>
    <w:rsid w:val="00EB4750"/>
    <w:rsid w:val="00EB4BF6"/>
    <w:rsid w:val="00EB4C75"/>
    <w:rsid w:val="00EB4D4D"/>
    <w:rsid w:val="00EB5211"/>
    <w:rsid w:val="00EB57BC"/>
    <w:rsid w:val="00EB5C34"/>
    <w:rsid w:val="00EB5F47"/>
    <w:rsid w:val="00EB604A"/>
    <w:rsid w:val="00EB6075"/>
    <w:rsid w:val="00EB6DF5"/>
    <w:rsid w:val="00EB752D"/>
    <w:rsid w:val="00EB795D"/>
    <w:rsid w:val="00EB7E75"/>
    <w:rsid w:val="00EB7F61"/>
    <w:rsid w:val="00EC02C8"/>
    <w:rsid w:val="00EC030F"/>
    <w:rsid w:val="00EC040C"/>
    <w:rsid w:val="00EC0613"/>
    <w:rsid w:val="00EC07EF"/>
    <w:rsid w:val="00EC0CD0"/>
    <w:rsid w:val="00EC0F77"/>
    <w:rsid w:val="00EC1103"/>
    <w:rsid w:val="00EC127F"/>
    <w:rsid w:val="00EC1347"/>
    <w:rsid w:val="00EC1624"/>
    <w:rsid w:val="00EC1703"/>
    <w:rsid w:val="00EC1A9E"/>
    <w:rsid w:val="00EC1E02"/>
    <w:rsid w:val="00EC200D"/>
    <w:rsid w:val="00EC228D"/>
    <w:rsid w:val="00EC288F"/>
    <w:rsid w:val="00EC2AA2"/>
    <w:rsid w:val="00EC2DC9"/>
    <w:rsid w:val="00EC2FF9"/>
    <w:rsid w:val="00EC304D"/>
    <w:rsid w:val="00EC33A9"/>
    <w:rsid w:val="00EC33C0"/>
    <w:rsid w:val="00EC34B0"/>
    <w:rsid w:val="00EC3513"/>
    <w:rsid w:val="00EC3570"/>
    <w:rsid w:val="00EC38CD"/>
    <w:rsid w:val="00EC38DE"/>
    <w:rsid w:val="00EC394C"/>
    <w:rsid w:val="00EC3B28"/>
    <w:rsid w:val="00EC3B89"/>
    <w:rsid w:val="00EC3EC0"/>
    <w:rsid w:val="00EC3F38"/>
    <w:rsid w:val="00EC44B8"/>
    <w:rsid w:val="00EC4A36"/>
    <w:rsid w:val="00EC4A65"/>
    <w:rsid w:val="00EC5194"/>
    <w:rsid w:val="00EC53AB"/>
    <w:rsid w:val="00EC54B6"/>
    <w:rsid w:val="00EC558A"/>
    <w:rsid w:val="00EC594A"/>
    <w:rsid w:val="00EC5B6F"/>
    <w:rsid w:val="00EC6811"/>
    <w:rsid w:val="00EC68B0"/>
    <w:rsid w:val="00EC69F9"/>
    <w:rsid w:val="00EC6BF3"/>
    <w:rsid w:val="00EC6FA5"/>
    <w:rsid w:val="00EC7074"/>
    <w:rsid w:val="00EC7717"/>
    <w:rsid w:val="00EC77B2"/>
    <w:rsid w:val="00EC79C0"/>
    <w:rsid w:val="00EC7D82"/>
    <w:rsid w:val="00EC7EB9"/>
    <w:rsid w:val="00ED0159"/>
    <w:rsid w:val="00ED0348"/>
    <w:rsid w:val="00ED0545"/>
    <w:rsid w:val="00ED058A"/>
    <w:rsid w:val="00ED0659"/>
    <w:rsid w:val="00ED0729"/>
    <w:rsid w:val="00ED07A0"/>
    <w:rsid w:val="00ED0A13"/>
    <w:rsid w:val="00ED0C21"/>
    <w:rsid w:val="00ED0C42"/>
    <w:rsid w:val="00ED0C4B"/>
    <w:rsid w:val="00ED11C2"/>
    <w:rsid w:val="00ED14C5"/>
    <w:rsid w:val="00ED1789"/>
    <w:rsid w:val="00ED1A69"/>
    <w:rsid w:val="00ED1CF2"/>
    <w:rsid w:val="00ED241E"/>
    <w:rsid w:val="00ED2AE9"/>
    <w:rsid w:val="00ED2EFB"/>
    <w:rsid w:val="00ED365C"/>
    <w:rsid w:val="00ED365D"/>
    <w:rsid w:val="00ED3AB5"/>
    <w:rsid w:val="00ED449C"/>
    <w:rsid w:val="00ED44A6"/>
    <w:rsid w:val="00ED4727"/>
    <w:rsid w:val="00ED4BAD"/>
    <w:rsid w:val="00ED4C92"/>
    <w:rsid w:val="00ED4CF2"/>
    <w:rsid w:val="00ED4E66"/>
    <w:rsid w:val="00ED4F64"/>
    <w:rsid w:val="00ED51CF"/>
    <w:rsid w:val="00ED524F"/>
    <w:rsid w:val="00ED52EA"/>
    <w:rsid w:val="00ED56BC"/>
    <w:rsid w:val="00ED5788"/>
    <w:rsid w:val="00ED5D2B"/>
    <w:rsid w:val="00ED6188"/>
    <w:rsid w:val="00ED61B4"/>
    <w:rsid w:val="00ED66B6"/>
    <w:rsid w:val="00ED66C5"/>
    <w:rsid w:val="00ED6969"/>
    <w:rsid w:val="00ED6A85"/>
    <w:rsid w:val="00ED6B23"/>
    <w:rsid w:val="00ED6D58"/>
    <w:rsid w:val="00ED6FC9"/>
    <w:rsid w:val="00ED73BD"/>
    <w:rsid w:val="00ED73DC"/>
    <w:rsid w:val="00ED7785"/>
    <w:rsid w:val="00ED7818"/>
    <w:rsid w:val="00ED785C"/>
    <w:rsid w:val="00ED79D7"/>
    <w:rsid w:val="00ED7D75"/>
    <w:rsid w:val="00ED7E2E"/>
    <w:rsid w:val="00ED7FA6"/>
    <w:rsid w:val="00EE029E"/>
    <w:rsid w:val="00EE0670"/>
    <w:rsid w:val="00EE0A01"/>
    <w:rsid w:val="00EE0A03"/>
    <w:rsid w:val="00EE0A93"/>
    <w:rsid w:val="00EE0C98"/>
    <w:rsid w:val="00EE0CCD"/>
    <w:rsid w:val="00EE0D78"/>
    <w:rsid w:val="00EE0F4E"/>
    <w:rsid w:val="00EE0FB5"/>
    <w:rsid w:val="00EE0FCC"/>
    <w:rsid w:val="00EE13D9"/>
    <w:rsid w:val="00EE1616"/>
    <w:rsid w:val="00EE1900"/>
    <w:rsid w:val="00EE1901"/>
    <w:rsid w:val="00EE1AFB"/>
    <w:rsid w:val="00EE1BA7"/>
    <w:rsid w:val="00EE2025"/>
    <w:rsid w:val="00EE2212"/>
    <w:rsid w:val="00EE241F"/>
    <w:rsid w:val="00EE246C"/>
    <w:rsid w:val="00EE24A0"/>
    <w:rsid w:val="00EE28CA"/>
    <w:rsid w:val="00EE2B66"/>
    <w:rsid w:val="00EE2C1D"/>
    <w:rsid w:val="00EE3049"/>
    <w:rsid w:val="00EE32B7"/>
    <w:rsid w:val="00EE3560"/>
    <w:rsid w:val="00EE36C8"/>
    <w:rsid w:val="00EE3A4E"/>
    <w:rsid w:val="00EE3AE2"/>
    <w:rsid w:val="00EE3BD1"/>
    <w:rsid w:val="00EE3C73"/>
    <w:rsid w:val="00EE3F30"/>
    <w:rsid w:val="00EE4027"/>
    <w:rsid w:val="00EE42B4"/>
    <w:rsid w:val="00EE42B5"/>
    <w:rsid w:val="00EE43E2"/>
    <w:rsid w:val="00EE45AE"/>
    <w:rsid w:val="00EE45D1"/>
    <w:rsid w:val="00EE48FD"/>
    <w:rsid w:val="00EE49DD"/>
    <w:rsid w:val="00EE4C5A"/>
    <w:rsid w:val="00EE50A5"/>
    <w:rsid w:val="00EE51E6"/>
    <w:rsid w:val="00EE51F0"/>
    <w:rsid w:val="00EE5653"/>
    <w:rsid w:val="00EE5A0F"/>
    <w:rsid w:val="00EE5BDD"/>
    <w:rsid w:val="00EE5D51"/>
    <w:rsid w:val="00EE5F0C"/>
    <w:rsid w:val="00EE605A"/>
    <w:rsid w:val="00EE6294"/>
    <w:rsid w:val="00EE634C"/>
    <w:rsid w:val="00EE65B4"/>
    <w:rsid w:val="00EE6736"/>
    <w:rsid w:val="00EE67CF"/>
    <w:rsid w:val="00EE69D1"/>
    <w:rsid w:val="00EE6B2D"/>
    <w:rsid w:val="00EE6B31"/>
    <w:rsid w:val="00EE6D71"/>
    <w:rsid w:val="00EE6DE0"/>
    <w:rsid w:val="00EE70DF"/>
    <w:rsid w:val="00EE76D6"/>
    <w:rsid w:val="00EE7881"/>
    <w:rsid w:val="00EE7AA9"/>
    <w:rsid w:val="00EE7AE4"/>
    <w:rsid w:val="00EF01E5"/>
    <w:rsid w:val="00EF0A89"/>
    <w:rsid w:val="00EF0EBD"/>
    <w:rsid w:val="00EF0FF7"/>
    <w:rsid w:val="00EF10C5"/>
    <w:rsid w:val="00EF14F3"/>
    <w:rsid w:val="00EF1E9D"/>
    <w:rsid w:val="00EF229E"/>
    <w:rsid w:val="00EF25F3"/>
    <w:rsid w:val="00EF2AEC"/>
    <w:rsid w:val="00EF2B2E"/>
    <w:rsid w:val="00EF2CB4"/>
    <w:rsid w:val="00EF2DB3"/>
    <w:rsid w:val="00EF30FA"/>
    <w:rsid w:val="00EF3567"/>
    <w:rsid w:val="00EF35BF"/>
    <w:rsid w:val="00EF3862"/>
    <w:rsid w:val="00EF3BFC"/>
    <w:rsid w:val="00EF3CFD"/>
    <w:rsid w:val="00EF3D2A"/>
    <w:rsid w:val="00EF3D79"/>
    <w:rsid w:val="00EF3DA6"/>
    <w:rsid w:val="00EF405F"/>
    <w:rsid w:val="00EF4274"/>
    <w:rsid w:val="00EF435D"/>
    <w:rsid w:val="00EF46A6"/>
    <w:rsid w:val="00EF4970"/>
    <w:rsid w:val="00EF4B02"/>
    <w:rsid w:val="00EF54AC"/>
    <w:rsid w:val="00EF5B1C"/>
    <w:rsid w:val="00EF5CAC"/>
    <w:rsid w:val="00EF5D35"/>
    <w:rsid w:val="00EF63C4"/>
    <w:rsid w:val="00EF64E4"/>
    <w:rsid w:val="00EF6562"/>
    <w:rsid w:val="00EF67B3"/>
    <w:rsid w:val="00EF6895"/>
    <w:rsid w:val="00EF6D87"/>
    <w:rsid w:val="00EF70EC"/>
    <w:rsid w:val="00EF7241"/>
    <w:rsid w:val="00EF7581"/>
    <w:rsid w:val="00EF7963"/>
    <w:rsid w:val="00EF7A69"/>
    <w:rsid w:val="00EF7BFF"/>
    <w:rsid w:val="00EF7DF7"/>
    <w:rsid w:val="00F000D1"/>
    <w:rsid w:val="00F003FF"/>
    <w:rsid w:val="00F00563"/>
    <w:rsid w:val="00F00874"/>
    <w:rsid w:val="00F008EB"/>
    <w:rsid w:val="00F00920"/>
    <w:rsid w:val="00F00C1D"/>
    <w:rsid w:val="00F00C1E"/>
    <w:rsid w:val="00F00E1D"/>
    <w:rsid w:val="00F00E3A"/>
    <w:rsid w:val="00F00FA0"/>
    <w:rsid w:val="00F00FFE"/>
    <w:rsid w:val="00F010EF"/>
    <w:rsid w:val="00F01188"/>
    <w:rsid w:val="00F011F5"/>
    <w:rsid w:val="00F01207"/>
    <w:rsid w:val="00F0127F"/>
    <w:rsid w:val="00F01B5C"/>
    <w:rsid w:val="00F02179"/>
    <w:rsid w:val="00F02398"/>
    <w:rsid w:val="00F0250F"/>
    <w:rsid w:val="00F02553"/>
    <w:rsid w:val="00F02656"/>
    <w:rsid w:val="00F0297C"/>
    <w:rsid w:val="00F02A2C"/>
    <w:rsid w:val="00F02D74"/>
    <w:rsid w:val="00F02E40"/>
    <w:rsid w:val="00F02F55"/>
    <w:rsid w:val="00F031E0"/>
    <w:rsid w:val="00F032EC"/>
    <w:rsid w:val="00F0341F"/>
    <w:rsid w:val="00F03429"/>
    <w:rsid w:val="00F03593"/>
    <w:rsid w:val="00F03B79"/>
    <w:rsid w:val="00F04415"/>
    <w:rsid w:val="00F0454F"/>
    <w:rsid w:val="00F0494F"/>
    <w:rsid w:val="00F04DCE"/>
    <w:rsid w:val="00F0501B"/>
    <w:rsid w:val="00F05106"/>
    <w:rsid w:val="00F0521E"/>
    <w:rsid w:val="00F0546C"/>
    <w:rsid w:val="00F05500"/>
    <w:rsid w:val="00F05687"/>
    <w:rsid w:val="00F0574D"/>
    <w:rsid w:val="00F05774"/>
    <w:rsid w:val="00F05B22"/>
    <w:rsid w:val="00F05BD9"/>
    <w:rsid w:val="00F05E64"/>
    <w:rsid w:val="00F06909"/>
    <w:rsid w:val="00F0690A"/>
    <w:rsid w:val="00F06A1F"/>
    <w:rsid w:val="00F07045"/>
    <w:rsid w:val="00F0709F"/>
    <w:rsid w:val="00F07390"/>
    <w:rsid w:val="00F073BF"/>
    <w:rsid w:val="00F07CD5"/>
    <w:rsid w:val="00F07D4A"/>
    <w:rsid w:val="00F07DD6"/>
    <w:rsid w:val="00F07EE4"/>
    <w:rsid w:val="00F07F60"/>
    <w:rsid w:val="00F10445"/>
    <w:rsid w:val="00F1063B"/>
    <w:rsid w:val="00F10803"/>
    <w:rsid w:val="00F10B76"/>
    <w:rsid w:val="00F10DE7"/>
    <w:rsid w:val="00F10E2D"/>
    <w:rsid w:val="00F11173"/>
    <w:rsid w:val="00F11403"/>
    <w:rsid w:val="00F1158F"/>
    <w:rsid w:val="00F115D0"/>
    <w:rsid w:val="00F11618"/>
    <w:rsid w:val="00F116D8"/>
    <w:rsid w:val="00F117AB"/>
    <w:rsid w:val="00F117C6"/>
    <w:rsid w:val="00F11CD5"/>
    <w:rsid w:val="00F11E71"/>
    <w:rsid w:val="00F11F0F"/>
    <w:rsid w:val="00F1294A"/>
    <w:rsid w:val="00F13195"/>
    <w:rsid w:val="00F13426"/>
    <w:rsid w:val="00F136E9"/>
    <w:rsid w:val="00F1385F"/>
    <w:rsid w:val="00F139F2"/>
    <w:rsid w:val="00F13A01"/>
    <w:rsid w:val="00F14028"/>
    <w:rsid w:val="00F14240"/>
    <w:rsid w:val="00F1443D"/>
    <w:rsid w:val="00F14590"/>
    <w:rsid w:val="00F145B2"/>
    <w:rsid w:val="00F1491C"/>
    <w:rsid w:val="00F1499E"/>
    <w:rsid w:val="00F14B28"/>
    <w:rsid w:val="00F14D60"/>
    <w:rsid w:val="00F14E73"/>
    <w:rsid w:val="00F14F41"/>
    <w:rsid w:val="00F15192"/>
    <w:rsid w:val="00F1531B"/>
    <w:rsid w:val="00F15633"/>
    <w:rsid w:val="00F15928"/>
    <w:rsid w:val="00F15AA3"/>
    <w:rsid w:val="00F15AB5"/>
    <w:rsid w:val="00F15C76"/>
    <w:rsid w:val="00F15CA8"/>
    <w:rsid w:val="00F15CCD"/>
    <w:rsid w:val="00F15E29"/>
    <w:rsid w:val="00F16269"/>
    <w:rsid w:val="00F1626E"/>
    <w:rsid w:val="00F168D0"/>
    <w:rsid w:val="00F17289"/>
    <w:rsid w:val="00F172B4"/>
    <w:rsid w:val="00F172B8"/>
    <w:rsid w:val="00F17512"/>
    <w:rsid w:val="00F17BF4"/>
    <w:rsid w:val="00F17ECD"/>
    <w:rsid w:val="00F201F8"/>
    <w:rsid w:val="00F202C4"/>
    <w:rsid w:val="00F2047A"/>
    <w:rsid w:val="00F2056F"/>
    <w:rsid w:val="00F2062A"/>
    <w:rsid w:val="00F207EC"/>
    <w:rsid w:val="00F20AF4"/>
    <w:rsid w:val="00F20BB3"/>
    <w:rsid w:val="00F20BCF"/>
    <w:rsid w:val="00F20EA7"/>
    <w:rsid w:val="00F211BA"/>
    <w:rsid w:val="00F21212"/>
    <w:rsid w:val="00F213FC"/>
    <w:rsid w:val="00F21852"/>
    <w:rsid w:val="00F21918"/>
    <w:rsid w:val="00F22379"/>
    <w:rsid w:val="00F2267B"/>
    <w:rsid w:val="00F2267F"/>
    <w:rsid w:val="00F226BA"/>
    <w:rsid w:val="00F22953"/>
    <w:rsid w:val="00F22BC7"/>
    <w:rsid w:val="00F22BF9"/>
    <w:rsid w:val="00F22D02"/>
    <w:rsid w:val="00F22E1A"/>
    <w:rsid w:val="00F22F62"/>
    <w:rsid w:val="00F2343A"/>
    <w:rsid w:val="00F235D8"/>
    <w:rsid w:val="00F237C3"/>
    <w:rsid w:val="00F237FE"/>
    <w:rsid w:val="00F23814"/>
    <w:rsid w:val="00F23A35"/>
    <w:rsid w:val="00F23AD4"/>
    <w:rsid w:val="00F23B85"/>
    <w:rsid w:val="00F2416C"/>
    <w:rsid w:val="00F2421E"/>
    <w:rsid w:val="00F242F9"/>
    <w:rsid w:val="00F24320"/>
    <w:rsid w:val="00F24461"/>
    <w:rsid w:val="00F24816"/>
    <w:rsid w:val="00F248B5"/>
    <w:rsid w:val="00F2494E"/>
    <w:rsid w:val="00F24F13"/>
    <w:rsid w:val="00F25644"/>
    <w:rsid w:val="00F25669"/>
    <w:rsid w:val="00F25878"/>
    <w:rsid w:val="00F25D21"/>
    <w:rsid w:val="00F25D5E"/>
    <w:rsid w:val="00F2638D"/>
    <w:rsid w:val="00F263F8"/>
    <w:rsid w:val="00F26529"/>
    <w:rsid w:val="00F26A50"/>
    <w:rsid w:val="00F26B73"/>
    <w:rsid w:val="00F26C82"/>
    <w:rsid w:val="00F26CC2"/>
    <w:rsid w:val="00F26F7F"/>
    <w:rsid w:val="00F27358"/>
    <w:rsid w:val="00F3001C"/>
    <w:rsid w:val="00F305C7"/>
    <w:rsid w:val="00F30A3C"/>
    <w:rsid w:val="00F30B7B"/>
    <w:rsid w:val="00F30C7B"/>
    <w:rsid w:val="00F30F22"/>
    <w:rsid w:val="00F30FD5"/>
    <w:rsid w:val="00F30FFD"/>
    <w:rsid w:val="00F31109"/>
    <w:rsid w:val="00F3153B"/>
    <w:rsid w:val="00F3156C"/>
    <w:rsid w:val="00F31954"/>
    <w:rsid w:val="00F31E35"/>
    <w:rsid w:val="00F31FC2"/>
    <w:rsid w:val="00F320E6"/>
    <w:rsid w:val="00F3226F"/>
    <w:rsid w:val="00F3245F"/>
    <w:rsid w:val="00F32679"/>
    <w:rsid w:val="00F329E7"/>
    <w:rsid w:val="00F32A33"/>
    <w:rsid w:val="00F32AF3"/>
    <w:rsid w:val="00F32C2A"/>
    <w:rsid w:val="00F3375B"/>
    <w:rsid w:val="00F338CE"/>
    <w:rsid w:val="00F33B5F"/>
    <w:rsid w:val="00F34120"/>
    <w:rsid w:val="00F3438D"/>
    <w:rsid w:val="00F3446A"/>
    <w:rsid w:val="00F348FB"/>
    <w:rsid w:val="00F34F26"/>
    <w:rsid w:val="00F3519C"/>
    <w:rsid w:val="00F354D9"/>
    <w:rsid w:val="00F35736"/>
    <w:rsid w:val="00F3573F"/>
    <w:rsid w:val="00F3575F"/>
    <w:rsid w:val="00F357B0"/>
    <w:rsid w:val="00F3616B"/>
    <w:rsid w:val="00F3616F"/>
    <w:rsid w:val="00F365D9"/>
    <w:rsid w:val="00F36604"/>
    <w:rsid w:val="00F366E7"/>
    <w:rsid w:val="00F36828"/>
    <w:rsid w:val="00F36D12"/>
    <w:rsid w:val="00F36D2C"/>
    <w:rsid w:val="00F36F8B"/>
    <w:rsid w:val="00F3760D"/>
    <w:rsid w:val="00F376CD"/>
    <w:rsid w:val="00F37717"/>
    <w:rsid w:val="00F37784"/>
    <w:rsid w:val="00F37841"/>
    <w:rsid w:val="00F37A55"/>
    <w:rsid w:val="00F40316"/>
    <w:rsid w:val="00F4032E"/>
    <w:rsid w:val="00F404DF"/>
    <w:rsid w:val="00F407E6"/>
    <w:rsid w:val="00F40AF3"/>
    <w:rsid w:val="00F40BFF"/>
    <w:rsid w:val="00F40D84"/>
    <w:rsid w:val="00F411CE"/>
    <w:rsid w:val="00F41350"/>
    <w:rsid w:val="00F414F1"/>
    <w:rsid w:val="00F41519"/>
    <w:rsid w:val="00F41531"/>
    <w:rsid w:val="00F418C7"/>
    <w:rsid w:val="00F418D8"/>
    <w:rsid w:val="00F41972"/>
    <w:rsid w:val="00F41AC9"/>
    <w:rsid w:val="00F41D2E"/>
    <w:rsid w:val="00F41D8E"/>
    <w:rsid w:val="00F420E4"/>
    <w:rsid w:val="00F4287B"/>
    <w:rsid w:val="00F42BCF"/>
    <w:rsid w:val="00F42BE7"/>
    <w:rsid w:val="00F430A9"/>
    <w:rsid w:val="00F433AB"/>
    <w:rsid w:val="00F438ED"/>
    <w:rsid w:val="00F43D93"/>
    <w:rsid w:val="00F43FA7"/>
    <w:rsid w:val="00F440D3"/>
    <w:rsid w:val="00F44542"/>
    <w:rsid w:val="00F44927"/>
    <w:rsid w:val="00F452CA"/>
    <w:rsid w:val="00F459EB"/>
    <w:rsid w:val="00F45C21"/>
    <w:rsid w:val="00F45E5E"/>
    <w:rsid w:val="00F461E2"/>
    <w:rsid w:val="00F46329"/>
    <w:rsid w:val="00F4636B"/>
    <w:rsid w:val="00F466F1"/>
    <w:rsid w:val="00F4675C"/>
    <w:rsid w:val="00F46969"/>
    <w:rsid w:val="00F46BAC"/>
    <w:rsid w:val="00F46EC4"/>
    <w:rsid w:val="00F47049"/>
    <w:rsid w:val="00F4704D"/>
    <w:rsid w:val="00F472F7"/>
    <w:rsid w:val="00F47833"/>
    <w:rsid w:val="00F50069"/>
    <w:rsid w:val="00F5090B"/>
    <w:rsid w:val="00F50B48"/>
    <w:rsid w:val="00F50BD1"/>
    <w:rsid w:val="00F50CC7"/>
    <w:rsid w:val="00F50F97"/>
    <w:rsid w:val="00F5129C"/>
    <w:rsid w:val="00F5158C"/>
    <w:rsid w:val="00F5176B"/>
    <w:rsid w:val="00F518E5"/>
    <w:rsid w:val="00F519BA"/>
    <w:rsid w:val="00F51F21"/>
    <w:rsid w:val="00F51FD1"/>
    <w:rsid w:val="00F51FF3"/>
    <w:rsid w:val="00F524A2"/>
    <w:rsid w:val="00F5257A"/>
    <w:rsid w:val="00F52773"/>
    <w:rsid w:val="00F52AD5"/>
    <w:rsid w:val="00F52BEA"/>
    <w:rsid w:val="00F52D39"/>
    <w:rsid w:val="00F52E9B"/>
    <w:rsid w:val="00F53071"/>
    <w:rsid w:val="00F5331A"/>
    <w:rsid w:val="00F53412"/>
    <w:rsid w:val="00F53483"/>
    <w:rsid w:val="00F534D4"/>
    <w:rsid w:val="00F53A7F"/>
    <w:rsid w:val="00F53BA7"/>
    <w:rsid w:val="00F53E2C"/>
    <w:rsid w:val="00F53FF1"/>
    <w:rsid w:val="00F54168"/>
    <w:rsid w:val="00F5456B"/>
    <w:rsid w:val="00F545E0"/>
    <w:rsid w:val="00F546A7"/>
    <w:rsid w:val="00F54745"/>
    <w:rsid w:val="00F54873"/>
    <w:rsid w:val="00F54BA6"/>
    <w:rsid w:val="00F54D8D"/>
    <w:rsid w:val="00F54DEA"/>
    <w:rsid w:val="00F54E76"/>
    <w:rsid w:val="00F5540B"/>
    <w:rsid w:val="00F5575D"/>
    <w:rsid w:val="00F55934"/>
    <w:rsid w:val="00F55A16"/>
    <w:rsid w:val="00F55CEF"/>
    <w:rsid w:val="00F55E5C"/>
    <w:rsid w:val="00F55FA4"/>
    <w:rsid w:val="00F56617"/>
    <w:rsid w:val="00F5682F"/>
    <w:rsid w:val="00F56A1A"/>
    <w:rsid w:val="00F56ABA"/>
    <w:rsid w:val="00F56CE9"/>
    <w:rsid w:val="00F57076"/>
    <w:rsid w:val="00F5728A"/>
    <w:rsid w:val="00F5744C"/>
    <w:rsid w:val="00F5747C"/>
    <w:rsid w:val="00F57583"/>
    <w:rsid w:val="00F5767F"/>
    <w:rsid w:val="00F60000"/>
    <w:rsid w:val="00F606C1"/>
    <w:rsid w:val="00F606F7"/>
    <w:rsid w:val="00F60C23"/>
    <w:rsid w:val="00F60C4A"/>
    <w:rsid w:val="00F60F87"/>
    <w:rsid w:val="00F611FC"/>
    <w:rsid w:val="00F61237"/>
    <w:rsid w:val="00F6138D"/>
    <w:rsid w:val="00F6139F"/>
    <w:rsid w:val="00F615AE"/>
    <w:rsid w:val="00F6174F"/>
    <w:rsid w:val="00F61839"/>
    <w:rsid w:val="00F61ACB"/>
    <w:rsid w:val="00F61B3C"/>
    <w:rsid w:val="00F61C9C"/>
    <w:rsid w:val="00F61D4A"/>
    <w:rsid w:val="00F61DE1"/>
    <w:rsid w:val="00F61ECB"/>
    <w:rsid w:val="00F61F20"/>
    <w:rsid w:val="00F61FC2"/>
    <w:rsid w:val="00F620F8"/>
    <w:rsid w:val="00F627B0"/>
    <w:rsid w:val="00F627C7"/>
    <w:rsid w:val="00F628AD"/>
    <w:rsid w:val="00F62A67"/>
    <w:rsid w:val="00F62AC9"/>
    <w:rsid w:val="00F62CDD"/>
    <w:rsid w:val="00F62F43"/>
    <w:rsid w:val="00F6303F"/>
    <w:rsid w:val="00F63055"/>
    <w:rsid w:val="00F630F0"/>
    <w:rsid w:val="00F6313E"/>
    <w:rsid w:val="00F632D9"/>
    <w:rsid w:val="00F6385B"/>
    <w:rsid w:val="00F63A68"/>
    <w:rsid w:val="00F63AB2"/>
    <w:rsid w:val="00F63B15"/>
    <w:rsid w:val="00F63E4E"/>
    <w:rsid w:val="00F63E77"/>
    <w:rsid w:val="00F63F84"/>
    <w:rsid w:val="00F64012"/>
    <w:rsid w:val="00F644FE"/>
    <w:rsid w:val="00F646BA"/>
    <w:rsid w:val="00F64820"/>
    <w:rsid w:val="00F64C87"/>
    <w:rsid w:val="00F65037"/>
    <w:rsid w:val="00F650D1"/>
    <w:rsid w:val="00F65354"/>
    <w:rsid w:val="00F65CF5"/>
    <w:rsid w:val="00F66506"/>
    <w:rsid w:val="00F66593"/>
    <w:rsid w:val="00F665C6"/>
    <w:rsid w:val="00F667C2"/>
    <w:rsid w:val="00F66F33"/>
    <w:rsid w:val="00F6724E"/>
    <w:rsid w:val="00F672E7"/>
    <w:rsid w:val="00F672FD"/>
    <w:rsid w:val="00F675BA"/>
    <w:rsid w:val="00F67651"/>
    <w:rsid w:val="00F67670"/>
    <w:rsid w:val="00F70001"/>
    <w:rsid w:val="00F70043"/>
    <w:rsid w:val="00F70291"/>
    <w:rsid w:val="00F7062C"/>
    <w:rsid w:val="00F70973"/>
    <w:rsid w:val="00F70C9D"/>
    <w:rsid w:val="00F70D17"/>
    <w:rsid w:val="00F70DD1"/>
    <w:rsid w:val="00F70EEA"/>
    <w:rsid w:val="00F70F26"/>
    <w:rsid w:val="00F71250"/>
    <w:rsid w:val="00F714E0"/>
    <w:rsid w:val="00F71587"/>
    <w:rsid w:val="00F71776"/>
    <w:rsid w:val="00F720D6"/>
    <w:rsid w:val="00F72254"/>
    <w:rsid w:val="00F722DE"/>
    <w:rsid w:val="00F72416"/>
    <w:rsid w:val="00F72465"/>
    <w:rsid w:val="00F7275D"/>
    <w:rsid w:val="00F72CFD"/>
    <w:rsid w:val="00F72E47"/>
    <w:rsid w:val="00F72F15"/>
    <w:rsid w:val="00F7319D"/>
    <w:rsid w:val="00F73D19"/>
    <w:rsid w:val="00F7455B"/>
    <w:rsid w:val="00F74642"/>
    <w:rsid w:val="00F75112"/>
    <w:rsid w:val="00F757D0"/>
    <w:rsid w:val="00F75869"/>
    <w:rsid w:val="00F7587C"/>
    <w:rsid w:val="00F75C01"/>
    <w:rsid w:val="00F75C78"/>
    <w:rsid w:val="00F76185"/>
    <w:rsid w:val="00F763D7"/>
    <w:rsid w:val="00F7674F"/>
    <w:rsid w:val="00F768CC"/>
    <w:rsid w:val="00F76A34"/>
    <w:rsid w:val="00F77795"/>
    <w:rsid w:val="00F77B73"/>
    <w:rsid w:val="00F77F29"/>
    <w:rsid w:val="00F77FC4"/>
    <w:rsid w:val="00F80843"/>
    <w:rsid w:val="00F80C63"/>
    <w:rsid w:val="00F80D8C"/>
    <w:rsid w:val="00F80DBB"/>
    <w:rsid w:val="00F80F76"/>
    <w:rsid w:val="00F814B0"/>
    <w:rsid w:val="00F814EE"/>
    <w:rsid w:val="00F8156E"/>
    <w:rsid w:val="00F8165D"/>
    <w:rsid w:val="00F81964"/>
    <w:rsid w:val="00F81B01"/>
    <w:rsid w:val="00F81B46"/>
    <w:rsid w:val="00F8281F"/>
    <w:rsid w:val="00F82B78"/>
    <w:rsid w:val="00F82CB9"/>
    <w:rsid w:val="00F82D59"/>
    <w:rsid w:val="00F82F45"/>
    <w:rsid w:val="00F82F97"/>
    <w:rsid w:val="00F8326E"/>
    <w:rsid w:val="00F834F3"/>
    <w:rsid w:val="00F836D4"/>
    <w:rsid w:val="00F83A8D"/>
    <w:rsid w:val="00F83B31"/>
    <w:rsid w:val="00F83DFD"/>
    <w:rsid w:val="00F83E7F"/>
    <w:rsid w:val="00F83F46"/>
    <w:rsid w:val="00F8482C"/>
    <w:rsid w:val="00F84FEF"/>
    <w:rsid w:val="00F85834"/>
    <w:rsid w:val="00F85A5A"/>
    <w:rsid w:val="00F85BB7"/>
    <w:rsid w:val="00F85E5B"/>
    <w:rsid w:val="00F86043"/>
    <w:rsid w:val="00F8670E"/>
    <w:rsid w:val="00F867C0"/>
    <w:rsid w:val="00F86EFA"/>
    <w:rsid w:val="00F8716A"/>
    <w:rsid w:val="00F87D3A"/>
    <w:rsid w:val="00F87DCB"/>
    <w:rsid w:val="00F90193"/>
    <w:rsid w:val="00F902B4"/>
    <w:rsid w:val="00F902D1"/>
    <w:rsid w:val="00F907A1"/>
    <w:rsid w:val="00F9080F"/>
    <w:rsid w:val="00F90A2E"/>
    <w:rsid w:val="00F90AA5"/>
    <w:rsid w:val="00F90DCC"/>
    <w:rsid w:val="00F90EF6"/>
    <w:rsid w:val="00F91313"/>
    <w:rsid w:val="00F916F1"/>
    <w:rsid w:val="00F916FB"/>
    <w:rsid w:val="00F918D3"/>
    <w:rsid w:val="00F918E6"/>
    <w:rsid w:val="00F919C9"/>
    <w:rsid w:val="00F91B1D"/>
    <w:rsid w:val="00F91C03"/>
    <w:rsid w:val="00F91C04"/>
    <w:rsid w:val="00F91DEC"/>
    <w:rsid w:val="00F91EC9"/>
    <w:rsid w:val="00F91FAA"/>
    <w:rsid w:val="00F9214C"/>
    <w:rsid w:val="00F9242B"/>
    <w:rsid w:val="00F92A1F"/>
    <w:rsid w:val="00F92BF7"/>
    <w:rsid w:val="00F92DCF"/>
    <w:rsid w:val="00F92DDF"/>
    <w:rsid w:val="00F932AB"/>
    <w:rsid w:val="00F93C49"/>
    <w:rsid w:val="00F93D7D"/>
    <w:rsid w:val="00F93FCC"/>
    <w:rsid w:val="00F94049"/>
    <w:rsid w:val="00F941F2"/>
    <w:rsid w:val="00F942CD"/>
    <w:rsid w:val="00F94BE9"/>
    <w:rsid w:val="00F94E2A"/>
    <w:rsid w:val="00F94E8F"/>
    <w:rsid w:val="00F94FCB"/>
    <w:rsid w:val="00F9547C"/>
    <w:rsid w:val="00F955DA"/>
    <w:rsid w:val="00F95BBB"/>
    <w:rsid w:val="00F95BFC"/>
    <w:rsid w:val="00F95F0D"/>
    <w:rsid w:val="00F95F45"/>
    <w:rsid w:val="00F96050"/>
    <w:rsid w:val="00F960CC"/>
    <w:rsid w:val="00F9642D"/>
    <w:rsid w:val="00F965B9"/>
    <w:rsid w:val="00F9666F"/>
    <w:rsid w:val="00F96A18"/>
    <w:rsid w:val="00F970C0"/>
    <w:rsid w:val="00F97255"/>
    <w:rsid w:val="00F975A0"/>
    <w:rsid w:val="00F97866"/>
    <w:rsid w:val="00F978FC"/>
    <w:rsid w:val="00F97C89"/>
    <w:rsid w:val="00F97E09"/>
    <w:rsid w:val="00F97E4F"/>
    <w:rsid w:val="00FA01F9"/>
    <w:rsid w:val="00FA0499"/>
    <w:rsid w:val="00FA050E"/>
    <w:rsid w:val="00FA08DA"/>
    <w:rsid w:val="00FA099A"/>
    <w:rsid w:val="00FA1707"/>
    <w:rsid w:val="00FA173F"/>
    <w:rsid w:val="00FA1900"/>
    <w:rsid w:val="00FA19A4"/>
    <w:rsid w:val="00FA1AB1"/>
    <w:rsid w:val="00FA1F75"/>
    <w:rsid w:val="00FA2000"/>
    <w:rsid w:val="00FA2266"/>
    <w:rsid w:val="00FA22D0"/>
    <w:rsid w:val="00FA2887"/>
    <w:rsid w:val="00FA2A4B"/>
    <w:rsid w:val="00FA304E"/>
    <w:rsid w:val="00FA3592"/>
    <w:rsid w:val="00FA36EB"/>
    <w:rsid w:val="00FA36F4"/>
    <w:rsid w:val="00FA3D85"/>
    <w:rsid w:val="00FA3F86"/>
    <w:rsid w:val="00FA3FC6"/>
    <w:rsid w:val="00FA3FE4"/>
    <w:rsid w:val="00FA3FF3"/>
    <w:rsid w:val="00FA4301"/>
    <w:rsid w:val="00FA4370"/>
    <w:rsid w:val="00FA47D8"/>
    <w:rsid w:val="00FA4A9E"/>
    <w:rsid w:val="00FA4C1E"/>
    <w:rsid w:val="00FA4D70"/>
    <w:rsid w:val="00FA4DDF"/>
    <w:rsid w:val="00FA4F9A"/>
    <w:rsid w:val="00FA5051"/>
    <w:rsid w:val="00FA5210"/>
    <w:rsid w:val="00FA5CAF"/>
    <w:rsid w:val="00FA647B"/>
    <w:rsid w:val="00FA6743"/>
    <w:rsid w:val="00FA691D"/>
    <w:rsid w:val="00FA6961"/>
    <w:rsid w:val="00FA69D2"/>
    <w:rsid w:val="00FA6D7B"/>
    <w:rsid w:val="00FA71A8"/>
    <w:rsid w:val="00FA723B"/>
    <w:rsid w:val="00FA72A9"/>
    <w:rsid w:val="00FA72EF"/>
    <w:rsid w:val="00FA748B"/>
    <w:rsid w:val="00FA76AD"/>
    <w:rsid w:val="00FA79CA"/>
    <w:rsid w:val="00FA7C4A"/>
    <w:rsid w:val="00FA7D26"/>
    <w:rsid w:val="00FB01E3"/>
    <w:rsid w:val="00FB0333"/>
    <w:rsid w:val="00FB03CD"/>
    <w:rsid w:val="00FB055F"/>
    <w:rsid w:val="00FB0667"/>
    <w:rsid w:val="00FB0774"/>
    <w:rsid w:val="00FB080A"/>
    <w:rsid w:val="00FB09CB"/>
    <w:rsid w:val="00FB0A63"/>
    <w:rsid w:val="00FB0B6F"/>
    <w:rsid w:val="00FB0B76"/>
    <w:rsid w:val="00FB0CD8"/>
    <w:rsid w:val="00FB0E89"/>
    <w:rsid w:val="00FB0FB5"/>
    <w:rsid w:val="00FB118A"/>
    <w:rsid w:val="00FB1432"/>
    <w:rsid w:val="00FB1475"/>
    <w:rsid w:val="00FB174B"/>
    <w:rsid w:val="00FB17A5"/>
    <w:rsid w:val="00FB18FF"/>
    <w:rsid w:val="00FB1987"/>
    <w:rsid w:val="00FB1EFA"/>
    <w:rsid w:val="00FB20DE"/>
    <w:rsid w:val="00FB25CA"/>
    <w:rsid w:val="00FB29B4"/>
    <w:rsid w:val="00FB2B06"/>
    <w:rsid w:val="00FB2DD7"/>
    <w:rsid w:val="00FB3030"/>
    <w:rsid w:val="00FB310F"/>
    <w:rsid w:val="00FB314F"/>
    <w:rsid w:val="00FB3289"/>
    <w:rsid w:val="00FB349A"/>
    <w:rsid w:val="00FB3707"/>
    <w:rsid w:val="00FB3788"/>
    <w:rsid w:val="00FB3A46"/>
    <w:rsid w:val="00FB3B1A"/>
    <w:rsid w:val="00FB3CF0"/>
    <w:rsid w:val="00FB3E18"/>
    <w:rsid w:val="00FB4372"/>
    <w:rsid w:val="00FB50E7"/>
    <w:rsid w:val="00FB554E"/>
    <w:rsid w:val="00FB5C09"/>
    <w:rsid w:val="00FB5C97"/>
    <w:rsid w:val="00FB5D65"/>
    <w:rsid w:val="00FB5EAA"/>
    <w:rsid w:val="00FB6017"/>
    <w:rsid w:val="00FB6046"/>
    <w:rsid w:val="00FB64FF"/>
    <w:rsid w:val="00FB676D"/>
    <w:rsid w:val="00FB67A9"/>
    <w:rsid w:val="00FB71E4"/>
    <w:rsid w:val="00FB7351"/>
    <w:rsid w:val="00FB76C2"/>
    <w:rsid w:val="00FB77AE"/>
    <w:rsid w:val="00FB78B0"/>
    <w:rsid w:val="00FB78C0"/>
    <w:rsid w:val="00FB7E63"/>
    <w:rsid w:val="00FB7EB3"/>
    <w:rsid w:val="00FB7F24"/>
    <w:rsid w:val="00FC0030"/>
    <w:rsid w:val="00FC0059"/>
    <w:rsid w:val="00FC00DA"/>
    <w:rsid w:val="00FC0149"/>
    <w:rsid w:val="00FC0274"/>
    <w:rsid w:val="00FC07A3"/>
    <w:rsid w:val="00FC08FC"/>
    <w:rsid w:val="00FC0A53"/>
    <w:rsid w:val="00FC0ADA"/>
    <w:rsid w:val="00FC0CD0"/>
    <w:rsid w:val="00FC0E09"/>
    <w:rsid w:val="00FC10FF"/>
    <w:rsid w:val="00FC14B0"/>
    <w:rsid w:val="00FC14FE"/>
    <w:rsid w:val="00FC1546"/>
    <w:rsid w:val="00FC1878"/>
    <w:rsid w:val="00FC23CC"/>
    <w:rsid w:val="00FC251E"/>
    <w:rsid w:val="00FC254A"/>
    <w:rsid w:val="00FC2717"/>
    <w:rsid w:val="00FC272C"/>
    <w:rsid w:val="00FC2730"/>
    <w:rsid w:val="00FC2737"/>
    <w:rsid w:val="00FC27C7"/>
    <w:rsid w:val="00FC2841"/>
    <w:rsid w:val="00FC2A6B"/>
    <w:rsid w:val="00FC2C43"/>
    <w:rsid w:val="00FC2FE9"/>
    <w:rsid w:val="00FC309F"/>
    <w:rsid w:val="00FC30F4"/>
    <w:rsid w:val="00FC310C"/>
    <w:rsid w:val="00FC3122"/>
    <w:rsid w:val="00FC31F5"/>
    <w:rsid w:val="00FC35BC"/>
    <w:rsid w:val="00FC3701"/>
    <w:rsid w:val="00FC37E4"/>
    <w:rsid w:val="00FC38AD"/>
    <w:rsid w:val="00FC39C0"/>
    <w:rsid w:val="00FC3EB4"/>
    <w:rsid w:val="00FC3EE8"/>
    <w:rsid w:val="00FC41B7"/>
    <w:rsid w:val="00FC460F"/>
    <w:rsid w:val="00FC46F0"/>
    <w:rsid w:val="00FC4ABF"/>
    <w:rsid w:val="00FC4CB0"/>
    <w:rsid w:val="00FC5058"/>
    <w:rsid w:val="00FC5081"/>
    <w:rsid w:val="00FC519E"/>
    <w:rsid w:val="00FC5485"/>
    <w:rsid w:val="00FC54F4"/>
    <w:rsid w:val="00FC591E"/>
    <w:rsid w:val="00FC5DD6"/>
    <w:rsid w:val="00FC5E9F"/>
    <w:rsid w:val="00FC6118"/>
    <w:rsid w:val="00FC62CD"/>
    <w:rsid w:val="00FC62EF"/>
    <w:rsid w:val="00FC66B5"/>
    <w:rsid w:val="00FC6A05"/>
    <w:rsid w:val="00FC6B46"/>
    <w:rsid w:val="00FC6ED1"/>
    <w:rsid w:val="00FC7206"/>
    <w:rsid w:val="00FC7317"/>
    <w:rsid w:val="00FC75E7"/>
    <w:rsid w:val="00FC760F"/>
    <w:rsid w:val="00FC7642"/>
    <w:rsid w:val="00FC78C4"/>
    <w:rsid w:val="00FC7A00"/>
    <w:rsid w:val="00FC7BCD"/>
    <w:rsid w:val="00FC7E89"/>
    <w:rsid w:val="00FC7FAF"/>
    <w:rsid w:val="00FD0035"/>
    <w:rsid w:val="00FD02E8"/>
    <w:rsid w:val="00FD04C7"/>
    <w:rsid w:val="00FD08AD"/>
    <w:rsid w:val="00FD08EE"/>
    <w:rsid w:val="00FD0C5C"/>
    <w:rsid w:val="00FD0F10"/>
    <w:rsid w:val="00FD10C0"/>
    <w:rsid w:val="00FD146E"/>
    <w:rsid w:val="00FD14BE"/>
    <w:rsid w:val="00FD153D"/>
    <w:rsid w:val="00FD17BE"/>
    <w:rsid w:val="00FD1926"/>
    <w:rsid w:val="00FD193C"/>
    <w:rsid w:val="00FD1B14"/>
    <w:rsid w:val="00FD1DDD"/>
    <w:rsid w:val="00FD21EC"/>
    <w:rsid w:val="00FD2994"/>
    <w:rsid w:val="00FD29BF"/>
    <w:rsid w:val="00FD2B1C"/>
    <w:rsid w:val="00FD2C78"/>
    <w:rsid w:val="00FD2DAD"/>
    <w:rsid w:val="00FD3037"/>
    <w:rsid w:val="00FD3212"/>
    <w:rsid w:val="00FD321A"/>
    <w:rsid w:val="00FD37AE"/>
    <w:rsid w:val="00FD37E8"/>
    <w:rsid w:val="00FD3821"/>
    <w:rsid w:val="00FD3A09"/>
    <w:rsid w:val="00FD3A96"/>
    <w:rsid w:val="00FD3D03"/>
    <w:rsid w:val="00FD41BB"/>
    <w:rsid w:val="00FD41EB"/>
    <w:rsid w:val="00FD428A"/>
    <w:rsid w:val="00FD44D5"/>
    <w:rsid w:val="00FD4A9B"/>
    <w:rsid w:val="00FD4CCC"/>
    <w:rsid w:val="00FD4FB6"/>
    <w:rsid w:val="00FD51D1"/>
    <w:rsid w:val="00FD5368"/>
    <w:rsid w:val="00FD5B53"/>
    <w:rsid w:val="00FD5D2A"/>
    <w:rsid w:val="00FD5F0B"/>
    <w:rsid w:val="00FD6030"/>
    <w:rsid w:val="00FD639E"/>
    <w:rsid w:val="00FD6498"/>
    <w:rsid w:val="00FD656A"/>
    <w:rsid w:val="00FD67D9"/>
    <w:rsid w:val="00FD6A89"/>
    <w:rsid w:val="00FD6B27"/>
    <w:rsid w:val="00FD6B89"/>
    <w:rsid w:val="00FD6C08"/>
    <w:rsid w:val="00FD6CC2"/>
    <w:rsid w:val="00FD6EBB"/>
    <w:rsid w:val="00FD70A2"/>
    <w:rsid w:val="00FD7105"/>
    <w:rsid w:val="00FD73B9"/>
    <w:rsid w:val="00FD7490"/>
    <w:rsid w:val="00FD755C"/>
    <w:rsid w:val="00FD7811"/>
    <w:rsid w:val="00FD7FBA"/>
    <w:rsid w:val="00FE004F"/>
    <w:rsid w:val="00FE00B0"/>
    <w:rsid w:val="00FE01E1"/>
    <w:rsid w:val="00FE0248"/>
    <w:rsid w:val="00FE032B"/>
    <w:rsid w:val="00FE0421"/>
    <w:rsid w:val="00FE045C"/>
    <w:rsid w:val="00FE05BC"/>
    <w:rsid w:val="00FE1049"/>
    <w:rsid w:val="00FE13F8"/>
    <w:rsid w:val="00FE1486"/>
    <w:rsid w:val="00FE14B6"/>
    <w:rsid w:val="00FE1733"/>
    <w:rsid w:val="00FE1AA7"/>
    <w:rsid w:val="00FE1AFC"/>
    <w:rsid w:val="00FE2139"/>
    <w:rsid w:val="00FE223C"/>
    <w:rsid w:val="00FE2634"/>
    <w:rsid w:val="00FE276A"/>
    <w:rsid w:val="00FE27B5"/>
    <w:rsid w:val="00FE2835"/>
    <w:rsid w:val="00FE2BFC"/>
    <w:rsid w:val="00FE2FD4"/>
    <w:rsid w:val="00FE3BCB"/>
    <w:rsid w:val="00FE40E4"/>
    <w:rsid w:val="00FE4140"/>
    <w:rsid w:val="00FE4491"/>
    <w:rsid w:val="00FE47CA"/>
    <w:rsid w:val="00FE5112"/>
    <w:rsid w:val="00FE5223"/>
    <w:rsid w:val="00FE5338"/>
    <w:rsid w:val="00FE53C1"/>
    <w:rsid w:val="00FE55A6"/>
    <w:rsid w:val="00FE55F9"/>
    <w:rsid w:val="00FE5731"/>
    <w:rsid w:val="00FE5771"/>
    <w:rsid w:val="00FE5988"/>
    <w:rsid w:val="00FE5CB3"/>
    <w:rsid w:val="00FE5CF7"/>
    <w:rsid w:val="00FE5DC7"/>
    <w:rsid w:val="00FE5F6C"/>
    <w:rsid w:val="00FE6341"/>
    <w:rsid w:val="00FE6591"/>
    <w:rsid w:val="00FE65C9"/>
    <w:rsid w:val="00FE6811"/>
    <w:rsid w:val="00FE6C3A"/>
    <w:rsid w:val="00FE6C8F"/>
    <w:rsid w:val="00FE707B"/>
    <w:rsid w:val="00FE76DF"/>
    <w:rsid w:val="00FE7D61"/>
    <w:rsid w:val="00FE7E62"/>
    <w:rsid w:val="00FF04EA"/>
    <w:rsid w:val="00FF096C"/>
    <w:rsid w:val="00FF09D7"/>
    <w:rsid w:val="00FF0B09"/>
    <w:rsid w:val="00FF0C77"/>
    <w:rsid w:val="00FF0CCA"/>
    <w:rsid w:val="00FF1509"/>
    <w:rsid w:val="00FF15D6"/>
    <w:rsid w:val="00FF1C69"/>
    <w:rsid w:val="00FF1EDB"/>
    <w:rsid w:val="00FF20E5"/>
    <w:rsid w:val="00FF218F"/>
    <w:rsid w:val="00FF2257"/>
    <w:rsid w:val="00FF2258"/>
    <w:rsid w:val="00FF228E"/>
    <w:rsid w:val="00FF22D3"/>
    <w:rsid w:val="00FF25EB"/>
    <w:rsid w:val="00FF2AE3"/>
    <w:rsid w:val="00FF2D9E"/>
    <w:rsid w:val="00FF309E"/>
    <w:rsid w:val="00FF3150"/>
    <w:rsid w:val="00FF31F3"/>
    <w:rsid w:val="00FF335E"/>
    <w:rsid w:val="00FF34E1"/>
    <w:rsid w:val="00FF3980"/>
    <w:rsid w:val="00FF3DF3"/>
    <w:rsid w:val="00FF4285"/>
    <w:rsid w:val="00FF4394"/>
    <w:rsid w:val="00FF43AF"/>
    <w:rsid w:val="00FF4CA6"/>
    <w:rsid w:val="00FF4EA8"/>
    <w:rsid w:val="00FF4F93"/>
    <w:rsid w:val="00FF4FB4"/>
    <w:rsid w:val="00FF56A2"/>
    <w:rsid w:val="00FF58C7"/>
    <w:rsid w:val="00FF5B18"/>
    <w:rsid w:val="00FF5C3A"/>
    <w:rsid w:val="00FF5E16"/>
    <w:rsid w:val="00FF5E69"/>
    <w:rsid w:val="00FF629B"/>
    <w:rsid w:val="00FF6408"/>
    <w:rsid w:val="00FF6581"/>
    <w:rsid w:val="00FF692A"/>
    <w:rsid w:val="00FF69B5"/>
    <w:rsid w:val="00FF6AC2"/>
    <w:rsid w:val="00FF6C45"/>
    <w:rsid w:val="00FF75F2"/>
    <w:rsid w:val="00FF767F"/>
    <w:rsid w:val="00FF780B"/>
    <w:rsid w:val="00FF7A75"/>
    <w:rsid w:val="00FF7B30"/>
    <w:rsid w:val="00FF7CB4"/>
    <w:rsid w:val="00FF7D4E"/>
    <w:rsid w:val="00FF7EB9"/>
    <w:rsid w:val="6648646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1" w:semiHidden="0" w:name="heading 2"/>
    <w:lsdException w:qFormat="1" w:uiPriority="1" w:semiHidden="0" w:name="heading 3"/>
    <w:lsdException w:qFormat="1" w:uiPriority="0" w:semiHidden="0" w:name="heading 4"/>
    <w:lsdException w:qFormat="1" w:uiPriority="0" w:semiHidden="0" w:name="heading 5"/>
    <w:lsdException w:qFormat="1" w:uiPriority="9" w:semiHidden="0" w:name="heading 6"/>
    <w:lsdException w:qFormat="1" w:uiPriority="99" w:semiHidden="0" w:name="heading 7"/>
    <w:lsdException w:qFormat="1" w:uiPriority="99" w:semiHidden="0" w:name="heading 8"/>
    <w:lsdException w:qFormat="1" w:uiPriority="99" w:semiHidden="0" w:name="heading 9"/>
    <w:lsdException w:uiPriority="99" w:name="index 1"/>
    <w:lsdException w:qFormat="1" w:unhideWhenUsed="0" w:uiPriority="0" w:semiHidden="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nhideWhenUsed="0" w:uiPriority="0" w:semiHidden="0" w:name="envelope address"/>
    <w:lsdException w:unhideWhenUsed="0" w:uiPriority="0" w:semiHidden="0" w:name="envelope return"/>
    <w:lsdException w:uiPriority="99" w:semiHidden="0" w:name="footnote reference"/>
    <w:lsdException w:uiPriority="0" w:semiHidden="0" w:name="annotation reference"/>
    <w:lsdException w:qFormat="1"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nhideWhenUsed="0" w:uiPriority="0" w:semiHidden="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qFormat="1" w:unhideWhenUsed="0" w:uiPriority="0" w:semiHidden="0" w:name="List 4"/>
    <w:lsdException w:unhideWhenUsed="0" w:uiPriority="99"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qFormat="1" w:uiPriority="0" w:semiHidden="0" w:name="Body Text"/>
    <w:lsdException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99" w:semiHidden="0" w:name="List Continue 4"/>
    <w:lsdException w:unhideWhenUsed="0" w:uiPriority="99"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99"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semiHidden="0" w:name="annotation subject"/>
    <w:lsdException w:unhideWhenUsed="0" w:uiPriority="0" w:semiHidden="0" w:name="Table Simple 1"/>
    <w:lsdException w:unhideWhenUsed="0" w:uiPriority="0" w:name="Table Simple 2"/>
    <w:lsdException w:unhideWhenUsed="0" w:uiPriority="0" w:name="Table Simple 3"/>
    <w:lsdException w:unhideWhenUsed="0" w:uiPriority="0" w:name="Table Classic 1"/>
    <w:lsdException w:unhideWhenUsed="0" w:uiPriority="0" w:name="Table Classic 2"/>
    <w:lsdException w:unhideWhenUsed="0" w:uiPriority="0" w:name="Table Classic 3"/>
    <w:lsdException w:unhideWhenUsed="0" w:uiPriority="0" w:name="Table Classic 4"/>
    <w:lsdException w:unhideWhenUsed="0" w:uiPriority="0" w:name="Table Colorful 1"/>
    <w:lsdException w:unhideWhenUsed="0" w:uiPriority="0" w:name="Table Colorful 2"/>
    <w:lsdException w:unhideWhenUsed="0" w:uiPriority="0" w:name="Table Colorful 3"/>
    <w:lsdException w:qFormat="1" w:unhideWhenUsed="0" w:uiPriority="0" w:semiHidden="0" w:name="Table Columns 1"/>
    <w:lsdException w:unhideWhenUsed="0" w:uiPriority="0" w:name="Table Columns 2"/>
    <w:lsdException w:unhideWhenUsed="0" w:uiPriority="0" w:name="Table Columns 3"/>
    <w:lsdException w:unhideWhenUsed="0" w:uiPriority="0" w:name="Table Columns 4"/>
    <w:lsdException w:qFormat="1" w:unhideWhenUsed="0" w:uiPriority="0" w:semiHidden="0" w:name="Table Columns 5"/>
    <w:lsdException w:unhideWhenUsed="0" w:uiPriority="0" w:semiHidden="0" w:name="Table Grid 1"/>
    <w:lsdException w:unhideWhenUsed="0" w:uiPriority="0" w:name="Table Grid 2"/>
    <w:lsdException w:unhideWhenUsed="0" w:uiPriority="0" w:name="Table Grid 3"/>
    <w:lsdException w:unhideWhenUsed="0" w:uiPriority="0" w:name="Table Grid 4"/>
    <w:lsdException w:unhideWhenUsed="0" w:uiPriority="0" w:name="Table Grid 5"/>
    <w:lsdException w:unhideWhenUsed="0" w:uiPriority="0" w:name="Table Grid 6"/>
    <w:lsdException w:unhideWhenUsed="0" w:uiPriority="0" w:name="Table Grid 7"/>
    <w:lsdException w:unhideWhenUsed="0" w:uiPriority="0" w:name="Table Grid 8"/>
    <w:lsdException w:unhideWhenUsed="0" w:uiPriority="0" w:name="Table List 1"/>
    <w:lsdException w:qFormat="1" w:unhideWhenUsed="0" w:uiPriority="0" w:semiHidden="0" w:name="Table List 2"/>
    <w:lsdException w:unhideWhenUsed="0" w:uiPriority="0" w:name="Table List 3"/>
    <w:lsdException w:unhideWhenUsed="0" w:uiPriority="0" w:name="Table List 4"/>
    <w:lsdException w:unhideWhenUsed="0" w:uiPriority="0" w:name="Table List 5"/>
    <w:lsdException w:unhideWhenUsed="0" w:uiPriority="0" w:name="Table List 6"/>
    <w:lsdException w:qFormat="1" w:unhideWhenUsed="0" w:uiPriority="0" w:semiHidden="0" w:name="Table List 7"/>
    <w:lsdException w:qFormat="1" w:unhideWhenUsed="0" w:uiPriority="0" w:semiHidden="0" w:name="Table List 8"/>
    <w:lsdException w:unhideWhenUsed="0" w:uiPriority="0" w:name="Table 3D effects 1"/>
    <w:lsdException w:unhideWhenUsed="0" w:uiPriority="0" w:name="Table 3D effects 2"/>
    <w:lsdException w:qFormat="1" w:unhideWhenUsed="0" w:uiPriority="0" w:semiHidden="0" w:name="Table 3D effects 3"/>
    <w:lsdException w:qFormat="1" w:unhideWhenUsed="0" w:uiPriority="0" w:semiHidden="0" w:name="Table Contemporary"/>
    <w:lsdException w:uiPriority="0" w:semiHidden="0" w:name="Table Elegant"/>
    <w:lsdException w:qFormat="1" w:unhideWhenUsed="0" w:uiPriority="0" w:semiHidden="0" w:name="Table Professional"/>
    <w:lsdException w:qFormat="1" w:unhideWhenUsed="0" w:uiPriority="0" w:semiHidden="0" w:name="Table Subtle 1"/>
    <w:lsdException w:unhideWhenUsed="0" w:uiPriority="0" w:name="Table Subtle 2"/>
    <w:lsdException w:unhideWhenUsed="0" w:uiPriority="0" w:name="Table Web 1"/>
    <w:lsdException w:unhideWhenUsed="0" w:uiPriority="0" w:name="Table Web 2"/>
    <w:lsdException w:qFormat="1" w:unhideWhenUsed="0" w:uiPriority="0" w:semiHidden="0" w:name="Table Web 3"/>
    <w:lsdException w:qFormat="1" w:uiPriority="0" w:semiHidden="0" w:name="Balloon Text"/>
    <w:lsdException w:qFormat="1" w:unhideWhenUsed="0" w:uiPriority="0" w:semiHidden="0" w:name="Table Grid"/>
    <w:lsdException w:unhideWhenUsed="0" w:uiPriority="0" w:name="Table Theme"/>
    <w:lsdException w:qFormat="1" w:unhideWhenUsed="0" w:uiPriority="99" w:name="Placeholder Text"/>
    <w:lsdException w:qFormat="1" w:unhideWhenUsed="0" w:uiPriority="0" w:semiHidden="0" w:name="No Spacing"/>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99" w:semiHidden="0" w:name="Light Shading Accent 5"/>
    <w:lsdException w:uiPriority="63" w:name="Medium Shading 1 Accent 5"/>
  </w:latentStyles>
  <w:style w:type="paragraph" w:default="1" w:styleId="1">
    <w:name w:val="Normal"/>
    <w:qFormat/>
    <w:uiPriority w:val="0"/>
    <w:pPr>
      <w:spacing w:after="200" w:line="360" w:lineRule="auto"/>
      <w:ind w:firstLine="709"/>
    </w:pPr>
    <w:rPr>
      <w:rFonts w:ascii="Times New Roman" w:hAnsi="Times New Roman" w:eastAsia="Times New Roman" w:cs="Times New Roman"/>
      <w:sz w:val="28"/>
      <w:szCs w:val="22"/>
      <w:lang w:val="ru-RU" w:eastAsia="ru-RU" w:bidi="ar-SA"/>
    </w:rPr>
  </w:style>
  <w:style w:type="paragraph" w:styleId="2">
    <w:name w:val="heading 1"/>
    <w:basedOn w:val="1"/>
    <w:next w:val="1"/>
    <w:link w:val="143"/>
    <w:qFormat/>
    <w:uiPriority w:val="9"/>
    <w:pPr>
      <w:keepLines/>
      <w:numPr>
        <w:ilvl w:val="0"/>
        <w:numId w:val="1"/>
      </w:numPr>
      <w:spacing w:before="240" w:after="0" w:line="480" w:lineRule="auto"/>
      <w:jc w:val="both"/>
      <w:outlineLvl w:val="0"/>
    </w:pPr>
    <w:rPr>
      <w:rFonts w:eastAsiaTheme="majorEastAsia" w:cstheme="majorBidi"/>
      <w:b/>
      <w:szCs w:val="32"/>
    </w:rPr>
  </w:style>
  <w:style w:type="paragraph" w:styleId="3">
    <w:name w:val="heading 2"/>
    <w:basedOn w:val="1"/>
    <w:next w:val="1"/>
    <w:link w:val="144"/>
    <w:unhideWhenUsed/>
    <w:qFormat/>
    <w:uiPriority w:val="1"/>
    <w:pPr>
      <w:keepLines/>
      <w:numPr>
        <w:ilvl w:val="1"/>
        <w:numId w:val="1"/>
      </w:numPr>
      <w:spacing w:before="40" w:after="0"/>
      <w:jc w:val="both"/>
      <w:outlineLvl w:val="1"/>
    </w:pPr>
    <w:rPr>
      <w:rFonts w:eastAsiaTheme="majorEastAsia" w:cstheme="majorBidi"/>
      <w:b/>
      <w:color w:val="000000" w:themeColor="text1"/>
      <w:szCs w:val="26"/>
    </w:rPr>
  </w:style>
  <w:style w:type="paragraph" w:styleId="4">
    <w:name w:val="heading 3"/>
    <w:basedOn w:val="1"/>
    <w:next w:val="1"/>
    <w:link w:val="145"/>
    <w:unhideWhenUsed/>
    <w:qFormat/>
    <w:uiPriority w:val="1"/>
    <w:pPr>
      <w:keepLines/>
      <w:numPr>
        <w:ilvl w:val="2"/>
        <w:numId w:val="1"/>
      </w:numPr>
      <w:spacing w:before="40" w:after="0"/>
      <w:ind w:left="720"/>
      <w:jc w:val="both"/>
      <w:outlineLvl w:val="2"/>
    </w:pPr>
    <w:rPr>
      <w:rFonts w:eastAsiaTheme="majorEastAsia" w:cstheme="majorBidi"/>
      <w:b/>
      <w:szCs w:val="24"/>
    </w:rPr>
  </w:style>
  <w:style w:type="paragraph" w:styleId="5">
    <w:name w:val="heading 4"/>
    <w:basedOn w:val="1"/>
    <w:next w:val="1"/>
    <w:link w:val="146"/>
    <w:unhideWhenUsed/>
    <w:qFormat/>
    <w:uiPriority w:val="0"/>
    <w:pPr>
      <w:keepNext/>
      <w:keepLines/>
      <w:numPr>
        <w:ilvl w:val="3"/>
        <w:numId w:val="1"/>
      </w:numPr>
      <w:spacing w:before="40" w:after="0"/>
      <w:outlineLvl w:val="3"/>
    </w:pPr>
    <w:rPr>
      <w:rFonts w:asciiTheme="majorHAnsi" w:hAnsiTheme="majorHAnsi" w:eastAsiaTheme="majorEastAsia" w:cstheme="majorBidi"/>
      <w:i/>
      <w:iCs/>
      <w:color w:val="2F5496" w:themeColor="accent1" w:themeShade="BF"/>
    </w:rPr>
  </w:style>
  <w:style w:type="paragraph" w:styleId="6">
    <w:name w:val="heading 5"/>
    <w:basedOn w:val="1"/>
    <w:next w:val="1"/>
    <w:link w:val="147"/>
    <w:unhideWhenUsed/>
    <w:qFormat/>
    <w:uiPriority w:val="0"/>
    <w:pPr>
      <w:keepNext/>
      <w:keepLines/>
      <w:numPr>
        <w:ilvl w:val="4"/>
        <w:numId w:val="1"/>
      </w:numPr>
      <w:spacing w:before="40" w:after="0"/>
      <w:outlineLvl w:val="4"/>
    </w:pPr>
    <w:rPr>
      <w:rFonts w:asciiTheme="majorHAnsi" w:hAnsiTheme="majorHAnsi" w:eastAsiaTheme="majorEastAsia" w:cstheme="majorBidi"/>
      <w:color w:val="2F5496" w:themeColor="accent1" w:themeShade="BF"/>
    </w:rPr>
  </w:style>
  <w:style w:type="paragraph" w:styleId="7">
    <w:name w:val="heading 6"/>
    <w:basedOn w:val="1"/>
    <w:next w:val="1"/>
    <w:link w:val="148"/>
    <w:unhideWhenUsed/>
    <w:qFormat/>
    <w:uiPriority w:val="9"/>
    <w:pPr>
      <w:keepNext/>
      <w:keepLines/>
      <w:numPr>
        <w:ilvl w:val="5"/>
        <w:numId w:val="1"/>
      </w:numPr>
      <w:spacing w:before="40" w:after="0"/>
      <w:outlineLvl w:val="5"/>
    </w:pPr>
    <w:rPr>
      <w:rFonts w:asciiTheme="majorHAnsi" w:hAnsiTheme="majorHAnsi" w:eastAsiaTheme="majorEastAsia" w:cstheme="majorBidi"/>
      <w:color w:val="1F3863" w:themeColor="accent1" w:themeShade="7F"/>
    </w:rPr>
  </w:style>
  <w:style w:type="paragraph" w:styleId="8">
    <w:name w:val="heading 7"/>
    <w:basedOn w:val="1"/>
    <w:next w:val="1"/>
    <w:link w:val="149"/>
    <w:unhideWhenUsed/>
    <w:qFormat/>
    <w:uiPriority w:val="99"/>
    <w:pPr>
      <w:keepNext/>
      <w:keepLines/>
      <w:numPr>
        <w:ilvl w:val="6"/>
        <w:numId w:val="1"/>
      </w:numPr>
      <w:spacing w:before="40" w:after="0"/>
      <w:outlineLvl w:val="6"/>
    </w:pPr>
    <w:rPr>
      <w:rFonts w:asciiTheme="majorHAnsi" w:hAnsiTheme="majorHAnsi" w:eastAsiaTheme="majorEastAsia" w:cstheme="majorBidi"/>
      <w:i/>
      <w:iCs/>
      <w:color w:val="1F3863" w:themeColor="accent1" w:themeShade="7F"/>
    </w:rPr>
  </w:style>
  <w:style w:type="paragraph" w:styleId="9">
    <w:name w:val="heading 8"/>
    <w:basedOn w:val="1"/>
    <w:next w:val="1"/>
    <w:link w:val="150"/>
    <w:unhideWhenUsed/>
    <w:qFormat/>
    <w:uiPriority w:val="99"/>
    <w:pPr>
      <w:keepNext/>
      <w:keepLines/>
      <w:numPr>
        <w:ilvl w:val="7"/>
        <w:numId w:val="1"/>
      </w:numPr>
      <w:spacing w:before="40" w:after="0"/>
      <w:outlineLvl w:val="7"/>
    </w:pPr>
    <w:rPr>
      <w:rFonts w:asciiTheme="majorHAnsi" w:hAnsiTheme="majorHAnsi" w:eastAsiaTheme="majorEastAsia" w:cstheme="majorBidi"/>
      <w:color w:val="262626" w:themeColor="text1" w:themeTint="D8"/>
      <w:sz w:val="21"/>
      <w:szCs w:val="21"/>
    </w:rPr>
  </w:style>
  <w:style w:type="paragraph" w:styleId="10">
    <w:name w:val="heading 9"/>
    <w:basedOn w:val="1"/>
    <w:next w:val="1"/>
    <w:link w:val="151"/>
    <w:unhideWhenUsed/>
    <w:qFormat/>
    <w:uiPriority w:val="99"/>
    <w:pPr>
      <w:keepNext/>
      <w:keepLines/>
      <w:numPr>
        <w:ilvl w:val="8"/>
        <w:numId w:val="1"/>
      </w:numPr>
      <w:spacing w:before="40" w:after="0"/>
      <w:outlineLvl w:val="8"/>
    </w:pPr>
    <w:rPr>
      <w:rFonts w:asciiTheme="majorHAnsi" w:hAnsiTheme="majorHAnsi" w:eastAsiaTheme="majorEastAsia" w:cstheme="majorBidi"/>
      <w:i/>
      <w:iCs/>
      <w:color w:val="262626" w:themeColor="text1" w:themeTint="D8"/>
      <w:sz w:val="21"/>
      <w:szCs w:val="21"/>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TML Sample"/>
    <w:basedOn w:val="11"/>
    <w:uiPriority w:val="0"/>
    <w:rPr>
      <w:rFonts w:ascii="Courier New" w:hAnsi="Courier New" w:cs="Courier New"/>
      <w:lang w:val="ru-RU"/>
    </w:rPr>
  </w:style>
  <w:style w:type="character" w:styleId="14">
    <w:name w:val="FollowedHyperlink"/>
    <w:unhideWhenUsed/>
    <w:qFormat/>
    <w:uiPriority w:val="99"/>
    <w:rPr>
      <w:color w:val="800080"/>
      <w:u w:val="single"/>
    </w:rPr>
  </w:style>
  <w:style w:type="character" w:styleId="15">
    <w:name w:val="footnote reference"/>
    <w:unhideWhenUsed/>
    <w:uiPriority w:val="99"/>
    <w:rPr>
      <w:vertAlign w:val="superscript"/>
    </w:rPr>
  </w:style>
  <w:style w:type="character" w:styleId="16">
    <w:name w:val="annotation reference"/>
    <w:unhideWhenUsed/>
    <w:uiPriority w:val="0"/>
    <w:rPr>
      <w:sz w:val="16"/>
      <w:szCs w:val="16"/>
    </w:rPr>
  </w:style>
  <w:style w:type="character" w:styleId="17">
    <w:name w:val="endnote reference"/>
    <w:qFormat/>
    <w:uiPriority w:val="0"/>
    <w:rPr>
      <w:vertAlign w:val="superscript"/>
    </w:rPr>
  </w:style>
  <w:style w:type="character" w:styleId="18">
    <w:name w:val="HTML Acronym"/>
    <w:basedOn w:val="11"/>
    <w:uiPriority w:val="0"/>
    <w:rPr>
      <w:lang w:val="ru-RU"/>
    </w:rPr>
  </w:style>
  <w:style w:type="character" w:styleId="19">
    <w:name w:val="Emphasis"/>
    <w:qFormat/>
    <w:uiPriority w:val="0"/>
    <w:rPr>
      <w:i/>
    </w:rPr>
  </w:style>
  <w:style w:type="character" w:styleId="20">
    <w:name w:val="Hyperlink"/>
    <w:basedOn w:val="11"/>
    <w:unhideWhenUsed/>
    <w:qFormat/>
    <w:uiPriority w:val="99"/>
    <w:rPr>
      <w:color w:val="0563C1" w:themeColor="hyperlink"/>
      <w:u w:val="single"/>
    </w:rPr>
  </w:style>
  <w:style w:type="character" w:styleId="21">
    <w:name w:val="HTML Keyboard"/>
    <w:basedOn w:val="11"/>
    <w:uiPriority w:val="0"/>
    <w:rPr>
      <w:rFonts w:ascii="Courier New" w:hAnsi="Courier New" w:cs="Courier New"/>
      <w:sz w:val="20"/>
      <w:szCs w:val="20"/>
      <w:lang w:val="ru-RU"/>
    </w:rPr>
  </w:style>
  <w:style w:type="character" w:styleId="22">
    <w:name w:val="HTML Code"/>
    <w:basedOn w:val="11"/>
    <w:uiPriority w:val="99"/>
    <w:rPr>
      <w:rFonts w:ascii="Courier New" w:hAnsi="Courier New" w:cs="Courier New"/>
      <w:sz w:val="20"/>
      <w:szCs w:val="20"/>
      <w:lang w:val="ru-RU"/>
    </w:rPr>
  </w:style>
  <w:style w:type="character" w:styleId="23">
    <w:name w:val="page number"/>
    <w:uiPriority w:val="0"/>
    <w:rPr>
      <w:rFonts w:ascii="Arial" w:hAnsi="Arial"/>
      <w:sz w:val="24"/>
      <w:szCs w:val="24"/>
      <w:vertAlign w:val="baseline"/>
    </w:rPr>
  </w:style>
  <w:style w:type="character" w:styleId="24">
    <w:name w:val="line number"/>
    <w:qFormat/>
    <w:uiPriority w:val="0"/>
    <w:rPr>
      <w:rFonts w:cs="Times New Roman"/>
    </w:rPr>
  </w:style>
  <w:style w:type="character" w:styleId="25">
    <w:name w:val="HTML Definition"/>
    <w:basedOn w:val="11"/>
    <w:uiPriority w:val="0"/>
    <w:rPr>
      <w:i/>
      <w:iCs/>
      <w:lang w:val="ru-RU"/>
    </w:rPr>
  </w:style>
  <w:style w:type="character" w:styleId="26">
    <w:name w:val="HTML Variable"/>
    <w:basedOn w:val="11"/>
    <w:uiPriority w:val="0"/>
    <w:rPr>
      <w:i/>
      <w:iCs/>
      <w:lang w:val="ru-RU"/>
    </w:rPr>
  </w:style>
  <w:style w:type="character" w:styleId="27">
    <w:name w:val="HTML Typewriter"/>
    <w:basedOn w:val="11"/>
    <w:uiPriority w:val="0"/>
    <w:rPr>
      <w:rFonts w:ascii="Courier New" w:hAnsi="Courier New" w:cs="Courier New"/>
      <w:sz w:val="20"/>
      <w:szCs w:val="20"/>
      <w:lang w:val="ru-RU"/>
    </w:rPr>
  </w:style>
  <w:style w:type="character" w:styleId="28">
    <w:name w:val="Strong"/>
    <w:qFormat/>
    <w:uiPriority w:val="0"/>
    <w:rPr>
      <w:b/>
      <w:bCs/>
    </w:rPr>
  </w:style>
  <w:style w:type="character" w:styleId="29">
    <w:name w:val="HTML Cite"/>
    <w:basedOn w:val="11"/>
    <w:uiPriority w:val="0"/>
    <w:rPr>
      <w:i/>
      <w:iCs/>
      <w:lang w:val="ru-RU"/>
    </w:rPr>
  </w:style>
  <w:style w:type="paragraph" w:styleId="30">
    <w:name w:val="Balloon Text"/>
    <w:basedOn w:val="1"/>
    <w:link w:val="160"/>
    <w:unhideWhenUsed/>
    <w:qFormat/>
    <w:uiPriority w:val="0"/>
    <w:pPr>
      <w:spacing w:after="0" w:line="240" w:lineRule="auto"/>
      <w:jc w:val="both"/>
    </w:pPr>
    <w:rPr>
      <w:rFonts w:ascii="Tahoma" w:hAnsi="Tahoma"/>
      <w:sz w:val="16"/>
      <w:szCs w:val="16"/>
    </w:rPr>
  </w:style>
  <w:style w:type="paragraph" w:styleId="31">
    <w:name w:val="List 5"/>
    <w:basedOn w:val="32"/>
    <w:uiPriority w:val="99"/>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32">
    <w:name w:val="List"/>
    <w:basedOn w:val="1"/>
    <w:link w:val="1931"/>
    <w:qFormat/>
    <w:uiPriority w:val="0"/>
    <w:pPr>
      <w:overflowPunct w:val="0"/>
      <w:autoSpaceDE w:val="0"/>
      <w:autoSpaceDN w:val="0"/>
      <w:adjustRightInd w:val="0"/>
      <w:spacing w:after="0" w:line="240" w:lineRule="auto"/>
      <w:ind w:left="283" w:hanging="283"/>
    </w:pPr>
    <w:rPr>
      <w:sz w:val="24"/>
      <w:szCs w:val="20"/>
    </w:rPr>
  </w:style>
  <w:style w:type="paragraph" w:styleId="33">
    <w:name w:val="List Continue"/>
    <w:basedOn w:val="1"/>
    <w:qFormat/>
    <w:uiPriority w:val="0"/>
    <w:pPr>
      <w:overflowPunct w:val="0"/>
      <w:autoSpaceDE w:val="0"/>
      <w:autoSpaceDN w:val="0"/>
      <w:adjustRightInd w:val="0"/>
      <w:spacing w:after="120" w:line="240" w:lineRule="auto"/>
      <w:ind w:left="283" w:firstLine="0"/>
    </w:pPr>
    <w:rPr>
      <w:sz w:val="24"/>
      <w:szCs w:val="20"/>
    </w:rPr>
  </w:style>
  <w:style w:type="paragraph" w:styleId="34">
    <w:name w:val="Body Text 2"/>
    <w:basedOn w:val="1"/>
    <w:link w:val="162"/>
    <w:uiPriority w:val="0"/>
    <w:pPr>
      <w:spacing w:before="60" w:after="0" w:line="240" w:lineRule="auto"/>
      <w:jc w:val="both"/>
    </w:pPr>
    <w:rPr>
      <w:sz w:val="26"/>
      <w:szCs w:val="21"/>
    </w:rPr>
  </w:style>
  <w:style w:type="paragraph" w:styleId="35">
    <w:name w:val="List Number 5"/>
    <w:basedOn w:val="36"/>
    <w:uiPriority w:val="99"/>
    <w:pPr>
      <w:spacing w:after="240" w:line="240" w:lineRule="atLeast"/>
      <w:ind w:left="2880"/>
      <w:jc w:val="both"/>
    </w:pPr>
    <w:rPr>
      <w:rFonts w:ascii="Arial" w:hAnsi="Arial" w:cs="Arial"/>
      <w:spacing w:val="-5"/>
      <w:sz w:val="20"/>
      <w:szCs w:val="20"/>
      <w:lang w:eastAsia="en-US"/>
    </w:rPr>
  </w:style>
  <w:style w:type="paragraph" w:styleId="36">
    <w:name w:val="List Number"/>
    <w:basedOn w:val="1"/>
    <w:qFormat/>
    <w:uiPriority w:val="0"/>
    <w:pPr>
      <w:tabs>
        <w:tab w:val="left" w:pos="926"/>
      </w:tabs>
      <w:spacing w:after="0" w:line="240" w:lineRule="auto"/>
      <w:ind w:left="926" w:hanging="360"/>
    </w:pPr>
    <w:rPr>
      <w:sz w:val="24"/>
      <w:szCs w:val="24"/>
    </w:rPr>
  </w:style>
  <w:style w:type="paragraph" w:styleId="37">
    <w:name w:val="Closing"/>
    <w:basedOn w:val="1"/>
    <w:link w:val="1084"/>
    <w:uiPriority w:val="0"/>
    <w:pPr>
      <w:spacing w:after="0"/>
      <w:ind w:left="4252"/>
      <w:jc w:val="both"/>
    </w:pPr>
    <w:rPr>
      <w:rFonts w:ascii="Arial" w:hAnsi="Arial" w:cs="Arial"/>
      <w:spacing w:val="-5"/>
      <w:sz w:val="20"/>
      <w:szCs w:val="20"/>
      <w:lang w:eastAsia="en-US"/>
    </w:rPr>
  </w:style>
  <w:style w:type="paragraph" w:styleId="38">
    <w:name w:val="Normal Indent"/>
    <w:basedOn w:val="1"/>
    <w:link w:val="447"/>
    <w:qFormat/>
    <w:uiPriority w:val="0"/>
    <w:pPr>
      <w:overflowPunct w:val="0"/>
      <w:autoSpaceDE w:val="0"/>
      <w:autoSpaceDN w:val="0"/>
      <w:adjustRightInd w:val="0"/>
      <w:spacing w:before="60" w:after="0" w:line="240" w:lineRule="auto"/>
      <w:ind w:left="113"/>
    </w:pPr>
    <w:rPr>
      <w:sz w:val="24"/>
      <w:szCs w:val="20"/>
    </w:rPr>
  </w:style>
  <w:style w:type="paragraph" w:styleId="39">
    <w:name w:val="envelope return"/>
    <w:basedOn w:val="1"/>
    <w:uiPriority w:val="0"/>
    <w:pPr>
      <w:spacing w:after="0"/>
      <w:ind w:left="1080"/>
      <w:jc w:val="both"/>
    </w:pPr>
    <w:rPr>
      <w:rFonts w:ascii="Arial" w:hAnsi="Arial" w:cs="Arial"/>
      <w:spacing w:val="-5"/>
      <w:sz w:val="20"/>
      <w:szCs w:val="20"/>
      <w:lang w:eastAsia="en-US"/>
    </w:rPr>
  </w:style>
  <w:style w:type="paragraph" w:styleId="40">
    <w:name w:val="Plain Text"/>
    <w:basedOn w:val="1"/>
    <w:link w:val="225"/>
    <w:unhideWhenUsed/>
    <w:qFormat/>
    <w:uiPriority w:val="0"/>
    <w:pPr>
      <w:spacing w:after="0" w:line="240" w:lineRule="auto"/>
      <w:ind w:firstLine="0"/>
    </w:pPr>
    <w:rPr>
      <w:rFonts w:ascii="Courier New" w:hAnsi="Courier New" w:cs="Courier New" w:eastAsiaTheme="minorHAnsi"/>
      <w:sz w:val="22"/>
      <w:lang w:eastAsia="en-US"/>
    </w:rPr>
  </w:style>
  <w:style w:type="paragraph" w:styleId="41">
    <w:name w:val="Body Text Indent 3"/>
    <w:basedOn w:val="1"/>
    <w:link w:val="437"/>
    <w:qFormat/>
    <w:uiPriority w:val="0"/>
    <w:pPr>
      <w:spacing w:after="120" w:line="240" w:lineRule="auto"/>
      <w:ind w:left="283" w:firstLine="0"/>
    </w:pPr>
    <w:rPr>
      <w:sz w:val="16"/>
      <w:szCs w:val="16"/>
    </w:rPr>
  </w:style>
  <w:style w:type="paragraph" w:styleId="42">
    <w:name w:val="endnote text"/>
    <w:basedOn w:val="1"/>
    <w:link w:val="585"/>
    <w:qFormat/>
    <w:uiPriority w:val="0"/>
    <w:pPr>
      <w:spacing w:after="0" w:line="240" w:lineRule="auto"/>
      <w:ind w:firstLine="0"/>
    </w:pPr>
    <w:rPr>
      <w:sz w:val="20"/>
      <w:szCs w:val="20"/>
    </w:rPr>
  </w:style>
  <w:style w:type="paragraph" w:styleId="43">
    <w:name w:val="caption"/>
    <w:basedOn w:val="1"/>
    <w:next w:val="1"/>
    <w:link w:val="222"/>
    <w:unhideWhenUsed/>
    <w:qFormat/>
    <w:uiPriority w:val="35"/>
    <w:pPr>
      <w:spacing w:before="120" w:after="120"/>
      <w:ind w:firstLine="720"/>
      <w:jc w:val="both"/>
    </w:pPr>
    <w:rPr>
      <w:rFonts w:eastAsiaTheme="minorHAnsi" w:cstheme="minorBidi"/>
      <w:b/>
      <w:bCs/>
      <w:lang w:eastAsia="en-US"/>
    </w:rPr>
  </w:style>
  <w:style w:type="paragraph" w:styleId="44">
    <w:name w:val="annotation text"/>
    <w:basedOn w:val="1"/>
    <w:link w:val="397"/>
    <w:unhideWhenUsed/>
    <w:qFormat/>
    <w:uiPriority w:val="0"/>
    <w:pPr>
      <w:spacing w:line="240" w:lineRule="auto"/>
      <w:jc w:val="both"/>
    </w:pPr>
    <w:rPr>
      <w:sz w:val="20"/>
      <w:szCs w:val="20"/>
    </w:rPr>
  </w:style>
  <w:style w:type="paragraph" w:styleId="45">
    <w:name w:val="index 1"/>
    <w:basedOn w:val="1"/>
    <w:next w:val="1"/>
    <w:autoRedefine/>
    <w:semiHidden/>
    <w:unhideWhenUsed/>
    <w:uiPriority w:val="99"/>
    <w:pPr>
      <w:spacing w:after="0" w:line="240" w:lineRule="auto"/>
      <w:ind w:left="240" w:hanging="240"/>
    </w:pPr>
    <w:rPr>
      <w:rFonts w:eastAsia="Calibri"/>
      <w:sz w:val="24"/>
      <w:lang w:eastAsia="en-US"/>
    </w:rPr>
  </w:style>
  <w:style w:type="paragraph" w:styleId="46">
    <w:name w:val="annotation subject"/>
    <w:basedOn w:val="44"/>
    <w:next w:val="44"/>
    <w:link w:val="398"/>
    <w:unhideWhenUsed/>
    <w:qFormat/>
    <w:uiPriority w:val="0"/>
    <w:rPr>
      <w:b/>
      <w:bCs/>
    </w:rPr>
  </w:style>
  <w:style w:type="paragraph" w:styleId="47">
    <w:name w:val="Document Map"/>
    <w:basedOn w:val="1"/>
    <w:link w:val="163"/>
    <w:qFormat/>
    <w:uiPriority w:val="99"/>
    <w:pPr>
      <w:spacing w:after="0" w:line="240" w:lineRule="auto"/>
      <w:ind w:firstLine="0"/>
    </w:pPr>
    <w:rPr>
      <w:rFonts w:ascii="Tahoma" w:hAnsi="Tahoma" w:eastAsia="Calibri"/>
      <w:sz w:val="16"/>
      <w:szCs w:val="16"/>
    </w:rPr>
  </w:style>
  <w:style w:type="paragraph" w:styleId="48">
    <w:name w:val="footnote text"/>
    <w:basedOn w:val="1"/>
    <w:link w:val="220"/>
    <w:unhideWhenUsed/>
    <w:qFormat/>
    <w:uiPriority w:val="0"/>
    <w:pPr>
      <w:keepLines/>
      <w:spacing w:before="120" w:after="120" w:line="240" w:lineRule="auto"/>
      <w:ind w:firstLine="567"/>
      <w:jc w:val="both"/>
    </w:pPr>
    <w:rPr>
      <w:rFonts w:ascii="TimesET" w:hAnsi="TimesET" w:cs="TimesET" w:eastAsiaTheme="minorHAnsi"/>
      <w:kern w:val="24"/>
      <w:sz w:val="22"/>
      <w:lang w:eastAsia="en-US"/>
    </w:rPr>
  </w:style>
  <w:style w:type="paragraph" w:styleId="49">
    <w:name w:val="toc 8"/>
    <w:basedOn w:val="1"/>
    <w:next w:val="1"/>
    <w:autoRedefine/>
    <w:unhideWhenUsed/>
    <w:uiPriority w:val="39"/>
    <w:pPr>
      <w:spacing w:after="0"/>
      <w:ind w:left="1680"/>
    </w:pPr>
    <w:rPr>
      <w:rFonts w:asciiTheme="minorHAnsi" w:hAnsiTheme="minorHAnsi" w:cstheme="minorHAnsi"/>
      <w:sz w:val="20"/>
      <w:szCs w:val="20"/>
    </w:rPr>
  </w:style>
  <w:style w:type="paragraph" w:styleId="50">
    <w:name w:val="index 2"/>
    <w:basedOn w:val="1"/>
    <w:next w:val="1"/>
    <w:autoRedefine/>
    <w:qFormat/>
    <w:uiPriority w:val="0"/>
    <w:pPr>
      <w:widowControl w:val="0"/>
      <w:autoSpaceDE w:val="0"/>
      <w:autoSpaceDN w:val="0"/>
      <w:adjustRightInd w:val="0"/>
      <w:spacing w:after="0" w:line="240" w:lineRule="auto"/>
      <w:ind w:left="400" w:hanging="200"/>
    </w:pPr>
    <w:rPr>
      <w:sz w:val="20"/>
      <w:szCs w:val="20"/>
    </w:rPr>
  </w:style>
  <w:style w:type="paragraph" w:styleId="51">
    <w:name w:val="List Number 3"/>
    <w:basedOn w:val="36"/>
    <w:uiPriority w:val="99"/>
    <w:pPr>
      <w:tabs>
        <w:tab w:val="left" w:pos="720"/>
        <w:tab w:val="clear" w:pos="926"/>
      </w:tabs>
      <w:spacing w:after="240" w:line="240" w:lineRule="atLeast"/>
      <w:ind w:left="2160"/>
      <w:jc w:val="both"/>
    </w:pPr>
    <w:rPr>
      <w:rFonts w:ascii="Arial" w:hAnsi="Arial" w:cs="Arial"/>
      <w:spacing w:val="-5"/>
      <w:sz w:val="20"/>
      <w:szCs w:val="20"/>
      <w:lang w:eastAsia="en-US"/>
    </w:rPr>
  </w:style>
  <w:style w:type="paragraph" w:styleId="52">
    <w:name w:val="HTML Address"/>
    <w:basedOn w:val="1"/>
    <w:link w:val="1104"/>
    <w:uiPriority w:val="0"/>
    <w:pPr>
      <w:spacing w:after="0"/>
      <w:ind w:left="1080"/>
      <w:jc w:val="both"/>
    </w:pPr>
    <w:rPr>
      <w:rFonts w:ascii="Arial" w:hAnsi="Arial" w:cs="Arial"/>
      <w:i/>
      <w:iCs/>
      <w:spacing w:val="-5"/>
      <w:sz w:val="20"/>
      <w:szCs w:val="20"/>
      <w:lang w:eastAsia="en-US"/>
    </w:rPr>
  </w:style>
  <w:style w:type="paragraph" w:styleId="53">
    <w:name w:val="index 3"/>
    <w:basedOn w:val="1"/>
    <w:next w:val="1"/>
    <w:autoRedefine/>
    <w:semiHidden/>
    <w:unhideWhenUsed/>
    <w:uiPriority w:val="99"/>
    <w:pPr>
      <w:spacing w:after="0" w:line="240" w:lineRule="auto"/>
      <w:ind w:left="720" w:hanging="240"/>
    </w:pPr>
    <w:rPr>
      <w:rFonts w:eastAsia="Calibri"/>
      <w:sz w:val="24"/>
      <w:lang w:eastAsia="en-US"/>
    </w:rPr>
  </w:style>
  <w:style w:type="paragraph" w:styleId="54">
    <w:name w:val="header"/>
    <w:basedOn w:val="1"/>
    <w:link w:val="158"/>
    <w:unhideWhenUsed/>
    <w:qFormat/>
    <w:uiPriority w:val="99"/>
    <w:pPr>
      <w:tabs>
        <w:tab w:val="center" w:pos="4677"/>
        <w:tab w:val="right" w:pos="9355"/>
      </w:tabs>
      <w:spacing w:after="0" w:line="240" w:lineRule="auto"/>
      <w:jc w:val="both"/>
    </w:pPr>
    <w:rPr>
      <w:sz w:val="26"/>
      <w:szCs w:val="20"/>
    </w:rPr>
  </w:style>
  <w:style w:type="paragraph" w:styleId="55">
    <w:name w:val="toc 9"/>
    <w:basedOn w:val="1"/>
    <w:next w:val="1"/>
    <w:autoRedefine/>
    <w:unhideWhenUsed/>
    <w:uiPriority w:val="39"/>
    <w:pPr>
      <w:spacing w:after="0"/>
      <w:ind w:left="1960"/>
    </w:pPr>
    <w:rPr>
      <w:rFonts w:asciiTheme="minorHAnsi" w:hAnsiTheme="minorHAnsi" w:cstheme="minorHAnsi"/>
      <w:sz w:val="20"/>
      <w:szCs w:val="20"/>
    </w:rPr>
  </w:style>
  <w:style w:type="paragraph" w:styleId="56">
    <w:name w:val="toc 7"/>
    <w:basedOn w:val="1"/>
    <w:next w:val="1"/>
    <w:autoRedefine/>
    <w:unhideWhenUsed/>
    <w:qFormat/>
    <w:uiPriority w:val="39"/>
    <w:pPr>
      <w:spacing w:after="0"/>
      <w:ind w:left="1400"/>
    </w:pPr>
    <w:rPr>
      <w:rFonts w:asciiTheme="minorHAnsi" w:hAnsiTheme="minorHAnsi" w:cstheme="minorHAnsi"/>
      <w:sz w:val="20"/>
      <w:szCs w:val="20"/>
    </w:rPr>
  </w:style>
  <w:style w:type="paragraph" w:styleId="57">
    <w:name w:val="envelope address"/>
    <w:basedOn w:val="1"/>
    <w:uiPriority w:val="0"/>
    <w:pPr>
      <w:framePr w:w="7920" w:h="1980" w:hRule="exact" w:hSpace="180" w:wrap="auto" w:vAnchor="margin" w:hAnchor="page" w:xAlign="center" w:yAlign="bottom"/>
      <w:spacing w:after="0"/>
      <w:ind w:left="2880"/>
      <w:jc w:val="both"/>
    </w:pPr>
    <w:rPr>
      <w:rFonts w:ascii="Arial" w:hAnsi="Arial" w:cs="Arial"/>
      <w:spacing w:val="-5"/>
      <w:szCs w:val="28"/>
      <w:lang w:eastAsia="en-US"/>
    </w:rPr>
  </w:style>
  <w:style w:type="paragraph" w:styleId="58">
    <w:name w:val="Body Text"/>
    <w:basedOn w:val="1"/>
    <w:link w:val="161"/>
    <w:unhideWhenUsed/>
    <w:qFormat/>
    <w:uiPriority w:val="0"/>
    <w:pPr>
      <w:spacing w:before="120" w:after="120"/>
      <w:ind w:firstLine="425"/>
      <w:jc w:val="both"/>
    </w:pPr>
    <w:rPr>
      <w:sz w:val="26"/>
      <w:szCs w:val="26"/>
    </w:rPr>
  </w:style>
  <w:style w:type="paragraph" w:styleId="59">
    <w:name w:val="List Number 4"/>
    <w:basedOn w:val="36"/>
    <w:uiPriority w:val="99"/>
    <w:pPr>
      <w:tabs>
        <w:tab w:val="clear" w:pos="926"/>
      </w:tabs>
      <w:spacing w:after="240" w:line="240" w:lineRule="atLeast"/>
      <w:ind w:left="2520"/>
      <w:jc w:val="both"/>
    </w:pPr>
    <w:rPr>
      <w:rFonts w:ascii="Arial" w:hAnsi="Arial" w:cs="Arial"/>
      <w:spacing w:val="-5"/>
      <w:sz w:val="20"/>
      <w:szCs w:val="20"/>
      <w:lang w:eastAsia="en-US"/>
    </w:rPr>
  </w:style>
  <w:style w:type="paragraph" w:styleId="60">
    <w:name w:val="toc 1"/>
    <w:basedOn w:val="1"/>
    <w:next w:val="1"/>
    <w:link w:val="1206"/>
    <w:unhideWhenUsed/>
    <w:qFormat/>
    <w:uiPriority w:val="39"/>
    <w:pPr>
      <w:tabs>
        <w:tab w:val="left" w:pos="1120"/>
        <w:tab w:val="right" w:leader="dot" w:pos="9356"/>
        <w:tab w:val="right" w:leader="dot" w:pos="9639"/>
      </w:tabs>
      <w:spacing w:after="0" w:line="240" w:lineRule="auto"/>
      <w:ind w:firstLine="0"/>
      <w:jc w:val="both"/>
    </w:pPr>
    <w:rPr>
      <w:rFonts w:asciiTheme="majorHAnsi" w:hAnsiTheme="majorHAnsi"/>
      <w:b/>
      <w:bCs/>
      <w:caps/>
      <w:sz w:val="24"/>
      <w:szCs w:val="24"/>
    </w:rPr>
  </w:style>
  <w:style w:type="paragraph" w:styleId="61">
    <w:name w:val="table of authorities"/>
    <w:basedOn w:val="1"/>
    <w:next w:val="1"/>
    <w:semiHidden/>
    <w:unhideWhenUsed/>
    <w:uiPriority w:val="99"/>
    <w:pPr>
      <w:spacing w:after="0" w:line="240" w:lineRule="auto"/>
      <w:ind w:left="240" w:hanging="240"/>
    </w:pPr>
    <w:rPr>
      <w:rFonts w:eastAsia="Calibri"/>
      <w:sz w:val="24"/>
      <w:lang w:eastAsia="en-US"/>
    </w:rPr>
  </w:style>
  <w:style w:type="paragraph" w:styleId="62">
    <w:name w:val="macro"/>
    <w:link w:val="1925"/>
    <w:uiPriority w:val="0"/>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hAnsi="Courier New" w:eastAsia="Times New Roman" w:cs="Times New Roman"/>
      <w:sz w:val="20"/>
      <w:szCs w:val="20"/>
      <w:lang w:val="ru-RU" w:eastAsia="ru-RU" w:bidi="ar-SA"/>
    </w:rPr>
  </w:style>
  <w:style w:type="paragraph" w:styleId="63">
    <w:name w:val="toc 6"/>
    <w:basedOn w:val="1"/>
    <w:next w:val="1"/>
    <w:autoRedefine/>
    <w:unhideWhenUsed/>
    <w:qFormat/>
    <w:uiPriority w:val="39"/>
    <w:pPr>
      <w:spacing w:after="0"/>
      <w:ind w:left="1120"/>
    </w:pPr>
    <w:rPr>
      <w:rFonts w:asciiTheme="minorHAnsi" w:hAnsiTheme="minorHAnsi" w:cstheme="minorHAnsi"/>
      <w:sz w:val="20"/>
      <w:szCs w:val="20"/>
    </w:rPr>
  </w:style>
  <w:style w:type="paragraph" w:styleId="64">
    <w:name w:val="table of figures"/>
    <w:basedOn w:val="1"/>
    <w:next w:val="1"/>
    <w:unhideWhenUsed/>
    <w:qFormat/>
    <w:uiPriority w:val="99"/>
    <w:pPr>
      <w:spacing w:line="276" w:lineRule="auto"/>
      <w:jc w:val="both"/>
    </w:pPr>
    <w:rPr>
      <w:sz w:val="26"/>
    </w:rPr>
  </w:style>
  <w:style w:type="paragraph" w:styleId="65">
    <w:name w:val="toc 3"/>
    <w:basedOn w:val="1"/>
    <w:next w:val="1"/>
    <w:link w:val="1209"/>
    <w:autoRedefine/>
    <w:unhideWhenUsed/>
    <w:qFormat/>
    <w:uiPriority w:val="39"/>
    <w:pPr>
      <w:tabs>
        <w:tab w:val="left" w:pos="709"/>
        <w:tab w:val="right" w:leader="dot" w:pos="9638"/>
      </w:tabs>
      <w:spacing w:after="0" w:line="240" w:lineRule="auto"/>
      <w:ind w:firstLine="0"/>
      <w:contextualSpacing/>
      <w:jc w:val="both"/>
    </w:pPr>
    <w:rPr>
      <w:rFonts w:asciiTheme="minorHAnsi" w:hAnsiTheme="minorHAnsi" w:cstheme="minorHAnsi"/>
      <w:sz w:val="20"/>
      <w:szCs w:val="20"/>
    </w:rPr>
  </w:style>
  <w:style w:type="paragraph" w:styleId="66">
    <w:name w:val="toc 2"/>
    <w:basedOn w:val="1"/>
    <w:next w:val="1"/>
    <w:autoRedefine/>
    <w:unhideWhenUsed/>
    <w:qFormat/>
    <w:uiPriority w:val="39"/>
    <w:pPr>
      <w:tabs>
        <w:tab w:val="left" w:pos="709"/>
        <w:tab w:val="left" w:pos="1400"/>
        <w:tab w:val="right" w:leader="dot" w:pos="9639"/>
      </w:tabs>
      <w:spacing w:after="0" w:line="240" w:lineRule="auto"/>
      <w:ind w:firstLine="0"/>
      <w:jc w:val="both"/>
    </w:pPr>
    <w:rPr>
      <w:sz w:val="24"/>
      <w:szCs w:val="24"/>
    </w:rPr>
  </w:style>
  <w:style w:type="paragraph" w:styleId="67">
    <w:name w:val="toc 4"/>
    <w:basedOn w:val="1"/>
    <w:next w:val="1"/>
    <w:autoRedefine/>
    <w:unhideWhenUsed/>
    <w:qFormat/>
    <w:uiPriority w:val="39"/>
    <w:pPr>
      <w:spacing w:after="0"/>
      <w:ind w:left="560"/>
    </w:pPr>
    <w:rPr>
      <w:rFonts w:asciiTheme="minorHAnsi" w:hAnsiTheme="minorHAnsi" w:cstheme="minorHAnsi"/>
      <w:sz w:val="20"/>
      <w:szCs w:val="20"/>
    </w:rPr>
  </w:style>
  <w:style w:type="paragraph" w:styleId="68">
    <w:name w:val="toc 5"/>
    <w:basedOn w:val="1"/>
    <w:next w:val="1"/>
    <w:autoRedefine/>
    <w:unhideWhenUsed/>
    <w:qFormat/>
    <w:uiPriority w:val="39"/>
    <w:pPr>
      <w:spacing w:after="0"/>
      <w:ind w:left="840"/>
    </w:pPr>
    <w:rPr>
      <w:rFonts w:asciiTheme="minorHAnsi" w:hAnsiTheme="minorHAnsi" w:cstheme="minorHAnsi"/>
      <w:sz w:val="20"/>
      <w:szCs w:val="20"/>
    </w:rPr>
  </w:style>
  <w:style w:type="paragraph" w:styleId="69">
    <w:name w:val="Note Heading"/>
    <w:basedOn w:val="1"/>
    <w:next w:val="1"/>
    <w:link w:val="1106"/>
    <w:uiPriority w:val="0"/>
    <w:pPr>
      <w:spacing w:after="0"/>
      <w:ind w:left="1080"/>
      <w:jc w:val="both"/>
    </w:pPr>
    <w:rPr>
      <w:rFonts w:ascii="Arial" w:hAnsi="Arial" w:cs="Arial"/>
      <w:spacing w:val="-5"/>
      <w:sz w:val="20"/>
      <w:szCs w:val="20"/>
      <w:lang w:eastAsia="en-US"/>
    </w:rPr>
  </w:style>
  <w:style w:type="paragraph" w:styleId="70">
    <w:name w:val="Date"/>
    <w:basedOn w:val="1"/>
    <w:next w:val="1"/>
    <w:link w:val="1105"/>
    <w:uiPriority w:val="0"/>
    <w:pPr>
      <w:spacing w:after="0"/>
      <w:ind w:left="1080"/>
      <w:jc w:val="both"/>
    </w:pPr>
    <w:rPr>
      <w:rFonts w:ascii="Arial" w:hAnsi="Arial" w:cs="Arial"/>
      <w:spacing w:val="-5"/>
      <w:sz w:val="20"/>
      <w:szCs w:val="20"/>
      <w:lang w:eastAsia="en-US"/>
    </w:rPr>
  </w:style>
  <w:style w:type="paragraph" w:styleId="71">
    <w:name w:val="List Bullet 5"/>
    <w:basedOn w:val="1"/>
    <w:autoRedefine/>
    <w:uiPriority w:val="99"/>
    <w:pPr>
      <w:tabs>
        <w:tab w:val="left" w:pos="552"/>
      </w:tabs>
      <w:spacing w:after="240" w:line="240" w:lineRule="atLeast"/>
      <w:ind w:left="2880" w:hanging="552"/>
      <w:jc w:val="both"/>
    </w:pPr>
    <w:rPr>
      <w:rFonts w:ascii="Arial" w:hAnsi="Arial" w:cs="Arial"/>
      <w:spacing w:val="-5"/>
      <w:sz w:val="20"/>
      <w:szCs w:val="20"/>
      <w:lang w:eastAsia="en-US"/>
    </w:rPr>
  </w:style>
  <w:style w:type="paragraph" w:styleId="72">
    <w:name w:val="Body Text First Indent"/>
    <w:basedOn w:val="58"/>
    <w:link w:val="678"/>
    <w:unhideWhenUsed/>
    <w:qFormat/>
    <w:uiPriority w:val="0"/>
    <w:pPr>
      <w:spacing w:before="0" w:line="240" w:lineRule="auto"/>
      <w:ind w:firstLine="210"/>
      <w:jc w:val="left"/>
    </w:pPr>
    <w:rPr>
      <w:rFonts w:eastAsia="Calibri"/>
      <w:sz w:val="24"/>
      <w:szCs w:val="24"/>
      <w:lang w:eastAsia="en-US"/>
    </w:rPr>
  </w:style>
  <w:style w:type="paragraph" w:styleId="73">
    <w:name w:val="Body Text First Indent 2"/>
    <w:basedOn w:val="74"/>
    <w:link w:val="500"/>
    <w:qFormat/>
    <w:uiPriority w:val="0"/>
    <w:pPr>
      <w:spacing w:after="120"/>
      <w:ind w:left="283" w:firstLine="210"/>
    </w:pPr>
    <w:rPr>
      <w:szCs w:val="24"/>
    </w:rPr>
  </w:style>
  <w:style w:type="paragraph" w:styleId="74">
    <w:name w:val="Body Text Indent"/>
    <w:basedOn w:val="1"/>
    <w:link w:val="152"/>
    <w:unhideWhenUsed/>
    <w:uiPriority w:val="0"/>
    <w:pPr>
      <w:spacing w:after="0" w:line="240" w:lineRule="auto"/>
      <w:ind w:firstLine="720"/>
    </w:pPr>
    <w:rPr>
      <w:sz w:val="24"/>
      <w:szCs w:val="20"/>
    </w:rPr>
  </w:style>
  <w:style w:type="paragraph" w:styleId="75">
    <w:name w:val="List Bullet 4"/>
    <w:basedOn w:val="1"/>
    <w:qFormat/>
    <w:uiPriority w:val="0"/>
    <w:pPr>
      <w:numPr>
        <w:ilvl w:val="0"/>
        <w:numId w:val="2"/>
      </w:numPr>
      <w:overflowPunct w:val="0"/>
      <w:autoSpaceDE w:val="0"/>
      <w:autoSpaceDN w:val="0"/>
      <w:adjustRightInd w:val="0"/>
      <w:spacing w:after="0" w:line="240" w:lineRule="auto"/>
    </w:pPr>
    <w:rPr>
      <w:sz w:val="24"/>
      <w:szCs w:val="20"/>
    </w:rPr>
  </w:style>
  <w:style w:type="paragraph" w:styleId="76">
    <w:name w:val="List Bullet"/>
    <w:basedOn w:val="1"/>
    <w:link w:val="1155"/>
    <w:qFormat/>
    <w:uiPriority w:val="0"/>
    <w:pPr>
      <w:numPr>
        <w:ilvl w:val="0"/>
        <w:numId w:val="3"/>
      </w:numPr>
      <w:spacing w:after="0" w:line="240" w:lineRule="auto"/>
    </w:pPr>
    <w:rPr>
      <w:sz w:val="24"/>
      <w:szCs w:val="24"/>
    </w:rPr>
  </w:style>
  <w:style w:type="paragraph" w:styleId="77">
    <w:name w:val="List Bullet 2"/>
    <w:basedOn w:val="1"/>
    <w:qFormat/>
    <w:uiPriority w:val="0"/>
    <w:pPr>
      <w:tabs>
        <w:tab w:val="left" w:pos="643"/>
      </w:tabs>
      <w:spacing w:after="0" w:line="240" w:lineRule="auto"/>
      <w:ind w:left="643" w:hanging="360"/>
    </w:pPr>
    <w:rPr>
      <w:sz w:val="24"/>
      <w:szCs w:val="20"/>
    </w:rPr>
  </w:style>
  <w:style w:type="paragraph" w:styleId="78">
    <w:name w:val="List Bullet 3"/>
    <w:basedOn w:val="1"/>
    <w:autoRedefine/>
    <w:qFormat/>
    <w:uiPriority w:val="0"/>
    <w:pPr>
      <w:numPr>
        <w:ilvl w:val="0"/>
        <w:numId w:val="4"/>
      </w:numPr>
      <w:tabs>
        <w:tab w:val="left" w:pos="360"/>
        <w:tab w:val="clear" w:pos="926"/>
      </w:tabs>
      <w:overflowPunct w:val="0"/>
      <w:autoSpaceDE w:val="0"/>
      <w:autoSpaceDN w:val="0"/>
      <w:adjustRightInd w:val="0"/>
      <w:spacing w:after="0" w:line="240" w:lineRule="auto"/>
      <w:ind w:left="0" w:firstLine="0"/>
    </w:pPr>
    <w:rPr>
      <w:sz w:val="24"/>
      <w:szCs w:val="20"/>
    </w:rPr>
  </w:style>
  <w:style w:type="paragraph" w:styleId="79">
    <w:name w:val="Title"/>
    <w:basedOn w:val="1"/>
    <w:link w:val="224"/>
    <w:qFormat/>
    <w:uiPriority w:val="0"/>
    <w:pPr>
      <w:spacing w:after="0" w:line="240" w:lineRule="auto"/>
      <w:ind w:firstLine="0"/>
      <w:jc w:val="center"/>
    </w:pPr>
    <w:rPr>
      <w:sz w:val="24"/>
      <w:szCs w:val="20"/>
    </w:rPr>
  </w:style>
  <w:style w:type="paragraph" w:styleId="80">
    <w:name w:val="footer"/>
    <w:basedOn w:val="1"/>
    <w:link w:val="159"/>
    <w:unhideWhenUsed/>
    <w:qFormat/>
    <w:uiPriority w:val="99"/>
    <w:pPr>
      <w:tabs>
        <w:tab w:val="center" w:pos="4677"/>
        <w:tab w:val="right" w:pos="9355"/>
      </w:tabs>
      <w:spacing w:after="0" w:line="240" w:lineRule="auto"/>
      <w:jc w:val="both"/>
    </w:pPr>
    <w:rPr>
      <w:sz w:val="26"/>
      <w:szCs w:val="20"/>
    </w:rPr>
  </w:style>
  <w:style w:type="paragraph" w:styleId="81">
    <w:name w:val="List Number 2"/>
    <w:basedOn w:val="36"/>
    <w:uiPriority w:val="99"/>
    <w:pPr>
      <w:tabs>
        <w:tab w:val="clear" w:pos="926"/>
      </w:tabs>
      <w:spacing w:after="240" w:line="240" w:lineRule="atLeast"/>
      <w:ind w:left="1800"/>
      <w:jc w:val="both"/>
    </w:pPr>
    <w:rPr>
      <w:rFonts w:ascii="Arial" w:hAnsi="Arial" w:cs="Arial"/>
      <w:spacing w:val="-5"/>
      <w:sz w:val="20"/>
      <w:szCs w:val="20"/>
      <w:lang w:eastAsia="en-US"/>
    </w:rPr>
  </w:style>
  <w:style w:type="paragraph" w:styleId="82">
    <w:name w:val="Normal (Web)"/>
    <w:basedOn w:val="1"/>
    <w:link w:val="411"/>
    <w:unhideWhenUsed/>
    <w:qFormat/>
    <w:uiPriority w:val="0"/>
    <w:pPr>
      <w:spacing w:before="100" w:beforeAutospacing="1" w:after="100" w:afterAutospacing="1" w:line="240" w:lineRule="auto"/>
      <w:ind w:firstLine="0"/>
    </w:pPr>
    <w:rPr>
      <w:sz w:val="24"/>
      <w:szCs w:val="24"/>
    </w:rPr>
  </w:style>
  <w:style w:type="paragraph" w:styleId="83">
    <w:name w:val="Body Text 3"/>
    <w:basedOn w:val="1"/>
    <w:link w:val="442"/>
    <w:qFormat/>
    <w:uiPriority w:val="99"/>
    <w:pPr>
      <w:spacing w:after="120" w:line="240" w:lineRule="auto"/>
      <w:ind w:firstLine="0"/>
    </w:pPr>
    <w:rPr>
      <w:sz w:val="16"/>
      <w:szCs w:val="16"/>
    </w:rPr>
  </w:style>
  <w:style w:type="paragraph" w:styleId="84">
    <w:name w:val="Body Text Indent 2"/>
    <w:basedOn w:val="1"/>
    <w:link w:val="164"/>
    <w:qFormat/>
    <w:uiPriority w:val="0"/>
    <w:pPr>
      <w:widowControl w:val="0"/>
      <w:autoSpaceDE w:val="0"/>
      <w:autoSpaceDN w:val="0"/>
      <w:adjustRightInd w:val="0"/>
      <w:spacing w:after="120" w:line="480" w:lineRule="auto"/>
      <w:ind w:left="283" w:firstLine="0"/>
    </w:pPr>
    <w:rPr>
      <w:rFonts w:ascii="Arial" w:hAnsi="Arial"/>
      <w:sz w:val="20"/>
      <w:szCs w:val="20"/>
    </w:rPr>
  </w:style>
  <w:style w:type="paragraph" w:styleId="85">
    <w:name w:val="Subtitle"/>
    <w:basedOn w:val="1"/>
    <w:link w:val="544"/>
    <w:qFormat/>
    <w:uiPriority w:val="0"/>
    <w:pPr>
      <w:numPr>
        <w:ilvl w:val="0"/>
        <w:numId w:val="5"/>
      </w:numPr>
      <w:spacing w:after="0" w:line="240" w:lineRule="auto"/>
      <w:jc w:val="both"/>
    </w:pPr>
    <w:rPr>
      <w:sz w:val="24"/>
      <w:szCs w:val="20"/>
    </w:rPr>
  </w:style>
  <w:style w:type="paragraph" w:styleId="86">
    <w:name w:val="Signature"/>
    <w:basedOn w:val="1"/>
    <w:link w:val="549"/>
    <w:qFormat/>
    <w:uiPriority w:val="0"/>
    <w:pPr>
      <w:overflowPunct w:val="0"/>
      <w:autoSpaceDE w:val="0"/>
      <w:autoSpaceDN w:val="0"/>
      <w:adjustRightInd w:val="0"/>
      <w:spacing w:after="0" w:line="240" w:lineRule="auto"/>
      <w:ind w:left="4252" w:firstLine="0"/>
    </w:pPr>
    <w:rPr>
      <w:sz w:val="24"/>
      <w:szCs w:val="20"/>
    </w:rPr>
  </w:style>
  <w:style w:type="paragraph" w:styleId="87">
    <w:name w:val="Salutation"/>
    <w:basedOn w:val="1"/>
    <w:next w:val="1"/>
    <w:link w:val="1083"/>
    <w:uiPriority w:val="0"/>
    <w:pPr>
      <w:spacing w:after="0"/>
      <w:ind w:left="1080"/>
      <w:jc w:val="both"/>
    </w:pPr>
    <w:rPr>
      <w:rFonts w:ascii="Arial" w:hAnsi="Arial" w:cs="Arial"/>
      <w:spacing w:val="-5"/>
      <w:sz w:val="20"/>
      <w:szCs w:val="20"/>
      <w:lang w:eastAsia="en-US"/>
    </w:rPr>
  </w:style>
  <w:style w:type="paragraph" w:styleId="88">
    <w:name w:val="List Continue 2"/>
    <w:basedOn w:val="1"/>
    <w:qFormat/>
    <w:uiPriority w:val="0"/>
    <w:pPr>
      <w:overflowPunct w:val="0"/>
      <w:autoSpaceDE w:val="0"/>
      <w:autoSpaceDN w:val="0"/>
      <w:adjustRightInd w:val="0"/>
      <w:spacing w:after="120" w:line="240" w:lineRule="auto"/>
      <w:ind w:left="566" w:firstLine="0"/>
      <w:textAlignment w:val="baseline"/>
    </w:pPr>
    <w:rPr>
      <w:sz w:val="24"/>
      <w:szCs w:val="20"/>
    </w:rPr>
  </w:style>
  <w:style w:type="paragraph" w:styleId="89">
    <w:name w:val="List Continue 3"/>
    <w:basedOn w:val="1"/>
    <w:qFormat/>
    <w:uiPriority w:val="0"/>
    <w:pPr>
      <w:overflowPunct w:val="0"/>
      <w:autoSpaceDE w:val="0"/>
      <w:autoSpaceDN w:val="0"/>
      <w:adjustRightInd w:val="0"/>
      <w:spacing w:after="120" w:line="240" w:lineRule="auto"/>
      <w:ind w:left="849" w:firstLine="0"/>
    </w:pPr>
    <w:rPr>
      <w:sz w:val="24"/>
      <w:szCs w:val="20"/>
    </w:rPr>
  </w:style>
  <w:style w:type="paragraph" w:styleId="90">
    <w:name w:val="List Continue 4"/>
    <w:basedOn w:val="33"/>
    <w:uiPriority w:val="99"/>
    <w:pPr>
      <w:overflowPunct/>
      <w:autoSpaceDE/>
      <w:autoSpaceDN/>
      <w:adjustRightInd/>
      <w:spacing w:after="240" w:line="240" w:lineRule="atLeast"/>
      <w:ind w:left="2880"/>
      <w:jc w:val="both"/>
    </w:pPr>
    <w:rPr>
      <w:rFonts w:ascii="Arial" w:hAnsi="Arial" w:cs="Arial"/>
      <w:spacing w:val="-5"/>
      <w:sz w:val="20"/>
      <w:lang w:eastAsia="en-US"/>
    </w:rPr>
  </w:style>
  <w:style w:type="paragraph" w:styleId="91">
    <w:name w:val="List Continue 5"/>
    <w:basedOn w:val="33"/>
    <w:uiPriority w:val="99"/>
    <w:pPr>
      <w:overflowPunct/>
      <w:autoSpaceDE/>
      <w:autoSpaceDN/>
      <w:adjustRightInd/>
      <w:spacing w:after="240" w:line="240" w:lineRule="atLeast"/>
      <w:ind w:left="3240"/>
      <w:jc w:val="both"/>
    </w:pPr>
    <w:rPr>
      <w:rFonts w:ascii="Arial" w:hAnsi="Arial" w:cs="Arial"/>
      <w:spacing w:val="-5"/>
      <w:sz w:val="20"/>
      <w:lang w:eastAsia="en-US"/>
    </w:rPr>
  </w:style>
  <w:style w:type="paragraph" w:styleId="92">
    <w:name w:val="List 2"/>
    <w:basedOn w:val="1"/>
    <w:unhideWhenUsed/>
    <w:qFormat/>
    <w:uiPriority w:val="0"/>
    <w:pPr>
      <w:overflowPunct w:val="0"/>
      <w:autoSpaceDE w:val="0"/>
      <w:autoSpaceDN w:val="0"/>
      <w:adjustRightInd w:val="0"/>
      <w:spacing w:after="0" w:line="240" w:lineRule="auto"/>
      <w:ind w:left="566" w:hanging="283"/>
    </w:pPr>
    <w:rPr>
      <w:sz w:val="20"/>
      <w:szCs w:val="20"/>
    </w:rPr>
  </w:style>
  <w:style w:type="paragraph" w:styleId="93">
    <w:name w:val="List 3"/>
    <w:basedOn w:val="1"/>
    <w:qFormat/>
    <w:uiPriority w:val="0"/>
    <w:pPr>
      <w:overflowPunct w:val="0"/>
      <w:autoSpaceDE w:val="0"/>
      <w:autoSpaceDN w:val="0"/>
      <w:adjustRightInd w:val="0"/>
      <w:spacing w:after="0" w:line="240" w:lineRule="auto"/>
      <w:ind w:left="849" w:hanging="283"/>
    </w:pPr>
    <w:rPr>
      <w:sz w:val="24"/>
      <w:szCs w:val="20"/>
    </w:rPr>
  </w:style>
  <w:style w:type="paragraph" w:styleId="94">
    <w:name w:val="List 4"/>
    <w:basedOn w:val="1"/>
    <w:qFormat/>
    <w:uiPriority w:val="0"/>
    <w:pPr>
      <w:tabs>
        <w:tab w:val="left" w:pos="360"/>
      </w:tabs>
      <w:overflowPunct w:val="0"/>
      <w:autoSpaceDE w:val="0"/>
      <w:autoSpaceDN w:val="0"/>
      <w:adjustRightInd w:val="0"/>
      <w:spacing w:after="0" w:line="240" w:lineRule="auto"/>
      <w:ind w:left="1132" w:hanging="283"/>
    </w:pPr>
    <w:rPr>
      <w:sz w:val="24"/>
      <w:szCs w:val="20"/>
    </w:rPr>
  </w:style>
  <w:style w:type="paragraph" w:styleId="95">
    <w:name w:val="HTML Preformatted"/>
    <w:basedOn w:val="1"/>
    <w:link w:val="52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rPr>
  </w:style>
  <w:style w:type="paragraph" w:styleId="96">
    <w:name w:val="Block Text"/>
    <w:basedOn w:val="1"/>
    <w:qFormat/>
    <w:uiPriority w:val="0"/>
    <w:pPr>
      <w:widowControl w:val="0"/>
      <w:shd w:val="clear" w:color="auto" w:fill="FFFFFF"/>
      <w:spacing w:after="0" w:line="240" w:lineRule="auto"/>
      <w:ind w:left="14" w:right="36" w:firstLine="695"/>
      <w:jc w:val="both"/>
    </w:pPr>
    <w:rPr>
      <w:snapToGrid w:val="0"/>
      <w:color w:val="000000"/>
      <w:spacing w:val="-1"/>
      <w:sz w:val="24"/>
      <w:szCs w:val="20"/>
    </w:rPr>
  </w:style>
  <w:style w:type="paragraph" w:styleId="97">
    <w:name w:val="Message Header"/>
    <w:basedOn w:val="1"/>
    <w:link w:val="637"/>
    <w:qFormat/>
    <w:uiPriority w:val="0"/>
    <w:pPr>
      <w:spacing w:before="120" w:after="120" w:line="199" w:lineRule="auto"/>
      <w:ind w:left="-57" w:right="113" w:firstLine="0"/>
      <w:jc w:val="right"/>
    </w:pPr>
    <w:rPr>
      <w:rFonts w:ascii="NTHelvetica/Cyrillic" w:hAnsi="NTHelvetica/Cyrillic"/>
      <w:sz w:val="16"/>
      <w:szCs w:val="20"/>
    </w:rPr>
  </w:style>
  <w:style w:type="paragraph" w:styleId="98">
    <w:name w:val="E-mail Signature"/>
    <w:basedOn w:val="1"/>
    <w:link w:val="1085"/>
    <w:uiPriority w:val="0"/>
    <w:pPr>
      <w:spacing w:after="0"/>
      <w:ind w:left="1080"/>
      <w:jc w:val="both"/>
    </w:pPr>
    <w:rPr>
      <w:rFonts w:ascii="Arial" w:hAnsi="Arial" w:cs="Arial"/>
      <w:spacing w:val="-5"/>
      <w:sz w:val="20"/>
      <w:szCs w:val="20"/>
      <w:lang w:eastAsia="en-US"/>
    </w:rPr>
  </w:style>
  <w:style w:type="table" w:styleId="99">
    <w:name w:val="Table Colorful 2"/>
    <w:basedOn w:val="12"/>
    <w:semiHidden/>
    <w:uiPriority w:val="0"/>
    <w:pPr>
      <w:spacing w:after="0" w:line="240" w:lineRule="auto"/>
    </w:pPr>
    <w:rPr>
      <w:rFonts w:ascii="Times New Roman" w:hAnsi="Times New Roman" w:eastAsia="Times New Roman" w:cs="Times New Roman"/>
      <w:sz w:val="20"/>
      <w:szCs w:val="20"/>
      <w:lang w:eastAsia="ru-RU"/>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0">
    <w:name w:val="Table Grid 2"/>
    <w:basedOn w:val="12"/>
    <w:semiHidden/>
    <w:uiPriority w:val="0"/>
    <w:pPr>
      <w:spacing w:after="0" w:line="240" w:lineRule="auto"/>
    </w:pPr>
    <w:rPr>
      <w:rFonts w:ascii="Times New Roman" w:hAnsi="Times New Roman" w:eastAsia="Times New Roman" w:cs="Times New Roman"/>
      <w:sz w:val="20"/>
      <w:szCs w:val="20"/>
      <w:lang w:eastAsia="ru-RU"/>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01">
    <w:name w:val="Table Subtle 1"/>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Theme"/>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03">
    <w:name w:val="Table Web 3"/>
    <w:basedOn w:val="12"/>
    <w:qFormat/>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104">
    <w:name w:val="Table Grid 6"/>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05">
    <w:name w:val="Table Simple 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6">
    <w:name w:val="Table Grid 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107">
    <w:name w:val="Table 3D effects 2"/>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5"/>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09">
    <w:name w:val="Table Classic 4"/>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10">
    <w:name w:val="Table Grid"/>
    <w:basedOn w:val="12"/>
    <w:qFormat/>
    <w:uiPriority w:val="0"/>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1">
    <w:name w:val="Table Classic 1"/>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12">
    <w:name w:val="Table Grid 5"/>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3D effects 3"/>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14">
    <w:name w:val="Table Columns 3"/>
    <w:basedOn w:val="12"/>
    <w:semiHidden/>
    <w:uiPriority w:val="0"/>
    <w:pPr>
      <w:spacing w:after="0" w:line="240" w:lineRule="auto"/>
    </w:pPr>
    <w:rPr>
      <w:rFonts w:ascii="Times New Roman" w:hAnsi="Times New Roman" w:eastAsia="Times New Roman" w:cs="Times New Roman"/>
      <w:b/>
      <w:bCs/>
      <w:sz w:val="20"/>
      <w:szCs w:val="20"/>
      <w:lang w:eastAsia="ru-RU"/>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5">
    <w:name w:val="Table Columns 4"/>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6">
    <w:name w:val="Table Classic 3"/>
    <w:basedOn w:val="12"/>
    <w:semiHidden/>
    <w:uiPriority w:val="0"/>
    <w:pPr>
      <w:spacing w:after="0" w:line="240" w:lineRule="auto"/>
    </w:pPr>
    <w:rPr>
      <w:rFonts w:ascii="Times New Roman" w:hAnsi="Times New Roman" w:eastAsia="Times New Roman" w:cs="Times New Roman"/>
      <w:color w:val="000080"/>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17">
    <w:name w:val="Table Professional"/>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styleId="118">
    <w:name w:val="Table Elegant"/>
    <w:basedOn w:val="12"/>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119">
    <w:name w:val="Table Colorful 1"/>
    <w:basedOn w:val="12"/>
    <w:semiHidden/>
    <w:uiPriority w:val="0"/>
    <w:pPr>
      <w:spacing w:after="0" w:line="240" w:lineRule="auto"/>
    </w:pPr>
    <w:rPr>
      <w:rFonts w:ascii="Times New Roman" w:hAnsi="Times New Roman" w:eastAsia="Times New Roman" w:cs="Times New Roman"/>
      <w:color w:val="FFFFFF"/>
      <w:sz w:val="20"/>
      <w:szCs w:val="20"/>
      <w:lang w:eastAsia="ru-RU"/>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20">
    <w:name w:val="Table List 3"/>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1">
    <w:name w:val="Table Web 2"/>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2">
    <w:name w:val="Table List 7"/>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3">
    <w:name w:val="Table Contemporary"/>
    <w:basedOn w:val="12"/>
    <w:qFormat/>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24">
    <w:name w:val="Table List 6"/>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style>
  <w:style w:type="table" w:styleId="125">
    <w:name w:val="Table Grid 4"/>
    <w:basedOn w:val="12"/>
    <w:semiHidden/>
    <w:uiPriority w:val="0"/>
    <w:pPr>
      <w:spacing w:after="0" w:line="240" w:lineRule="auto"/>
    </w:pPr>
    <w:rPr>
      <w:rFonts w:ascii="Times New Roman" w:hAnsi="Times New Roman" w:eastAsia="Times New Roman" w:cs="Times New Roman"/>
      <w:sz w:val="20"/>
      <w:szCs w:val="20"/>
      <w:lang w:eastAsia="ru-RU"/>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Columns 1"/>
    <w:basedOn w:val="12"/>
    <w:qFormat/>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7">
    <w:name w:val="Table List 8"/>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128">
    <w:name w:val="Table Grid 3"/>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129">
    <w:name w:val="Table Subtle 2"/>
    <w:basedOn w:val="12"/>
    <w:semiHidden/>
    <w:uiPriority w:val="0"/>
    <w:pPr>
      <w:spacing w:after="0" w:line="240" w:lineRule="auto"/>
    </w:pPr>
    <w:rPr>
      <w:rFonts w:ascii="Times New Roman" w:hAnsi="Times New Roman" w:eastAsia="Times New Roman" w:cs="Times New Roman"/>
      <w:sz w:val="20"/>
      <w:szCs w:val="20"/>
      <w:lang w:eastAsia="ru-RU"/>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0">
    <w:name w:val="Table List 4"/>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31">
    <w:name w:val="Table List 1"/>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32">
    <w:name w:val="Table Web 1"/>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Colorful 3"/>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34">
    <w:name w:val="Table Columns 5"/>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35">
    <w:name w:val="Table Classic 2"/>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36">
    <w:name w:val="Table Grid 7"/>
    <w:basedOn w:val="12"/>
    <w:semiHidden/>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7">
    <w:name w:val="Table 3D effects 1"/>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38">
    <w:name w:val="Table Columns 2"/>
    <w:basedOn w:val="12"/>
    <w:semiHidden/>
    <w:uiPriority w:val="0"/>
    <w:pPr>
      <w:spacing w:after="0" w:line="240" w:lineRule="auto"/>
    </w:pPr>
    <w:rPr>
      <w:rFonts w:ascii="Times New Roman" w:hAnsi="Times New Roman" w:eastAsia="Times New Roman" w:cs="Times New Roman"/>
      <w:b/>
      <w:bCs/>
      <w:sz w:val="20"/>
      <w:szCs w:val="20"/>
      <w:lang w:eastAsia="ru-RU"/>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9">
    <w:name w:val="Table Simple 2"/>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40">
    <w:name w:val="Table Simple 3"/>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41">
    <w:name w:val="Table Grid 8"/>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42">
    <w:name w:val="Table List 2"/>
    <w:basedOn w:val="12"/>
    <w:qFormat/>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143">
    <w:name w:val="Заголовок 1 Знак"/>
    <w:basedOn w:val="11"/>
    <w:link w:val="2"/>
    <w:qFormat/>
    <w:uiPriority w:val="9"/>
    <w:rPr>
      <w:rFonts w:ascii="Times New Roman" w:hAnsi="Times New Roman" w:eastAsiaTheme="majorEastAsia" w:cstheme="majorBidi"/>
      <w:b/>
      <w:sz w:val="28"/>
      <w:szCs w:val="32"/>
      <w:lang w:eastAsia="ru-RU"/>
    </w:rPr>
  </w:style>
  <w:style w:type="character" w:customStyle="1" w:styleId="144">
    <w:name w:val="Заголовок 2 Знак"/>
    <w:basedOn w:val="11"/>
    <w:link w:val="3"/>
    <w:qFormat/>
    <w:uiPriority w:val="1"/>
    <w:rPr>
      <w:rFonts w:ascii="Times New Roman" w:hAnsi="Times New Roman" w:eastAsiaTheme="majorEastAsia" w:cstheme="majorBidi"/>
      <w:b/>
      <w:color w:val="000000" w:themeColor="text1"/>
      <w:sz w:val="28"/>
      <w:szCs w:val="26"/>
      <w:lang w:eastAsia="ru-RU"/>
    </w:rPr>
  </w:style>
  <w:style w:type="character" w:customStyle="1" w:styleId="145">
    <w:name w:val="Заголовок 3 Знак"/>
    <w:basedOn w:val="11"/>
    <w:link w:val="4"/>
    <w:qFormat/>
    <w:uiPriority w:val="1"/>
    <w:rPr>
      <w:rFonts w:ascii="Times New Roman" w:hAnsi="Times New Roman" w:eastAsiaTheme="majorEastAsia" w:cstheme="majorBidi"/>
      <w:b/>
      <w:sz w:val="28"/>
      <w:szCs w:val="24"/>
      <w:lang w:eastAsia="ru-RU"/>
    </w:rPr>
  </w:style>
  <w:style w:type="character" w:customStyle="1" w:styleId="146">
    <w:name w:val="Заголовок 4 Знак"/>
    <w:basedOn w:val="11"/>
    <w:link w:val="5"/>
    <w:uiPriority w:val="0"/>
    <w:rPr>
      <w:rFonts w:asciiTheme="majorHAnsi" w:hAnsiTheme="majorHAnsi" w:eastAsiaTheme="majorEastAsia" w:cstheme="majorBidi"/>
      <w:i/>
      <w:iCs/>
      <w:color w:val="2F5496" w:themeColor="accent1" w:themeShade="BF"/>
      <w:sz w:val="28"/>
      <w:lang w:eastAsia="ru-RU"/>
    </w:rPr>
  </w:style>
  <w:style w:type="character" w:customStyle="1" w:styleId="147">
    <w:name w:val="Заголовок 5 Знак"/>
    <w:basedOn w:val="11"/>
    <w:link w:val="6"/>
    <w:qFormat/>
    <w:uiPriority w:val="0"/>
    <w:rPr>
      <w:rFonts w:asciiTheme="majorHAnsi" w:hAnsiTheme="majorHAnsi" w:eastAsiaTheme="majorEastAsia" w:cstheme="majorBidi"/>
      <w:color w:val="2F5496" w:themeColor="accent1" w:themeShade="BF"/>
      <w:sz w:val="28"/>
      <w:lang w:eastAsia="ru-RU"/>
    </w:rPr>
  </w:style>
  <w:style w:type="character" w:customStyle="1" w:styleId="148">
    <w:name w:val="Заголовок 6 Знак"/>
    <w:basedOn w:val="11"/>
    <w:link w:val="7"/>
    <w:qFormat/>
    <w:uiPriority w:val="9"/>
    <w:rPr>
      <w:rFonts w:asciiTheme="majorHAnsi" w:hAnsiTheme="majorHAnsi" w:eastAsiaTheme="majorEastAsia" w:cstheme="majorBidi"/>
      <w:color w:val="1F3863" w:themeColor="accent1" w:themeShade="7F"/>
      <w:sz w:val="28"/>
      <w:lang w:eastAsia="ru-RU"/>
    </w:rPr>
  </w:style>
  <w:style w:type="character" w:customStyle="1" w:styleId="149">
    <w:name w:val="Заголовок 7 Знак"/>
    <w:basedOn w:val="11"/>
    <w:link w:val="8"/>
    <w:qFormat/>
    <w:uiPriority w:val="99"/>
    <w:rPr>
      <w:rFonts w:asciiTheme="majorHAnsi" w:hAnsiTheme="majorHAnsi" w:eastAsiaTheme="majorEastAsia" w:cstheme="majorBidi"/>
      <w:i/>
      <w:iCs/>
      <w:color w:val="1F3863" w:themeColor="accent1" w:themeShade="7F"/>
      <w:sz w:val="28"/>
      <w:lang w:eastAsia="ru-RU"/>
    </w:rPr>
  </w:style>
  <w:style w:type="character" w:customStyle="1" w:styleId="150">
    <w:name w:val="Заголовок 8 Знак"/>
    <w:basedOn w:val="11"/>
    <w:link w:val="9"/>
    <w:qFormat/>
    <w:uiPriority w:val="99"/>
    <w:rPr>
      <w:rFonts w:asciiTheme="majorHAnsi" w:hAnsiTheme="majorHAnsi" w:eastAsiaTheme="majorEastAsia" w:cstheme="majorBidi"/>
      <w:color w:val="262626" w:themeColor="text1" w:themeTint="D8"/>
      <w:sz w:val="21"/>
      <w:szCs w:val="21"/>
      <w:lang w:eastAsia="ru-RU"/>
    </w:rPr>
  </w:style>
  <w:style w:type="character" w:customStyle="1" w:styleId="151">
    <w:name w:val="Заголовок 9 Знак"/>
    <w:basedOn w:val="11"/>
    <w:link w:val="10"/>
    <w:qFormat/>
    <w:uiPriority w:val="99"/>
    <w:rPr>
      <w:rFonts w:asciiTheme="majorHAnsi" w:hAnsiTheme="majorHAnsi" w:eastAsiaTheme="majorEastAsia" w:cstheme="majorBidi"/>
      <w:i/>
      <w:iCs/>
      <w:color w:val="262626" w:themeColor="text1" w:themeTint="D8"/>
      <w:sz w:val="21"/>
      <w:szCs w:val="21"/>
      <w:lang w:eastAsia="ru-RU"/>
    </w:rPr>
  </w:style>
  <w:style w:type="character" w:customStyle="1" w:styleId="152">
    <w:name w:val="Основной текст с отступом Знак"/>
    <w:basedOn w:val="11"/>
    <w:link w:val="74"/>
    <w:uiPriority w:val="0"/>
    <w:rPr>
      <w:rFonts w:ascii="Times New Roman" w:hAnsi="Times New Roman" w:eastAsia="Times New Roman" w:cs="Times New Roman"/>
      <w:sz w:val="24"/>
      <w:szCs w:val="20"/>
      <w:lang w:eastAsia="ru-RU"/>
    </w:rPr>
  </w:style>
  <w:style w:type="paragraph" w:styleId="153">
    <w:name w:val="List Paragraph"/>
    <w:basedOn w:val="1"/>
    <w:link w:val="154"/>
    <w:qFormat/>
    <w:uiPriority w:val="0"/>
    <w:pPr>
      <w:widowControl w:val="0"/>
      <w:adjustRightInd w:val="0"/>
      <w:spacing w:after="0" w:line="240" w:lineRule="auto"/>
      <w:ind w:left="720" w:firstLine="0"/>
      <w:contextualSpacing/>
      <w:jc w:val="both"/>
      <w:textAlignment w:val="baseline"/>
    </w:pPr>
    <w:rPr>
      <w:sz w:val="20"/>
      <w:szCs w:val="20"/>
    </w:rPr>
  </w:style>
  <w:style w:type="character" w:customStyle="1" w:styleId="154">
    <w:name w:val="Абзац списка Знак"/>
    <w:link w:val="153"/>
    <w:qFormat/>
    <w:locked/>
    <w:uiPriority w:val="0"/>
    <w:rPr>
      <w:rFonts w:ascii="Times New Roman" w:hAnsi="Times New Roman" w:eastAsia="Times New Roman" w:cs="Times New Roman"/>
      <w:sz w:val="20"/>
      <w:szCs w:val="20"/>
      <w:lang w:eastAsia="ru-RU"/>
    </w:rPr>
  </w:style>
  <w:style w:type="character" w:customStyle="1" w:styleId="155">
    <w:name w:val="Неразрешенное упоминание1"/>
    <w:basedOn w:val="11"/>
    <w:semiHidden/>
    <w:unhideWhenUsed/>
    <w:qFormat/>
    <w:uiPriority w:val="99"/>
    <w:rPr>
      <w:color w:val="605E5C"/>
      <w:shd w:val="clear" w:color="auto" w:fill="E1DFDD"/>
    </w:rPr>
  </w:style>
  <w:style w:type="paragraph" w:styleId="156">
    <w:name w:val="No Spacing"/>
    <w:link w:val="1927"/>
    <w:qFormat/>
    <w:uiPriority w:val="0"/>
    <w:pPr>
      <w:spacing w:after="0" w:line="240" w:lineRule="auto"/>
      <w:ind w:firstLine="709"/>
      <w:jc w:val="center"/>
    </w:pPr>
    <w:rPr>
      <w:rFonts w:ascii="Times New Roman" w:hAnsi="Times New Roman" w:eastAsia="Times New Roman" w:cs="Times New Roman"/>
      <w:b/>
      <w:sz w:val="28"/>
      <w:szCs w:val="22"/>
      <w:lang w:val="ru-RU" w:eastAsia="ru-RU" w:bidi="ar-SA"/>
    </w:rPr>
  </w:style>
  <w:style w:type="paragraph" w:customStyle="1" w:styleId="157">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ru-RU" w:eastAsia="ru-RU" w:bidi="ar-SA"/>
    </w:rPr>
  </w:style>
  <w:style w:type="character" w:customStyle="1" w:styleId="158">
    <w:name w:val="Верхний колонтитул Знак"/>
    <w:basedOn w:val="11"/>
    <w:link w:val="54"/>
    <w:qFormat/>
    <w:uiPriority w:val="99"/>
    <w:rPr>
      <w:rFonts w:ascii="Times New Roman" w:hAnsi="Times New Roman" w:eastAsia="Times New Roman" w:cs="Times New Roman"/>
      <w:sz w:val="26"/>
      <w:szCs w:val="20"/>
    </w:rPr>
  </w:style>
  <w:style w:type="character" w:customStyle="1" w:styleId="159">
    <w:name w:val="Нижний колонтитул Знак"/>
    <w:basedOn w:val="11"/>
    <w:link w:val="80"/>
    <w:qFormat/>
    <w:uiPriority w:val="99"/>
    <w:rPr>
      <w:rFonts w:ascii="Times New Roman" w:hAnsi="Times New Roman" w:eastAsia="Times New Roman" w:cs="Times New Roman"/>
      <w:sz w:val="26"/>
      <w:szCs w:val="20"/>
    </w:rPr>
  </w:style>
  <w:style w:type="character" w:customStyle="1" w:styleId="160">
    <w:name w:val="Текст выноски Знак"/>
    <w:basedOn w:val="11"/>
    <w:link w:val="30"/>
    <w:qFormat/>
    <w:uiPriority w:val="0"/>
    <w:rPr>
      <w:rFonts w:ascii="Tahoma" w:hAnsi="Tahoma" w:eastAsia="Times New Roman" w:cs="Times New Roman"/>
      <w:sz w:val="16"/>
      <w:szCs w:val="16"/>
    </w:rPr>
  </w:style>
  <w:style w:type="character" w:customStyle="1" w:styleId="161">
    <w:name w:val="Основной текст Знак"/>
    <w:basedOn w:val="11"/>
    <w:link w:val="58"/>
    <w:qFormat/>
    <w:uiPriority w:val="99"/>
    <w:rPr>
      <w:rFonts w:ascii="Times New Roman" w:hAnsi="Times New Roman" w:eastAsia="Times New Roman" w:cs="Times New Roman"/>
      <w:sz w:val="26"/>
      <w:szCs w:val="26"/>
    </w:rPr>
  </w:style>
  <w:style w:type="character" w:customStyle="1" w:styleId="162">
    <w:name w:val="Основной текст 2 Знак"/>
    <w:basedOn w:val="11"/>
    <w:link w:val="34"/>
    <w:qFormat/>
    <w:uiPriority w:val="0"/>
    <w:rPr>
      <w:rFonts w:ascii="Times New Roman" w:hAnsi="Times New Roman" w:eastAsia="Times New Roman" w:cs="Times New Roman"/>
      <w:sz w:val="26"/>
      <w:szCs w:val="21"/>
    </w:rPr>
  </w:style>
  <w:style w:type="character" w:customStyle="1" w:styleId="163">
    <w:name w:val="Схема документа Знак"/>
    <w:basedOn w:val="11"/>
    <w:link w:val="47"/>
    <w:qFormat/>
    <w:uiPriority w:val="99"/>
    <w:rPr>
      <w:rFonts w:ascii="Tahoma" w:hAnsi="Tahoma" w:eastAsia="Calibri" w:cs="Times New Roman"/>
      <w:sz w:val="16"/>
      <w:szCs w:val="16"/>
    </w:rPr>
  </w:style>
  <w:style w:type="character" w:customStyle="1" w:styleId="164">
    <w:name w:val="Основной текст с отступом 2 Знак"/>
    <w:basedOn w:val="11"/>
    <w:link w:val="84"/>
    <w:qFormat/>
    <w:uiPriority w:val="0"/>
    <w:rPr>
      <w:rFonts w:ascii="Arial" w:hAnsi="Arial" w:eastAsia="Times New Roman" w:cs="Times New Roman"/>
      <w:sz w:val="20"/>
      <w:szCs w:val="20"/>
    </w:rPr>
  </w:style>
  <w:style w:type="paragraph" w:customStyle="1" w:styleId="165">
    <w:name w:val="font5"/>
    <w:basedOn w:val="1"/>
    <w:qFormat/>
    <w:uiPriority w:val="0"/>
    <w:pPr>
      <w:spacing w:before="100" w:beforeAutospacing="1" w:after="100" w:afterAutospacing="1" w:line="240" w:lineRule="auto"/>
      <w:ind w:firstLine="0"/>
    </w:pPr>
    <w:rPr>
      <w:rFonts w:ascii="Calibri" w:hAnsi="Calibri" w:cs="Calibri"/>
      <w:i/>
      <w:iCs/>
      <w:color w:val="000000"/>
      <w:sz w:val="18"/>
      <w:szCs w:val="18"/>
    </w:rPr>
  </w:style>
  <w:style w:type="paragraph" w:customStyle="1" w:styleId="166">
    <w:name w:val="xl77"/>
    <w:basedOn w:val="1"/>
    <w:qFormat/>
    <w:uiPriority w:val="0"/>
    <w:pPr>
      <w:shd w:val="clear" w:color="000000" w:fill="FFFFFF"/>
      <w:spacing w:before="100" w:beforeAutospacing="1" w:after="100" w:afterAutospacing="1" w:line="240" w:lineRule="auto"/>
      <w:ind w:firstLine="0"/>
    </w:pPr>
    <w:rPr>
      <w:sz w:val="24"/>
      <w:szCs w:val="24"/>
    </w:rPr>
  </w:style>
  <w:style w:type="paragraph" w:customStyle="1" w:styleId="167">
    <w:name w:val="xl78"/>
    <w:basedOn w:val="1"/>
    <w:qFormat/>
    <w:uiPriority w:val="0"/>
    <w:pPr>
      <w:pBdr>
        <w:top w:val="single" w:color="auto" w:sz="8" w:space="0"/>
        <w:left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168">
    <w:name w:val="xl79"/>
    <w:basedOn w:val="1"/>
    <w:qFormat/>
    <w:uiPriority w:val="0"/>
    <w:pPr>
      <w:pBdr>
        <w:top w:val="single" w:color="auto" w:sz="8" w:space="0"/>
        <w:left w:val="single" w:color="auto" w:sz="8" w:space="0"/>
        <w:bottom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169">
    <w:name w:val="xl80"/>
    <w:basedOn w:val="1"/>
    <w:qFormat/>
    <w:uiPriority w:val="0"/>
    <w:pPr>
      <w:pBdr>
        <w:top w:val="single" w:color="auto" w:sz="8" w:space="0"/>
        <w:bottom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170">
    <w:name w:val="xl81"/>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171">
    <w:name w:val="xl82"/>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172">
    <w:name w:val="xl83"/>
    <w:basedOn w:val="1"/>
    <w:qFormat/>
    <w:uiPriority w:val="0"/>
    <w:pPr>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3">
    <w:name w:val="xl84"/>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4">
    <w:name w:val="xl85"/>
    <w:basedOn w:val="1"/>
    <w:qFormat/>
    <w:uiPriority w:val="0"/>
    <w:pPr>
      <w:pBdr>
        <w:top w:val="single" w:color="auto" w:sz="8" w:space="0"/>
        <w:left w:val="single" w:color="auto" w:sz="8" w:space="0"/>
        <w:bottom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5">
    <w:name w:val="xl86"/>
    <w:basedOn w:val="1"/>
    <w:qFormat/>
    <w:uiPriority w:val="0"/>
    <w:pPr>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6">
    <w:name w:val="xl87"/>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7">
    <w:name w:val="xl88"/>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8">
    <w:name w:val="xl89"/>
    <w:basedOn w:val="1"/>
    <w:qFormat/>
    <w:uiPriority w:val="0"/>
    <w:pPr>
      <w:pBdr>
        <w:top w:val="single" w:color="auto" w:sz="8" w:space="0"/>
        <w:bottom w:val="single" w:color="auto" w:sz="8" w:space="0"/>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179">
    <w:name w:val="xl90"/>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180">
    <w:name w:val="xl91"/>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81">
    <w:name w:val="xl9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82">
    <w:name w:val="xl93"/>
    <w:basedOn w:val="1"/>
    <w:qFormat/>
    <w:uiPriority w:val="0"/>
    <w:pPr>
      <w:pBdr>
        <w:top w:val="single" w:color="auto" w:sz="8" w:space="0"/>
        <w:left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83">
    <w:name w:val="xl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84">
    <w:name w:val="xl9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85">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186">
    <w:name w:val="xl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87">
    <w:name w:val="xl98"/>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88">
    <w:name w:val="xl99"/>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89">
    <w:name w:val="xl100"/>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90">
    <w:name w:val="xl101"/>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91">
    <w:name w:val="xl102"/>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92">
    <w:name w:val="xl10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93">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94">
    <w:name w:val="xl105"/>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95">
    <w:name w:val="xl106"/>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196">
    <w:name w:val="xl10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24"/>
      <w:szCs w:val="24"/>
    </w:rPr>
  </w:style>
  <w:style w:type="paragraph" w:customStyle="1" w:styleId="197">
    <w:name w:val="xl108"/>
    <w:basedOn w:val="1"/>
    <w:qFormat/>
    <w:uiPriority w:val="0"/>
    <w:pPr>
      <w:shd w:val="clear" w:color="000000" w:fill="FFFFFF"/>
      <w:spacing w:before="100" w:beforeAutospacing="1" w:after="100" w:afterAutospacing="1" w:line="240" w:lineRule="auto"/>
      <w:ind w:firstLine="0"/>
    </w:pPr>
    <w:rPr>
      <w:sz w:val="24"/>
      <w:szCs w:val="24"/>
    </w:rPr>
  </w:style>
  <w:style w:type="paragraph" w:customStyle="1" w:styleId="198">
    <w:name w:val="xl109"/>
    <w:basedOn w:val="1"/>
    <w:qFormat/>
    <w:uiPriority w:val="0"/>
    <w:pPr>
      <w:pBdr>
        <w:top w:val="single" w:color="auto" w:sz="8"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199">
    <w:name w:val="xl110"/>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200">
    <w:name w:val="xl111"/>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201">
    <w:name w:val="xl11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16"/>
      <w:szCs w:val="16"/>
    </w:rPr>
  </w:style>
  <w:style w:type="paragraph" w:customStyle="1" w:styleId="202">
    <w:name w:val="xl1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jc w:val="center"/>
    </w:pPr>
    <w:rPr>
      <w:sz w:val="16"/>
      <w:szCs w:val="16"/>
    </w:rPr>
  </w:style>
  <w:style w:type="paragraph" w:customStyle="1" w:styleId="203">
    <w:name w:val="ConsPlu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204">
    <w:name w:val="Абзац списка1"/>
    <w:basedOn w:val="1"/>
    <w:qFormat/>
    <w:uiPriority w:val="0"/>
    <w:pPr>
      <w:spacing w:before="120" w:line="276" w:lineRule="auto"/>
      <w:ind w:left="720" w:firstLine="425"/>
      <w:contextualSpacing/>
      <w:jc w:val="both"/>
    </w:pPr>
    <w:rPr>
      <w:rFonts w:ascii="Calibri" w:hAnsi="Calibri"/>
      <w:sz w:val="22"/>
    </w:rPr>
  </w:style>
  <w:style w:type="character" w:customStyle="1" w:styleId="205">
    <w:name w:val="Body text_"/>
    <w:link w:val="206"/>
    <w:qFormat/>
    <w:uiPriority w:val="0"/>
    <w:rPr>
      <w:shd w:val="clear" w:color="auto" w:fill="FFFFFF"/>
    </w:rPr>
  </w:style>
  <w:style w:type="paragraph" w:customStyle="1" w:styleId="206">
    <w:name w:val="Основной текст9"/>
    <w:basedOn w:val="1"/>
    <w:link w:val="205"/>
    <w:qFormat/>
    <w:uiPriority w:val="0"/>
    <w:pPr>
      <w:shd w:val="clear" w:color="auto" w:fill="FFFFFF"/>
      <w:spacing w:after="0" w:line="480" w:lineRule="exact"/>
      <w:ind w:hanging="380"/>
    </w:pPr>
    <w:rPr>
      <w:rFonts w:asciiTheme="minorHAnsi" w:hAnsiTheme="minorHAnsi" w:eastAsiaTheme="minorHAnsi" w:cstheme="minorBidi"/>
      <w:sz w:val="22"/>
      <w:lang w:eastAsia="en-US"/>
    </w:rPr>
  </w:style>
  <w:style w:type="character" w:customStyle="1" w:styleId="207">
    <w:name w:val="Body text + Bold"/>
    <w:qFormat/>
    <w:uiPriority w:val="0"/>
    <w:rPr>
      <w:rFonts w:ascii="Times New Roman" w:hAnsi="Times New Roman" w:eastAsia="Times New Roman" w:cs="Times New Roman"/>
      <w:b/>
      <w:bCs/>
      <w:spacing w:val="0"/>
      <w:sz w:val="22"/>
      <w:szCs w:val="22"/>
    </w:rPr>
  </w:style>
  <w:style w:type="character" w:customStyle="1" w:styleId="208">
    <w:name w:val="Основной текст_"/>
    <w:link w:val="209"/>
    <w:qFormat/>
    <w:locked/>
    <w:uiPriority w:val="0"/>
    <w:rPr>
      <w:rFonts w:ascii="Arial" w:hAnsi="Arial" w:eastAsia="Times New Roman" w:cs="Arial"/>
      <w:shd w:val="clear" w:color="auto" w:fill="FFFFFF"/>
    </w:rPr>
  </w:style>
  <w:style w:type="paragraph" w:customStyle="1" w:styleId="209">
    <w:name w:val="Основной текст7"/>
    <w:basedOn w:val="1"/>
    <w:link w:val="208"/>
    <w:qFormat/>
    <w:uiPriority w:val="0"/>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210">
    <w:name w:val="ConsPlusNormal"/>
    <w:qFormat/>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character" w:customStyle="1" w:styleId="211">
    <w:name w:val="Body text (3)_"/>
    <w:link w:val="212"/>
    <w:qFormat/>
    <w:uiPriority w:val="0"/>
    <w:rPr>
      <w:sz w:val="27"/>
      <w:szCs w:val="27"/>
      <w:shd w:val="clear" w:color="auto" w:fill="FFFFFF"/>
    </w:rPr>
  </w:style>
  <w:style w:type="paragraph" w:customStyle="1" w:styleId="212">
    <w:name w:val="Body text (3)"/>
    <w:basedOn w:val="1"/>
    <w:link w:val="211"/>
    <w:qFormat/>
    <w:uiPriority w:val="0"/>
    <w:pPr>
      <w:shd w:val="clear" w:color="auto" w:fill="FFFFFF"/>
      <w:spacing w:after="2160" w:line="0" w:lineRule="atLeast"/>
      <w:ind w:hanging="2100"/>
      <w:jc w:val="center"/>
    </w:pPr>
    <w:rPr>
      <w:rFonts w:asciiTheme="minorHAnsi" w:hAnsiTheme="minorHAnsi" w:eastAsiaTheme="minorHAnsi" w:cstheme="minorBidi"/>
      <w:sz w:val="27"/>
      <w:szCs w:val="27"/>
      <w:lang w:eastAsia="en-US"/>
    </w:rPr>
  </w:style>
  <w:style w:type="character" w:customStyle="1" w:styleId="213">
    <w:name w:val="Heading #2 (2)"/>
    <w:qFormat/>
    <w:uiPriority w:val="0"/>
    <w:rPr>
      <w:rFonts w:ascii="Times New Roman" w:hAnsi="Times New Roman" w:eastAsia="Times New Roman" w:cs="Times New Roman"/>
      <w:spacing w:val="0"/>
      <w:sz w:val="27"/>
      <w:szCs w:val="27"/>
    </w:rPr>
  </w:style>
  <w:style w:type="paragraph" w:customStyle="1" w:styleId="214">
    <w:name w:val="font6"/>
    <w:basedOn w:val="1"/>
    <w:qFormat/>
    <w:uiPriority w:val="0"/>
    <w:pPr>
      <w:spacing w:before="100" w:beforeAutospacing="1" w:after="100" w:afterAutospacing="1" w:line="240" w:lineRule="auto"/>
      <w:ind w:firstLine="0"/>
    </w:pPr>
    <w:rPr>
      <w:rFonts w:ascii="Calibri" w:hAnsi="Calibri" w:cs="Calibri"/>
      <w:sz w:val="16"/>
      <w:szCs w:val="16"/>
    </w:rPr>
  </w:style>
  <w:style w:type="paragraph" w:customStyle="1" w:styleId="215">
    <w:name w:val="xl114"/>
    <w:basedOn w:val="1"/>
    <w:qFormat/>
    <w:uiPriority w:val="0"/>
    <w:pPr>
      <w:pBdr>
        <w:top w:val="single" w:color="000000" w:sz="8" w:space="0"/>
        <w:left w:val="single" w:color="000000" w:sz="8" w:space="0"/>
        <w:right w:val="single" w:color="000000" w:sz="8" w:space="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216">
    <w:name w:val="xl115"/>
    <w:basedOn w:val="1"/>
    <w:qFormat/>
    <w:uiPriority w:val="0"/>
    <w:pPr>
      <w:pBdr>
        <w:left w:val="single" w:color="000000" w:sz="8" w:space="0"/>
        <w:bottom w:val="single" w:color="000000" w:sz="8" w:space="0"/>
        <w:right w:val="single" w:color="000000" w:sz="8" w:space="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217">
    <w:name w:val="xl116"/>
    <w:basedOn w:val="1"/>
    <w:qFormat/>
    <w:uiPriority w:val="0"/>
    <w:pPr>
      <w:pBdr>
        <w:top w:val="single" w:color="000000" w:sz="8" w:space="0"/>
        <w:left w:val="single" w:color="000000" w:sz="8" w:space="0"/>
        <w:right w:val="single" w:color="000000" w:sz="8" w:space="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218">
    <w:name w:val="xl117"/>
    <w:basedOn w:val="1"/>
    <w:qFormat/>
    <w:uiPriority w:val="0"/>
    <w:pPr>
      <w:pBdr>
        <w:left w:val="single" w:color="000000" w:sz="8" w:space="0"/>
        <w:bottom w:val="single" w:color="000000" w:sz="8" w:space="0"/>
        <w:right w:val="single" w:color="000000" w:sz="8" w:space="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219">
    <w:name w:val="TOC Heading"/>
    <w:basedOn w:val="2"/>
    <w:next w:val="1"/>
    <w:unhideWhenUsed/>
    <w:qFormat/>
    <w:uiPriority w:val="39"/>
    <w:pPr>
      <w:keepNext/>
      <w:numPr>
        <w:numId w:val="0"/>
      </w:numPr>
      <w:spacing w:before="480" w:line="276" w:lineRule="auto"/>
      <w:jc w:val="left"/>
      <w:outlineLvl w:val="9"/>
    </w:pPr>
    <w:rPr>
      <w:rFonts w:ascii="Cambria" w:hAnsi="Cambria" w:eastAsia="Times New Roman" w:cs="Times New Roman"/>
      <w:bCs/>
      <w:color w:val="365F91"/>
      <w:szCs w:val="28"/>
      <w:lang w:eastAsia="en-US"/>
    </w:rPr>
  </w:style>
  <w:style w:type="character" w:customStyle="1" w:styleId="220">
    <w:name w:val="Текст сноски Знак"/>
    <w:link w:val="48"/>
    <w:qFormat/>
    <w:locked/>
    <w:uiPriority w:val="99"/>
    <w:rPr>
      <w:rFonts w:ascii="TimesET" w:hAnsi="TimesET" w:cs="TimesET"/>
      <w:kern w:val="24"/>
    </w:rPr>
  </w:style>
  <w:style w:type="character" w:customStyle="1" w:styleId="221">
    <w:name w:val="Текст сноски Знак1"/>
    <w:basedOn w:val="11"/>
    <w:qFormat/>
    <w:uiPriority w:val="99"/>
    <w:rPr>
      <w:rFonts w:ascii="Times New Roman" w:hAnsi="Times New Roman" w:eastAsia="Times New Roman" w:cs="Times New Roman"/>
      <w:sz w:val="20"/>
      <w:szCs w:val="20"/>
      <w:lang w:eastAsia="ru-RU"/>
    </w:rPr>
  </w:style>
  <w:style w:type="character" w:customStyle="1" w:styleId="222">
    <w:name w:val="Название объекта Знак"/>
    <w:link w:val="43"/>
    <w:qFormat/>
    <w:locked/>
    <w:uiPriority w:val="0"/>
    <w:rPr>
      <w:rFonts w:ascii="Times New Roman" w:hAnsi="Times New Roman"/>
      <w:b/>
      <w:bCs/>
      <w:sz w:val="28"/>
    </w:rPr>
  </w:style>
  <w:style w:type="character" w:customStyle="1" w:styleId="223">
    <w:name w:val="Заголовок Знак"/>
    <w:basedOn w:val="11"/>
    <w:qFormat/>
    <w:uiPriority w:val="10"/>
    <w:rPr>
      <w:rFonts w:asciiTheme="majorHAnsi" w:hAnsiTheme="majorHAnsi" w:eastAsiaTheme="majorEastAsia" w:cstheme="majorBidi"/>
      <w:spacing w:val="-10"/>
      <w:kern w:val="28"/>
      <w:sz w:val="56"/>
      <w:szCs w:val="56"/>
      <w:lang w:eastAsia="ru-RU"/>
    </w:rPr>
  </w:style>
  <w:style w:type="character" w:customStyle="1" w:styleId="224">
    <w:name w:val="Название Знак"/>
    <w:link w:val="79"/>
    <w:qFormat/>
    <w:uiPriority w:val="0"/>
    <w:rPr>
      <w:rFonts w:ascii="Times New Roman" w:hAnsi="Times New Roman" w:eastAsia="Times New Roman" w:cs="Times New Roman"/>
      <w:sz w:val="24"/>
      <w:szCs w:val="20"/>
    </w:rPr>
  </w:style>
  <w:style w:type="character" w:customStyle="1" w:styleId="225">
    <w:name w:val="Текст Знак"/>
    <w:link w:val="40"/>
    <w:qFormat/>
    <w:locked/>
    <w:uiPriority w:val="0"/>
    <w:rPr>
      <w:rFonts w:ascii="Courier New" w:hAnsi="Courier New" w:cs="Courier New"/>
    </w:rPr>
  </w:style>
  <w:style w:type="character" w:customStyle="1" w:styleId="226">
    <w:name w:val="Текст Знак1"/>
    <w:basedOn w:val="11"/>
    <w:qFormat/>
    <w:uiPriority w:val="0"/>
    <w:rPr>
      <w:rFonts w:ascii="Consolas" w:hAnsi="Consolas" w:eastAsia="Times New Roman" w:cs="Consolas"/>
      <w:sz w:val="21"/>
      <w:szCs w:val="21"/>
      <w:lang w:eastAsia="ru-RU"/>
    </w:rPr>
  </w:style>
  <w:style w:type="paragraph" w:customStyle="1" w:styleId="227">
    <w:name w:val="ConsPlusTitle"/>
    <w:qFormat/>
    <w:uiPriority w:val="0"/>
    <w:pPr>
      <w:widowControl w:val="0"/>
      <w:autoSpaceDE w:val="0"/>
      <w:autoSpaceDN w:val="0"/>
      <w:adjustRightInd w:val="0"/>
      <w:spacing w:after="0" w:line="240" w:lineRule="auto"/>
    </w:pPr>
    <w:rPr>
      <w:rFonts w:ascii="Times New Roman" w:hAnsi="Times New Roman" w:eastAsia="Times New Roman" w:cs="Times New Roman"/>
      <w:b/>
      <w:bCs/>
      <w:sz w:val="24"/>
      <w:szCs w:val="24"/>
      <w:lang w:val="ru-RU" w:eastAsia="ru-RU" w:bidi="ar-SA"/>
    </w:rPr>
  </w:style>
  <w:style w:type="paragraph" w:customStyle="1" w:styleId="228">
    <w:name w:val="ConsPlusCell"/>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ru-RU" w:eastAsia="ru-RU" w:bidi="ar-SA"/>
    </w:rPr>
  </w:style>
  <w:style w:type="paragraph" w:customStyle="1" w:styleId="229">
    <w:name w:val="Обычный текст"/>
    <w:basedOn w:val="1"/>
    <w:qFormat/>
    <w:uiPriority w:val="99"/>
    <w:pPr>
      <w:spacing w:after="0" w:line="240" w:lineRule="auto"/>
      <w:ind w:left="397" w:hanging="397"/>
      <w:jc w:val="both"/>
    </w:pPr>
    <w:rPr>
      <w:rFonts w:cs="Arial"/>
      <w:sz w:val="24"/>
      <w:szCs w:val="20"/>
      <w:lang w:eastAsia="en-US"/>
    </w:rPr>
  </w:style>
  <w:style w:type="character" w:customStyle="1" w:styleId="230">
    <w:name w:val="Название таблицы Знак"/>
    <w:link w:val="231"/>
    <w:qFormat/>
    <w:locked/>
    <w:uiPriority w:val="0"/>
    <w:rPr>
      <w:b/>
      <w:bCs/>
      <w:sz w:val="24"/>
      <w:szCs w:val="24"/>
    </w:rPr>
  </w:style>
  <w:style w:type="paragraph" w:customStyle="1" w:styleId="231">
    <w:name w:val="Название таблицы"/>
    <w:basedOn w:val="1"/>
    <w:link w:val="230"/>
    <w:qFormat/>
    <w:uiPriority w:val="0"/>
    <w:pPr>
      <w:tabs>
        <w:tab w:val="left" w:pos="360"/>
      </w:tabs>
      <w:spacing w:after="160" w:line="240" w:lineRule="exact"/>
      <w:ind w:firstLine="0"/>
    </w:pPr>
    <w:rPr>
      <w:rFonts w:asciiTheme="minorHAnsi" w:hAnsiTheme="minorHAnsi" w:eastAsiaTheme="minorHAnsi" w:cstheme="minorBidi"/>
      <w:b/>
      <w:bCs/>
      <w:sz w:val="24"/>
      <w:szCs w:val="24"/>
      <w:lang w:eastAsia="en-US"/>
    </w:rPr>
  </w:style>
  <w:style w:type="paragraph" w:customStyle="1" w:styleId="232">
    <w:name w:val="Название рисунка"/>
    <w:basedOn w:val="43"/>
    <w:qFormat/>
    <w:uiPriority w:val="99"/>
    <w:pPr>
      <w:ind w:left="180" w:firstLine="0"/>
      <w:jc w:val="center"/>
    </w:pPr>
    <w:rPr>
      <w:sz w:val="24"/>
      <w:szCs w:val="24"/>
    </w:rPr>
  </w:style>
  <w:style w:type="character" w:customStyle="1" w:styleId="233">
    <w:name w:val="Обычный ТКП Знак"/>
    <w:link w:val="234"/>
    <w:qFormat/>
    <w:locked/>
    <w:uiPriority w:val="0"/>
    <w:rPr>
      <w:sz w:val="24"/>
    </w:rPr>
  </w:style>
  <w:style w:type="paragraph" w:customStyle="1" w:styleId="234">
    <w:name w:val="Обычный ТКП"/>
    <w:basedOn w:val="1"/>
    <w:link w:val="233"/>
    <w:qFormat/>
    <w:uiPriority w:val="0"/>
    <w:pPr>
      <w:suppressAutoHyphens/>
      <w:spacing w:after="0"/>
      <w:ind w:left="57" w:right="-2"/>
      <w:jc w:val="both"/>
    </w:pPr>
    <w:rPr>
      <w:rFonts w:asciiTheme="minorHAnsi" w:hAnsiTheme="minorHAnsi" w:eastAsiaTheme="minorHAnsi" w:cstheme="minorBidi"/>
      <w:sz w:val="24"/>
      <w:lang w:eastAsia="en-US"/>
    </w:rPr>
  </w:style>
  <w:style w:type="paragraph" w:customStyle="1" w:styleId="235">
    <w:name w:val="Табл крупная по центру"/>
    <w:basedOn w:val="234"/>
    <w:qFormat/>
    <w:uiPriority w:val="99"/>
    <w:pPr>
      <w:snapToGrid w:val="0"/>
      <w:spacing w:line="240" w:lineRule="exact"/>
      <w:ind w:left="0" w:right="0" w:firstLine="0"/>
      <w:jc w:val="center"/>
    </w:pPr>
    <w:rPr>
      <w:color w:val="000000"/>
      <w:sz w:val="22"/>
    </w:rPr>
  </w:style>
  <w:style w:type="paragraph" w:customStyle="1" w:styleId="236">
    <w:name w:val="xl63"/>
    <w:basedOn w:val="1"/>
    <w:qFormat/>
    <w:uiPriority w:val="0"/>
    <w:pPr>
      <w:spacing w:before="100" w:beforeAutospacing="1" w:after="100" w:afterAutospacing="1" w:line="240" w:lineRule="auto"/>
      <w:ind w:firstLine="0"/>
    </w:pPr>
    <w:rPr>
      <w:sz w:val="24"/>
      <w:szCs w:val="24"/>
    </w:rPr>
  </w:style>
  <w:style w:type="paragraph" w:customStyle="1" w:styleId="237">
    <w:name w:val="xl64"/>
    <w:basedOn w:val="1"/>
    <w:qFormat/>
    <w:uiPriority w:val="0"/>
    <w:pPr>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238">
    <w:name w:val="xl6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jc w:val="center"/>
    </w:pPr>
    <w:rPr>
      <w:color w:val="000000"/>
      <w:sz w:val="20"/>
      <w:szCs w:val="20"/>
    </w:rPr>
  </w:style>
  <w:style w:type="paragraph" w:customStyle="1" w:styleId="239">
    <w:name w:val="xl6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jc w:val="center"/>
    </w:pPr>
    <w:rPr>
      <w:color w:val="000000"/>
      <w:sz w:val="20"/>
      <w:szCs w:val="20"/>
    </w:rPr>
  </w:style>
  <w:style w:type="paragraph" w:customStyle="1" w:styleId="240">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241">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24"/>
      <w:szCs w:val="24"/>
    </w:rPr>
  </w:style>
  <w:style w:type="paragraph" w:customStyle="1" w:styleId="242">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243">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244">
    <w:name w:val="xl71"/>
    <w:basedOn w:val="1"/>
    <w:qFormat/>
    <w:uiPriority w:val="0"/>
    <w:pPr>
      <w:spacing w:before="100" w:beforeAutospacing="1" w:after="100" w:afterAutospacing="1" w:line="240" w:lineRule="auto"/>
      <w:ind w:firstLine="0"/>
      <w:jc w:val="center"/>
    </w:pPr>
    <w:rPr>
      <w:sz w:val="24"/>
      <w:szCs w:val="24"/>
    </w:rPr>
  </w:style>
  <w:style w:type="paragraph" w:customStyle="1" w:styleId="245">
    <w:name w:val="xl72"/>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jc w:val="center"/>
    </w:pPr>
    <w:rPr>
      <w:sz w:val="24"/>
      <w:szCs w:val="24"/>
    </w:rPr>
  </w:style>
  <w:style w:type="paragraph" w:customStyle="1" w:styleId="246">
    <w:name w:val="xl73"/>
    <w:basedOn w:val="1"/>
    <w:qFormat/>
    <w:uiPriority w:val="0"/>
    <w:pPr>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line="240" w:lineRule="auto"/>
      <w:ind w:firstLine="0"/>
      <w:jc w:val="center"/>
    </w:pPr>
    <w:rPr>
      <w:sz w:val="24"/>
      <w:szCs w:val="24"/>
    </w:rPr>
  </w:style>
  <w:style w:type="paragraph" w:customStyle="1" w:styleId="247">
    <w:name w:val="xl74"/>
    <w:basedOn w:val="1"/>
    <w:qFormat/>
    <w:uiPriority w:val="0"/>
    <w:pPr>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line="240" w:lineRule="auto"/>
      <w:ind w:firstLine="0"/>
      <w:jc w:val="center"/>
    </w:pPr>
    <w:rPr>
      <w:sz w:val="24"/>
      <w:szCs w:val="24"/>
    </w:rPr>
  </w:style>
  <w:style w:type="paragraph" w:customStyle="1" w:styleId="248">
    <w:name w:val="xl75"/>
    <w:basedOn w:val="1"/>
    <w:qFormat/>
    <w:uiPriority w:val="0"/>
    <w:pPr>
      <w:shd w:val="clear" w:color="auto" w:fill="FFCC99"/>
      <w:spacing w:before="100" w:beforeAutospacing="1" w:after="100" w:afterAutospacing="1" w:line="240" w:lineRule="auto"/>
      <w:ind w:firstLine="0"/>
      <w:jc w:val="center"/>
    </w:pPr>
    <w:rPr>
      <w:sz w:val="24"/>
      <w:szCs w:val="24"/>
    </w:rPr>
  </w:style>
  <w:style w:type="paragraph" w:customStyle="1" w:styleId="249">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FF0000"/>
      <w:sz w:val="24"/>
      <w:szCs w:val="24"/>
    </w:rPr>
  </w:style>
  <w:style w:type="character" w:customStyle="1" w:styleId="250">
    <w:name w:val="Просто текст Знак"/>
    <w:link w:val="251"/>
    <w:locked/>
    <w:uiPriority w:val="0"/>
    <w:rPr>
      <w:rFonts w:ascii="Arial" w:hAnsi="Arial" w:cs="Arial"/>
      <w:szCs w:val="24"/>
    </w:rPr>
  </w:style>
  <w:style w:type="paragraph" w:customStyle="1" w:styleId="251">
    <w:name w:val="Просто текст"/>
    <w:basedOn w:val="58"/>
    <w:link w:val="250"/>
    <w:qFormat/>
    <w:uiPriority w:val="0"/>
    <w:pPr>
      <w:spacing w:before="60" w:after="60" w:line="260" w:lineRule="atLeast"/>
      <w:ind w:firstLine="0"/>
    </w:pPr>
    <w:rPr>
      <w:rFonts w:ascii="Arial" w:hAnsi="Arial" w:cs="Arial" w:eastAsiaTheme="minorHAnsi"/>
      <w:sz w:val="22"/>
      <w:szCs w:val="24"/>
      <w:lang w:val="ru-RU" w:eastAsia="en-US"/>
    </w:rPr>
  </w:style>
  <w:style w:type="paragraph" w:customStyle="1" w:styleId="252">
    <w:name w:val="Char Char Знак Знак Знак Знак Знак Знак"/>
    <w:basedOn w:val="1"/>
    <w:qFormat/>
    <w:uiPriority w:val="99"/>
    <w:pPr>
      <w:spacing w:after="160" w:line="240" w:lineRule="exact"/>
      <w:ind w:firstLine="0"/>
    </w:pPr>
    <w:rPr>
      <w:rFonts w:ascii="Verdana" w:hAnsi="Verdana" w:cs="Verdana"/>
      <w:sz w:val="20"/>
      <w:szCs w:val="20"/>
      <w:lang w:val="en-US" w:eastAsia="en-US"/>
    </w:rPr>
  </w:style>
  <w:style w:type="paragraph" w:customStyle="1" w:styleId="253">
    <w:name w:val="Для таблицы"/>
    <w:basedOn w:val="1"/>
    <w:next w:val="1"/>
    <w:qFormat/>
    <w:uiPriority w:val="0"/>
    <w:pPr>
      <w:spacing w:after="0" w:line="240" w:lineRule="auto"/>
      <w:ind w:firstLine="0"/>
      <w:jc w:val="center"/>
    </w:pPr>
    <w:rPr>
      <w:rFonts w:eastAsia="Calibri"/>
      <w:sz w:val="20"/>
      <w:lang w:eastAsia="en-US"/>
    </w:rPr>
  </w:style>
  <w:style w:type="paragraph" w:customStyle="1" w:styleId="254">
    <w:name w:val="для таблицы шапка"/>
    <w:basedOn w:val="253"/>
    <w:qFormat/>
    <w:uiPriority w:val="0"/>
    <w:rPr>
      <w:b/>
      <w:lang w:eastAsia="ru-RU"/>
    </w:rPr>
  </w:style>
  <w:style w:type="paragraph" w:customStyle="1" w:styleId="255">
    <w:name w:val="1 подзаголовки таблиц"/>
    <w:basedOn w:val="1"/>
    <w:qFormat/>
    <w:uiPriority w:val="99"/>
    <w:pPr>
      <w:spacing w:after="0" w:line="240" w:lineRule="auto"/>
      <w:ind w:firstLine="0"/>
      <w:jc w:val="center"/>
    </w:pPr>
    <w:rPr>
      <w:rFonts w:ascii="Calibri" w:hAnsi="Calibri" w:cs="Calibri"/>
      <w:b/>
      <w:bCs/>
      <w:sz w:val="24"/>
      <w:szCs w:val="24"/>
      <w:lang w:eastAsia="ar-SA"/>
    </w:rPr>
  </w:style>
  <w:style w:type="paragraph" w:customStyle="1" w:styleId="256">
    <w:name w:val="1 стиль таблицы"/>
    <w:basedOn w:val="1"/>
    <w:qFormat/>
    <w:uiPriority w:val="99"/>
    <w:pPr>
      <w:spacing w:after="0" w:line="240" w:lineRule="auto"/>
      <w:ind w:firstLine="0"/>
      <w:jc w:val="center"/>
    </w:pPr>
    <w:rPr>
      <w:rFonts w:ascii="Calibri" w:hAnsi="Calibri" w:cs="Calibri"/>
      <w:sz w:val="24"/>
      <w:szCs w:val="24"/>
      <w:lang w:eastAsia="ar-SA"/>
    </w:rPr>
  </w:style>
  <w:style w:type="paragraph" w:customStyle="1" w:styleId="257">
    <w:name w:val="1 стиль таблицы по левому краю"/>
    <w:basedOn w:val="256"/>
    <w:qFormat/>
    <w:uiPriority w:val="99"/>
    <w:pPr>
      <w:jc w:val="left"/>
    </w:pPr>
  </w:style>
  <w:style w:type="paragraph" w:customStyle="1" w:styleId="258">
    <w:name w:val="1 Основной текст"/>
    <w:basedOn w:val="1"/>
    <w:qFormat/>
    <w:uiPriority w:val="99"/>
    <w:pPr>
      <w:spacing w:after="0" w:line="276" w:lineRule="auto"/>
      <w:jc w:val="both"/>
    </w:pPr>
    <w:rPr>
      <w:rFonts w:ascii="Calibri" w:hAnsi="Calibri" w:cs="Calibri"/>
      <w:sz w:val="24"/>
      <w:szCs w:val="24"/>
      <w:lang w:eastAsia="ar-SA"/>
    </w:rPr>
  </w:style>
  <w:style w:type="paragraph" w:customStyle="1" w:styleId="259">
    <w:name w:val="1 жирный текст"/>
    <w:basedOn w:val="1"/>
    <w:qFormat/>
    <w:uiPriority w:val="99"/>
    <w:pPr>
      <w:spacing w:after="0" w:line="312" w:lineRule="auto"/>
    </w:pPr>
    <w:rPr>
      <w:rFonts w:ascii="Calibri" w:hAnsi="Calibri" w:cs="Calibri"/>
      <w:b/>
      <w:bCs/>
      <w:sz w:val="24"/>
      <w:szCs w:val="24"/>
    </w:rPr>
  </w:style>
  <w:style w:type="paragraph" w:customStyle="1" w:styleId="260">
    <w:name w:val="textn"/>
    <w:basedOn w:val="1"/>
    <w:qFormat/>
    <w:uiPriority w:val="99"/>
    <w:pPr>
      <w:spacing w:before="100" w:beforeAutospacing="1" w:after="100" w:afterAutospacing="1" w:line="240" w:lineRule="auto"/>
      <w:ind w:firstLine="0"/>
    </w:pPr>
    <w:rPr>
      <w:sz w:val="24"/>
      <w:szCs w:val="24"/>
    </w:rPr>
  </w:style>
  <w:style w:type="paragraph" w:customStyle="1" w:styleId="261">
    <w:name w:val="font7"/>
    <w:basedOn w:val="1"/>
    <w:qFormat/>
    <w:uiPriority w:val="99"/>
    <w:pPr>
      <w:spacing w:before="100" w:beforeAutospacing="1" w:after="100" w:afterAutospacing="1" w:line="240" w:lineRule="auto"/>
      <w:ind w:firstLine="0"/>
    </w:pPr>
    <w:rPr>
      <w:sz w:val="16"/>
      <w:szCs w:val="16"/>
    </w:rPr>
  </w:style>
  <w:style w:type="paragraph" w:customStyle="1" w:styleId="262">
    <w:name w:val="font8"/>
    <w:basedOn w:val="1"/>
    <w:qFormat/>
    <w:uiPriority w:val="99"/>
    <w:pPr>
      <w:spacing w:before="100" w:beforeAutospacing="1" w:after="100" w:afterAutospacing="1" w:line="240" w:lineRule="auto"/>
      <w:ind w:firstLine="0"/>
    </w:pPr>
    <w:rPr>
      <w:szCs w:val="28"/>
    </w:rPr>
  </w:style>
  <w:style w:type="paragraph" w:customStyle="1" w:styleId="263">
    <w:name w:val="font9"/>
    <w:basedOn w:val="1"/>
    <w:qFormat/>
    <w:uiPriority w:val="99"/>
    <w:pPr>
      <w:spacing w:before="100" w:beforeAutospacing="1" w:after="100" w:afterAutospacing="1" w:line="240" w:lineRule="auto"/>
      <w:ind w:firstLine="0"/>
    </w:pPr>
    <w:rPr>
      <w:rFonts w:ascii="Arial CYR" w:hAnsi="Arial CYR" w:cs="Arial CYR"/>
      <w:sz w:val="18"/>
      <w:szCs w:val="18"/>
    </w:rPr>
  </w:style>
  <w:style w:type="paragraph" w:customStyle="1" w:styleId="264">
    <w:name w:val="font10"/>
    <w:basedOn w:val="1"/>
    <w:qFormat/>
    <w:uiPriority w:val="99"/>
    <w:pPr>
      <w:spacing w:before="100" w:beforeAutospacing="1" w:after="100" w:afterAutospacing="1" w:line="240" w:lineRule="auto"/>
      <w:ind w:firstLine="0"/>
    </w:pPr>
    <w:rPr>
      <w:rFonts w:ascii="Arial CYR" w:hAnsi="Arial CYR" w:cs="Arial CYR"/>
      <w:sz w:val="14"/>
      <w:szCs w:val="14"/>
    </w:rPr>
  </w:style>
  <w:style w:type="paragraph" w:customStyle="1" w:styleId="265">
    <w:name w:val="font11"/>
    <w:basedOn w:val="1"/>
    <w:qFormat/>
    <w:uiPriority w:val="99"/>
    <w:pPr>
      <w:spacing w:before="100" w:beforeAutospacing="1" w:after="100" w:afterAutospacing="1" w:line="240" w:lineRule="auto"/>
      <w:ind w:firstLine="0"/>
    </w:pPr>
    <w:rPr>
      <w:rFonts w:ascii="Arial CYR" w:hAnsi="Arial CYR" w:cs="Arial CYR"/>
      <w:sz w:val="14"/>
      <w:szCs w:val="14"/>
    </w:rPr>
  </w:style>
  <w:style w:type="paragraph" w:customStyle="1" w:styleId="266">
    <w:name w:val="font12"/>
    <w:basedOn w:val="1"/>
    <w:qFormat/>
    <w:uiPriority w:val="99"/>
    <w:pPr>
      <w:spacing w:before="100" w:beforeAutospacing="1" w:after="100" w:afterAutospacing="1" w:line="240" w:lineRule="auto"/>
      <w:ind w:firstLine="0"/>
    </w:pPr>
    <w:rPr>
      <w:rFonts w:ascii="Arial CYR" w:hAnsi="Arial CYR" w:cs="Arial CYR"/>
      <w:sz w:val="18"/>
      <w:szCs w:val="18"/>
    </w:rPr>
  </w:style>
  <w:style w:type="paragraph" w:customStyle="1" w:styleId="267">
    <w:name w:val="font13"/>
    <w:basedOn w:val="1"/>
    <w:qFormat/>
    <w:uiPriority w:val="99"/>
    <w:pPr>
      <w:spacing w:before="100" w:beforeAutospacing="1" w:after="100" w:afterAutospacing="1" w:line="240" w:lineRule="auto"/>
      <w:ind w:firstLine="0"/>
    </w:pPr>
    <w:rPr>
      <w:rFonts w:ascii="Arial CYR" w:hAnsi="Arial CYR" w:cs="Arial CYR"/>
      <w:b/>
      <w:bCs/>
      <w:sz w:val="18"/>
      <w:szCs w:val="18"/>
    </w:rPr>
  </w:style>
  <w:style w:type="paragraph" w:customStyle="1" w:styleId="268">
    <w:name w:val="font14"/>
    <w:basedOn w:val="1"/>
    <w:qFormat/>
    <w:uiPriority w:val="99"/>
    <w:pPr>
      <w:spacing w:before="100" w:beforeAutospacing="1" w:after="100" w:afterAutospacing="1" w:line="240" w:lineRule="auto"/>
      <w:ind w:firstLine="0"/>
    </w:pPr>
    <w:rPr>
      <w:rFonts w:ascii="Arial CYR" w:hAnsi="Arial CYR" w:cs="Arial CYR"/>
      <w:b/>
      <w:bCs/>
      <w:sz w:val="18"/>
      <w:szCs w:val="18"/>
    </w:rPr>
  </w:style>
  <w:style w:type="paragraph" w:customStyle="1" w:styleId="269">
    <w:name w:val="font15"/>
    <w:basedOn w:val="1"/>
    <w:qFormat/>
    <w:uiPriority w:val="99"/>
    <w:pPr>
      <w:spacing w:before="100" w:beforeAutospacing="1" w:after="100" w:afterAutospacing="1" w:line="240" w:lineRule="auto"/>
      <w:ind w:firstLine="0"/>
    </w:pPr>
    <w:rPr>
      <w:rFonts w:ascii="Arial CYR" w:hAnsi="Arial CYR" w:cs="Arial CYR"/>
      <w:b/>
      <w:bCs/>
      <w:sz w:val="22"/>
    </w:rPr>
  </w:style>
  <w:style w:type="paragraph" w:customStyle="1" w:styleId="270">
    <w:name w:val="font16"/>
    <w:basedOn w:val="1"/>
    <w:qFormat/>
    <w:uiPriority w:val="99"/>
    <w:pPr>
      <w:spacing w:before="100" w:beforeAutospacing="1" w:after="100" w:afterAutospacing="1" w:line="240" w:lineRule="auto"/>
      <w:ind w:firstLine="0"/>
    </w:pPr>
    <w:rPr>
      <w:b/>
      <w:bCs/>
      <w:sz w:val="22"/>
    </w:rPr>
  </w:style>
  <w:style w:type="paragraph" w:customStyle="1" w:styleId="271">
    <w:name w:val="font17"/>
    <w:basedOn w:val="1"/>
    <w:qFormat/>
    <w:uiPriority w:val="99"/>
    <w:pPr>
      <w:spacing w:before="100" w:beforeAutospacing="1" w:after="100" w:afterAutospacing="1" w:line="240" w:lineRule="auto"/>
      <w:ind w:firstLine="0"/>
    </w:pPr>
    <w:rPr>
      <w:rFonts w:ascii="Arial CYR" w:hAnsi="Arial CYR" w:cs="Arial CYR"/>
      <w:b/>
      <w:bCs/>
      <w:sz w:val="22"/>
    </w:rPr>
  </w:style>
  <w:style w:type="paragraph" w:customStyle="1" w:styleId="272">
    <w:name w:val="font18"/>
    <w:basedOn w:val="1"/>
    <w:qFormat/>
    <w:uiPriority w:val="99"/>
    <w:pPr>
      <w:spacing w:before="100" w:beforeAutospacing="1" w:after="100" w:afterAutospacing="1" w:line="240" w:lineRule="auto"/>
      <w:ind w:firstLine="0"/>
    </w:pPr>
    <w:rPr>
      <w:b/>
      <w:bCs/>
      <w:sz w:val="22"/>
    </w:rPr>
  </w:style>
  <w:style w:type="paragraph" w:customStyle="1" w:styleId="273">
    <w:name w:val="font19"/>
    <w:basedOn w:val="1"/>
    <w:qFormat/>
    <w:uiPriority w:val="99"/>
    <w:pPr>
      <w:spacing w:before="100" w:beforeAutospacing="1" w:after="100" w:afterAutospacing="1" w:line="240" w:lineRule="auto"/>
      <w:ind w:firstLine="0"/>
    </w:pPr>
    <w:rPr>
      <w:b/>
      <w:bCs/>
      <w:sz w:val="22"/>
    </w:rPr>
  </w:style>
  <w:style w:type="paragraph" w:customStyle="1" w:styleId="274">
    <w:name w:val="font20"/>
    <w:basedOn w:val="1"/>
    <w:qFormat/>
    <w:uiPriority w:val="99"/>
    <w:pPr>
      <w:spacing w:before="100" w:beforeAutospacing="1" w:after="100" w:afterAutospacing="1" w:line="240" w:lineRule="auto"/>
      <w:ind w:firstLine="0"/>
    </w:pPr>
    <w:rPr>
      <w:sz w:val="22"/>
    </w:rPr>
  </w:style>
  <w:style w:type="paragraph" w:customStyle="1" w:styleId="275">
    <w:name w:val="font21"/>
    <w:basedOn w:val="1"/>
    <w:qFormat/>
    <w:uiPriority w:val="99"/>
    <w:pPr>
      <w:spacing w:before="100" w:beforeAutospacing="1" w:after="100" w:afterAutospacing="1" w:line="240" w:lineRule="auto"/>
      <w:ind w:firstLine="0"/>
    </w:pPr>
    <w:rPr>
      <w:rFonts w:ascii="Arial CYR" w:hAnsi="Arial CYR" w:cs="Arial CYR"/>
      <w:b/>
      <w:bCs/>
      <w:sz w:val="14"/>
      <w:szCs w:val="14"/>
    </w:rPr>
  </w:style>
  <w:style w:type="paragraph" w:customStyle="1" w:styleId="276">
    <w:name w:val="font22"/>
    <w:basedOn w:val="1"/>
    <w:qFormat/>
    <w:uiPriority w:val="99"/>
    <w:pPr>
      <w:spacing w:before="100" w:beforeAutospacing="1" w:after="100" w:afterAutospacing="1" w:line="240" w:lineRule="auto"/>
      <w:ind w:firstLine="0"/>
    </w:pPr>
    <w:rPr>
      <w:rFonts w:ascii="Arial CYR" w:hAnsi="Arial CYR" w:cs="Arial CYR"/>
      <w:b/>
      <w:bCs/>
      <w:sz w:val="14"/>
      <w:szCs w:val="14"/>
    </w:rPr>
  </w:style>
  <w:style w:type="paragraph" w:customStyle="1" w:styleId="277">
    <w:name w:val="font23"/>
    <w:basedOn w:val="1"/>
    <w:qFormat/>
    <w:uiPriority w:val="99"/>
    <w:pPr>
      <w:spacing w:before="100" w:beforeAutospacing="1" w:after="100" w:afterAutospacing="1" w:line="240" w:lineRule="auto"/>
      <w:ind w:firstLine="0"/>
    </w:pPr>
    <w:rPr>
      <w:rFonts w:ascii="Arial CYR" w:hAnsi="Arial CYR" w:cs="Arial CYR"/>
      <w:b/>
      <w:bCs/>
      <w:sz w:val="22"/>
    </w:rPr>
  </w:style>
  <w:style w:type="paragraph" w:customStyle="1" w:styleId="278">
    <w:name w:val="font24"/>
    <w:basedOn w:val="1"/>
    <w:qFormat/>
    <w:uiPriority w:val="99"/>
    <w:pPr>
      <w:spacing w:before="100" w:beforeAutospacing="1" w:after="100" w:afterAutospacing="1" w:line="240" w:lineRule="auto"/>
      <w:ind w:firstLine="0"/>
    </w:pPr>
    <w:rPr>
      <w:rFonts w:ascii="Arial CYR" w:hAnsi="Arial CYR" w:cs="Arial CYR"/>
      <w:b/>
      <w:bCs/>
      <w:sz w:val="14"/>
      <w:szCs w:val="14"/>
    </w:rPr>
  </w:style>
  <w:style w:type="paragraph" w:customStyle="1" w:styleId="279">
    <w:name w:val="font25"/>
    <w:basedOn w:val="1"/>
    <w:qFormat/>
    <w:uiPriority w:val="99"/>
    <w:pPr>
      <w:spacing w:before="100" w:beforeAutospacing="1" w:after="100" w:afterAutospacing="1" w:line="240" w:lineRule="auto"/>
      <w:ind w:firstLine="0"/>
    </w:pPr>
    <w:rPr>
      <w:szCs w:val="28"/>
    </w:rPr>
  </w:style>
  <w:style w:type="paragraph" w:customStyle="1" w:styleId="280">
    <w:name w:val="font26"/>
    <w:basedOn w:val="1"/>
    <w:qFormat/>
    <w:uiPriority w:val="99"/>
    <w:pPr>
      <w:spacing w:before="100" w:beforeAutospacing="1" w:after="100" w:afterAutospacing="1" w:line="240" w:lineRule="auto"/>
      <w:ind w:firstLine="0"/>
    </w:pPr>
    <w:rPr>
      <w:b/>
      <w:bCs/>
      <w:color w:val="FF0000"/>
      <w:sz w:val="20"/>
      <w:szCs w:val="20"/>
    </w:rPr>
  </w:style>
  <w:style w:type="paragraph" w:customStyle="1" w:styleId="281">
    <w:name w:val="xl118"/>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282">
    <w:name w:val="xl119"/>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283">
    <w:name w:val="xl120"/>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284">
    <w:name w:val="xl121"/>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285">
    <w:name w:val="xl122"/>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286">
    <w:name w:val="xl123"/>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287">
    <w:name w:val="xl124"/>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288">
    <w:name w:val="xl125"/>
    <w:basedOn w:val="1"/>
    <w:qFormat/>
    <w:uiPriority w:val="0"/>
    <w:pPr>
      <w:pBdr>
        <w:top w:val="single" w:color="auto" w:sz="8" w:space="0"/>
        <w:left w:val="single" w:color="auto" w:sz="4" w:space="0"/>
        <w:bottom w:val="single" w:color="auto" w:sz="8" w:space="0"/>
        <w:right w:val="single" w:color="auto" w:sz="4" w:space="0"/>
      </w:pBdr>
      <w:shd w:val="clear" w:color="auto" w:fill="FFFFFF"/>
      <w:spacing w:before="100" w:beforeAutospacing="1" w:after="100" w:afterAutospacing="1" w:line="240" w:lineRule="auto"/>
      <w:ind w:firstLine="0"/>
      <w:jc w:val="center"/>
    </w:pPr>
    <w:rPr>
      <w:b/>
      <w:bCs/>
      <w:sz w:val="20"/>
      <w:szCs w:val="20"/>
    </w:rPr>
  </w:style>
  <w:style w:type="paragraph" w:customStyle="1" w:styleId="289">
    <w:name w:val="xl126"/>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290">
    <w:name w:val="xl127"/>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291">
    <w:name w:val="xl128"/>
    <w:basedOn w:val="1"/>
    <w:qFormat/>
    <w:uiPriority w:val="0"/>
    <w:pPr>
      <w:pBdr>
        <w:top w:val="single" w:color="969696" w:sz="4" w:space="0"/>
        <w:left w:val="single" w:color="969696" w:sz="4" w:space="0"/>
        <w:bottom w:val="single" w:color="969696" w:sz="4" w:space="0"/>
        <w:right w:val="single" w:color="auto" w:sz="8" w:space="0"/>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292">
    <w:name w:val="xl129"/>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293">
    <w:name w:val="xl130"/>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294">
    <w:name w:val="xl131"/>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295">
    <w:name w:val="xl132"/>
    <w:basedOn w:val="1"/>
    <w:qFormat/>
    <w:uiPriority w:val="0"/>
    <w:pPr>
      <w:pBdr>
        <w:top w:val="single" w:color="969696" w:sz="4" w:space="0"/>
        <w:left w:val="single" w:color="969696" w:sz="4" w:space="0"/>
        <w:bottom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296">
    <w:name w:val="xl133"/>
    <w:basedOn w:val="1"/>
    <w:qFormat/>
    <w:uiPriority w:val="0"/>
    <w:pPr>
      <w:pBdr>
        <w:top w:val="single" w:color="969696" w:sz="4" w:space="0"/>
        <w:left w:val="single" w:color="auto" w:sz="8" w:space="0"/>
        <w:bottom w:val="single" w:color="auto" w:sz="8"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297">
    <w:name w:val="xl134"/>
    <w:basedOn w:val="1"/>
    <w:qFormat/>
    <w:uiPriority w:val="0"/>
    <w:pPr>
      <w:pBdr>
        <w:top w:val="single" w:color="969696" w:sz="4" w:space="0"/>
        <w:left w:val="single" w:color="969696" w:sz="4" w:space="0"/>
        <w:bottom w:val="single" w:color="auto" w:sz="8"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298">
    <w:name w:val="xl135"/>
    <w:basedOn w:val="1"/>
    <w:qFormat/>
    <w:uiPriority w:val="0"/>
    <w:pPr>
      <w:pBdr>
        <w:top w:val="single" w:color="969696" w:sz="4" w:space="0"/>
        <w:left w:val="single" w:color="969696" w:sz="4" w:space="0"/>
        <w:bottom w:val="single" w:color="auto" w:sz="8" w:space="0"/>
        <w:right w:val="single" w:color="auto" w:sz="8"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299">
    <w:name w:val="xl136"/>
    <w:basedOn w:val="1"/>
    <w:qFormat/>
    <w:uiPriority w:val="0"/>
    <w:pPr>
      <w:pBdr>
        <w:top w:val="single" w:color="969696" w:sz="4" w:space="0"/>
        <w:left w:val="single" w:color="969696" w:sz="4" w:space="0"/>
        <w:bottom w:val="single" w:color="auto" w:sz="8"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300">
    <w:name w:val="xl137"/>
    <w:basedOn w:val="1"/>
    <w:qFormat/>
    <w:uiPriority w:val="0"/>
    <w:pPr>
      <w:pBdr>
        <w:top w:val="single" w:color="969696" w:sz="4" w:space="0"/>
        <w:left w:val="single" w:color="969696" w:sz="4" w:space="0"/>
        <w:bottom w:val="single" w:color="auto" w:sz="8" w:space="0"/>
        <w:right w:val="single" w:color="auto" w:sz="8" w:space="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301">
    <w:name w:val="xl138"/>
    <w:basedOn w:val="1"/>
    <w:qFormat/>
    <w:uiPriority w:val="0"/>
    <w:pPr>
      <w:pBdr>
        <w:top w:val="single" w:color="969696" w:sz="4" w:space="0"/>
        <w:left w:val="single" w:color="auto" w:sz="8" w:space="0"/>
        <w:bottom w:val="single" w:color="auto" w:sz="8"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302">
    <w:name w:val="xl139"/>
    <w:basedOn w:val="1"/>
    <w:qFormat/>
    <w:uiPriority w:val="0"/>
    <w:pPr>
      <w:pBdr>
        <w:top w:val="single" w:color="808080" w:sz="4" w:space="0"/>
        <w:left w:val="single" w:color="808080" w:sz="4" w:space="0"/>
        <w:bottom w:val="single" w:color="808080" w:sz="4" w:space="0"/>
        <w:right w:val="single" w:color="808080" w:sz="4" w:space="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303">
    <w:name w:val="xl140"/>
    <w:basedOn w:val="1"/>
    <w:qFormat/>
    <w:uiPriority w:val="0"/>
    <w:pPr>
      <w:pBdr>
        <w:top w:val="single" w:color="808080" w:sz="4" w:space="0"/>
        <w:left w:val="single" w:color="808080" w:sz="4" w:space="0"/>
        <w:bottom w:val="single" w:color="auto" w:sz="4" w:space="0"/>
        <w:right w:val="single" w:color="808080" w:sz="4" w:space="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304">
    <w:name w:val="xl141"/>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305">
    <w:name w:val="xl142"/>
    <w:basedOn w:val="1"/>
    <w:qFormat/>
    <w:uiPriority w:val="0"/>
    <w:pPr>
      <w:pBdr>
        <w:top w:val="single" w:color="808080" w:sz="4" w:space="0"/>
        <w:bottom w:val="single" w:color="808080" w:sz="4" w:space="0"/>
      </w:pBdr>
      <w:shd w:val="clear" w:color="auto" w:fill="FFFFFF"/>
      <w:spacing w:before="100" w:beforeAutospacing="1" w:after="100" w:afterAutospacing="1" w:line="240" w:lineRule="auto"/>
      <w:ind w:firstLine="0"/>
      <w:jc w:val="center"/>
    </w:pPr>
    <w:rPr>
      <w:sz w:val="24"/>
      <w:szCs w:val="24"/>
    </w:rPr>
  </w:style>
  <w:style w:type="paragraph" w:customStyle="1" w:styleId="306">
    <w:name w:val="xl143"/>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sz w:val="24"/>
      <w:szCs w:val="24"/>
    </w:rPr>
  </w:style>
  <w:style w:type="paragraph" w:customStyle="1" w:styleId="307">
    <w:name w:val="xl144"/>
    <w:basedOn w:val="1"/>
    <w:qFormat/>
    <w:uiPriority w:val="0"/>
    <w:pPr>
      <w:pBdr>
        <w:top w:val="single" w:color="auto" w:sz="4" w:space="0"/>
        <w:bottom w:val="single" w:color="969696" w:sz="4" w:space="0"/>
      </w:pBdr>
      <w:shd w:val="clear" w:color="auto" w:fill="FFFFFF"/>
      <w:spacing w:before="100" w:beforeAutospacing="1" w:after="100" w:afterAutospacing="1" w:line="240" w:lineRule="auto"/>
      <w:ind w:firstLine="0"/>
      <w:jc w:val="center"/>
    </w:pPr>
    <w:rPr>
      <w:b/>
      <w:bCs/>
      <w:sz w:val="20"/>
      <w:szCs w:val="20"/>
    </w:rPr>
  </w:style>
  <w:style w:type="paragraph" w:customStyle="1" w:styleId="308">
    <w:name w:val="xl145"/>
    <w:basedOn w:val="1"/>
    <w:qFormat/>
    <w:uiPriority w:val="0"/>
    <w:pPr>
      <w:pBdr>
        <w:top w:val="single" w:color="auto" w:sz="4" w:space="0"/>
        <w:bottom w:val="single" w:color="969696" w:sz="4" w:space="0"/>
      </w:pBdr>
      <w:shd w:val="clear" w:color="auto" w:fill="FFFFFF"/>
      <w:spacing w:before="100" w:beforeAutospacing="1" w:after="100" w:afterAutospacing="1" w:line="240" w:lineRule="auto"/>
      <w:ind w:firstLine="0"/>
      <w:jc w:val="center"/>
    </w:pPr>
    <w:rPr>
      <w:sz w:val="24"/>
      <w:szCs w:val="24"/>
    </w:rPr>
  </w:style>
  <w:style w:type="paragraph" w:customStyle="1" w:styleId="309">
    <w:name w:val="xl146"/>
    <w:basedOn w:val="1"/>
    <w:qFormat/>
    <w:uiPriority w:val="0"/>
    <w:pPr>
      <w:pBdr>
        <w:top w:val="single" w:color="auto" w:sz="4" w:space="0"/>
        <w:bottom w:val="single" w:color="969696"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310">
    <w:name w:val="xl147"/>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11">
    <w:name w:val="xl14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12">
    <w:name w:val="xl149"/>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313">
    <w:name w:val="xl150"/>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14">
    <w:name w:val="xl15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15">
    <w:name w:val="xl152"/>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316">
    <w:name w:val="xl153"/>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b/>
      <w:bCs/>
      <w:sz w:val="20"/>
      <w:szCs w:val="20"/>
    </w:rPr>
  </w:style>
  <w:style w:type="paragraph" w:customStyle="1" w:styleId="317">
    <w:name w:val="xl154"/>
    <w:basedOn w:val="1"/>
    <w:qFormat/>
    <w:uiPriority w:val="0"/>
    <w:pPr>
      <w:pBdr>
        <w:top w:val="single" w:color="969696" w:sz="4" w:space="0"/>
        <w:left w:val="single" w:color="969696" w:sz="4" w:space="0"/>
        <w:bottom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318">
    <w:name w:val="xl155"/>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319">
    <w:name w:val="xl156"/>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b/>
      <w:bCs/>
      <w:sz w:val="14"/>
      <w:szCs w:val="14"/>
    </w:rPr>
  </w:style>
  <w:style w:type="paragraph" w:customStyle="1" w:styleId="320">
    <w:name w:val="xl157"/>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b/>
      <w:bCs/>
      <w:sz w:val="20"/>
      <w:szCs w:val="20"/>
    </w:rPr>
  </w:style>
  <w:style w:type="paragraph" w:customStyle="1" w:styleId="321">
    <w:name w:val="xl158"/>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b/>
      <w:bCs/>
      <w:sz w:val="20"/>
      <w:szCs w:val="20"/>
    </w:rPr>
  </w:style>
  <w:style w:type="paragraph" w:customStyle="1" w:styleId="322">
    <w:name w:val="xl159"/>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323">
    <w:name w:val="xl160"/>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line="240" w:lineRule="auto"/>
      <w:ind w:firstLine="0"/>
    </w:pPr>
    <w:rPr>
      <w:b/>
      <w:bCs/>
      <w:sz w:val="14"/>
      <w:szCs w:val="14"/>
    </w:rPr>
  </w:style>
  <w:style w:type="paragraph" w:customStyle="1" w:styleId="324">
    <w:name w:val="xl161"/>
    <w:basedOn w:val="1"/>
    <w:qFormat/>
    <w:uiPriority w:val="0"/>
    <w:pPr>
      <w:pBdr>
        <w:top w:val="single" w:color="auto" w:sz="8" w:space="0"/>
        <w:left w:val="single" w:color="auto" w:sz="8" w:space="0"/>
        <w:bottom w:val="single" w:color="auto" w:sz="4" w:space="0"/>
      </w:pBdr>
      <w:shd w:val="clear" w:color="auto" w:fill="FFFFFF"/>
      <w:spacing w:before="100" w:beforeAutospacing="1" w:after="100" w:afterAutospacing="1" w:line="240" w:lineRule="auto"/>
      <w:ind w:firstLine="0"/>
      <w:jc w:val="center"/>
    </w:pPr>
    <w:rPr>
      <w:b/>
      <w:bCs/>
      <w:sz w:val="20"/>
      <w:szCs w:val="20"/>
    </w:rPr>
  </w:style>
  <w:style w:type="paragraph" w:customStyle="1" w:styleId="325">
    <w:name w:val="xl162"/>
    <w:basedOn w:val="1"/>
    <w:qFormat/>
    <w:uiPriority w:val="0"/>
    <w:pPr>
      <w:pBdr>
        <w:top w:val="single" w:color="auto" w:sz="8" w:space="0"/>
        <w:bottom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26">
    <w:name w:val="xl163"/>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327">
    <w:name w:val="xl164"/>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328">
    <w:name w:val="xl165"/>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29">
    <w:name w:val="xl166"/>
    <w:basedOn w:val="1"/>
    <w:qFormat/>
    <w:uiPriority w:val="0"/>
    <w:pPr>
      <w:pBdr>
        <w:top w:val="single" w:color="auto" w:sz="4" w:space="0"/>
        <w:bottom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330">
    <w:name w:val="xl167"/>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331">
    <w:name w:val="xl168"/>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jc w:val="center"/>
    </w:pPr>
    <w:rPr>
      <w:b/>
      <w:bCs/>
      <w:sz w:val="16"/>
      <w:szCs w:val="16"/>
    </w:rPr>
  </w:style>
  <w:style w:type="paragraph" w:customStyle="1" w:styleId="332">
    <w:name w:val="xl169"/>
    <w:basedOn w:val="1"/>
    <w:qFormat/>
    <w:uiPriority w:val="0"/>
    <w:pPr>
      <w:pBdr>
        <w:top w:val="single" w:color="auto" w:sz="4" w:space="0"/>
        <w:bottom w:val="single" w:color="auto" w:sz="4" w:space="0"/>
      </w:pBdr>
      <w:shd w:val="clear" w:color="auto" w:fill="FFFFFF"/>
      <w:spacing w:before="100" w:beforeAutospacing="1" w:after="100" w:afterAutospacing="1" w:line="240" w:lineRule="auto"/>
      <w:ind w:firstLine="0"/>
      <w:jc w:val="center"/>
    </w:pPr>
    <w:rPr>
      <w:sz w:val="16"/>
      <w:szCs w:val="16"/>
    </w:rPr>
  </w:style>
  <w:style w:type="paragraph" w:customStyle="1" w:styleId="333">
    <w:name w:val="xl170"/>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16"/>
      <w:szCs w:val="16"/>
    </w:rPr>
  </w:style>
  <w:style w:type="paragraph" w:customStyle="1" w:styleId="334">
    <w:name w:val="xl171"/>
    <w:basedOn w:val="1"/>
    <w:qFormat/>
    <w:uiPriority w:val="0"/>
    <w:pPr>
      <w:pBdr>
        <w:top w:val="single" w:color="auto" w:sz="8" w:space="0"/>
        <w:bottom w:val="single" w:color="auto" w:sz="4" w:space="0"/>
      </w:pBdr>
      <w:shd w:val="clear" w:color="auto" w:fill="FFFFFF"/>
      <w:spacing w:before="100" w:beforeAutospacing="1" w:after="100" w:afterAutospacing="1" w:line="240" w:lineRule="auto"/>
      <w:ind w:firstLine="0"/>
    </w:pPr>
    <w:rPr>
      <w:sz w:val="24"/>
      <w:szCs w:val="24"/>
    </w:rPr>
  </w:style>
  <w:style w:type="paragraph" w:customStyle="1" w:styleId="335">
    <w:name w:val="xl172"/>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336">
    <w:name w:val="xl173"/>
    <w:basedOn w:val="1"/>
    <w:qFormat/>
    <w:uiPriority w:val="0"/>
    <w:pPr>
      <w:pBdr>
        <w:top w:val="single" w:color="auto" w:sz="8" w:space="0"/>
        <w:left w:val="single" w:color="auto" w:sz="8" w:space="0"/>
      </w:pBdr>
      <w:shd w:val="clear" w:color="auto" w:fill="FFFFFF"/>
      <w:spacing w:before="100" w:beforeAutospacing="1" w:after="100" w:afterAutospacing="1" w:line="240" w:lineRule="auto"/>
      <w:ind w:firstLine="0"/>
      <w:jc w:val="center"/>
    </w:pPr>
    <w:rPr>
      <w:b/>
      <w:bCs/>
      <w:sz w:val="20"/>
      <w:szCs w:val="20"/>
    </w:rPr>
  </w:style>
  <w:style w:type="paragraph" w:customStyle="1" w:styleId="337">
    <w:name w:val="xl174"/>
    <w:basedOn w:val="1"/>
    <w:qFormat/>
    <w:uiPriority w:val="0"/>
    <w:pPr>
      <w:pBdr>
        <w:top w:val="single" w:color="auto" w:sz="8" w:space="0"/>
        <w:righ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338">
    <w:name w:val="xl175"/>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line="240" w:lineRule="auto"/>
      <w:ind w:firstLine="0"/>
      <w:jc w:val="center"/>
    </w:pPr>
    <w:rPr>
      <w:b/>
      <w:bCs/>
      <w:sz w:val="20"/>
      <w:szCs w:val="20"/>
    </w:rPr>
  </w:style>
  <w:style w:type="paragraph" w:customStyle="1" w:styleId="339">
    <w:name w:val="xl176"/>
    <w:basedOn w:val="1"/>
    <w:qFormat/>
    <w:uiPriority w:val="0"/>
    <w:pPr>
      <w:pBdr>
        <w:top w:val="single" w:color="auto" w:sz="8" w:space="0"/>
        <w:bottom w:val="single" w:color="auto" w:sz="8" w:space="0"/>
        <w:righ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340">
    <w:name w:val="xl177"/>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line="240" w:lineRule="auto"/>
      <w:ind w:firstLine="0"/>
      <w:jc w:val="center"/>
    </w:pPr>
    <w:rPr>
      <w:b/>
      <w:bCs/>
      <w:sz w:val="20"/>
      <w:szCs w:val="20"/>
    </w:rPr>
  </w:style>
  <w:style w:type="paragraph" w:customStyle="1" w:styleId="341">
    <w:name w:val="xl178"/>
    <w:basedOn w:val="1"/>
    <w:qFormat/>
    <w:uiPriority w:val="0"/>
    <w:pPr>
      <w:pBdr>
        <w:top w:val="single" w:color="auto" w:sz="8" w:space="0"/>
        <w:bottom w:val="single" w:color="auto" w:sz="8" w:space="0"/>
        <w:righ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342">
    <w:name w:val="xl179"/>
    <w:basedOn w:val="1"/>
    <w:qFormat/>
    <w:uiPriority w:val="0"/>
    <w:pPr>
      <w:pBdr>
        <w:top w:val="single" w:color="auto" w:sz="4" w:space="0"/>
        <w:left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43">
    <w:name w:val="xl180"/>
    <w:basedOn w:val="1"/>
    <w:qFormat/>
    <w:uiPriority w:val="0"/>
    <w:pPr>
      <w:pBdr>
        <w:top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344">
    <w:name w:val="xl181"/>
    <w:basedOn w:val="1"/>
    <w:qFormat/>
    <w:uiPriority w:val="0"/>
    <w:pPr>
      <w:pBdr>
        <w:top w:val="single" w:color="auto" w:sz="4"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345">
    <w:name w:val="xl182"/>
    <w:basedOn w:val="1"/>
    <w:qFormat/>
    <w:uiPriority w:val="0"/>
    <w:pPr>
      <w:pBdr>
        <w:lef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346">
    <w:name w:val="xl183"/>
    <w:basedOn w:val="1"/>
    <w:qFormat/>
    <w:uiPriority w:val="0"/>
    <w:pPr>
      <w:shd w:val="clear" w:color="auto" w:fill="FFFFFF"/>
      <w:spacing w:before="100" w:beforeAutospacing="1" w:after="100" w:afterAutospacing="1" w:line="240" w:lineRule="auto"/>
      <w:ind w:firstLine="0"/>
      <w:jc w:val="center"/>
    </w:pPr>
    <w:rPr>
      <w:sz w:val="24"/>
      <w:szCs w:val="24"/>
    </w:rPr>
  </w:style>
  <w:style w:type="paragraph" w:customStyle="1" w:styleId="347">
    <w:name w:val="xl184"/>
    <w:basedOn w:val="1"/>
    <w:qFormat/>
    <w:uiPriority w:val="0"/>
    <w:pPr>
      <w:pBdr>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348">
    <w:name w:val="xl185"/>
    <w:basedOn w:val="1"/>
    <w:qFormat/>
    <w:uiPriority w:val="0"/>
    <w:pPr>
      <w:pBdr>
        <w:left w:val="single" w:color="808080" w:sz="8" w:space="0"/>
        <w:bottom w:val="single" w:color="808080" w:sz="4"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349">
    <w:name w:val="xl186"/>
    <w:basedOn w:val="1"/>
    <w:qFormat/>
    <w:uiPriority w:val="0"/>
    <w:pPr>
      <w:pBdr>
        <w:bottom w:val="single" w:color="808080" w:sz="4" w:space="0"/>
      </w:pBdr>
      <w:spacing w:before="100" w:beforeAutospacing="1" w:after="100" w:afterAutospacing="1" w:line="240" w:lineRule="auto"/>
      <w:ind w:firstLine="0"/>
      <w:jc w:val="center"/>
    </w:pPr>
    <w:rPr>
      <w:sz w:val="24"/>
      <w:szCs w:val="24"/>
    </w:rPr>
  </w:style>
  <w:style w:type="paragraph" w:customStyle="1" w:styleId="350">
    <w:name w:val="xl187"/>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351">
    <w:name w:val="xl188"/>
    <w:basedOn w:val="1"/>
    <w:qFormat/>
    <w:uiPriority w:val="0"/>
    <w:pPr>
      <w:pBdr>
        <w:top w:val="single" w:color="808080" w:sz="4" w:space="0"/>
        <w:bottom w:val="single" w:color="808080" w:sz="4" w:space="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352">
    <w:name w:val="xl189"/>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353">
    <w:name w:val="xl190"/>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sz w:val="24"/>
      <w:szCs w:val="24"/>
    </w:rPr>
  </w:style>
  <w:style w:type="paragraph" w:customStyle="1" w:styleId="354">
    <w:name w:val="xl191"/>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355">
    <w:name w:val="xl192"/>
    <w:basedOn w:val="1"/>
    <w:qFormat/>
    <w:uiPriority w:val="0"/>
    <w:pPr>
      <w:pBdr>
        <w:top w:val="single" w:color="auto" w:sz="4" w:space="0"/>
        <w:left w:val="single" w:color="auto" w:sz="8"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356">
    <w:name w:val="xl193"/>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line="240" w:lineRule="auto"/>
      <w:ind w:firstLine="0"/>
      <w:jc w:val="center"/>
    </w:pPr>
    <w:rPr>
      <w:sz w:val="24"/>
      <w:szCs w:val="24"/>
    </w:rPr>
  </w:style>
  <w:style w:type="paragraph" w:customStyle="1" w:styleId="357">
    <w:name w:val="xl194"/>
    <w:basedOn w:val="1"/>
    <w:qFormat/>
    <w:uiPriority w:val="0"/>
    <w:pPr>
      <w:pBdr>
        <w:top w:val="single" w:color="auto" w:sz="4" w:space="0"/>
        <w:left w:val="single" w:color="969696" w:sz="4" w:space="0"/>
        <w:bottom w:val="single" w:color="969696" w:sz="4" w:space="0"/>
        <w:right w:val="single" w:color="auto" w:sz="8" w:space="0"/>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358">
    <w:name w:val="xl195"/>
    <w:basedOn w:val="1"/>
    <w:qFormat/>
    <w:uiPriority w:val="0"/>
    <w:pPr>
      <w:pBdr>
        <w:top w:val="single" w:color="969696" w:sz="4" w:space="0"/>
        <w:left w:val="single" w:color="969696" w:sz="4" w:space="0"/>
        <w:bottom w:val="single" w:color="969696"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359">
    <w:name w:val="xl196"/>
    <w:basedOn w:val="1"/>
    <w:qFormat/>
    <w:uiPriority w:val="0"/>
    <w:pPr>
      <w:pBdr>
        <w:left w:val="single" w:color="auto" w:sz="8"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360">
    <w:name w:val="xl197"/>
    <w:basedOn w:val="1"/>
    <w:qFormat/>
    <w:uiPriority w:val="0"/>
    <w:pPr>
      <w:pBdr>
        <w:left w:val="single" w:color="969696" w:sz="4"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1">
    <w:name w:val="xl198"/>
    <w:basedOn w:val="1"/>
    <w:qFormat/>
    <w:uiPriority w:val="0"/>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2">
    <w:name w:val="xl199"/>
    <w:basedOn w:val="1"/>
    <w:qFormat/>
    <w:uiPriority w:val="0"/>
    <w:pPr>
      <w:pBdr>
        <w:right w:val="single" w:color="auto" w:sz="8"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3">
    <w:name w:val="xl200"/>
    <w:basedOn w:val="1"/>
    <w:qFormat/>
    <w:uiPriority w:val="0"/>
    <w:pPr>
      <w:pBdr>
        <w:left w:val="single" w:color="969696" w:sz="4"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4">
    <w:name w:val="xl201"/>
    <w:basedOn w:val="1"/>
    <w:qFormat/>
    <w:uiPriority w:val="0"/>
    <w:pPr>
      <w:pBdr>
        <w:left w:val="single" w:color="auto" w:sz="8"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5">
    <w:name w:val="xl202"/>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6">
    <w:name w:val="xl203"/>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367">
    <w:name w:val="xl204"/>
    <w:basedOn w:val="1"/>
    <w:qFormat/>
    <w:uiPriority w:val="0"/>
    <w:pPr>
      <w:pBdr>
        <w:left w:val="single" w:color="969696" w:sz="4" w:space="0"/>
        <w:bottom w:val="single" w:color="969696" w:sz="4"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8">
    <w:name w:val="xl205"/>
    <w:basedOn w:val="1"/>
    <w:qFormat/>
    <w:uiPriority w:val="0"/>
    <w:pPr>
      <w:pBdr>
        <w:bottom w:val="single" w:color="969696" w:sz="4"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69">
    <w:name w:val="xl206"/>
    <w:basedOn w:val="1"/>
    <w:qFormat/>
    <w:uiPriority w:val="0"/>
    <w:pPr>
      <w:pBdr>
        <w:bottom w:val="single" w:color="969696" w:sz="4" w:space="0"/>
        <w:right w:val="single" w:color="auto" w:sz="8" w:space="0"/>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370">
    <w:name w:val="xl207"/>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371">
    <w:name w:val="xl208"/>
    <w:basedOn w:val="1"/>
    <w:qFormat/>
    <w:uiPriority w:val="0"/>
    <w:pPr>
      <w:pBdr>
        <w:top w:val="single" w:color="808080" w:sz="4" w:space="0"/>
        <w:bottom w:val="single" w:color="808080" w:sz="4" w:space="0"/>
      </w:pBdr>
      <w:shd w:val="clear" w:color="auto" w:fill="FFFFFF"/>
      <w:spacing w:before="100" w:beforeAutospacing="1" w:after="100" w:afterAutospacing="1" w:line="240" w:lineRule="auto"/>
      <w:ind w:firstLine="0"/>
      <w:jc w:val="center"/>
    </w:pPr>
    <w:rPr>
      <w:sz w:val="24"/>
      <w:szCs w:val="24"/>
    </w:rPr>
  </w:style>
  <w:style w:type="paragraph" w:customStyle="1" w:styleId="372">
    <w:name w:val="xl209"/>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line="240" w:lineRule="auto"/>
      <w:ind w:firstLine="0"/>
      <w:jc w:val="center"/>
    </w:pPr>
    <w:rPr>
      <w:sz w:val="24"/>
      <w:szCs w:val="24"/>
    </w:rPr>
  </w:style>
  <w:style w:type="character" w:customStyle="1" w:styleId="373">
    <w:name w:val="Знак Знак2"/>
    <w:locked/>
    <w:uiPriority w:val="0"/>
    <w:rPr>
      <w:sz w:val="24"/>
      <w:szCs w:val="24"/>
      <w:lang w:val="ru-RU" w:eastAsia="ru-RU" w:bidi="ar-SA"/>
    </w:rPr>
  </w:style>
  <w:style w:type="character" w:customStyle="1" w:styleId="374">
    <w:name w:val="Основной текст2"/>
    <w:uiPriority w:val="0"/>
    <w:rPr>
      <w:rFonts w:hint="default" w:ascii="Times New Roman" w:hAnsi="Times New Roman" w:eastAsia="Times New Roman" w:cs="Times New Roman"/>
      <w:spacing w:val="0"/>
      <w:sz w:val="22"/>
      <w:szCs w:val="22"/>
      <w:u w:val="none"/>
      <w:shd w:val="clear" w:color="auto" w:fill="FFFFFF"/>
    </w:rPr>
  </w:style>
  <w:style w:type="character" w:customStyle="1" w:styleId="375">
    <w:name w:val="Heading #2 (2)_"/>
    <w:qFormat/>
    <w:uiPriority w:val="0"/>
    <w:rPr>
      <w:rFonts w:hint="default" w:ascii="Times New Roman" w:hAnsi="Times New Roman" w:eastAsia="Times New Roman" w:cs="Times New Roman"/>
      <w:spacing w:val="0"/>
      <w:sz w:val="27"/>
      <w:szCs w:val="27"/>
      <w:u w:val="none"/>
    </w:rPr>
  </w:style>
  <w:style w:type="character" w:customStyle="1" w:styleId="376">
    <w:name w:val="apple-converted-space"/>
    <w:qFormat/>
    <w:uiPriority w:val="0"/>
  </w:style>
  <w:style w:type="paragraph" w:customStyle="1" w:styleId="377">
    <w:name w:val="Абзац"/>
    <w:link w:val="378"/>
    <w:qFormat/>
    <w:uiPriority w:val="0"/>
    <w:pPr>
      <w:spacing w:before="120" w:after="60" w:line="240" w:lineRule="auto"/>
      <w:ind w:firstLine="567"/>
      <w:jc w:val="both"/>
    </w:pPr>
    <w:rPr>
      <w:rFonts w:ascii="Times New Roman" w:hAnsi="Times New Roman" w:eastAsia="Times New Roman" w:cs="Times New Roman"/>
      <w:sz w:val="24"/>
      <w:szCs w:val="24"/>
      <w:lang w:val="ru-RU" w:eastAsia="ru-RU" w:bidi="ar-SA"/>
    </w:rPr>
  </w:style>
  <w:style w:type="character" w:customStyle="1" w:styleId="378">
    <w:name w:val="Абзац Знак"/>
    <w:link w:val="377"/>
    <w:qFormat/>
    <w:uiPriority w:val="0"/>
    <w:rPr>
      <w:rFonts w:ascii="Times New Roman" w:hAnsi="Times New Roman" w:eastAsia="Times New Roman" w:cs="Times New Roman"/>
      <w:sz w:val="24"/>
      <w:szCs w:val="24"/>
      <w:lang w:eastAsia="ru-RU"/>
    </w:rPr>
  </w:style>
  <w:style w:type="paragraph" w:customStyle="1" w:styleId="379">
    <w:name w:val="Пункт 3"/>
    <w:basedOn w:val="4"/>
    <w:qFormat/>
    <w:locked/>
    <w:uiPriority w:val="0"/>
    <w:pPr>
      <w:keepLines w:val="0"/>
      <w:tabs>
        <w:tab w:val="left" w:pos="1276"/>
        <w:tab w:val="left" w:pos="2160"/>
      </w:tabs>
      <w:spacing w:before="120" w:after="60" w:line="240" w:lineRule="auto"/>
      <w:ind w:left="567" w:firstLine="0"/>
    </w:pPr>
    <w:rPr>
      <w:rFonts w:eastAsia="Times New Roman" w:cs="Times New Roman"/>
      <w:b w:val="0"/>
      <w:bCs/>
      <w:sz w:val="26"/>
    </w:rPr>
  </w:style>
  <w:style w:type="paragraph" w:customStyle="1" w:styleId="380">
    <w:name w:val="Заголовок_подзаголовок_2"/>
    <w:next w:val="377"/>
    <w:link w:val="381"/>
    <w:qFormat/>
    <w:uiPriority w:val="0"/>
    <w:pPr>
      <w:keepNext/>
      <w:spacing w:before="120" w:after="60" w:line="240" w:lineRule="auto"/>
      <w:ind w:left="567"/>
      <w:jc w:val="both"/>
    </w:pPr>
    <w:rPr>
      <w:rFonts w:ascii="Times New Roman" w:hAnsi="Times New Roman" w:eastAsia="Times New Roman" w:cs="Times New Roman"/>
      <w:b/>
      <w:bCs/>
      <w:sz w:val="24"/>
      <w:szCs w:val="24"/>
      <w:lang w:val="ru-RU" w:eastAsia="ru-RU" w:bidi="ar-SA"/>
    </w:rPr>
  </w:style>
  <w:style w:type="character" w:customStyle="1" w:styleId="381">
    <w:name w:val="Заголовок_подзаголовок_2 Знак"/>
    <w:link w:val="380"/>
    <w:qFormat/>
    <w:uiPriority w:val="0"/>
    <w:rPr>
      <w:rFonts w:ascii="Times New Roman" w:hAnsi="Times New Roman" w:eastAsia="Times New Roman" w:cs="Times New Roman"/>
      <w:b/>
      <w:bCs/>
      <w:sz w:val="24"/>
      <w:szCs w:val="24"/>
      <w:lang w:eastAsia="ru-RU"/>
    </w:rPr>
  </w:style>
  <w:style w:type="paragraph" w:customStyle="1" w:styleId="382">
    <w:name w:val="Список_маркерный_2_уровень"/>
    <w:basedOn w:val="383"/>
    <w:qFormat/>
    <w:uiPriority w:val="0"/>
    <w:pPr>
      <w:numPr>
        <w:ilvl w:val="1"/>
      </w:numPr>
      <w:ind w:left="1789" w:hanging="360"/>
    </w:pPr>
  </w:style>
  <w:style w:type="paragraph" w:customStyle="1" w:styleId="383">
    <w:name w:val="Список_маркерный_1_уровень"/>
    <w:link w:val="384"/>
    <w:qFormat/>
    <w:uiPriority w:val="0"/>
    <w:pPr>
      <w:numPr>
        <w:ilvl w:val="0"/>
        <w:numId w:val="6"/>
      </w:numPr>
      <w:spacing w:before="60" w:after="100" w:line="240" w:lineRule="auto"/>
      <w:jc w:val="both"/>
    </w:pPr>
    <w:rPr>
      <w:rFonts w:ascii="Times New Roman" w:hAnsi="Times New Roman" w:eastAsia="Times New Roman" w:cs="Times New Roman"/>
      <w:snapToGrid w:val="0"/>
      <w:sz w:val="24"/>
      <w:szCs w:val="24"/>
      <w:lang w:val="ru-RU" w:eastAsia="ru-RU" w:bidi="ar-SA"/>
    </w:rPr>
  </w:style>
  <w:style w:type="character" w:customStyle="1" w:styleId="384">
    <w:name w:val="Список_маркерный_1_уровень Знак"/>
    <w:link w:val="383"/>
    <w:qFormat/>
    <w:uiPriority w:val="0"/>
    <w:rPr>
      <w:rFonts w:ascii="Times New Roman" w:hAnsi="Times New Roman" w:eastAsia="Times New Roman" w:cs="Times New Roman"/>
      <w:snapToGrid w:val="0"/>
      <w:sz w:val="24"/>
      <w:szCs w:val="24"/>
      <w:lang w:eastAsia="ru-RU"/>
    </w:rPr>
  </w:style>
  <w:style w:type="paragraph" w:customStyle="1" w:styleId="385">
    <w:name w:val="Заголовок_подзаголовок_1"/>
    <w:next w:val="377"/>
    <w:link w:val="386"/>
    <w:qFormat/>
    <w:uiPriority w:val="0"/>
    <w:pPr>
      <w:keepNext/>
      <w:spacing w:before="120" w:after="60" w:line="240" w:lineRule="auto"/>
      <w:ind w:left="567"/>
      <w:jc w:val="both"/>
    </w:pPr>
    <w:rPr>
      <w:rFonts w:ascii="Times New Roman" w:hAnsi="Times New Roman" w:eastAsia="Times New Roman" w:cs="Times New Roman"/>
      <w:b/>
      <w:bCs/>
      <w:sz w:val="24"/>
      <w:szCs w:val="24"/>
      <w:u w:val="single"/>
      <w:lang w:val="ru-RU" w:eastAsia="ru-RU" w:bidi="ar-SA"/>
    </w:rPr>
  </w:style>
  <w:style w:type="character" w:customStyle="1" w:styleId="386">
    <w:name w:val="Заголовок_подзаголовок_1 Знак"/>
    <w:link w:val="385"/>
    <w:qFormat/>
    <w:uiPriority w:val="0"/>
    <w:rPr>
      <w:rFonts w:ascii="Times New Roman" w:hAnsi="Times New Roman" w:eastAsia="Times New Roman" w:cs="Times New Roman"/>
      <w:b/>
      <w:bCs/>
      <w:sz w:val="24"/>
      <w:szCs w:val="24"/>
      <w:u w:val="single"/>
      <w:lang w:eastAsia="ru-RU"/>
    </w:rPr>
  </w:style>
  <w:style w:type="character" w:customStyle="1" w:styleId="387">
    <w:name w:val="Текст_Красный"/>
    <w:qFormat/>
    <w:uiPriority w:val="1"/>
    <w:rPr>
      <w:color w:val="FF0000"/>
    </w:rPr>
  </w:style>
  <w:style w:type="paragraph" w:customStyle="1" w:styleId="388">
    <w:name w:val="Таблица_номер_таблицы"/>
    <w:link w:val="389"/>
    <w:qFormat/>
    <w:uiPriority w:val="0"/>
    <w:pPr>
      <w:keepNext/>
      <w:spacing w:after="0" w:line="240" w:lineRule="auto"/>
      <w:jc w:val="right"/>
    </w:pPr>
    <w:rPr>
      <w:rFonts w:ascii="Times New Roman" w:hAnsi="Times New Roman" w:eastAsia="Times New Roman" w:cs="Times New Roman"/>
      <w:bCs/>
      <w:sz w:val="24"/>
      <w:szCs w:val="20"/>
      <w:lang w:val="ru-RU" w:eastAsia="ru-RU" w:bidi="ar-SA"/>
    </w:rPr>
  </w:style>
  <w:style w:type="character" w:customStyle="1" w:styleId="389">
    <w:name w:val="Таблица_номер_таблицы Знак"/>
    <w:link w:val="388"/>
    <w:qFormat/>
    <w:uiPriority w:val="0"/>
    <w:rPr>
      <w:rFonts w:ascii="Times New Roman" w:hAnsi="Times New Roman" w:eastAsia="Times New Roman" w:cs="Times New Roman"/>
      <w:bCs/>
      <w:sz w:val="24"/>
      <w:szCs w:val="20"/>
      <w:lang w:eastAsia="ru-RU"/>
    </w:rPr>
  </w:style>
  <w:style w:type="paragraph" w:customStyle="1" w:styleId="390">
    <w:name w:val="Таблица_название_таблицы"/>
    <w:next w:val="377"/>
    <w:link w:val="391"/>
    <w:qFormat/>
    <w:uiPriority w:val="0"/>
    <w:pPr>
      <w:keepNext/>
      <w:spacing w:after="120" w:line="240" w:lineRule="auto"/>
      <w:jc w:val="center"/>
    </w:pPr>
    <w:rPr>
      <w:rFonts w:ascii="Times New Roman" w:hAnsi="Times New Roman" w:eastAsia="Times New Roman" w:cs="Times New Roman"/>
      <w:bCs/>
      <w:sz w:val="24"/>
      <w:szCs w:val="20"/>
      <w:lang w:val="ru-RU" w:eastAsia="ru-RU" w:bidi="ar-SA"/>
    </w:rPr>
  </w:style>
  <w:style w:type="character" w:customStyle="1" w:styleId="391">
    <w:name w:val="Таблица_название_таблицы Знак"/>
    <w:link w:val="390"/>
    <w:qFormat/>
    <w:uiPriority w:val="0"/>
    <w:rPr>
      <w:rFonts w:ascii="Times New Roman" w:hAnsi="Times New Roman" w:eastAsia="Times New Roman" w:cs="Times New Roman"/>
      <w:bCs/>
      <w:sz w:val="24"/>
      <w:szCs w:val="20"/>
      <w:lang w:eastAsia="ru-RU"/>
    </w:rPr>
  </w:style>
  <w:style w:type="paragraph" w:customStyle="1" w:styleId="392">
    <w:name w:val="Табличный_таблица_11"/>
    <w:link w:val="393"/>
    <w:qFormat/>
    <w:uiPriority w:val="0"/>
    <w:pPr>
      <w:spacing w:after="0" w:line="240" w:lineRule="auto"/>
      <w:jc w:val="center"/>
    </w:pPr>
    <w:rPr>
      <w:rFonts w:ascii="Times New Roman" w:hAnsi="Times New Roman" w:eastAsia="Times New Roman" w:cs="Times New Roman"/>
      <w:sz w:val="20"/>
      <w:szCs w:val="20"/>
      <w:lang w:val="ru-RU" w:eastAsia="ru-RU" w:bidi="ar-SA"/>
    </w:rPr>
  </w:style>
  <w:style w:type="character" w:customStyle="1" w:styleId="393">
    <w:name w:val="Табличный_таблица_11 Знак"/>
    <w:link w:val="392"/>
    <w:uiPriority w:val="0"/>
    <w:rPr>
      <w:rFonts w:ascii="Times New Roman" w:hAnsi="Times New Roman" w:eastAsia="Times New Roman" w:cs="Times New Roman"/>
      <w:sz w:val="20"/>
      <w:szCs w:val="20"/>
      <w:lang w:eastAsia="ru-RU"/>
    </w:rPr>
  </w:style>
  <w:style w:type="paragraph" w:customStyle="1" w:styleId="394">
    <w:name w:val="Табличный_боковик_11"/>
    <w:link w:val="395"/>
    <w:qFormat/>
    <w:uiPriority w:val="0"/>
    <w:pPr>
      <w:spacing w:after="0" w:line="240" w:lineRule="auto"/>
    </w:pPr>
    <w:rPr>
      <w:rFonts w:ascii="Times New Roman" w:hAnsi="Times New Roman" w:eastAsia="Times New Roman" w:cs="Times New Roman"/>
      <w:sz w:val="20"/>
      <w:szCs w:val="24"/>
      <w:lang w:val="ru-RU" w:eastAsia="ru-RU" w:bidi="ar-SA"/>
    </w:rPr>
  </w:style>
  <w:style w:type="character" w:customStyle="1" w:styleId="395">
    <w:name w:val="Табличный_боковик_11 Знак"/>
    <w:link w:val="394"/>
    <w:uiPriority w:val="0"/>
    <w:rPr>
      <w:rFonts w:ascii="Times New Roman" w:hAnsi="Times New Roman" w:eastAsia="Times New Roman" w:cs="Times New Roman"/>
      <w:sz w:val="20"/>
      <w:szCs w:val="24"/>
      <w:lang w:eastAsia="ru-RU"/>
    </w:rPr>
  </w:style>
  <w:style w:type="character" w:customStyle="1" w:styleId="396">
    <w:name w:val="Текст_Обычный"/>
    <w:qFormat/>
    <w:uiPriority w:val="0"/>
  </w:style>
  <w:style w:type="character" w:customStyle="1" w:styleId="397">
    <w:name w:val="Текст примечания Знак"/>
    <w:basedOn w:val="11"/>
    <w:link w:val="44"/>
    <w:qFormat/>
    <w:uiPriority w:val="0"/>
    <w:rPr>
      <w:rFonts w:ascii="Times New Roman" w:hAnsi="Times New Roman" w:eastAsia="Times New Roman" w:cs="Times New Roman"/>
      <w:sz w:val="20"/>
      <w:szCs w:val="20"/>
    </w:rPr>
  </w:style>
  <w:style w:type="character" w:customStyle="1" w:styleId="398">
    <w:name w:val="Тема примечания Знак"/>
    <w:basedOn w:val="397"/>
    <w:link w:val="46"/>
    <w:uiPriority w:val="0"/>
    <w:rPr>
      <w:rFonts w:ascii="Times New Roman" w:hAnsi="Times New Roman" w:eastAsia="Times New Roman" w:cs="Times New Roman"/>
      <w:b/>
      <w:bCs/>
      <w:sz w:val="20"/>
      <w:szCs w:val="20"/>
    </w:rPr>
  </w:style>
  <w:style w:type="paragraph" w:customStyle="1" w:styleId="399">
    <w:name w:val="textindent"/>
    <w:basedOn w:val="1"/>
    <w:qFormat/>
    <w:uiPriority w:val="0"/>
    <w:pPr>
      <w:spacing w:before="100" w:beforeAutospacing="1" w:after="100" w:afterAutospacing="1" w:line="240" w:lineRule="auto"/>
      <w:ind w:firstLine="0"/>
    </w:pPr>
    <w:rPr>
      <w:sz w:val="24"/>
      <w:szCs w:val="24"/>
    </w:rPr>
  </w:style>
  <w:style w:type="paragraph" w:customStyle="1" w:styleId="400">
    <w:name w:val="conspluscell"/>
    <w:basedOn w:val="1"/>
    <w:qFormat/>
    <w:uiPriority w:val="0"/>
    <w:pPr>
      <w:spacing w:before="100" w:beforeAutospacing="1" w:after="100" w:afterAutospacing="1" w:line="240" w:lineRule="auto"/>
      <w:ind w:firstLine="0"/>
    </w:pPr>
    <w:rPr>
      <w:sz w:val="24"/>
      <w:szCs w:val="24"/>
    </w:rPr>
  </w:style>
  <w:style w:type="paragraph" w:customStyle="1" w:styleId="401">
    <w:name w:val="2 Глава раздела"/>
    <w:basedOn w:val="54"/>
    <w:link w:val="402"/>
    <w:qFormat/>
    <w:uiPriority w:val="0"/>
    <w:pPr>
      <w:spacing w:before="120" w:after="120" w:line="360" w:lineRule="auto"/>
      <w:ind w:firstLine="425"/>
      <w:jc w:val="center"/>
    </w:pPr>
    <w:rPr>
      <w:bCs/>
      <w:sz w:val="28"/>
      <w:szCs w:val="26"/>
    </w:rPr>
  </w:style>
  <w:style w:type="character" w:customStyle="1" w:styleId="402">
    <w:name w:val="2 Глава раздела Знак"/>
    <w:link w:val="401"/>
    <w:uiPriority w:val="0"/>
    <w:rPr>
      <w:rFonts w:ascii="Times New Roman" w:hAnsi="Times New Roman" w:eastAsia="Times New Roman" w:cs="Times New Roman"/>
      <w:bCs/>
      <w:sz w:val="28"/>
      <w:szCs w:val="26"/>
    </w:rPr>
  </w:style>
  <w:style w:type="character" w:customStyle="1" w:styleId="403">
    <w:name w:val="_Обычный Знак"/>
    <w:link w:val="404"/>
    <w:qFormat/>
    <w:locked/>
    <w:uiPriority w:val="0"/>
    <w:rPr>
      <w:rFonts w:ascii="Times New Roman" w:hAnsi="Times New Roman" w:eastAsia="Calibri"/>
      <w:iCs/>
      <w:sz w:val="26"/>
      <w:szCs w:val="26"/>
    </w:rPr>
  </w:style>
  <w:style w:type="paragraph" w:customStyle="1" w:styleId="404">
    <w:name w:val="_Обычный"/>
    <w:basedOn w:val="1"/>
    <w:link w:val="403"/>
    <w:qFormat/>
    <w:uiPriority w:val="0"/>
    <w:pPr>
      <w:spacing w:after="0"/>
      <w:jc w:val="both"/>
    </w:pPr>
    <w:rPr>
      <w:rFonts w:eastAsia="Calibri" w:cstheme="minorBidi"/>
      <w:iCs/>
      <w:sz w:val="26"/>
      <w:szCs w:val="26"/>
      <w:lang w:eastAsia="en-US"/>
    </w:rPr>
  </w:style>
  <w:style w:type="character" w:customStyle="1" w:styleId="405">
    <w:name w:val="00_Обычный текст Знак"/>
    <w:link w:val="406"/>
    <w:qFormat/>
    <w:locked/>
    <w:uiPriority w:val="0"/>
    <w:rPr>
      <w:rFonts w:ascii="Times New Roman" w:hAnsi="Times New Roman"/>
      <w:sz w:val="26"/>
      <w:szCs w:val="26"/>
    </w:rPr>
  </w:style>
  <w:style w:type="paragraph" w:customStyle="1" w:styleId="406">
    <w:name w:val="00_Обычный текст"/>
    <w:basedOn w:val="1"/>
    <w:link w:val="405"/>
    <w:qFormat/>
    <w:uiPriority w:val="0"/>
    <w:pPr>
      <w:snapToGrid w:val="0"/>
      <w:spacing w:after="0"/>
      <w:contextualSpacing/>
      <w:jc w:val="both"/>
    </w:pPr>
    <w:rPr>
      <w:rFonts w:eastAsiaTheme="minorHAnsi" w:cstheme="minorBidi"/>
      <w:sz w:val="26"/>
      <w:szCs w:val="26"/>
      <w:lang w:eastAsia="en-US"/>
    </w:rPr>
  </w:style>
  <w:style w:type="character" w:customStyle="1" w:styleId="407">
    <w:name w:val="1_1 Список ненумерной Знак"/>
    <w:link w:val="408"/>
    <w:qFormat/>
    <w:locked/>
    <w:uiPriority w:val="0"/>
    <w:rPr>
      <w:rFonts w:ascii="Times New Roman" w:hAnsi="Times New Roman"/>
      <w:sz w:val="26"/>
      <w:szCs w:val="26"/>
    </w:rPr>
  </w:style>
  <w:style w:type="paragraph" w:customStyle="1" w:styleId="408">
    <w:name w:val="1_1 Список ненумерной"/>
    <w:basedOn w:val="1"/>
    <w:link w:val="407"/>
    <w:qFormat/>
    <w:uiPriority w:val="0"/>
    <w:pPr>
      <w:numPr>
        <w:ilvl w:val="0"/>
        <w:numId w:val="7"/>
      </w:numPr>
      <w:snapToGrid w:val="0"/>
      <w:spacing w:after="40"/>
      <w:ind w:left="0" w:firstLine="709"/>
      <w:contextualSpacing/>
      <w:jc w:val="both"/>
    </w:pPr>
    <w:rPr>
      <w:rFonts w:eastAsiaTheme="minorHAnsi" w:cstheme="minorBidi"/>
      <w:sz w:val="26"/>
      <w:szCs w:val="26"/>
      <w:lang w:eastAsia="en-US"/>
    </w:rPr>
  </w:style>
  <w:style w:type="character" w:customStyle="1" w:styleId="409">
    <w:name w:val="_Таблица Знак"/>
    <w:link w:val="410"/>
    <w:qFormat/>
    <w:locked/>
    <w:uiPriority w:val="0"/>
    <w:rPr>
      <w:rFonts w:ascii="Times New Roman" w:hAnsi="Times New Roman" w:eastAsia="Calibri"/>
      <w:b/>
      <w:sz w:val="28"/>
      <w:szCs w:val="26"/>
    </w:rPr>
  </w:style>
  <w:style w:type="paragraph" w:customStyle="1" w:styleId="410">
    <w:name w:val="_Таблица"/>
    <w:basedOn w:val="1"/>
    <w:link w:val="409"/>
    <w:autoRedefine/>
    <w:qFormat/>
    <w:uiPriority w:val="0"/>
    <w:pPr>
      <w:keepNext/>
      <w:framePr w:hSpace="180" w:wrap="around" w:vAnchor="text" w:hAnchor="text" w:xAlign="center" w:y="1"/>
      <w:suppressOverlap/>
      <w:tabs>
        <w:tab w:val="left" w:pos="1985"/>
      </w:tabs>
      <w:spacing w:after="0"/>
      <w:ind w:right="-1" w:firstLine="0"/>
      <w:jc w:val="both"/>
    </w:pPr>
    <w:rPr>
      <w:rFonts w:eastAsia="Calibri" w:cstheme="minorBidi"/>
      <w:b/>
      <w:szCs w:val="26"/>
      <w:lang w:eastAsia="en-US"/>
    </w:rPr>
  </w:style>
  <w:style w:type="character" w:customStyle="1" w:styleId="411">
    <w:name w:val="Обычный (веб) Знак"/>
    <w:link w:val="82"/>
    <w:locked/>
    <w:uiPriority w:val="0"/>
    <w:rPr>
      <w:rFonts w:ascii="Times New Roman" w:hAnsi="Times New Roman" w:eastAsia="Times New Roman" w:cs="Times New Roman"/>
      <w:sz w:val="24"/>
      <w:szCs w:val="24"/>
    </w:rPr>
  </w:style>
  <w:style w:type="paragraph" w:customStyle="1" w:styleId="412">
    <w:name w:val="Основной текст13"/>
    <w:basedOn w:val="1"/>
    <w:qFormat/>
    <w:uiPriority w:val="0"/>
    <w:pPr>
      <w:widowControl w:val="0"/>
      <w:shd w:val="clear" w:color="auto" w:fill="FFFFFF"/>
      <w:spacing w:before="720" w:after="0" w:line="480" w:lineRule="exact"/>
      <w:ind w:hanging="420"/>
      <w:jc w:val="both"/>
    </w:pPr>
    <w:rPr>
      <w:color w:val="000000"/>
      <w:sz w:val="27"/>
      <w:szCs w:val="27"/>
    </w:rPr>
  </w:style>
  <w:style w:type="character" w:customStyle="1" w:styleId="413">
    <w:name w:val="Колонтитул_"/>
    <w:link w:val="414"/>
    <w:qFormat/>
    <w:uiPriority w:val="0"/>
    <w:rPr>
      <w:rFonts w:ascii="Times New Roman" w:hAnsi="Times New Roman"/>
      <w:sz w:val="27"/>
      <w:szCs w:val="27"/>
      <w:shd w:val="clear" w:color="auto" w:fill="FFFFFF"/>
    </w:rPr>
  </w:style>
  <w:style w:type="paragraph" w:customStyle="1" w:styleId="414">
    <w:name w:val="Колонтитул"/>
    <w:basedOn w:val="1"/>
    <w:link w:val="413"/>
    <w:qFormat/>
    <w:uiPriority w:val="0"/>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415">
    <w:name w:val="Колонтитул + Franklin Gothic Book;9 pt"/>
    <w:uiPriority w:val="0"/>
    <w:rPr>
      <w:rFonts w:ascii="Franklin Gothic Book" w:hAnsi="Franklin Gothic Book" w:eastAsia="Franklin Gothic Book" w:cs="Franklin Gothic Book"/>
      <w:color w:val="000000"/>
      <w:spacing w:val="0"/>
      <w:w w:val="100"/>
      <w:position w:val="0"/>
      <w:sz w:val="18"/>
      <w:szCs w:val="18"/>
      <w:shd w:val="clear" w:color="auto" w:fill="FFFFFF"/>
      <w:lang w:val="ru-RU"/>
    </w:rPr>
  </w:style>
  <w:style w:type="character" w:customStyle="1" w:styleId="416">
    <w:name w:val="Основной текст (17)"/>
    <w:qFormat/>
    <w:uiPriority w:val="0"/>
    <w:rPr>
      <w:rFonts w:ascii="Times New Roman" w:hAnsi="Times New Roman" w:eastAsia="Times New Roman" w:cs="Times New Roman"/>
      <w:i/>
      <w:iCs/>
      <w:color w:val="000000"/>
      <w:spacing w:val="0"/>
      <w:w w:val="100"/>
      <w:position w:val="0"/>
      <w:sz w:val="27"/>
      <w:szCs w:val="27"/>
      <w:u w:val="none"/>
      <w:lang w:val="ru-RU"/>
    </w:rPr>
  </w:style>
  <w:style w:type="character" w:customStyle="1" w:styleId="417">
    <w:name w:val="Основной текст + 8 pt"/>
    <w:qFormat/>
    <w:uiPriority w:val="0"/>
    <w:rPr>
      <w:rFonts w:ascii="Times New Roman" w:hAnsi="Times New Roman" w:eastAsia="Times New Roman" w:cs="Times New Roman"/>
      <w:color w:val="000000"/>
      <w:spacing w:val="0"/>
      <w:w w:val="100"/>
      <w:position w:val="0"/>
      <w:sz w:val="16"/>
      <w:szCs w:val="16"/>
      <w:u w:val="none"/>
      <w:shd w:val="clear" w:color="auto" w:fill="FFFFFF"/>
      <w:lang w:val="ru-RU"/>
    </w:rPr>
  </w:style>
  <w:style w:type="character" w:customStyle="1" w:styleId="418">
    <w:name w:val="Основной текст + 7;5 pt"/>
    <w:qFormat/>
    <w:uiPriority w:val="0"/>
    <w:rPr>
      <w:rFonts w:ascii="Times New Roman" w:hAnsi="Times New Roman" w:eastAsia="Times New Roman" w:cs="Times New Roman"/>
      <w:color w:val="000000"/>
      <w:spacing w:val="0"/>
      <w:w w:val="100"/>
      <w:position w:val="0"/>
      <w:sz w:val="15"/>
      <w:szCs w:val="15"/>
      <w:u w:val="none"/>
      <w:shd w:val="clear" w:color="auto" w:fill="FFFFFF"/>
      <w:lang w:val="ru-RU"/>
    </w:rPr>
  </w:style>
  <w:style w:type="paragraph" w:customStyle="1" w:styleId="419">
    <w:name w:val="Основной текст4"/>
    <w:basedOn w:val="1"/>
    <w:qFormat/>
    <w:uiPriority w:val="0"/>
    <w:pPr>
      <w:widowControl w:val="0"/>
      <w:shd w:val="clear" w:color="auto" w:fill="FFFFFF"/>
      <w:spacing w:before="240" w:after="0" w:line="209" w:lineRule="exact"/>
      <w:ind w:firstLine="0"/>
      <w:jc w:val="center"/>
    </w:pPr>
    <w:rPr>
      <w:color w:val="000000"/>
      <w:sz w:val="18"/>
      <w:szCs w:val="18"/>
    </w:rPr>
  </w:style>
  <w:style w:type="character" w:customStyle="1" w:styleId="420">
    <w:name w:val="Основной текст + 4 pt"/>
    <w:qFormat/>
    <w:uiPriority w:val="0"/>
    <w:rPr>
      <w:rFonts w:ascii="Times New Roman" w:hAnsi="Times New Roman" w:eastAsia="Times New Roman" w:cs="Times New Roman"/>
      <w:color w:val="000000"/>
      <w:spacing w:val="0"/>
      <w:w w:val="100"/>
      <w:position w:val="0"/>
      <w:sz w:val="8"/>
      <w:szCs w:val="8"/>
      <w:u w:val="none"/>
      <w:shd w:val="clear" w:color="auto" w:fill="FFFFFF"/>
    </w:rPr>
  </w:style>
  <w:style w:type="character" w:customStyle="1" w:styleId="421">
    <w:name w:val="Основной текст + 7 pt"/>
    <w:qFormat/>
    <w:uiPriority w:val="0"/>
    <w:rPr>
      <w:rFonts w:ascii="Times New Roman" w:hAnsi="Times New Roman" w:eastAsia="Times New Roman" w:cs="Times New Roman"/>
      <w:color w:val="000000"/>
      <w:spacing w:val="0"/>
      <w:w w:val="100"/>
      <w:position w:val="0"/>
      <w:sz w:val="14"/>
      <w:szCs w:val="14"/>
      <w:u w:val="none"/>
      <w:shd w:val="clear" w:color="auto" w:fill="FFFFFF"/>
      <w:lang w:val="ru-RU"/>
    </w:rPr>
  </w:style>
  <w:style w:type="character" w:customStyle="1" w:styleId="422">
    <w:name w:val="Основной текст1"/>
    <w:qFormat/>
    <w:uiPriority w:val="0"/>
    <w:rPr>
      <w:rFonts w:ascii="Times New Roman" w:hAnsi="Times New Roman" w:eastAsia="Times New Roman" w:cs="Times New Roman"/>
      <w:color w:val="000000"/>
      <w:spacing w:val="0"/>
      <w:w w:val="100"/>
      <w:position w:val="0"/>
      <w:sz w:val="18"/>
      <w:szCs w:val="18"/>
      <w:u w:val="none"/>
      <w:shd w:val="clear" w:color="auto" w:fill="FFFFFF"/>
      <w:lang w:val="ru-RU"/>
    </w:rPr>
  </w:style>
  <w:style w:type="character" w:customStyle="1" w:styleId="423">
    <w:name w:val="Основной текст (3) Exact"/>
    <w:link w:val="424"/>
    <w:qFormat/>
    <w:uiPriority w:val="0"/>
    <w:rPr>
      <w:rFonts w:ascii="Times New Roman" w:hAnsi="Times New Roman"/>
      <w:sz w:val="18"/>
      <w:szCs w:val="18"/>
      <w:shd w:val="clear" w:color="auto" w:fill="FFFFFF"/>
    </w:rPr>
  </w:style>
  <w:style w:type="paragraph" w:customStyle="1" w:styleId="424">
    <w:name w:val="Основной текст (3)"/>
    <w:basedOn w:val="1"/>
    <w:link w:val="423"/>
    <w:qFormat/>
    <w:uiPriority w:val="0"/>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425">
    <w:name w:val="Основной текст3"/>
    <w:basedOn w:val="1"/>
    <w:qFormat/>
    <w:uiPriority w:val="0"/>
    <w:pPr>
      <w:widowControl w:val="0"/>
      <w:shd w:val="clear" w:color="auto" w:fill="FFFFFF"/>
      <w:spacing w:after="120" w:line="212" w:lineRule="exact"/>
      <w:ind w:firstLine="0"/>
      <w:jc w:val="center"/>
    </w:pPr>
    <w:rPr>
      <w:color w:val="000000"/>
      <w:sz w:val="19"/>
      <w:szCs w:val="19"/>
    </w:rPr>
  </w:style>
  <w:style w:type="character" w:customStyle="1" w:styleId="426">
    <w:name w:val="Основной текст + Century Gothic;8;5 pt"/>
    <w:qFormat/>
    <w:uiPriority w:val="0"/>
    <w:rPr>
      <w:rFonts w:ascii="Century Gothic" w:hAnsi="Century Gothic" w:eastAsia="Century Gothic" w:cs="Century Gothic"/>
      <w:color w:val="000000"/>
      <w:spacing w:val="0"/>
      <w:w w:val="100"/>
      <w:position w:val="0"/>
      <w:sz w:val="17"/>
      <w:szCs w:val="17"/>
      <w:u w:val="none"/>
      <w:shd w:val="clear" w:color="auto" w:fill="FFFFFF"/>
      <w:lang w:val="ru-RU"/>
    </w:rPr>
  </w:style>
  <w:style w:type="character" w:customStyle="1" w:styleId="427">
    <w:name w:val="Основной текст + SimSun;5;5 pt;Интервал 1 pt"/>
    <w:qFormat/>
    <w:uiPriority w:val="0"/>
    <w:rPr>
      <w:rFonts w:ascii="SimSun" w:hAnsi="SimSun" w:eastAsia="SimSun" w:cs="SimSun"/>
      <w:color w:val="000000"/>
      <w:spacing w:val="20"/>
      <w:w w:val="100"/>
      <w:position w:val="0"/>
      <w:sz w:val="11"/>
      <w:szCs w:val="11"/>
      <w:u w:val="none"/>
      <w:shd w:val="clear" w:color="auto" w:fill="FFFFFF"/>
      <w:lang w:val="en-US"/>
    </w:rPr>
  </w:style>
  <w:style w:type="table" w:customStyle="1" w:styleId="428">
    <w:name w:val="Сетка таблицы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9">
    <w:name w:val="Сетка таблицы2"/>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0">
    <w:name w:val="Сетка таблицы3"/>
    <w:basedOn w:val="12"/>
    <w:qFormat/>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31">
    <w:name w:val="Основной текст с отступом 21"/>
    <w:basedOn w:val="1"/>
    <w:qFormat/>
    <w:uiPriority w:val="0"/>
    <w:pPr>
      <w:spacing w:before="240" w:after="0" w:line="240" w:lineRule="auto"/>
      <w:ind w:firstLine="567"/>
      <w:jc w:val="both"/>
    </w:pPr>
    <w:rPr>
      <w:szCs w:val="20"/>
    </w:rPr>
  </w:style>
  <w:style w:type="paragraph" w:customStyle="1" w:styleId="432">
    <w:name w:val="Body Text 21"/>
    <w:basedOn w:val="1"/>
    <w:qFormat/>
    <w:uiPriority w:val="0"/>
    <w:pPr>
      <w:spacing w:after="0" w:line="240" w:lineRule="auto"/>
      <w:ind w:firstLine="0"/>
      <w:jc w:val="both"/>
    </w:pPr>
    <w:rPr>
      <w:sz w:val="24"/>
      <w:szCs w:val="20"/>
    </w:rPr>
  </w:style>
  <w:style w:type="table" w:customStyle="1" w:styleId="433">
    <w:name w:val="Сетка таблицы11"/>
    <w:basedOn w:val="12"/>
    <w:qFormat/>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34">
    <w:name w:val="Основной текст 21"/>
    <w:basedOn w:val="1"/>
    <w:qFormat/>
    <w:uiPriority w:val="0"/>
    <w:pPr>
      <w:overflowPunct w:val="0"/>
      <w:autoSpaceDE w:val="0"/>
      <w:autoSpaceDN w:val="0"/>
      <w:adjustRightInd w:val="0"/>
      <w:spacing w:after="0" w:line="240" w:lineRule="auto"/>
      <w:ind w:firstLine="0"/>
      <w:jc w:val="both"/>
      <w:textAlignment w:val="baseline"/>
    </w:pPr>
    <w:rPr>
      <w:sz w:val="24"/>
      <w:szCs w:val="20"/>
    </w:rPr>
  </w:style>
  <w:style w:type="paragraph" w:customStyle="1" w:styleId="435">
    <w:name w:val="Обычный2"/>
    <w:basedOn w:val="1"/>
    <w:autoRedefine/>
    <w:qFormat/>
    <w:uiPriority w:val="0"/>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436">
    <w:name w:val="Содержание"/>
    <w:basedOn w:val="1"/>
    <w:qFormat/>
    <w:uiPriority w:val="0"/>
    <w:pPr>
      <w:tabs>
        <w:tab w:val="right" w:leader="dot" w:pos="9356"/>
      </w:tabs>
      <w:spacing w:after="0"/>
      <w:ind w:firstLine="0"/>
    </w:pPr>
    <w:rPr>
      <w:b/>
      <w:caps/>
      <w:sz w:val="24"/>
      <w:szCs w:val="20"/>
    </w:rPr>
  </w:style>
  <w:style w:type="character" w:customStyle="1" w:styleId="437">
    <w:name w:val="Основной текст с отступом 3 Знак"/>
    <w:basedOn w:val="11"/>
    <w:link w:val="41"/>
    <w:qFormat/>
    <w:uiPriority w:val="0"/>
    <w:rPr>
      <w:rFonts w:ascii="Times New Roman" w:hAnsi="Times New Roman" w:eastAsia="Times New Roman" w:cs="Times New Roman"/>
      <w:sz w:val="16"/>
      <w:szCs w:val="16"/>
    </w:rPr>
  </w:style>
  <w:style w:type="paragraph" w:customStyle="1" w:styleId="438">
    <w:name w:val="Основной текст с отступом 23"/>
    <w:basedOn w:val="1"/>
    <w:qFormat/>
    <w:uiPriority w:val="0"/>
    <w:pPr>
      <w:overflowPunct w:val="0"/>
      <w:autoSpaceDE w:val="0"/>
      <w:autoSpaceDN w:val="0"/>
      <w:adjustRightInd w:val="0"/>
      <w:spacing w:before="240" w:after="0" w:line="240" w:lineRule="auto"/>
      <w:ind w:firstLine="567"/>
      <w:jc w:val="both"/>
      <w:textAlignment w:val="baseline"/>
    </w:pPr>
    <w:rPr>
      <w:szCs w:val="20"/>
    </w:rPr>
  </w:style>
  <w:style w:type="paragraph" w:customStyle="1" w:styleId="439">
    <w:name w:val="Iacaaiea oaaeeou"/>
    <w:basedOn w:val="58"/>
    <w:qFormat/>
    <w:uiPriority w:val="0"/>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440">
    <w:name w:val="Noeeu1"/>
    <w:basedOn w:val="1"/>
    <w:qFormat/>
    <w:uiPriority w:val="0"/>
    <w:pPr>
      <w:overflowPunct w:val="0"/>
      <w:autoSpaceDE w:val="0"/>
      <w:autoSpaceDN w:val="0"/>
      <w:adjustRightInd w:val="0"/>
      <w:spacing w:after="0" w:line="240" w:lineRule="auto"/>
      <w:ind w:firstLine="720"/>
      <w:jc w:val="both"/>
    </w:pPr>
    <w:rPr>
      <w:sz w:val="24"/>
      <w:szCs w:val="20"/>
    </w:rPr>
  </w:style>
  <w:style w:type="paragraph" w:customStyle="1" w:styleId="441">
    <w:name w:val="Стиль Основной текст + по ширине Первая строка:  1 см После:  0 пт"/>
    <w:basedOn w:val="58"/>
    <w:qFormat/>
    <w:uiPriority w:val="0"/>
    <w:pPr>
      <w:overflowPunct w:val="0"/>
      <w:autoSpaceDE w:val="0"/>
      <w:autoSpaceDN w:val="0"/>
      <w:adjustRightInd w:val="0"/>
      <w:spacing w:before="0" w:after="0"/>
      <w:ind w:firstLine="567"/>
    </w:pPr>
    <w:rPr>
      <w:sz w:val="24"/>
      <w:szCs w:val="20"/>
    </w:rPr>
  </w:style>
  <w:style w:type="character" w:customStyle="1" w:styleId="442">
    <w:name w:val="Основной текст 3 Знак"/>
    <w:basedOn w:val="11"/>
    <w:link w:val="83"/>
    <w:qFormat/>
    <w:uiPriority w:val="99"/>
    <w:rPr>
      <w:rFonts w:ascii="Times New Roman" w:hAnsi="Times New Roman" w:eastAsia="Times New Roman" w:cs="Times New Roman"/>
      <w:sz w:val="16"/>
      <w:szCs w:val="16"/>
    </w:rPr>
  </w:style>
  <w:style w:type="paragraph" w:customStyle="1" w:styleId="443">
    <w:name w:val="Заголовок 1 с Нум"/>
    <w:basedOn w:val="2"/>
    <w:qFormat/>
    <w:uiPriority w:val="0"/>
    <w:pPr>
      <w:keepNext/>
      <w:keepLines w:val="0"/>
      <w:numPr>
        <w:numId w:val="0"/>
      </w:numPr>
      <w:spacing w:after="60" w:line="240" w:lineRule="auto"/>
      <w:jc w:val="left"/>
    </w:pPr>
    <w:rPr>
      <w:rFonts w:eastAsia="Times New Roman" w:cs="Arial"/>
      <w:bCs/>
      <w:kern w:val="32"/>
      <w:sz w:val="24"/>
    </w:rPr>
  </w:style>
  <w:style w:type="paragraph" w:customStyle="1" w:styleId="444">
    <w:name w:val="ВВедение"/>
    <w:basedOn w:val="1"/>
    <w:qFormat/>
    <w:uiPriority w:val="0"/>
    <w:pPr>
      <w:spacing w:before="120" w:after="120" w:line="240" w:lineRule="auto"/>
      <w:ind w:left="709" w:hanging="709"/>
      <w:jc w:val="both"/>
    </w:pPr>
    <w:rPr>
      <w:b/>
      <w:bCs/>
      <w:szCs w:val="20"/>
    </w:rPr>
  </w:style>
  <w:style w:type="paragraph" w:customStyle="1" w:styleId="445">
    <w:name w:val="Стиль По ширине Первая строка:  125 см Перед:  6 пт После:  2 пт"/>
    <w:basedOn w:val="1"/>
    <w:qFormat/>
    <w:uiPriority w:val="0"/>
    <w:pPr>
      <w:spacing w:before="40" w:after="40" w:line="240" w:lineRule="auto"/>
      <w:jc w:val="both"/>
    </w:pPr>
    <w:rPr>
      <w:sz w:val="24"/>
      <w:szCs w:val="20"/>
    </w:rPr>
  </w:style>
  <w:style w:type="paragraph" w:customStyle="1" w:styleId="446">
    <w:name w:val="Стиль По ширине Первая строка:  125 см После:  2 пт1"/>
    <w:basedOn w:val="1"/>
    <w:qFormat/>
    <w:uiPriority w:val="0"/>
    <w:pPr>
      <w:spacing w:after="40" w:line="240" w:lineRule="auto"/>
      <w:jc w:val="both"/>
    </w:pPr>
    <w:rPr>
      <w:sz w:val="24"/>
      <w:szCs w:val="20"/>
    </w:rPr>
  </w:style>
  <w:style w:type="character" w:customStyle="1" w:styleId="447">
    <w:name w:val="Обычный отступ Знак"/>
    <w:link w:val="38"/>
    <w:qFormat/>
    <w:uiPriority w:val="0"/>
    <w:rPr>
      <w:rFonts w:ascii="Times New Roman" w:hAnsi="Times New Roman" w:eastAsia="Times New Roman" w:cs="Times New Roman"/>
      <w:sz w:val="24"/>
      <w:szCs w:val="20"/>
    </w:rPr>
  </w:style>
  <w:style w:type="table" w:customStyle="1" w:styleId="448">
    <w:name w:val="Сетка таблицы111"/>
    <w:basedOn w:val="12"/>
    <w:qFormat/>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49">
    <w:name w:val="Заголовок 1 Знак1"/>
    <w:qFormat/>
    <w:locked/>
    <w:uiPriority w:val="99"/>
    <w:rPr>
      <w:rFonts w:ascii="Arial" w:hAnsi="Arial" w:eastAsia="MS Mincho" w:cs="Arial"/>
      <w:b/>
      <w:bCs/>
      <w:kern w:val="32"/>
      <w:sz w:val="32"/>
      <w:szCs w:val="32"/>
      <w:lang w:eastAsia="ja-JP"/>
    </w:rPr>
  </w:style>
  <w:style w:type="paragraph" w:customStyle="1" w:styleId="450">
    <w:name w:val="Текст1"/>
    <w:basedOn w:val="1"/>
    <w:qFormat/>
    <w:uiPriority w:val="0"/>
    <w:pPr>
      <w:spacing w:after="0" w:line="240" w:lineRule="auto"/>
      <w:jc w:val="both"/>
    </w:pPr>
    <w:rPr>
      <w:sz w:val="24"/>
      <w:szCs w:val="20"/>
    </w:rPr>
  </w:style>
  <w:style w:type="paragraph" w:customStyle="1" w:styleId="451">
    <w:name w:val="Название закона"/>
    <w:basedOn w:val="1"/>
    <w:next w:val="34"/>
    <w:qFormat/>
    <w:uiPriority w:val="0"/>
    <w:pPr>
      <w:spacing w:after="0" w:line="240" w:lineRule="auto"/>
      <w:ind w:firstLine="0"/>
      <w:jc w:val="center"/>
    </w:pPr>
    <w:rPr>
      <w:b/>
      <w:sz w:val="24"/>
      <w:szCs w:val="24"/>
    </w:rPr>
  </w:style>
  <w:style w:type="paragraph" w:customStyle="1" w:styleId="452">
    <w:name w:val="Основной текст с отступом 31"/>
    <w:basedOn w:val="1"/>
    <w:qFormat/>
    <w:uiPriority w:val="0"/>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453">
    <w:name w:val="Основной текст 31"/>
    <w:basedOn w:val="1"/>
    <w:qFormat/>
    <w:uiPriority w:val="0"/>
    <w:pPr>
      <w:overflowPunct w:val="0"/>
      <w:autoSpaceDE w:val="0"/>
      <w:autoSpaceDN w:val="0"/>
      <w:adjustRightInd w:val="0"/>
      <w:spacing w:after="0" w:line="240" w:lineRule="auto"/>
      <w:ind w:firstLine="0"/>
      <w:jc w:val="center"/>
    </w:pPr>
    <w:rPr>
      <w:b/>
      <w:sz w:val="24"/>
      <w:szCs w:val="20"/>
    </w:rPr>
  </w:style>
  <w:style w:type="paragraph" w:customStyle="1" w:styleId="454">
    <w:name w:val="Стиль1"/>
    <w:basedOn w:val="1"/>
    <w:link w:val="1008"/>
    <w:qFormat/>
    <w:uiPriority w:val="99"/>
    <w:pPr>
      <w:spacing w:after="0" w:line="240" w:lineRule="auto"/>
      <w:ind w:firstLine="720"/>
      <w:jc w:val="both"/>
    </w:pPr>
    <w:rPr>
      <w:sz w:val="24"/>
      <w:szCs w:val="20"/>
    </w:rPr>
  </w:style>
  <w:style w:type="paragraph" w:customStyle="1" w:styleId="455">
    <w:name w:val="Обычный (веб)1"/>
    <w:basedOn w:val="1"/>
    <w:qFormat/>
    <w:uiPriority w:val="0"/>
    <w:pPr>
      <w:overflowPunct w:val="0"/>
      <w:autoSpaceDE w:val="0"/>
      <w:autoSpaceDN w:val="0"/>
      <w:adjustRightInd w:val="0"/>
      <w:spacing w:before="100" w:after="100" w:line="240" w:lineRule="auto"/>
      <w:ind w:firstLine="0"/>
    </w:pPr>
    <w:rPr>
      <w:color w:val="000000"/>
      <w:sz w:val="24"/>
      <w:szCs w:val="20"/>
    </w:rPr>
  </w:style>
  <w:style w:type="paragraph" w:customStyle="1" w:styleId="456">
    <w:name w:val="1"/>
    <w:basedOn w:val="1"/>
    <w:next w:val="82"/>
    <w:qFormat/>
    <w:uiPriority w:val="99"/>
    <w:pPr>
      <w:spacing w:before="100" w:beforeAutospacing="1" w:after="100" w:afterAutospacing="1" w:line="240" w:lineRule="auto"/>
      <w:ind w:firstLine="0"/>
    </w:pPr>
    <w:rPr>
      <w:color w:val="000000"/>
      <w:sz w:val="24"/>
      <w:szCs w:val="24"/>
    </w:rPr>
  </w:style>
  <w:style w:type="paragraph" w:customStyle="1" w:styleId="457">
    <w:name w:val="xl24"/>
    <w:basedOn w:val="1"/>
    <w:qFormat/>
    <w:uiPriority w:val="0"/>
    <w:pPr>
      <w:spacing w:before="100" w:beforeAutospacing="1" w:after="100" w:afterAutospacing="1" w:line="240" w:lineRule="auto"/>
      <w:ind w:firstLine="0"/>
      <w:jc w:val="center"/>
    </w:pPr>
    <w:rPr>
      <w:sz w:val="24"/>
      <w:szCs w:val="24"/>
    </w:rPr>
  </w:style>
  <w:style w:type="paragraph" w:customStyle="1" w:styleId="458">
    <w:name w:val="Основной"/>
    <w:basedOn w:val="1"/>
    <w:qFormat/>
    <w:uiPriority w:val="0"/>
    <w:pPr>
      <w:spacing w:after="0"/>
      <w:ind w:firstLine="720"/>
      <w:jc w:val="both"/>
    </w:pPr>
    <w:rPr>
      <w:sz w:val="24"/>
      <w:szCs w:val="24"/>
    </w:rPr>
  </w:style>
  <w:style w:type="character" w:customStyle="1" w:styleId="459">
    <w:name w:val="Заголовок 2 + 12 pt Знак Знак Знак"/>
    <w:link w:val="460"/>
    <w:qFormat/>
    <w:locked/>
    <w:uiPriority w:val="0"/>
    <w:rPr>
      <w:b/>
      <w:bCs/>
      <w:sz w:val="24"/>
    </w:rPr>
  </w:style>
  <w:style w:type="paragraph" w:customStyle="1" w:styleId="460">
    <w:name w:val="Заголовок 2 + 12 pt Знак Знак"/>
    <w:basedOn w:val="1"/>
    <w:next w:val="1"/>
    <w:link w:val="459"/>
    <w:autoRedefine/>
    <w:qFormat/>
    <w:uiPriority w:val="0"/>
    <w:pPr>
      <w:keepNext/>
      <w:spacing w:after="0" w:line="240" w:lineRule="auto"/>
      <w:ind w:firstLine="0"/>
      <w:jc w:val="center"/>
      <w:outlineLvl w:val="0"/>
    </w:pPr>
    <w:rPr>
      <w:rFonts w:asciiTheme="minorHAnsi" w:hAnsiTheme="minorHAnsi" w:eastAsiaTheme="minorHAnsi" w:cstheme="minorBidi"/>
      <w:b/>
      <w:bCs/>
      <w:sz w:val="24"/>
      <w:lang w:eastAsia="en-US"/>
    </w:rPr>
  </w:style>
  <w:style w:type="paragraph" w:customStyle="1" w:styleId="461">
    <w:name w:val="Заголовок 2 + 12 pt"/>
    <w:basedOn w:val="1"/>
    <w:next w:val="1"/>
    <w:autoRedefine/>
    <w:qFormat/>
    <w:uiPriority w:val="0"/>
    <w:pPr>
      <w:keepNext/>
      <w:spacing w:after="120" w:line="240" w:lineRule="auto"/>
      <w:ind w:firstLine="0"/>
      <w:jc w:val="center"/>
      <w:outlineLvl w:val="0"/>
    </w:pPr>
    <w:rPr>
      <w:bCs/>
      <w:sz w:val="20"/>
      <w:szCs w:val="20"/>
    </w:rPr>
  </w:style>
  <w:style w:type="paragraph" w:customStyle="1" w:styleId="462">
    <w:name w:val="Стиль Заголовок 2 + Times New Roman по центру"/>
    <w:basedOn w:val="3"/>
    <w:next w:val="58"/>
    <w:autoRedefine/>
    <w:qFormat/>
    <w:uiPriority w:val="0"/>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463">
    <w:name w:val="Заголовок 2 + 12 pt Знак"/>
    <w:basedOn w:val="1"/>
    <w:next w:val="1"/>
    <w:autoRedefine/>
    <w:qFormat/>
    <w:uiPriority w:val="0"/>
    <w:pPr>
      <w:keepNext/>
      <w:spacing w:after="0" w:line="240" w:lineRule="auto"/>
      <w:ind w:firstLine="0"/>
      <w:jc w:val="center"/>
      <w:outlineLvl w:val="0"/>
    </w:pPr>
    <w:rPr>
      <w:bCs/>
      <w:sz w:val="20"/>
      <w:szCs w:val="20"/>
    </w:rPr>
  </w:style>
  <w:style w:type="paragraph" w:customStyle="1" w:styleId="464">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textAlignment w:val="center"/>
    </w:pPr>
    <w:rPr>
      <w:sz w:val="24"/>
      <w:szCs w:val="24"/>
    </w:rPr>
  </w:style>
  <w:style w:type="paragraph" w:customStyle="1" w:styleId="465">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24"/>
      <w:szCs w:val="24"/>
    </w:rPr>
  </w:style>
  <w:style w:type="paragraph" w:customStyle="1" w:styleId="466">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top"/>
    </w:pPr>
    <w:rPr>
      <w:sz w:val="24"/>
      <w:szCs w:val="24"/>
    </w:rPr>
  </w:style>
  <w:style w:type="paragraph" w:customStyle="1" w:styleId="46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24"/>
      <w:szCs w:val="24"/>
    </w:rPr>
  </w:style>
  <w:style w:type="paragraph" w:customStyle="1" w:styleId="468">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24"/>
      <w:szCs w:val="24"/>
    </w:rPr>
  </w:style>
  <w:style w:type="paragraph" w:customStyle="1" w:styleId="469">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24"/>
      <w:szCs w:val="24"/>
    </w:rPr>
  </w:style>
  <w:style w:type="paragraph" w:customStyle="1" w:styleId="470">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textAlignment w:val="center"/>
    </w:pPr>
    <w:rPr>
      <w:sz w:val="24"/>
      <w:szCs w:val="24"/>
    </w:rPr>
  </w:style>
  <w:style w:type="paragraph" w:customStyle="1" w:styleId="471">
    <w:name w:val="xl32"/>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472">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473">
    <w:name w:val="xl34"/>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474">
    <w:name w:val="xl35"/>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475">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textAlignment w:val="top"/>
    </w:pPr>
    <w:rPr>
      <w:b/>
      <w:bCs/>
      <w:i/>
      <w:iCs/>
      <w:sz w:val="24"/>
      <w:szCs w:val="24"/>
    </w:rPr>
  </w:style>
  <w:style w:type="paragraph" w:customStyle="1" w:styleId="476">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i/>
      <w:iCs/>
      <w:sz w:val="24"/>
      <w:szCs w:val="24"/>
    </w:rPr>
  </w:style>
  <w:style w:type="paragraph" w:customStyle="1" w:styleId="477">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textAlignment w:val="top"/>
    </w:pPr>
    <w:rPr>
      <w:sz w:val="24"/>
      <w:szCs w:val="24"/>
    </w:rPr>
  </w:style>
  <w:style w:type="paragraph" w:customStyle="1" w:styleId="478">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479">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 w:val="24"/>
      <w:szCs w:val="24"/>
    </w:rPr>
  </w:style>
  <w:style w:type="paragraph" w:customStyle="1" w:styleId="480">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b/>
      <w:bCs/>
      <w:i/>
      <w:iCs/>
      <w:sz w:val="24"/>
      <w:szCs w:val="24"/>
    </w:rPr>
  </w:style>
  <w:style w:type="paragraph" w:customStyle="1" w:styleId="481">
    <w:name w:val="xl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482">
    <w:name w:val="xl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i/>
      <w:iCs/>
      <w:sz w:val="24"/>
      <w:szCs w:val="24"/>
    </w:rPr>
  </w:style>
  <w:style w:type="paragraph" w:customStyle="1" w:styleId="483">
    <w:name w:val="xl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i/>
      <w:iCs/>
      <w:sz w:val="24"/>
      <w:szCs w:val="24"/>
    </w:rPr>
  </w:style>
  <w:style w:type="paragraph" w:customStyle="1" w:styleId="484">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top"/>
    </w:pPr>
    <w:rPr>
      <w:sz w:val="24"/>
      <w:szCs w:val="24"/>
    </w:rPr>
  </w:style>
  <w:style w:type="paragraph" w:customStyle="1" w:styleId="485">
    <w:name w:val="xl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 w:val="24"/>
      <w:szCs w:val="24"/>
    </w:rPr>
  </w:style>
  <w:style w:type="paragraph" w:customStyle="1" w:styleId="486">
    <w:name w:val="xl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487">
    <w:name w:val="xl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 w:val="24"/>
      <w:szCs w:val="24"/>
    </w:rPr>
  </w:style>
  <w:style w:type="paragraph" w:customStyle="1" w:styleId="488">
    <w:name w:val="xl49"/>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pPr>
    <w:rPr>
      <w:sz w:val="24"/>
      <w:szCs w:val="24"/>
    </w:rPr>
  </w:style>
  <w:style w:type="paragraph" w:customStyle="1" w:styleId="489">
    <w:name w:val="xl5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jc w:val="center"/>
    </w:pPr>
    <w:rPr>
      <w:sz w:val="24"/>
      <w:szCs w:val="24"/>
    </w:rPr>
  </w:style>
  <w:style w:type="paragraph" w:customStyle="1" w:styleId="490">
    <w:name w:val="xl51"/>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jc w:val="center"/>
    </w:pPr>
    <w:rPr>
      <w:sz w:val="24"/>
      <w:szCs w:val="24"/>
    </w:rPr>
  </w:style>
  <w:style w:type="paragraph" w:customStyle="1" w:styleId="491">
    <w:name w:val="xl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 w:val="24"/>
      <w:szCs w:val="24"/>
    </w:rPr>
  </w:style>
  <w:style w:type="paragraph" w:customStyle="1" w:styleId="492">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b/>
      <w:bCs/>
      <w:sz w:val="24"/>
      <w:szCs w:val="24"/>
    </w:rPr>
  </w:style>
  <w:style w:type="paragraph" w:customStyle="1" w:styleId="493">
    <w:name w:val="xl54"/>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top"/>
    </w:pPr>
    <w:rPr>
      <w:sz w:val="24"/>
      <w:szCs w:val="24"/>
    </w:rPr>
  </w:style>
  <w:style w:type="paragraph" w:customStyle="1" w:styleId="494">
    <w:name w:val="xl55"/>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top"/>
    </w:pPr>
    <w:rPr>
      <w:sz w:val="24"/>
      <w:szCs w:val="24"/>
    </w:rPr>
  </w:style>
  <w:style w:type="paragraph" w:customStyle="1" w:styleId="495">
    <w:name w:val="Знак Знак Знак1 Знак Знак Знак Знак Знак Знак Знак Знак Знак Знак"/>
    <w:basedOn w:val="1"/>
    <w:next w:val="3"/>
    <w:autoRedefine/>
    <w:qFormat/>
    <w:uiPriority w:val="0"/>
    <w:pPr>
      <w:spacing w:after="160" w:line="240" w:lineRule="exact"/>
      <w:ind w:firstLine="0"/>
      <w:jc w:val="right"/>
    </w:pPr>
    <w:rPr>
      <w:sz w:val="24"/>
      <w:szCs w:val="24"/>
      <w:lang w:val="en-US" w:eastAsia="en-US"/>
    </w:rPr>
  </w:style>
  <w:style w:type="paragraph" w:customStyle="1" w:styleId="496">
    <w:name w:val="Знак Знак Знак1 Знак Знак Знак Знак Знак Знак Знак Знак Знак Знак Знак Знак Знак Знак Знак Знак Знак Знак Знак Знак Знак Знак Знак Знак Знак"/>
    <w:basedOn w:val="1"/>
    <w:next w:val="3"/>
    <w:autoRedefine/>
    <w:qFormat/>
    <w:uiPriority w:val="0"/>
    <w:pPr>
      <w:spacing w:after="160" w:line="240" w:lineRule="exact"/>
      <w:ind w:firstLine="0"/>
      <w:jc w:val="right"/>
    </w:pPr>
    <w:rPr>
      <w:sz w:val="24"/>
      <w:szCs w:val="24"/>
      <w:lang w:val="en-US" w:eastAsia="en-US"/>
    </w:rPr>
  </w:style>
  <w:style w:type="paragraph" w:customStyle="1" w:styleId="497">
    <w:name w:val="Знак Знак Знак1 Знак"/>
    <w:basedOn w:val="1"/>
    <w:next w:val="3"/>
    <w:autoRedefine/>
    <w:qFormat/>
    <w:uiPriority w:val="99"/>
    <w:pPr>
      <w:spacing w:after="160" w:line="240" w:lineRule="exact"/>
      <w:ind w:firstLine="0"/>
      <w:jc w:val="right"/>
    </w:pPr>
    <w:rPr>
      <w:sz w:val="24"/>
      <w:szCs w:val="24"/>
      <w:lang w:val="en-US" w:eastAsia="en-US"/>
    </w:rPr>
  </w:style>
  <w:style w:type="paragraph" w:customStyle="1" w:styleId="498">
    <w:name w:val="Заголовок для СТП"/>
    <w:basedOn w:val="1"/>
    <w:qFormat/>
    <w:uiPriority w:val="0"/>
    <w:pPr>
      <w:numPr>
        <w:ilvl w:val="0"/>
        <w:numId w:val="8"/>
      </w:numPr>
      <w:overflowPunct w:val="0"/>
      <w:autoSpaceDE w:val="0"/>
      <w:autoSpaceDN w:val="0"/>
      <w:adjustRightInd w:val="0"/>
      <w:spacing w:after="0" w:line="240" w:lineRule="auto"/>
    </w:pPr>
    <w:rPr>
      <w:sz w:val="20"/>
      <w:szCs w:val="20"/>
    </w:rPr>
  </w:style>
  <w:style w:type="paragraph" w:customStyle="1" w:styleId="499">
    <w:name w:val="Знак2"/>
    <w:basedOn w:val="1"/>
    <w:next w:val="3"/>
    <w:autoRedefine/>
    <w:qFormat/>
    <w:uiPriority w:val="0"/>
    <w:pPr>
      <w:spacing w:after="160" w:line="240" w:lineRule="exact"/>
      <w:ind w:firstLine="0"/>
      <w:jc w:val="right"/>
    </w:pPr>
    <w:rPr>
      <w:sz w:val="24"/>
      <w:szCs w:val="24"/>
      <w:lang w:val="en-US" w:eastAsia="en-US"/>
    </w:rPr>
  </w:style>
  <w:style w:type="character" w:customStyle="1" w:styleId="500">
    <w:name w:val="Красная строка 2 Знак"/>
    <w:basedOn w:val="152"/>
    <w:link w:val="73"/>
    <w:qFormat/>
    <w:uiPriority w:val="0"/>
    <w:rPr>
      <w:rFonts w:ascii="Times New Roman" w:hAnsi="Times New Roman" w:eastAsia="Times New Roman" w:cs="Times New Roman"/>
      <w:sz w:val="24"/>
      <w:szCs w:val="24"/>
    </w:rPr>
  </w:style>
  <w:style w:type="paragraph" w:customStyle="1" w:styleId="501">
    <w:name w:val="1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502">
    <w:name w:val="Знак4"/>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503">
    <w:name w:val="Знак22"/>
    <w:basedOn w:val="1"/>
    <w:next w:val="3"/>
    <w:autoRedefine/>
    <w:qFormat/>
    <w:uiPriority w:val="0"/>
    <w:pPr>
      <w:spacing w:after="160" w:line="240" w:lineRule="exact"/>
      <w:ind w:firstLine="0"/>
      <w:jc w:val="right"/>
    </w:pPr>
    <w:rPr>
      <w:sz w:val="24"/>
      <w:szCs w:val="24"/>
      <w:lang w:val="en-US" w:eastAsia="en-US"/>
    </w:rPr>
  </w:style>
  <w:style w:type="paragraph" w:customStyle="1" w:styleId="504">
    <w:name w:val="1.1.1.1_ норм"/>
    <w:basedOn w:val="1"/>
    <w:link w:val="505"/>
    <w:autoRedefine/>
    <w:qFormat/>
    <w:uiPriority w:val="0"/>
    <w:pPr>
      <w:keepNext/>
      <w:spacing w:after="0"/>
      <w:jc w:val="both"/>
      <w:outlineLvl w:val="3"/>
    </w:pPr>
    <w:rPr>
      <w:bCs/>
      <w:sz w:val="24"/>
      <w:szCs w:val="24"/>
      <w:lang w:eastAsia="en-US" w:bidi="en-US"/>
    </w:rPr>
  </w:style>
  <w:style w:type="character" w:customStyle="1" w:styleId="505">
    <w:name w:val="1.1.1.1_ норм Знак"/>
    <w:link w:val="504"/>
    <w:qFormat/>
    <w:uiPriority w:val="0"/>
    <w:rPr>
      <w:rFonts w:ascii="Times New Roman" w:hAnsi="Times New Roman" w:eastAsia="Times New Roman" w:cs="Times New Roman"/>
      <w:bCs/>
      <w:sz w:val="24"/>
      <w:szCs w:val="24"/>
      <w:lang w:bidi="en-US"/>
    </w:rPr>
  </w:style>
  <w:style w:type="paragraph" w:customStyle="1" w:styleId="506">
    <w:name w:val="Текст11"/>
    <w:basedOn w:val="1"/>
    <w:qFormat/>
    <w:uiPriority w:val="0"/>
    <w:pPr>
      <w:spacing w:after="0" w:line="240" w:lineRule="auto"/>
      <w:jc w:val="both"/>
    </w:pPr>
    <w:rPr>
      <w:sz w:val="24"/>
      <w:szCs w:val="20"/>
    </w:rPr>
  </w:style>
  <w:style w:type="paragraph" w:customStyle="1" w:styleId="507">
    <w:name w:val="Основной текст с отступом 311"/>
    <w:basedOn w:val="1"/>
    <w:qFormat/>
    <w:uiPriority w:val="0"/>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508">
    <w:name w:val="Основной текст 211"/>
    <w:basedOn w:val="1"/>
    <w:qFormat/>
    <w:uiPriority w:val="0"/>
    <w:pPr>
      <w:overflowPunct w:val="0"/>
      <w:autoSpaceDE w:val="0"/>
      <w:autoSpaceDN w:val="0"/>
      <w:adjustRightInd w:val="0"/>
      <w:spacing w:before="120" w:after="0" w:line="240" w:lineRule="auto"/>
      <w:jc w:val="both"/>
      <w:textAlignment w:val="baseline"/>
    </w:pPr>
    <w:rPr>
      <w:sz w:val="24"/>
      <w:szCs w:val="20"/>
    </w:rPr>
  </w:style>
  <w:style w:type="paragraph" w:customStyle="1" w:styleId="509">
    <w:name w:val="Основной текст 311"/>
    <w:basedOn w:val="1"/>
    <w:qFormat/>
    <w:uiPriority w:val="0"/>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510">
    <w:name w:val="Обычный (веб)11"/>
    <w:basedOn w:val="1"/>
    <w:qFormat/>
    <w:uiPriority w:val="0"/>
    <w:pPr>
      <w:overflowPunct w:val="0"/>
      <w:autoSpaceDE w:val="0"/>
      <w:autoSpaceDN w:val="0"/>
      <w:adjustRightInd w:val="0"/>
      <w:spacing w:before="100" w:after="100" w:line="240" w:lineRule="auto"/>
      <w:ind w:firstLine="0"/>
    </w:pPr>
    <w:rPr>
      <w:color w:val="000000"/>
      <w:sz w:val="24"/>
      <w:szCs w:val="20"/>
    </w:rPr>
  </w:style>
  <w:style w:type="paragraph" w:customStyle="1" w:styleId="511">
    <w:name w:val="Основной текст с точкой"/>
    <w:basedOn w:val="74"/>
    <w:link w:val="512"/>
    <w:qFormat/>
    <w:uiPriority w:val="0"/>
    <w:pPr>
      <w:numPr>
        <w:ilvl w:val="0"/>
        <w:numId w:val="9"/>
      </w:numPr>
      <w:tabs>
        <w:tab w:val="left" w:pos="851"/>
      </w:tabs>
      <w:overflowPunct w:val="0"/>
      <w:autoSpaceDE w:val="0"/>
      <w:autoSpaceDN w:val="0"/>
      <w:adjustRightInd w:val="0"/>
      <w:spacing w:before="60"/>
      <w:jc w:val="both"/>
    </w:pPr>
  </w:style>
  <w:style w:type="character" w:customStyle="1" w:styleId="512">
    <w:name w:val="Основной текст с точкой Знак"/>
    <w:link w:val="511"/>
    <w:qFormat/>
    <w:uiPriority w:val="0"/>
    <w:rPr>
      <w:rFonts w:ascii="Times New Roman" w:hAnsi="Times New Roman" w:eastAsia="Times New Roman" w:cs="Times New Roman"/>
      <w:sz w:val="24"/>
      <w:szCs w:val="20"/>
    </w:rPr>
  </w:style>
  <w:style w:type="paragraph" w:customStyle="1" w:styleId="513">
    <w:name w:val="Oaaee?iue noeeu"/>
    <w:basedOn w:val="1"/>
    <w:qFormat/>
    <w:uiPriority w:val="0"/>
    <w:pPr>
      <w:overflowPunct w:val="0"/>
      <w:autoSpaceDE w:val="0"/>
      <w:autoSpaceDN w:val="0"/>
      <w:adjustRightInd w:val="0"/>
      <w:spacing w:after="0" w:line="240" w:lineRule="auto"/>
      <w:ind w:firstLine="0"/>
      <w:jc w:val="center"/>
      <w:textAlignment w:val="baseline"/>
    </w:pPr>
    <w:rPr>
      <w:sz w:val="22"/>
      <w:szCs w:val="20"/>
    </w:rPr>
  </w:style>
  <w:style w:type="paragraph" w:customStyle="1" w:styleId="514">
    <w:name w:val="Краткий обратный адрес"/>
    <w:basedOn w:val="1"/>
    <w:qFormat/>
    <w:uiPriority w:val="0"/>
    <w:pPr>
      <w:overflowPunct w:val="0"/>
      <w:autoSpaceDE w:val="0"/>
      <w:autoSpaceDN w:val="0"/>
      <w:adjustRightInd w:val="0"/>
      <w:spacing w:after="0" w:line="240" w:lineRule="auto"/>
      <w:ind w:firstLine="0"/>
    </w:pPr>
    <w:rPr>
      <w:sz w:val="24"/>
      <w:szCs w:val="20"/>
    </w:rPr>
  </w:style>
  <w:style w:type="paragraph" w:customStyle="1" w:styleId="515">
    <w:name w:val="podzag"/>
    <w:basedOn w:val="1"/>
    <w:qFormat/>
    <w:uiPriority w:val="0"/>
    <w:pPr>
      <w:spacing w:before="100" w:after="100" w:line="240" w:lineRule="auto"/>
      <w:ind w:firstLine="0"/>
    </w:pPr>
    <w:rPr>
      <w:rFonts w:ascii="Arial Unicode MS" w:hAnsi="Arial Unicode MS" w:eastAsia="Arial Unicode MS"/>
      <w:sz w:val="24"/>
      <w:szCs w:val="20"/>
    </w:rPr>
  </w:style>
  <w:style w:type="paragraph" w:customStyle="1" w:styleId="516">
    <w:name w:val="ConsNormal"/>
    <w:qFormat/>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paragraph" w:customStyle="1" w:styleId="517">
    <w:name w:val="Con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518">
    <w:name w:val="ConsTitle"/>
    <w:qFormat/>
    <w:uiPriority w:val="0"/>
    <w:pPr>
      <w:widowControl w:val="0"/>
      <w:autoSpaceDE w:val="0"/>
      <w:autoSpaceDN w:val="0"/>
      <w:adjustRightInd w:val="0"/>
      <w:spacing w:after="0" w:line="240" w:lineRule="auto"/>
    </w:pPr>
    <w:rPr>
      <w:rFonts w:ascii="Arial" w:hAnsi="Arial" w:eastAsia="Times New Roman" w:cs="Arial"/>
      <w:b/>
      <w:bCs/>
      <w:sz w:val="20"/>
      <w:szCs w:val="20"/>
      <w:lang w:val="ru-RU" w:eastAsia="ru-RU" w:bidi="ar-SA"/>
    </w:rPr>
  </w:style>
  <w:style w:type="paragraph" w:customStyle="1" w:styleId="519">
    <w:name w:val="Эко_№_таб"/>
    <w:basedOn w:val="1"/>
    <w:next w:val="1"/>
    <w:qFormat/>
    <w:uiPriority w:val="0"/>
    <w:pPr>
      <w:tabs>
        <w:tab w:val="left" w:pos="1260"/>
      </w:tabs>
      <w:spacing w:before="120" w:after="0" w:line="240" w:lineRule="auto"/>
      <w:jc w:val="right"/>
    </w:pPr>
    <w:rPr>
      <w:i/>
      <w:sz w:val="24"/>
      <w:szCs w:val="20"/>
    </w:rPr>
  </w:style>
  <w:style w:type="paragraph" w:customStyle="1" w:styleId="520">
    <w:name w:val="Эко_булет"/>
    <w:basedOn w:val="1"/>
    <w:next w:val="1"/>
    <w:qFormat/>
    <w:uiPriority w:val="0"/>
    <w:pPr>
      <w:numPr>
        <w:ilvl w:val="0"/>
        <w:numId w:val="10"/>
      </w:numPr>
      <w:spacing w:before="120" w:after="0" w:line="240" w:lineRule="auto"/>
      <w:jc w:val="both"/>
    </w:pPr>
    <w:rPr>
      <w:sz w:val="24"/>
      <w:szCs w:val="20"/>
    </w:rPr>
  </w:style>
  <w:style w:type="paragraph" w:customStyle="1" w:styleId="521">
    <w:name w:val="Эко_таб"/>
    <w:basedOn w:val="1"/>
    <w:qFormat/>
    <w:uiPriority w:val="0"/>
    <w:pPr>
      <w:spacing w:before="120" w:after="120" w:line="240" w:lineRule="auto"/>
      <w:ind w:firstLine="0"/>
      <w:jc w:val="center"/>
    </w:pPr>
    <w:rPr>
      <w:b/>
      <w:i/>
      <w:sz w:val="24"/>
      <w:szCs w:val="20"/>
    </w:rPr>
  </w:style>
  <w:style w:type="paragraph" w:customStyle="1" w:styleId="522">
    <w:name w:val="Таблица"/>
    <w:basedOn w:val="1"/>
    <w:link w:val="1991"/>
    <w:qFormat/>
    <w:uiPriority w:val="0"/>
    <w:pPr>
      <w:spacing w:after="0" w:line="240" w:lineRule="auto"/>
      <w:ind w:firstLine="0"/>
      <w:jc w:val="center"/>
    </w:pPr>
    <w:rPr>
      <w:sz w:val="20"/>
      <w:szCs w:val="20"/>
    </w:rPr>
  </w:style>
  <w:style w:type="paragraph" w:customStyle="1" w:styleId="523">
    <w:name w:val="Шанпар1.5"/>
    <w:basedOn w:val="1"/>
    <w:qFormat/>
    <w:uiPriority w:val="0"/>
    <w:pPr>
      <w:spacing w:before="120" w:after="0"/>
      <w:ind w:firstLine="720"/>
      <w:jc w:val="both"/>
    </w:pPr>
    <w:rPr>
      <w:sz w:val="24"/>
      <w:szCs w:val="20"/>
    </w:rPr>
  </w:style>
  <w:style w:type="paragraph" w:customStyle="1" w:styleId="524">
    <w:name w:val="Bullet 1"/>
    <w:basedOn w:val="1"/>
    <w:qFormat/>
    <w:uiPriority w:val="0"/>
    <w:pPr>
      <w:tabs>
        <w:tab w:val="left" w:pos="720"/>
      </w:tabs>
      <w:spacing w:before="120" w:after="0" w:line="240" w:lineRule="atLeast"/>
      <w:ind w:left="720" w:hanging="360"/>
      <w:jc w:val="both"/>
    </w:pPr>
    <w:rPr>
      <w:sz w:val="22"/>
      <w:szCs w:val="20"/>
      <w:lang w:val="en-AU"/>
    </w:rPr>
  </w:style>
  <w:style w:type="paragraph" w:customStyle="1" w:styleId="525">
    <w:name w:val="Обычный для таблицы"/>
    <w:basedOn w:val="1"/>
    <w:qFormat/>
    <w:uiPriority w:val="0"/>
    <w:pPr>
      <w:spacing w:before="120" w:after="120" w:line="240" w:lineRule="auto"/>
      <w:ind w:firstLine="0"/>
      <w:jc w:val="center"/>
    </w:pPr>
    <w:rPr>
      <w:sz w:val="24"/>
      <w:szCs w:val="24"/>
    </w:rPr>
  </w:style>
  <w:style w:type="paragraph" w:customStyle="1" w:styleId="526">
    <w:name w:val="solo11"/>
    <w:basedOn w:val="1"/>
    <w:qFormat/>
    <w:uiPriority w:val="0"/>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customStyle="1" w:styleId="527">
    <w:name w:val="Body Text Indent1"/>
    <w:basedOn w:val="1"/>
    <w:semiHidden/>
    <w:qFormat/>
    <w:uiPriority w:val="0"/>
    <w:pPr>
      <w:spacing w:after="0" w:line="240" w:lineRule="auto"/>
      <w:ind w:firstLine="567"/>
      <w:jc w:val="both"/>
    </w:pPr>
    <w:rPr>
      <w:sz w:val="24"/>
      <w:szCs w:val="20"/>
    </w:rPr>
  </w:style>
  <w:style w:type="paragraph" w:customStyle="1" w:styleId="528">
    <w:name w:val="Знак Знак Знак1 Знак Знак Знак Знак"/>
    <w:basedOn w:val="1"/>
    <w:next w:val="3"/>
    <w:autoRedefine/>
    <w:qFormat/>
    <w:uiPriority w:val="0"/>
    <w:pPr>
      <w:spacing w:after="160" w:line="240" w:lineRule="exact"/>
      <w:ind w:firstLine="0"/>
      <w:jc w:val="right"/>
    </w:pPr>
    <w:rPr>
      <w:sz w:val="24"/>
      <w:szCs w:val="24"/>
      <w:lang w:val="en-US" w:eastAsia="en-US"/>
    </w:rPr>
  </w:style>
  <w:style w:type="character" w:customStyle="1" w:styleId="529">
    <w:name w:val="Стандартный HTML Знак"/>
    <w:basedOn w:val="11"/>
    <w:link w:val="95"/>
    <w:qFormat/>
    <w:uiPriority w:val="0"/>
    <w:rPr>
      <w:rFonts w:ascii="Courier New" w:hAnsi="Courier New" w:eastAsia="Times New Roman" w:cs="Times New Roman"/>
      <w:sz w:val="20"/>
      <w:szCs w:val="20"/>
    </w:rPr>
  </w:style>
  <w:style w:type="character" w:customStyle="1" w:styleId="530">
    <w:name w:val="Основной текст с отступом 2 Знак1"/>
    <w:qFormat/>
    <w:locked/>
    <w:uiPriority w:val="0"/>
    <w:rPr>
      <w:sz w:val="24"/>
    </w:rPr>
  </w:style>
  <w:style w:type="paragraph" w:customStyle="1" w:styleId="531">
    <w:name w:val="Знак1"/>
    <w:basedOn w:val="1"/>
    <w:next w:val="3"/>
    <w:autoRedefine/>
    <w:qFormat/>
    <w:uiPriority w:val="0"/>
    <w:pPr>
      <w:spacing w:after="160" w:line="240" w:lineRule="exact"/>
      <w:ind w:firstLine="0"/>
      <w:jc w:val="right"/>
    </w:pPr>
    <w:rPr>
      <w:sz w:val="24"/>
      <w:szCs w:val="24"/>
      <w:lang w:val="en-US" w:eastAsia="en-US"/>
    </w:rPr>
  </w:style>
  <w:style w:type="paragraph" w:customStyle="1" w:styleId="532">
    <w:name w:val="Знак3"/>
    <w:basedOn w:val="1"/>
    <w:next w:val="3"/>
    <w:autoRedefine/>
    <w:qFormat/>
    <w:uiPriority w:val="0"/>
    <w:pPr>
      <w:spacing w:after="160" w:line="240" w:lineRule="exact"/>
      <w:ind w:firstLine="0"/>
      <w:jc w:val="right"/>
    </w:pPr>
    <w:rPr>
      <w:sz w:val="24"/>
      <w:szCs w:val="24"/>
      <w:lang w:val="en-US" w:eastAsia="en-US"/>
    </w:rPr>
  </w:style>
  <w:style w:type="paragraph" w:customStyle="1" w:styleId="533">
    <w:name w:val="Основной жирный"/>
    <w:basedOn w:val="74"/>
    <w:next w:val="74"/>
    <w:qFormat/>
    <w:uiPriority w:val="0"/>
    <w:pPr>
      <w:widowControl w:val="0"/>
      <w:overflowPunct w:val="0"/>
      <w:autoSpaceDE w:val="0"/>
      <w:autoSpaceDN w:val="0"/>
      <w:adjustRightInd w:val="0"/>
      <w:spacing w:before="120"/>
      <w:ind w:left="425" w:firstLine="425"/>
      <w:jc w:val="both"/>
    </w:pPr>
    <w:rPr>
      <w:b/>
      <w:bCs/>
      <w:szCs w:val="24"/>
    </w:rPr>
  </w:style>
  <w:style w:type="character" w:customStyle="1" w:styleId="534">
    <w:name w:val="Заголовок 1 с Нум Знак"/>
    <w:qFormat/>
    <w:uiPriority w:val="0"/>
    <w:rPr>
      <w:rFonts w:hint="default" w:ascii="Arial" w:hAnsi="Arial" w:cs="Arial"/>
      <w:b/>
      <w:bCs/>
      <w:kern w:val="32"/>
      <w:sz w:val="24"/>
      <w:szCs w:val="32"/>
      <w:lang w:val="ru-RU" w:eastAsia="ru-RU" w:bidi="ar-SA"/>
    </w:rPr>
  </w:style>
  <w:style w:type="character" w:customStyle="1" w:styleId="535">
    <w:name w:val="Основной жирный Знак"/>
    <w:qFormat/>
    <w:uiPriority w:val="0"/>
    <w:rPr>
      <w:rFonts w:ascii="Times New Roman" w:hAnsi="Times New Roman" w:eastAsia="Times New Roman" w:cs="Times New Roman"/>
      <w:b/>
      <w:bCs/>
      <w:sz w:val="24"/>
      <w:szCs w:val="24"/>
      <w:lang w:val="ru-RU" w:eastAsia="ru-RU" w:bidi="ar-SA"/>
    </w:rPr>
  </w:style>
  <w:style w:type="character" w:customStyle="1" w:styleId="536">
    <w:name w:val="Основной текст с отступом Знак1"/>
    <w:qFormat/>
    <w:uiPriority w:val="0"/>
    <w:rPr>
      <w:sz w:val="24"/>
      <w:lang w:val="ru-RU" w:eastAsia="ru-RU" w:bidi="ar-SA"/>
    </w:rPr>
  </w:style>
  <w:style w:type="character" w:customStyle="1" w:styleId="537">
    <w:name w:val="Заголовок 1 Знак Знак Знак Знак"/>
    <w:qFormat/>
    <w:uiPriority w:val="0"/>
    <w:rPr>
      <w:sz w:val="28"/>
    </w:rPr>
  </w:style>
  <w:style w:type="character" w:customStyle="1" w:styleId="538">
    <w:name w:val="Знак Знак18"/>
    <w:qFormat/>
    <w:uiPriority w:val="0"/>
    <w:rPr>
      <w:sz w:val="28"/>
    </w:rPr>
  </w:style>
  <w:style w:type="character" w:customStyle="1" w:styleId="539">
    <w:name w:val="Знак Знак17"/>
    <w:qFormat/>
    <w:uiPriority w:val="0"/>
    <w:rPr>
      <w:b/>
      <w:sz w:val="22"/>
    </w:rPr>
  </w:style>
  <w:style w:type="character" w:customStyle="1" w:styleId="540">
    <w:name w:val="Название Знак1"/>
    <w:qFormat/>
    <w:uiPriority w:val="0"/>
    <w:rPr>
      <w:b/>
      <w:sz w:val="24"/>
      <w:lang w:val="ru-RU" w:eastAsia="ru-RU" w:bidi="ar-SA"/>
    </w:rPr>
  </w:style>
  <w:style w:type="character" w:customStyle="1" w:styleId="541">
    <w:name w:val="Знак Знак8"/>
    <w:qFormat/>
    <w:uiPriority w:val="0"/>
    <w:rPr>
      <w:sz w:val="28"/>
    </w:rPr>
  </w:style>
  <w:style w:type="character" w:customStyle="1" w:styleId="542">
    <w:name w:val="Знак Знак7"/>
    <w:qFormat/>
    <w:uiPriority w:val="0"/>
    <w:rPr>
      <w:b/>
      <w:sz w:val="24"/>
    </w:rPr>
  </w:style>
  <w:style w:type="character" w:customStyle="1" w:styleId="543">
    <w:name w:val="Знак Знак6"/>
    <w:qFormat/>
    <w:uiPriority w:val="0"/>
    <w:rPr>
      <w:sz w:val="24"/>
    </w:rPr>
  </w:style>
  <w:style w:type="character" w:customStyle="1" w:styleId="544">
    <w:name w:val="Подзаголовок Знак"/>
    <w:basedOn w:val="11"/>
    <w:link w:val="85"/>
    <w:qFormat/>
    <w:uiPriority w:val="0"/>
    <w:rPr>
      <w:rFonts w:ascii="Times New Roman" w:hAnsi="Times New Roman" w:eastAsia="Times New Roman" w:cs="Times New Roman"/>
      <w:sz w:val="24"/>
      <w:szCs w:val="20"/>
    </w:rPr>
  </w:style>
  <w:style w:type="paragraph" w:customStyle="1" w:styleId="545">
    <w:name w:val="Îáû÷íûé"/>
    <w:qFormat/>
    <w:uiPriority w:val="0"/>
    <w:pPr>
      <w:spacing w:after="0" w:line="240" w:lineRule="auto"/>
    </w:pPr>
    <w:rPr>
      <w:rFonts w:ascii="Times New Roman" w:hAnsi="Times New Roman" w:eastAsia="Times New Roman" w:cs="Times New Roman"/>
      <w:sz w:val="24"/>
      <w:szCs w:val="20"/>
      <w:lang w:val="ru-RU" w:eastAsia="ru-RU" w:bidi="ar-SA"/>
    </w:rPr>
  </w:style>
  <w:style w:type="character" w:customStyle="1" w:styleId="546">
    <w:name w:val="Стиль полужирный"/>
    <w:qFormat/>
    <w:uiPriority w:val="0"/>
    <w:rPr>
      <w:b/>
      <w:bCs/>
      <w:u w:val="none"/>
      <w:vertAlign w:val="baseline"/>
    </w:rPr>
  </w:style>
  <w:style w:type="paragraph" w:customStyle="1" w:styleId="547">
    <w:name w:val="txt"/>
    <w:basedOn w:val="1"/>
    <w:qFormat/>
    <w:uiPriority w:val="0"/>
    <w:pPr>
      <w:spacing w:before="100" w:beforeAutospacing="1" w:after="100" w:afterAutospacing="1" w:line="240" w:lineRule="auto"/>
      <w:ind w:firstLine="0"/>
    </w:pPr>
    <w:rPr>
      <w:sz w:val="24"/>
      <w:szCs w:val="24"/>
    </w:rPr>
  </w:style>
  <w:style w:type="paragraph" w:customStyle="1" w:styleId="548">
    <w:name w:val="Body Text Indent 21"/>
    <w:basedOn w:val="1"/>
    <w:qFormat/>
    <w:uiPriority w:val="0"/>
    <w:pPr>
      <w:overflowPunct w:val="0"/>
      <w:autoSpaceDE w:val="0"/>
      <w:autoSpaceDN w:val="0"/>
      <w:adjustRightInd w:val="0"/>
      <w:spacing w:before="120" w:after="0" w:line="240" w:lineRule="auto"/>
      <w:jc w:val="both"/>
    </w:pPr>
    <w:rPr>
      <w:sz w:val="24"/>
      <w:szCs w:val="20"/>
    </w:rPr>
  </w:style>
  <w:style w:type="character" w:customStyle="1" w:styleId="549">
    <w:name w:val="Подпись Знак"/>
    <w:basedOn w:val="11"/>
    <w:link w:val="86"/>
    <w:qFormat/>
    <w:uiPriority w:val="0"/>
    <w:rPr>
      <w:rFonts w:ascii="Times New Roman" w:hAnsi="Times New Roman" w:eastAsia="Times New Roman" w:cs="Times New Roman"/>
      <w:sz w:val="24"/>
      <w:szCs w:val="20"/>
    </w:rPr>
  </w:style>
  <w:style w:type="paragraph" w:customStyle="1" w:styleId="550">
    <w:name w:val="Строка PP"/>
    <w:basedOn w:val="86"/>
    <w:qFormat/>
    <w:uiPriority w:val="0"/>
  </w:style>
  <w:style w:type="paragraph" w:customStyle="1" w:styleId="551">
    <w:name w:val="Plain Text1"/>
    <w:basedOn w:val="1"/>
    <w:qFormat/>
    <w:uiPriority w:val="0"/>
    <w:pPr>
      <w:spacing w:after="0" w:line="240" w:lineRule="auto"/>
      <w:jc w:val="both"/>
    </w:pPr>
    <w:rPr>
      <w:sz w:val="24"/>
      <w:szCs w:val="20"/>
    </w:rPr>
  </w:style>
  <w:style w:type="paragraph" w:customStyle="1" w:styleId="552">
    <w:name w:val="Body Text 22"/>
    <w:basedOn w:val="1"/>
    <w:qFormat/>
    <w:uiPriority w:val="0"/>
    <w:pPr>
      <w:spacing w:after="120" w:line="240" w:lineRule="auto"/>
      <w:ind w:firstLine="0"/>
      <w:jc w:val="both"/>
    </w:pPr>
    <w:rPr>
      <w:szCs w:val="20"/>
    </w:rPr>
  </w:style>
  <w:style w:type="paragraph" w:customStyle="1" w:styleId="553">
    <w:name w:val="Body Text Indent 22"/>
    <w:basedOn w:val="1"/>
    <w:qFormat/>
    <w:uiPriority w:val="0"/>
    <w:pPr>
      <w:widowControl w:val="0"/>
      <w:spacing w:after="0"/>
      <w:ind w:firstLine="720"/>
    </w:pPr>
    <w:rPr>
      <w:sz w:val="24"/>
      <w:szCs w:val="20"/>
    </w:rPr>
  </w:style>
  <w:style w:type="character" w:customStyle="1" w:styleId="554">
    <w:name w:val="txt_1201"/>
    <w:qFormat/>
    <w:uiPriority w:val="0"/>
    <w:rPr>
      <w:sz w:val="29"/>
      <w:szCs w:val="29"/>
    </w:rPr>
  </w:style>
  <w:style w:type="character" w:customStyle="1" w:styleId="555">
    <w:name w:val="gdeobj"/>
    <w:qFormat/>
    <w:uiPriority w:val="0"/>
  </w:style>
  <w:style w:type="character" w:customStyle="1" w:styleId="556">
    <w:name w:val="pmbu"/>
    <w:qFormat/>
    <w:uiPriority w:val="0"/>
  </w:style>
  <w:style w:type="paragraph" w:customStyle="1" w:styleId="557">
    <w:name w:val="Знак Знак Знак2 Знак"/>
    <w:basedOn w:val="1"/>
    <w:next w:val="3"/>
    <w:autoRedefine/>
    <w:qFormat/>
    <w:uiPriority w:val="0"/>
    <w:pPr>
      <w:spacing w:after="160" w:line="240" w:lineRule="exact"/>
      <w:ind w:firstLine="0"/>
      <w:jc w:val="right"/>
    </w:pPr>
    <w:rPr>
      <w:sz w:val="24"/>
      <w:szCs w:val="24"/>
      <w:lang w:val="en-US" w:eastAsia="en-US"/>
    </w:rPr>
  </w:style>
  <w:style w:type="paragraph" w:customStyle="1" w:styleId="558">
    <w:name w:val="заг 3"/>
    <w:basedOn w:val="4"/>
    <w:qFormat/>
    <w:uiPriority w:val="0"/>
    <w:pPr>
      <w:keepNext/>
      <w:keepLines w:val="0"/>
      <w:numPr>
        <w:ilvl w:val="0"/>
        <w:numId w:val="0"/>
      </w:numPr>
      <w:spacing w:before="0" w:line="240" w:lineRule="auto"/>
      <w:jc w:val="center"/>
    </w:pPr>
    <w:rPr>
      <w:rFonts w:eastAsia="Times New Roman" w:cs="Times New Roman"/>
      <w:sz w:val="24"/>
      <w:szCs w:val="20"/>
    </w:rPr>
  </w:style>
  <w:style w:type="paragraph" w:customStyle="1" w:styleId="559">
    <w:name w:val="Список нумерованный 1."/>
    <w:basedOn w:val="1"/>
    <w:link w:val="560"/>
    <w:qFormat/>
    <w:uiPriority w:val="0"/>
    <w:pPr>
      <w:numPr>
        <w:ilvl w:val="0"/>
        <w:numId w:val="11"/>
      </w:numPr>
      <w:tabs>
        <w:tab w:val="left" w:pos="397"/>
      </w:tabs>
      <w:spacing w:after="0"/>
      <w:ind w:left="0" w:firstLine="0"/>
      <w:jc w:val="both"/>
    </w:pPr>
    <w:rPr>
      <w:sz w:val="24"/>
      <w:szCs w:val="24"/>
    </w:rPr>
  </w:style>
  <w:style w:type="character" w:customStyle="1" w:styleId="560">
    <w:name w:val="Список нумерованный 1. Знак"/>
    <w:link w:val="559"/>
    <w:qFormat/>
    <w:uiPriority w:val="0"/>
    <w:rPr>
      <w:rFonts w:ascii="Times New Roman" w:hAnsi="Times New Roman" w:eastAsia="Times New Roman" w:cs="Times New Roman"/>
      <w:sz w:val="24"/>
      <w:szCs w:val="24"/>
    </w:rPr>
  </w:style>
  <w:style w:type="paragraph" w:customStyle="1" w:styleId="561">
    <w:name w:val="Iau?iue"/>
    <w:qFormat/>
    <w:uiPriority w:val="0"/>
    <w:pPr>
      <w:overflowPunct w:val="0"/>
      <w:autoSpaceDE w:val="0"/>
      <w:autoSpaceDN w:val="0"/>
      <w:adjustRightInd w:val="0"/>
      <w:spacing w:after="0" w:line="240" w:lineRule="auto"/>
      <w:ind w:firstLine="1134"/>
      <w:jc w:val="both"/>
    </w:pPr>
    <w:rPr>
      <w:rFonts w:ascii="HelvDL" w:hAnsi="HelvDL" w:eastAsia="Times New Roman" w:cs="Times New Roman"/>
      <w:sz w:val="24"/>
      <w:szCs w:val="20"/>
      <w:lang w:val="ru-RU" w:eastAsia="ru-RU" w:bidi="ar-SA"/>
    </w:rPr>
  </w:style>
  <w:style w:type="paragraph" w:customStyle="1" w:styleId="562">
    <w:name w:val="Стиль Заголовок 2 + Times New Roman 12 pt Перед:  6 пт После:  0......"/>
    <w:basedOn w:val="1"/>
    <w:next w:val="58"/>
    <w:autoRedefine/>
    <w:qFormat/>
    <w:uiPriority w:val="0"/>
    <w:pPr>
      <w:keepNext/>
      <w:widowControl w:val="0"/>
      <w:autoSpaceDE w:val="0"/>
      <w:autoSpaceDN w:val="0"/>
      <w:adjustRightInd w:val="0"/>
      <w:spacing w:after="0" w:line="240" w:lineRule="auto"/>
      <w:ind w:firstLine="0"/>
      <w:outlineLvl w:val="1"/>
    </w:pPr>
    <w:rPr>
      <w:b/>
      <w:bCs/>
      <w:i/>
      <w:iCs/>
      <w:sz w:val="24"/>
      <w:szCs w:val="20"/>
    </w:rPr>
  </w:style>
  <w:style w:type="paragraph" w:customStyle="1" w:styleId="563">
    <w:name w:val="Стиль Заголовок 3 12pt + Перед:  0 пт После:  0 пт"/>
    <w:basedOn w:val="1"/>
    <w:qFormat/>
    <w:uiPriority w:val="0"/>
    <w:pPr>
      <w:keepNext/>
      <w:widowControl w:val="0"/>
      <w:autoSpaceDE w:val="0"/>
      <w:autoSpaceDN w:val="0"/>
      <w:adjustRightInd w:val="0"/>
      <w:spacing w:after="0" w:line="240" w:lineRule="auto"/>
      <w:ind w:firstLine="0"/>
      <w:outlineLvl w:val="2"/>
    </w:pPr>
    <w:rPr>
      <w:i/>
      <w:iCs/>
      <w:sz w:val="24"/>
      <w:szCs w:val="20"/>
    </w:rPr>
  </w:style>
  <w:style w:type="paragraph" w:customStyle="1" w:styleId="564">
    <w:name w:val="Заголовок 0"/>
    <w:basedOn w:val="2"/>
    <w:autoRedefine/>
    <w:qFormat/>
    <w:uiPriority w:val="0"/>
    <w:pPr>
      <w:keepNext/>
      <w:keepLines w:val="0"/>
      <w:numPr>
        <w:ilvl w:val="0"/>
        <w:numId w:val="0"/>
      </w:numPr>
      <w:spacing w:before="0" w:after="360" w:line="360" w:lineRule="auto"/>
      <w:jc w:val="center"/>
    </w:pPr>
    <w:rPr>
      <w:rFonts w:eastAsia="Times New Roman" w:cs="Times New Roman"/>
      <w:bCs/>
      <w:szCs w:val="28"/>
    </w:rPr>
  </w:style>
  <w:style w:type="paragraph" w:customStyle="1" w:styleId="565">
    <w:name w:val="FR1"/>
    <w:qFormat/>
    <w:uiPriority w:val="0"/>
    <w:pPr>
      <w:widowControl w:val="0"/>
      <w:autoSpaceDE w:val="0"/>
      <w:autoSpaceDN w:val="0"/>
      <w:adjustRightInd w:val="0"/>
      <w:spacing w:after="0" w:line="240" w:lineRule="auto"/>
      <w:ind w:right="200"/>
      <w:jc w:val="center"/>
    </w:pPr>
    <w:rPr>
      <w:rFonts w:ascii="Arial" w:hAnsi="Arial" w:eastAsia="Times New Roman" w:cs="Arial"/>
      <w:b/>
      <w:bCs/>
      <w:sz w:val="24"/>
      <w:szCs w:val="24"/>
      <w:lang w:val="ru-RU" w:eastAsia="ru-RU" w:bidi="ar-SA"/>
    </w:rPr>
  </w:style>
  <w:style w:type="paragraph" w:customStyle="1" w:styleId="566">
    <w:name w:val="FR2"/>
    <w:qFormat/>
    <w:uiPriority w:val="0"/>
    <w:pPr>
      <w:widowControl w:val="0"/>
      <w:autoSpaceDE w:val="0"/>
      <w:autoSpaceDN w:val="0"/>
      <w:adjustRightInd w:val="0"/>
      <w:spacing w:before="280" w:after="0" w:line="300" w:lineRule="auto"/>
      <w:ind w:left="1520" w:right="1200"/>
      <w:jc w:val="center"/>
    </w:pPr>
    <w:rPr>
      <w:rFonts w:ascii="Arial" w:hAnsi="Arial" w:eastAsia="Times New Roman" w:cs="Arial"/>
      <w:i/>
      <w:iCs/>
      <w:sz w:val="28"/>
      <w:szCs w:val="28"/>
      <w:lang w:val="ru-RU" w:eastAsia="ru-RU" w:bidi="ar-SA"/>
    </w:rPr>
  </w:style>
  <w:style w:type="paragraph" w:customStyle="1" w:styleId="567">
    <w:name w:val="Обычный1"/>
    <w:qFormat/>
    <w:uiPriority w:val="0"/>
    <w:pPr>
      <w:spacing w:after="0" w:line="240" w:lineRule="auto"/>
    </w:pPr>
    <w:rPr>
      <w:rFonts w:ascii="Times New Roman" w:hAnsi="Times New Roman" w:eastAsia="Times New Roman" w:cs="Times New Roman"/>
      <w:sz w:val="20"/>
      <w:szCs w:val="20"/>
      <w:lang w:val="ru-RU" w:eastAsia="ru-RU" w:bidi="ar-SA"/>
    </w:rPr>
  </w:style>
  <w:style w:type="paragraph" w:customStyle="1" w:styleId="568">
    <w:name w:val="Обычный ArNar"/>
    <w:basedOn w:val="1"/>
    <w:qFormat/>
    <w:uiPriority w:val="0"/>
    <w:pPr>
      <w:spacing w:after="0" w:line="240" w:lineRule="auto"/>
      <w:jc w:val="both"/>
    </w:pPr>
    <w:rPr>
      <w:rFonts w:ascii="Arial Narrow" w:hAnsi="Arial Narrow"/>
      <w:color w:val="000000"/>
      <w:sz w:val="22"/>
      <w:szCs w:val="20"/>
    </w:rPr>
  </w:style>
  <w:style w:type="paragraph" w:customStyle="1" w:styleId="569">
    <w:name w:val="Список отчета"/>
    <w:basedOn w:val="58"/>
    <w:qFormat/>
    <w:uiPriority w:val="0"/>
    <w:pPr>
      <w:numPr>
        <w:ilvl w:val="0"/>
        <w:numId w:val="12"/>
      </w:numPr>
      <w:spacing w:after="0" w:line="312" w:lineRule="auto"/>
      <w:ind w:left="993" w:right="170"/>
    </w:pPr>
    <w:rPr>
      <w:spacing w:val="10"/>
      <w:sz w:val="24"/>
      <w:szCs w:val="20"/>
    </w:rPr>
  </w:style>
  <w:style w:type="paragraph" w:customStyle="1" w:styleId="570">
    <w:name w:val="FR4"/>
    <w:qFormat/>
    <w:uiPriority w:val="0"/>
    <w:pPr>
      <w:widowControl w:val="0"/>
      <w:autoSpaceDE w:val="0"/>
      <w:autoSpaceDN w:val="0"/>
      <w:adjustRightInd w:val="0"/>
      <w:spacing w:after="0" w:line="240" w:lineRule="auto"/>
      <w:ind w:left="4960"/>
    </w:pPr>
    <w:rPr>
      <w:rFonts w:ascii="Times New Roman" w:hAnsi="Times New Roman" w:eastAsia="Times New Roman" w:cs="Times New Roman"/>
      <w:sz w:val="16"/>
      <w:szCs w:val="16"/>
      <w:lang w:val="ru-RU" w:eastAsia="ru-RU" w:bidi="ar-SA"/>
    </w:rPr>
  </w:style>
  <w:style w:type="paragraph" w:customStyle="1" w:styleId="571">
    <w:name w:val="Заголовок раздела"/>
    <w:basedOn w:val="1"/>
    <w:qFormat/>
    <w:uiPriority w:val="0"/>
    <w:pPr>
      <w:keepNext/>
      <w:keepLines/>
      <w:spacing w:before="120" w:after="160" w:line="240" w:lineRule="auto"/>
      <w:jc w:val="center"/>
    </w:pPr>
    <w:rPr>
      <w:rFonts w:ascii="Arial" w:hAnsi="Arial"/>
      <w:b/>
      <w:i/>
      <w:kern w:val="28"/>
      <w:szCs w:val="20"/>
    </w:rPr>
  </w:style>
  <w:style w:type="paragraph" w:customStyle="1" w:styleId="572">
    <w:name w:val="abzac"/>
    <w:basedOn w:val="1"/>
    <w:qFormat/>
    <w:uiPriority w:val="0"/>
    <w:pPr>
      <w:spacing w:after="0" w:line="240" w:lineRule="auto"/>
      <w:ind w:firstLine="225"/>
      <w:jc w:val="both"/>
    </w:pPr>
    <w:rPr>
      <w:sz w:val="24"/>
      <w:szCs w:val="24"/>
    </w:rPr>
  </w:style>
  <w:style w:type="paragraph" w:customStyle="1" w:styleId="573">
    <w:name w:val="штрих"/>
    <w:basedOn w:val="58"/>
    <w:qFormat/>
    <w:uiPriority w:val="0"/>
    <w:pPr>
      <w:numPr>
        <w:ilvl w:val="0"/>
        <w:numId w:val="13"/>
      </w:numPr>
      <w:tabs>
        <w:tab w:val="left" w:pos="360"/>
      </w:tabs>
      <w:spacing w:before="0" w:after="0" w:line="240" w:lineRule="auto"/>
      <w:ind w:left="924" w:hanging="357"/>
    </w:pPr>
    <w:rPr>
      <w:sz w:val="28"/>
      <w:szCs w:val="28"/>
    </w:rPr>
  </w:style>
  <w:style w:type="paragraph" w:customStyle="1" w:styleId="574">
    <w:name w:val="xl5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right"/>
    </w:pPr>
    <w:rPr>
      <w:color w:val="000000"/>
      <w:sz w:val="24"/>
      <w:szCs w:val="24"/>
    </w:rPr>
  </w:style>
  <w:style w:type="paragraph" w:customStyle="1" w:styleId="575">
    <w:name w:val="xl57"/>
    <w:basedOn w:val="1"/>
    <w:qFormat/>
    <w:uiPriority w:val="0"/>
    <w:pPr>
      <w:pBdr>
        <w:top w:val="single" w:color="auto" w:sz="4" w:space="0"/>
        <w:bottom w:val="single" w:color="auto" w:sz="4" w:space="0"/>
      </w:pBdr>
      <w:spacing w:before="100" w:beforeAutospacing="1" w:after="100" w:afterAutospacing="1" w:line="240" w:lineRule="auto"/>
      <w:ind w:firstLine="0"/>
    </w:pPr>
    <w:rPr>
      <w:sz w:val="24"/>
      <w:szCs w:val="24"/>
    </w:rPr>
  </w:style>
  <w:style w:type="paragraph" w:customStyle="1" w:styleId="576">
    <w:name w:val="xl58"/>
    <w:basedOn w:val="1"/>
    <w:qFormat/>
    <w:uiPriority w:val="0"/>
    <w:pPr>
      <w:pBdr>
        <w:left w:val="single" w:color="auto" w:sz="4" w:space="0"/>
        <w:bottom w:val="single" w:color="auto" w:sz="4" w:space="0"/>
      </w:pBdr>
      <w:spacing w:before="100" w:beforeAutospacing="1" w:after="100" w:afterAutospacing="1" w:line="240" w:lineRule="auto"/>
      <w:ind w:firstLine="0"/>
      <w:jc w:val="right"/>
    </w:pPr>
    <w:rPr>
      <w:color w:val="000000"/>
      <w:sz w:val="24"/>
      <w:szCs w:val="24"/>
    </w:rPr>
  </w:style>
  <w:style w:type="paragraph" w:customStyle="1" w:styleId="577">
    <w:name w:val="xl59"/>
    <w:basedOn w:val="1"/>
    <w:qFormat/>
    <w:uiPriority w:val="0"/>
    <w:pPr>
      <w:pBdr>
        <w:bottom w:val="single" w:color="auto" w:sz="4" w:space="0"/>
      </w:pBdr>
      <w:spacing w:before="100" w:beforeAutospacing="1" w:after="100" w:afterAutospacing="1" w:line="240" w:lineRule="auto"/>
      <w:ind w:firstLine="0"/>
      <w:jc w:val="right"/>
    </w:pPr>
    <w:rPr>
      <w:color w:val="000000"/>
      <w:sz w:val="24"/>
      <w:szCs w:val="24"/>
    </w:rPr>
  </w:style>
  <w:style w:type="paragraph" w:customStyle="1" w:styleId="578">
    <w:name w:val="xl60"/>
    <w:basedOn w:val="1"/>
    <w:qFormat/>
    <w:uiPriority w:val="0"/>
    <w:pPr>
      <w:pBdr>
        <w:bottom w:val="single" w:color="auto" w:sz="4" w:space="0"/>
      </w:pBdr>
      <w:spacing w:before="100" w:beforeAutospacing="1" w:after="100" w:afterAutospacing="1" w:line="240" w:lineRule="auto"/>
      <w:ind w:firstLine="0"/>
      <w:jc w:val="right"/>
    </w:pPr>
    <w:rPr>
      <w:color w:val="000000"/>
      <w:sz w:val="24"/>
      <w:szCs w:val="24"/>
    </w:rPr>
  </w:style>
  <w:style w:type="paragraph" w:customStyle="1" w:styleId="579">
    <w:name w:val="xl6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pPr>
    <w:rPr>
      <w:b/>
      <w:bCs/>
      <w:color w:val="000000"/>
      <w:sz w:val="24"/>
      <w:szCs w:val="24"/>
    </w:rPr>
  </w:style>
  <w:style w:type="paragraph" w:customStyle="1" w:styleId="580">
    <w:name w:val="xl62"/>
    <w:basedOn w:val="1"/>
    <w:qFormat/>
    <w:uiPriority w:val="0"/>
    <w:pPr>
      <w:pBdr>
        <w:left w:val="single" w:color="auto" w:sz="4" w:space="0"/>
        <w:right w:val="single" w:color="auto" w:sz="4" w:space="0"/>
      </w:pBdr>
      <w:spacing w:before="100" w:beforeAutospacing="1" w:after="100" w:afterAutospacing="1" w:line="240" w:lineRule="auto"/>
      <w:ind w:firstLine="0"/>
      <w:jc w:val="center"/>
    </w:pPr>
    <w:rPr>
      <w:b/>
      <w:bCs/>
      <w:sz w:val="24"/>
      <w:szCs w:val="24"/>
    </w:rPr>
  </w:style>
  <w:style w:type="character" w:customStyle="1" w:styleId="581">
    <w:name w:val="Заголовок 2 + 12 pt Знак Знак Знак Знак Знак"/>
    <w:qFormat/>
    <w:uiPriority w:val="0"/>
    <w:rPr>
      <w:b/>
      <w:bCs/>
      <w:sz w:val="24"/>
      <w:lang w:val="ru-RU" w:eastAsia="ru-RU" w:bidi="ar-SA"/>
    </w:rPr>
  </w:style>
  <w:style w:type="character" w:customStyle="1" w:styleId="582">
    <w:name w:val="Заголовок 2 + 12 pt Знак Знак Знак Знак"/>
    <w:qFormat/>
    <w:uiPriority w:val="0"/>
    <w:rPr>
      <w:bCs/>
      <w:sz w:val="24"/>
      <w:szCs w:val="24"/>
      <w:lang w:val="ru-RU" w:eastAsia="ru-RU" w:bidi="ar-SA"/>
    </w:rPr>
  </w:style>
  <w:style w:type="table" w:customStyle="1" w:styleId="583">
    <w:name w:val="Изысканная таблица1"/>
    <w:basedOn w:val="12"/>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584">
    <w:name w:val="Стиль таблицы1"/>
    <w:basedOn w:val="110"/>
    <w:qFormat/>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85">
    <w:name w:val="Текст концевой сноски Знак"/>
    <w:basedOn w:val="11"/>
    <w:link w:val="42"/>
    <w:qFormat/>
    <w:uiPriority w:val="0"/>
    <w:rPr>
      <w:rFonts w:ascii="Times New Roman" w:hAnsi="Times New Roman" w:eastAsia="Times New Roman" w:cs="Times New Roman"/>
      <w:sz w:val="20"/>
      <w:szCs w:val="20"/>
    </w:rPr>
  </w:style>
  <w:style w:type="character" w:customStyle="1" w:styleId="586">
    <w:name w:val="Знак Знак1"/>
    <w:qFormat/>
    <w:locked/>
    <w:uiPriority w:val="0"/>
    <w:rPr>
      <w:sz w:val="24"/>
      <w:lang w:val="ru-RU" w:eastAsia="ru-RU" w:bidi="ar-SA"/>
    </w:rPr>
  </w:style>
  <w:style w:type="paragraph" w:customStyle="1" w:styleId="587">
    <w:name w:val="Стиль Название + не полужирный По ширине Первая строка:  1.06 см..."/>
    <w:basedOn w:val="79"/>
    <w:qFormat/>
    <w:uiPriority w:val="0"/>
    <w:pPr>
      <w:ind w:firstLine="600"/>
      <w:jc w:val="both"/>
    </w:pPr>
    <w:rPr>
      <w:sz w:val="28"/>
    </w:rPr>
  </w:style>
  <w:style w:type="character" w:customStyle="1" w:styleId="588">
    <w:name w:val="Стиль 14 пт полужирный"/>
    <w:qFormat/>
    <w:uiPriority w:val="0"/>
    <w:rPr>
      <w:b/>
      <w:bCs/>
      <w:sz w:val="28"/>
    </w:rPr>
  </w:style>
  <w:style w:type="character" w:customStyle="1" w:styleId="589">
    <w:name w:val="Стиль 14 пт"/>
    <w:qFormat/>
    <w:uiPriority w:val="0"/>
    <w:rPr>
      <w:rFonts w:ascii="Times New Roman" w:hAnsi="Times New Roman"/>
      <w:sz w:val="28"/>
    </w:rPr>
  </w:style>
  <w:style w:type="paragraph" w:customStyle="1" w:styleId="590">
    <w:name w:val="Стиль 14 пт По ширине Первая строка:  1.06 см Междустр.интервал:...1"/>
    <w:basedOn w:val="1"/>
    <w:qFormat/>
    <w:uiPriority w:val="0"/>
    <w:pPr>
      <w:shd w:val="clear" w:color="auto" w:fill="FFFFFF"/>
      <w:spacing w:after="0" w:line="240" w:lineRule="auto"/>
      <w:ind w:firstLine="600"/>
      <w:jc w:val="both"/>
    </w:pPr>
    <w:rPr>
      <w:szCs w:val="20"/>
    </w:rPr>
  </w:style>
  <w:style w:type="paragraph" w:customStyle="1" w:styleId="591">
    <w:name w:val="Стиль Название + не полужирный"/>
    <w:basedOn w:val="79"/>
    <w:link w:val="592"/>
    <w:qFormat/>
    <w:uiPriority w:val="0"/>
    <w:rPr>
      <w:sz w:val="28"/>
    </w:rPr>
  </w:style>
  <w:style w:type="character" w:customStyle="1" w:styleId="592">
    <w:name w:val="Стиль Название + не полужирный Знак"/>
    <w:link w:val="591"/>
    <w:qFormat/>
    <w:uiPriority w:val="0"/>
    <w:rPr>
      <w:rFonts w:ascii="Times New Roman" w:hAnsi="Times New Roman" w:eastAsia="Times New Roman" w:cs="Times New Roman"/>
      <w:sz w:val="28"/>
      <w:szCs w:val="20"/>
    </w:rPr>
  </w:style>
  <w:style w:type="paragraph" w:customStyle="1" w:styleId="593">
    <w:name w:val="Стиль 14 пт По ширине Первая строка:  1.06 см Справа:  0.05 см ..."/>
    <w:basedOn w:val="1"/>
    <w:qFormat/>
    <w:uiPriority w:val="0"/>
    <w:pPr>
      <w:spacing w:after="0" w:line="240" w:lineRule="auto"/>
      <w:ind w:right="27" w:firstLine="600"/>
      <w:jc w:val="both"/>
    </w:pPr>
    <w:rPr>
      <w:szCs w:val="20"/>
    </w:rPr>
  </w:style>
  <w:style w:type="character" w:customStyle="1" w:styleId="594">
    <w:name w:val="Гипертекстовая ссылка"/>
    <w:qFormat/>
    <w:uiPriority w:val="99"/>
    <w:rPr>
      <w:rFonts w:cs="Times New Roman"/>
      <w:color w:val="008000"/>
    </w:rPr>
  </w:style>
  <w:style w:type="paragraph" w:customStyle="1" w:styleId="595">
    <w:name w:val="Style2"/>
    <w:basedOn w:val="1"/>
    <w:qFormat/>
    <w:uiPriority w:val="0"/>
    <w:pPr>
      <w:widowControl w:val="0"/>
      <w:autoSpaceDE w:val="0"/>
      <w:autoSpaceDN w:val="0"/>
      <w:adjustRightInd w:val="0"/>
      <w:spacing w:after="0" w:line="329" w:lineRule="exact"/>
      <w:ind w:firstLine="0"/>
      <w:jc w:val="center"/>
    </w:pPr>
    <w:rPr>
      <w:sz w:val="24"/>
      <w:szCs w:val="24"/>
    </w:rPr>
  </w:style>
  <w:style w:type="paragraph" w:customStyle="1" w:styleId="596">
    <w:name w:val="Style3"/>
    <w:basedOn w:val="1"/>
    <w:qFormat/>
    <w:uiPriority w:val="0"/>
    <w:pPr>
      <w:widowControl w:val="0"/>
      <w:autoSpaceDE w:val="0"/>
      <w:autoSpaceDN w:val="0"/>
      <w:adjustRightInd w:val="0"/>
      <w:spacing w:after="0" w:line="326" w:lineRule="exact"/>
      <w:ind w:firstLine="0"/>
      <w:jc w:val="both"/>
    </w:pPr>
    <w:rPr>
      <w:sz w:val="24"/>
      <w:szCs w:val="24"/>
    </w:rPr>
  </w:style>
  <w:style w:type="character" w:customStyle="1" w:styleId="597">
    <w:name w:val="Font Style11"/>
    <w:qFormat/>
    <w:uiPriority w:val="0"/>
    <w:rPr>
      <w:rFonts w:ascii="Times New Roman" w:hAnsi="Times New Roman" w:cs="Times New Roman"/>
      <w:b/>
      <w:bCs/>
      <w:sz w:val="24"/>
      <w:szCs w:val="24"/>
    </w:rPr>
  </w:style>
  <w:style w:type="character" w:customStyle="1" w:styleId="598">
    <w:name w:val="Font Style13"/>
    <w:qFormat/>
    <w:uiPriority w:val="0"/>
    <w:rPr>
      <w:rFonts w:ascii="MS Reference Sans Serif" w:hAnsi="MS Reference Sans Serif" w:cs="MS Reference Sans Serif"/>
      <w:b/>
      <w:bCs/>
      <w:spacing w:val="-20"/>
      <w:sz w:val="16"/>
      <w:szCs w:val="16"/>
    </w:rPr>
  </w:style>
  <w:style w:type="character" w:customStyle="1" w:styleId="599">
    <w:name w:val="Font Style14"/>
    <w:qFormat/>
    <w:uiPriority w:val="0"/>
    <w:rPr>
      <w:rFonts w:ascii="MS Reference Sans Serif" w:hAnsi="MS Reference Sans Serif" w:cs="MS Reference Sans Serif"/>
      <w:spacing w:val="-10"/>
      <w:sz w:val="16"/>
      <w:szCs w:val="16"/>
    </w:rPr>
  </w:style>
  <w:style w:type="paragraph" w:customStyle="1" w:styleId="600">
    <w:name w:val="Знак Знак Знак1 Знак Знак Знак Знак Знак Знак Знак Знак Знак Знак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601">
    <w:name w:val="Таблица - Текст основной"/>
    <w:basedOn w:val="1"/>
    <w:qFormat/>
    <w:uiPriority w:val="0"/>
    <w:pPr>
      <w:widowControl w:val="0"/>
      <w:spacing w:after="0" w:line="240" w:lineRule="auto"/>
      <w:ind w:firstLine="0"/>
    </w:pPr>
    <w:rPr>
      <w:rFonts w:ascii="Arial" w:hAnsi="Arial" w:cs="Arial"/>
      <w:sz w:val="18"/>
      <w:szCs w:val="20"/>
    </w:rPr>
  </w:style>
  <w:style w:type="paragraph" w:customStyle="1" w:styleId="602">
    <w:name w:val="Таблица - Шапка"/>
    <w:basedOn w:val="1"/>
    <w:qFormat/>
    <w:uiPriority w:val="0"/>
    <w:pPr>
      <w:spacing w:after="0" w:line="240" w:lineRule="auto"/>
      <w:ind w:firstLine="0"/>
      <w:jc w:val="center"/>
    </w:pPr>
    <w:rPr>
      <w:rFonts w:ascii="Arial" w:hAnsi="Arial" w:cs="Arial"/>
      <w:b/>
      <w:bCs/>
      <w:sz w:val="18"/>
      <w:szCs w:val="20"/>
    </w:rPr>
  </w:style>
  <w:style w:type="paragraph" w:customStyle="1" w:styleId="603">
    <w:name w:val="Таблица - Числа справа"/>
    <w:basedOn w:val="601"/>
    <w:qFormat/>
    <w:uiPriority w:val="0"/>
    <w:pPr>
      <w:jc w:val="right"/>
    </w:pPr>
  </w:style>
  <w:style w:type="paragraph" w:customStyle="1" w:styleId="604">
    <w:name w:val="Таблица - Текст центр"/>
    <w:basedOn w:val="601"/>
    <w:qFormat/>
    <w:uiPriority w:val="0"/>
    <w:pPr>
      <w:jc w:val="center"/>
    </w:pPr>
  </w:style>
  <w:style w:type="character" w:customStyle="1" w:styleId="605">
    <w:name w:val="Сноска 10"/>
    <w:qFormat/>
    <w:uiPriority w:val="0"/>
    <w:rPr>
      <w:rFonts w:ascii="Times New Roman" w:hAnsi="Times New Roman" w:cs="Times New Roman"/>
      <w:vertAlign w:val="superscript"/>
    </w:rPr>
  </w:style>
  <w:style w:type="paragraph" w:customStyle="1" w:styleId="606">
    <w:name w:val="Нормальный (таблица)"/>
    <w:basedOn w:val="1"/>
    <w:next w:val="1"/>
    <w:qFormat/>
    <w:uiPriority w:val="99"/>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607">
    <w:name w:val="Прижатый влево"/>
    <w:basedOn w:val="1"/>
    <w:next w:val="1"/>
    <w:qFormat/>
    <w:uiPriority w:val="99"/>
    <w:pPr>
      <w:widowControl w:val="0"/>
      <w:autoSpaceDE w:val="0"/>
      <w:autoSpaceDN w:val="0"/>
      <w:adjustRightInd w:val="0"/>
      <w:spacing w:after="0" w:line="240" w:lineRule="auto"/>
      <w:ind w:firstLine="0"/>
    </w:pPr>
    <w:rPr>
      <w:rFonts w:ascii="Arial" w:hAnsi="Arial" w:cs="Arial"/>
      <w:sz w:val="24"/>
      <w:szCs w:val="24"/>
    </w:rPr>
  </w:style>
  <w:style w:type="character" w:customStyle="1" w:styleId="608">
    <w:name w:val="Основной текст Знак Знак Знак Знак1"/>
    <w:qFormat/>
    <w:uiPriority w:val="0"/>
    <w:rPr>
      <w:szCs w:val="24"/>
      <w:lang w:val="ru-RU" w:eastAsia="ru-RU" w:bidi="ar-SA"/>
    </w:rPr>
  </w:style>
  <w:style w:type="character" w:customStyle="1" w:styleId="609">
    <w:name w:val="H2 Знак"/>
    <w:qFormat/>
    <w:uiPriority w:val="0"/>
    <w:rPr>
      <w:b/>
      <w:bCs/>
      <w:sz w:val="24"/>
      <w:szCs w:val="24"/>
      <w:lang w:val="ru-RU" w:eastAsia="ru-RU" w:bidi="ar-SA"/>
    </w:rPr>
  </w:style>
  <w:style w:type="paragraph" w:customStyle="1" w:styleId="610">
    <w:name w:val="Заголовок 1+Arial"/>
    <w:basedOn w:val="74"/>
    <w:qFormat/>
    <w:uiPriority w:val="0"/>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611">
    <w:name w:val="Стиль Заголовок 1 + Times New Roman После:  12 пт"/>
    <w:basedOn w:val="2"/>
    <w:qFormat/>
    <w:uiPriority w:val="0"/>
    <w:pPr>
      <w:keepNext/>
      <w:keepLines w:val="0"/>
      <w:numPr>
        <w:numId w:val="0"/>
      </w:numPr>
      <w:spacing w:after="240" w:line="240" w:lineRule="auto"/>
      <w:jc w:val="left"/>
    </w:pPr>
    <w:rPr>
      <w:rFonts w:eastAsia="Times New Roman" w:cs="Times New Roman"/>
      <w:bCs/>
      <w:kern w:val="32"/>
      <w:sz w:val="32"/>
      <w:szCs w:val="20"/>
    </w:rPr>
  </w:style>
  <w:style w:type="character" w:customStyle="1" w:styleId="612">
    <w:name w:val="Основной текст с отступом 2 Знак Знак Знак1"/>
    <w:qFormat/>
    <w:locked/>
    <w:uiPriority w:val="0"/>
    <w:rPr>
      <w:rFonts w:cs="Times New Roman"/>
      <w:sz w:val="24"/>
      <w:szCs w:val="24"/>
      <w:lang w:val="ru-RU" w:eastAsia="ru-RU" w:bidi="ar-SA"/>
    </w:rPr>
  </w:style>
  <w:style w:type="paragraph" w:customStyle="1" w:styleId="613">
    <w:name w:val="Normal (Web)1"/>
    <w:basedOn w:val="1"/>
    <w:qFormat/>
    <w:uiPriority w:val="0"/>
    <w:pPr>
      <w:overflowPunct w:val="0"/>
      <w:autoSpaceDE w:val="0"/>
      <w:autoSpaceDN w:val="0"/>
      <w:adjustRightInd w:val="0"/>
      <w:spacing w:before="100" w:after="100" w:line="240" w:lineRule="auto"/>
      <w:ind w:firstLine="0"/>
    </w:pPr>
    <w:rPr>
      <w:color w:val="000000"/>
      <w:sz w:val="24"/>
      <w:szCs w:val="20"/>
    </w:rPr>
  </w:style>
  <w:style w:type="paragraph" w:customStyle="1" w:styleId="614">
    <w:name w:val="Body Text 31"/>
    <w:basedOn w:val="1"/>
    <w:qFormat/>
    <w:uiPriority w:val="0"/>
    <w:pPr>
      <w:overflowPunct w:val="0"/>
      <w:autoSpaceDE w:val="0"/>
      <w:autoSpaceDN w:val="0"/>
      <w:adjustRightInd w:val="0"/>
      <w:spacing w:after="0" w:line="240" w:lineRule="auto"/>
      <w:ind w:firstLine="0"/>
      <w:jc w:val="center"/>
    </w:pPr>
    <w:rPr>
      <w:b/>
      <w:sz w:val="24"/>
      <w:szCs w:val="20"/>
    </w:rPr>
  </w:style>
  <w:style w:type="paragraph" w:customStyle="1" w:styleId="615">
    <w:name w:val="Body Text Indent 31"/>
    <w:basedOn w:val="1"/>
    <w:qFormat/>
    <w:uiPriority w:val="0"/>
    <w:pPr>
      <w:spacing w:after="0" w:line="240" w:lineRule="auto"/>
      <w:ind w:left="855" w:firstLine="0"/>
      <w:jc w:val="both"/>
    </w:pPr>
    <w:rPr>
      <w:szCs w:val="20"/>
    </w:rPr>
  </w:style>
  <w:style w:type="paragraph" w:customStyle="1" w:styleId="616">
    <w:name w:val="Body Text Indent 211"/>
    <w:basedOn w:val="1"/>
    <w:qFormat/>
    <w:uiPriority w:val="0"/>
    <w:pPr>
      <w:spacing w:before="120" w:after="0" w:line="240" w:lineRule="auto"/>
      <w:jc w:val="both"/>
    </w:pPr>
    <w:rPr>
      <w:sz w:val="24"/>
      <w:szCs w:val="20"/>
    </w:rPr>
  </w:style>
  <w:style w:type="paragraph" w:customStyle="1" w:styleId="617">
    <w:name w:val="Знак Знак Знак Знак Знак Знак1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618">
    <w:name w:val="Список с точкой"/>
    <w:basedOn w:val="1"/>
    <w:link w:val="619"/>
    <w:qFormat/>
    <w:uiPriority w:val="0"/>
    <w:pPr>
      <w:numPr>
        <w:ilvl w:val="0"/>
        <w:numId w:val="14"/>
      </w:numPr>
      <w:tabs>
        <w:tab w:val="left" w:pos="900"/>
        <w:tab w:val="clear" w:pos="360"/>
      </w:tabs>
      <w:spacing w:after="0" w:line="240" w:lineRule="auto"/>
      <w:ind w:left="900"/>
      <w:jc w:val="both"/>
    </w:pPr>
    <w:rPr>
      <w:sz w:val="24"/>
      <w:szCs w:val="24"/>
    </w:rPr>
  </w:style>
  <w:style w:type="character" w:customStyle="1" w:styleId="619">
    <w:name w:val="Список с точкой Знак"/>
    <w:link w:val="618"/>
    <w:qFormat/>
    <w:locked/>
    <w:uiPriority w:val="0"/>
    <w:rPr>
      <w:rFonts w:ascii="Times New Roman" w:hAnsi="Times New Roman" w:eastAsia="Times New Roman" w:cs="Times New Roman"/>
      <w:sz w:val="24"/>
      <w:szCs w:val="24"/>
    </w:rPr>
  </w:style>
  <w:style w:type="paragraph" w:customStyle="1" w:styleId="620">
    <w:name w:val="Р_Основной текст"/>
    <w:link w:val="621"/>
    <w:qFormat/>
    <w:uiPriority w:val="0"/>
    <w:pPr>
      <w:spacing w:after="0" w:line="360" w:lineRule="auto"/>
      <w:ind w:firstLine="720"/>
      <w:jc w:val="both"/>
    </w:pPr>
    <w:rPr>
      <w:rFonts w:ascii="Times New Roman" w:hAnsi="Times New Roman" w:eastAsia="Times New Roman" w:cs="Times New Roman"/>
      <w:sz w:val="24"/>
      <w:szCs w:val="24"/>
      <w:lang w:val="ru-RU" w:eastAsia="ru-RU" w:bidi="ar-SA"/>
    </w:rPr>
  </w:style>
  <w:style w:type="character" w:customStyle="1" w:styleId="621">
    <w:name w:val="Р_Основной текст Знак"/>
    <w:link w:val="620"/>
    <w:qFormat/>
    <w:locked/>
    <w:uiPriority w:val="0"/>
    <w:rPr>
      <w:rFonts w:ascii="Times New Roman" w:hAnsi="Times New Roman" w:eastAsia="Times New Roman" w:cs="Times New Roman"/>
      <w:sz w:val="24"/>
      <w:szCs w:val="24"/>
      <w:lang w:eastAsia="ru-RU"/>
    </w:rPr>
  </w:style>
  <w:style w:type="paragraph" w:customStyle="1" w:styleId="622">
    <w:name w:val="Р_Список с тире"/>
    <w:next w:val="620"/>
    <w:link w:val="623"/>
    <w:qFormat/>
    <w:uiPriority w:val="0"/>
    <w:pPr>
      <w:numPr>
        <w:ilvl w:val="0"/>
        <w:numId w:val="15"/>
      </w:numPr>
      <w:tabs>
        <w:tab w:val="left" w:pos="1200"/>
      </w:tabs>
      <w:spacing w:after="0" w:line="360" w:lineRule="auto"/>
      <w:ind w:left="1200" w:hanging="480"/>
    </w:pPr>
    <w:rPr>
      <w:rFonts w:ascii="Times New Roman" w:hAnsi="Times New Roman" w:eastAsia="Times New Roman" w:cs="Times New Roman"/>
      <w:sz w:val="24"/>
      <w:szCs w:val="24"/>
      <w:lang w:val="ru-RU" w:eastAsia="ru-RU" w:bidi="ar-SA"/>
    </w:rPr>
  </w:style>
  <w:style w:type="character" w:customStyle="1" w:styleId="623">
    <w:name w:val="Р_Список с тире Знак Знак"/>
    <w:link w:val="622"/>
    <w:qFormat/>
    <w:locked/>
    <w:uiPriority w:val="0"/>
    <w:rPr>
      <w:rFonts w:ascii="Times New Roman" w:hAnsi="Times New Roman" w:eastAsia="Times New Roman" w:cs="Times New Roman"/>
      <w:sz w:val="24"/>
      <w:szCs w:val="24"/>
      <w:lang w:eastAsia="ru-RU"/>
    </w:rPr>
  </w:style>
  <w:style w:type="paragraph" w:customStyle="1" w:styleId="624">
    <w:name w:val="Body Text 211"/>
    <w:basedOn w:val="1"/>
    <w:qFormat/>
    <w:uiPriority w:val="0"/>
    <w:pPr>
      <w:autoSpaceDE w:val="0"/>
      <w:autoSpaceDN w:val="0"/>
      <w:spacing w:before="120" w:after="0" w:line="240" w:lineRule="auto"/>
      <w:jc w:val="both"/>
    </w:pPr>
    <w:rPr>
      <w:szCs w:val="28"/>
    </w:rPr>
  </w:style>
  <w:style w:type="paragraph" w:customStyle="1" w:styleId="625">
    <w:name w:val="Знак21"/>
    <w:basedOn w:val="1"/>
    <w:next w:val="3"/>
    <w:autoRedefine/>
    <w:qFormat/>
    <w:uiPriority w:val="99"/>
    <w:pPr>
      <w:spacing w:after="160" w:line="240" w:lineRule="exact"/>
      <w:ind w:firstLine="0"/>
      <w:jc w:val="right"/>
    </w:pPr>
    <w:rPr>
      <w:rFonts w:eastAsia="MS Mincho"/>
      <w:sz w:val="24"/>
      <w:szCs w:val="24"/>
      <w:lang w:val="en-US" w:eastAsia="en-US"/>
    </w:rPr>
  </w:style>
  <w:style w:type="character" w:customStyle="1" w:styleId="626">
    <w:name w:val="Font Style371"/>
    <w:qFormat/>
    <w:uiPriority w:val="0"/>
    <w:rPr>
      <w:rFonts w:ascii="Times New Roman" w:hAnsi="Times New Roman" w:cs="Times New Roman"/>
      <w:sz w:val="20"/>
      <w:szCs w:val="20"/>
    </w:rPr>
  </w:style>
  <w:style w:type="paragraph" w:customStyle="1" w:styleId="627">
    <w:name w:val="Таблица - текст основной"/>
    <w:basedOn w:val="58"/>
    <w:link w:val="628"/>
    <w:qFormat/>
    <w:uiPriority w:val="0"/>
    <w:pPr>
      <w:suppressAutoHyphens/>
      <w:spacing w:before="0" w:after="0" w:line="240" w:lineRule="auto"/>
      <w:ind w:firstLine="0"/>
      <w:jc w:val="left"/>
    </w:pPr>
    <w:rPr>
      <w:rFonts w:ascii="Arial" w:hAnsi="Arial"/>
      <w:sz w:val="20"/>
      <w:szCs w:val="20"/>
    </w:rPr>
  </w:style>
  <w:style w:type="character" w:customStyle="1" w:styleId="628">
    <w:name w:val="Таблица - текст основной Знак"/>
    <w:link w:val="627"/>
    <w:qFormat/>
    <w:locked/>
    <w:uiPriority w:val="0"/>
    <w:rPr>
      <w:rFonts w:ascii="Arial" w:hAnsi="Arial" w:eastAsia="Times New Roman" w:cs="Times New Roman"/>
      <w:sz w:val="20"/>
      <w:szCs w:val="20"/>
    </w:rPr>
  </w:style>
  <w:style w:type="paragraph" w:customStyle="1" w:styleId="629">
    <w:name w:val="Таблица - шапка"/>
    <w:basedOn w:val="1"/>
    <w:qFormat/>
    <w:uiPriority w:val="0"/>
    <w:pPr>
      <w:suppressAutoHyphens/>
      <w:spacing w:before="120" w:after="120" w:line="240" w:lineRule="auto"/>
      <w:ind w:firstLine="0"/>
      <w:jc w:val="center"/>
    </w:pPr>
    <w:rPr>
      <w:rFonts w:ascii="Arial" w:hAnsi="Arial" w:cs="Arial"/>
      <w:b/>
      <w:sz w:val="20"/>
      <w:szCs w:val="20"/>
    </w:rPr>
  </w:style>
  <w:style w:type="paragraph" w:customStyle="1" w:styleId="630">
    <w:name w:val="i40"/>
    <w:basedOn w:val="1"/>
    <w:qFormat/>
    <w:uiPriority w:val="0"/>
    <w:pPr>
      <w:spacing w:after="0" w:line="240" w:lineRule="auto"/>
      <w:ind w:firstLine="461"/>
      <w:jc w:val="both"/>
    </w:pPr>
    <w:rPr>
      <w:sz w:val="24"/>
      <w:szCs w:val="24"/>
    </w:rPr>
  </w:style>
  <w:style w:type="paragraph" w:customStyle="1" w:styleId="631">
    <w:name w:val="Подзаголовок для СТП"/>
    <w:basedOn w:val="1"/>
    <w:qFormat/>
    <w:uiPriority w:val="0"/>
    <w:pPr>
      <w:spacing w:before="240" w:after="240" w:line="240" w:lineRule="auto"/>
      <w:jc w:val="both"/>
    </w:pPr>
    <w:rPr>
      <w:b/>
      <w:bCs/>
      <w:caps/>
      <w:sz w:val="26"/>
      <w:szCs w:val="20"/>
    </w:rPr>
  </w:style>
  <w:style w:type="paragraph" w:customStyle="1" w:styleId="632">
    <w:name w:val="Перечисление"/>
    <w:basedOn w:val="1"/>
    <w:qFormat/>
    <w:uiPriority w:val="0"/>
    <w:pPr>
      <w:tabs>
        <w:tab w:val="left" w:pos="567"/>
        <w:tab w:val="left" w:pos="1069"/>
      </w:tabs>
      <w:spacing w:before="120" w:after="40" w:line="240" w:lineRule="auto"/>
      <w:jc w:val="both"/>
    </w:pPr>
    <w:rPr>
      <w:bCs/>
      <w:sz w:val="24"/>
      <w:szCs w:val="24"/>
    </w:rPr>
  </w:style>
  <w:style w:type="paragraph" w:customStyle="1" w:styleId="633">
    <w:name w:val="Стиль По ширине Первая строка:  125 см После:  2 пт"/>
    <w:basedOn w:val="1"/>
    <w:qFormat/>
    <w:uiPriority w:val="0"/>
    <w:pPr>
      <w:spacing w:after="40" w:line="240" w:lineRule="auto"/>
      <w:ind w:firstLine="720"/>
      <w:jc w:val="both"/>
    </w:pPr>
    <w:rPr>
      <w:sz w:val="24"/>
      <w:szCs w:val="20"/>
    </w:rPr>
  </w:style>
  <w:style w:type="paragraph" w:customStyle="1" w:styleId="634">
    <w:name w:val="Стиль Стиль полужирный По центру + По ширине"/>
    <w:basedOn w:val="1"/>
    <w:qFormat/>
    <w:uiPriority w:val="0"/>
    <w:pPr>
      <w:spacing w:before="240" w:after="240" w:line="240" w:lineRule="auto"/>
      <w:jc w:val="both"/>
    </w:pPr>
    <w:rPr>
      <w:b/>
      <w:bCs/>
      <w:sz w:val="24"/>
      <w:szCs w:val="20"/>
    </w:rPr>
  </w:style>
  <w:style w:type="paragraph" w:customStyle="1" w:styleId="635">
    <w:name w:val="Текст обычный"/>
    <w:basedOn w:val="1"/>
    <w:qFormat/>
    <w:uiPriority w:val="0"/>
    <w:pPr>
      <w:spacing w:before="40" w:after="40" w:line="240" w:lineRule="auto"/>
      <w:jc w:val="both"/>
    </w:pPr>
    <w:rPr>
      <w:sz w:val="24"/>
      <w:szCs w:val="24"/>
    </w:rPr>
  </w:style>
  <w:style w:type="paragraph" w:customStyle="1" w:styleId="636">
    <w:name w:val="Стиль 12 pt полужирный по центру Первая строка:  125 см Перед:..."/>
    <w:basedOn w:val="1"/>
    <w:qFormat/>
    <w:uiPriority w:val="0"/>
    <w:pPr>
      <w:keepNext/>
      <w:keepLines/>
      <w:spacing w:before="120" w:after="120" w:line="240" w:lineRule="auto"/>
      <w:jc w:val="center"/>
    </w:pPr>
    <w:rPr>
      <w:b/>
      <w:bCs/>
      <w:sz w:val="24"/>
      <w:szCs w:val="20"/>
    </w:rPr>
  </w:style>
  <w:style w:type="character" w:customStyle="1" w:styleId="637">
    <w:name w:val="Шапка Знак"/>
    <w:basedOn w:val="11"/>
    <w:link w:val="97"/>
    <w:qFormat/>
    <w:uiPriority w:val="0"/>
    <w:rPr>
      <w:rFonts w:ascii="NTHelvetica/Cyrillic" w:hAnsi="NTHelvetica/Cyrillic" w:eastAsia="Times New Roman" w:cs="Times New Roman"/>
      <w:sz w:val="16"/>
      <w:szCs w:val="20"/>
    </w:rPr>
  </w:style>
  <w:style w:type="paragraph" w:customStyle="1" w:styleId="638">
    <w:name w:val="Normal1"/>
    <w:qFormat/>
    <w:uiPriority w:val="0"/>
    <w:pPr>
      <w:spacing w:after="0" w:line="240" w:lineRule="auto"/>
    </w:pPr>
    <w:rPr>
      <w:rFonts w:ascii="Times New Roman" w:hAnsi="Times New Roman" w:eastAsia="Times New Roman" w:cs="Times New Roman"/>
      <w:sz w:val="28"/>
      <w:szCs w:val="20"/>
      <w:lang w:val="ru-RU" w:eastAsia="ru-RU" w:bidi="ar-SA"/>
    </w:rPr>
  </w:style>
  <w:style w:type="paragraph" w:customStyle="1" w:styleId="639">
    <w:name w:val="Основно Знак Знак"/>
    <w:basedOn w:val="1"/>
    <w:qFormat/>
    <w:uiPriority w:val="0"/>
    <w:pPr>
      <w:widowControl w:val="0"/>
      <w:spacing w:before="120" w:after="0" w:line="336" w:lineRule="auto"/>
      <w:ind w:firstLine="720"/>
      <w:jc w:val="both"/>
    </w:pPr>
    <w:rPr>
      <w:sz w:val="24"/>
      <w:szCs w:val="24"/>
    </w:rPr>
  </w:style>
  <w:style w:type="character" w:customStyle="1" w:styleId="640">
    <w:name w:val="Основно Знак Знак Знак"/>
    <w:qFormat/>
    <w:uiPriority w:val="0"/>
    <w:rPr>
      <w:rFonts w:cs="Times New Roman"/>
      <w:snapToGrid w:val="0"/>
      <w:sz w:val="24"/>
      <w:szCs w:val="24"/>
      <w:lang w:val="ru-RU" w:eastAsia="ru-RU" w:bidi="ar-SA"/>
    </w:rPr>
  </w:style>
  <w:style w:type="character" w:customStyle="1" w:styleId="641">
    <w:name w:val="c1"/>
    <w:qFormat/>
    <w:uiPriority w:val="0"/>
    <w:rPr>
      <w:rFonts w:cs="Times New Roman"/>
      <w:color w:val="0000FF"/>
    </w:rPr>
  </w:style>
  <w:style w:type="character" w:customStyle="1" w:styleId="642">
    <w:name w:val="c3"/>
    <w:qFormat/>
    <w:uiPriority w:val="0"/>
    <w:rPr>
      <w:rFonts w:cs="Times New Roman"/>
      <w:color w:val="800080"/>
    </w:rPr>
  </w:style>
  <w:style w:type="paragraph" w:customStyle="1" w:styleId="643">
    <w:name w:val="justify1"/>
    <w:basedOn w:val="1"/>
    <w:qFormat/>
    <w:uiPriority w:val="0"/>
    <w:pPr>
      <w:spacing w:before="100" w:beforeAutospacing="1" w:after="100" w:afterAutospacing="1"/>
      <w:jc w:val="both"/>
    </w:pPr>
    <w:rPr>
      <w:rFonts w:ascii="Arial Unicode MS" w:hAnsi="Arial Unicode MS" w:eastAsia="Arial Unicode MS" w:cs="Arial Unicode MS"/>
      <w:color w:val="000000"/>
      <w:sz w:val="24"/>
      <w:szCs w:val="24"/>
    </w:rPr>
  </w:style>
  <w:style w:type="paragraph" w:customStyle="1" w:styleId="644">
    <w:name w:val="основной с отступом"/>
    <w:basedOn w:val="58"/>
    <w:qFormat/>
    <w:uiPriority w:val="0"/>
    <w:pPr>
      <w:tabs>
        <w:tab w:val="left" w:pos="540"/>
        <w:tab w:val="left" w:pos="851"/>
      </w:tabs>
      <w:spacing w:before="0" w:after="0" w:line="288" w:lineRule="auto"/>
      <w:ind w:firstLine="0"/>
    </w:pPr>
    <w:rPr>
      <w:sz w:val="24"/>
      <w:szCs w:val="24"/>
    </w:rPr>
  </w:style>
  <w:style w:type="paragraph" w:customStyle="1" w:styleId="645">
    <w:name w:val="Стиль"/>
    <w:qFormat/>
    <w:uiPriority w:val="0"/>
    <w:pPr>
      <w:widowControl w:val="0"/>
      <w:autoSpaceDE w:val="0"/>
      <w:autoSpaceDN w:val="0"/>
      <w:spacing w:after="0" w:line="240" w:lineRule="auto"/>
      <w:ind w:firstLine="720"/>
      <w:jc w:val="both"/>
    </w:pPr>
    <w:rPr>
      <w:rFonts w:ascii="Times New Roman" w:hAnsi="Times New Roman" w:eastAsia="Times New Roman" w:cs="Times New Roman"/>
      <w:sz w:val="24"/>
      <w:szCs w:val="24"/>
      <w:lang w:val="en-US" w:eastAsia="ru-RU" w:bidi="ar-SA"/>
    </w:rPr>
  </w:style>
  <w:style w:type="paragraph" w:customStyle="1" w:styleId="646">
    <w:name w:val="Название статьи"/>
    <w:basedOn w:val="34"/>
    <w:qFormat/>
    <w:uiPriority w:val="0"/>
    <w:pPr>
      <w:widowControl w:val="0"/>
      <w:tabs>
        <w:tab w:val="left" w:pos="576"/>
        <w:tab w:val="left" w:pos="720"/>
        <w:tab w:val="left" w:pos="3744"/>
      </w:tabs>
      <w:spacing w:before="0"/>
      <w:jc w:val="center"/>
    </w:pPr>
    <w:rPr>
      <w:sz w:val="20"/>
      <w:szCs w:val="20"/>
      <w:u w:val="single"/>
    </w:rPr>
  </w:style>
  <w:style w:type="paragraph" w:customStyle="1" w:styleId="647">
    <w:name w:val="табличный заголовок 1"/>
    <w:basedOn w:val="1"/>
    <w:qFormat/>
    <w:uiPriority w:val="0"/>
    <w:pPr>
      <w:spacing w:after="0" w:line="240" w:lineRule="auto"/>
      <w:jc w:val="both"/>
    </w:pPr>
    <w:rPr>
      <w:sz w:val="24"/>
      <w:szCs w:val="20"/>
    </w:rPr>
  </w:style>
  <w:style w:type="paragraph" w:customStyle="1" w:styleId="648">
    <w:name w:val="Нумерованные заголовки"/>
    <w:basedOn w:val="36"/>
    <w:next w:val="1"/>
    <w:qFormat/>
    <w:uiPriority w:val="0"/>
    <w:pPr>
      <w:tabs>
        <w:tab w:val="left" w:pos="360"/>
        <w:tab w:val="clear" w:pos="926"/>
      </w:tabs>
      <w:ind w:left="360" w:firstLine="360"/>
      <w:jc w:val="both"/>
    </w:pPr>
    <w:rPr>
      <w:i/>
    </w:rPr>
  </w:style>
  <w:style w:type="paragraph" w:customStyle="1" w:styleId="649">
    <w:name w:val="Основно"/>
    <w:basedOn w:val="1"/>
    <w:qFormat/>
    <w:uiPriority w:val="0"/>
    <w:pPr>
      <w:widowControl w:val="0"/>
      <w:spacing w:before="120" w:after="0" w:line="336" w:lineRule="auto"/>
      <w:ind w:firstLine="720"/>
      <w:jc w:val="both"/>
    </w:pPr>
    <w:rPr>
      <w:sz w:val="24"/>
      <w:szCs w:val="24"/>
    </w:rPr>
  </w:style>
  <w:style w:type="paragraph" w:customStyle="1" w:styleId="650">
    <w:name w:val="Основно Знак"/>
    <w:basedOn w:val="1"/>
    <w:qFormat/>
    <w:uiPriority w:val="0"/>
    <w:pPr>
      <w:widowControl w:val="0"/>
      <w:snapToGrid w:val="0"/>
      <w:spacing w:before="120" w:after="0" w:line="336" w:lineRule="auto"/>
      <w:ind w:firstLine="720"/>
      <w:jc w:val="both"/>
    </w:pPr>
    <w:rPr>
      <w:sz w:val="24"/>
      <w:szCs w:val="24"/>
    </w:rPr>
  </w:style>
  <w:style w:type="paragraph" w:customStyle="1" w:styleId="651">
    <w:name w:val="Стиль Заголовок 3 + Times New Roman 12 пт не полужирный По ширин..."/>
    <w:basedOn w:val="4"/>
    <w:qFormat/>
    <w:uiPriority w:val="0"/>
    <w:pPr>
      <w:keepNext/>
      <w:keepLines w:val="0"/>
      <w:numPr>
        <w:numId w:val="0"/>
      </w:numPr>
      <w:tabs>
        <w:tab w:val="left" w:pos="1440"/>
      </w:tabs>
      <w:spacing w:before="0" w:line="240" w:lineRule="auto"/>
      <w:ind w:left="1224" w:firstLine="567"/>
    </w:pPr>
    <w:rPr>
      <w:rFonts w:eastAsia="Times New Roman" w:cs="Times New Roman"/>
      <w:iCs/>
      <w:sz w:val="24"/>
      <w:szCs w:val="20"/>
    </w:rPr>
  </w:style>
  <w:style w:type="character" w:customStyle="1" w:styleId="652">
    <w:name w:val="Знак Знак Знак Знак"/>
    <w:qFormat/>
    <w:uiPriority w:val="0"/>
    <w:rPr>
      <w:sz w:val="24"/>
      <w:lang w:val="ru-RU" w:eastAsia="ru-RU" w:bidi="ar-SA"/>
    </w:rPr>
  </w:style>
  <w:style w:type="paragraph" w:customStyle="1" w:styleId="653">
    <w:name w:val="1 Знак Знак Знак Знак Знак Знак Знак Знак Знак Знак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table" w:customStyle="1" w:styleId="654">
    <w:name w:val="Сетка таблицы5"/>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55">
    <w:name w:val="Знак Знак Знак1 Знак Знак Знак Знак Знак Знак Знак Знак Знак Знак1"/>
    <w:basedOn w:val="1"/>
    <w:next w:val="3"/>
    <w:autoRedefine/>
    <w:qFormat/>
    <w:uiPriority w:val="0"/>
    <w:pPr>
      <w:spacing w:after="160" w:line="240" w:lineRule="exact"/>
      <w:ind w:firstLine="0"/>
      <w:jc w:val="right"/>
    </w:pPr>
    <w:rPr>
      <w:sz w:val="24"/>
      <w:szCs w:val="24"/>
      <w:lang w:val="en-US" w:eastAsia="en-US"/>
    </w:rPr>
  </w:style>
  <w:style w:type="paragraph" w:customStyle="1" w:styleId="656">
    <w:name w:val="Обычный3"/>
    <w:qFormat/>
    <w:uiPriority w:val="0"/>
    <w:pPr>
      <w:spacing w:after="0" w:line="240" w:lineRule="auto"/>
    </w:pPr>
    <w:rPr>
      <w:rFonts w:ascii="Times New Roman" w:hAnsi="Times New Roman" w:eastAsia="PMingLiU" w:cs="Times New Roman"/>
      <w:sz w:val="24"/>
      <w:szCs w:val="20"/>
      <w:lang w:val="ru-RU" w:eastAsia="zh-TW" w:bidi="ar-SA"/>
    </w:rPr>
  </w:style>
  <w:style w:type="paragraph" w:customStyle="1" w:styleId="657">
    <w:name w:val="Знак Знак Знак2 Знак1"/>
    <w:basedOn w:val="1"/>
    <w:next w:val="3"/>
    <w:autoRedefine/>
    <w:qFormat/>
    <w:uiPriority w:val="0"/>
    <w:pPr>
      <w:spacing w:after="160" w:line="240" w:lineRule="exact"/>
      <w:ind w:firstLine="0"/>
      <w:jc w:val="right"/>
    </w:pPr>
    <w:rPr>
      <w:sz w:val="24"/>
      <w:szCs w:val="24"/>
      <w:lang w:val="en-US" w:eastAsia="en-US"/>
    </w:rPr>
  </w:style>
  <w:style w:type="character" w:customStyle="1" w:styleId="658">
    <w:name w:val="Знак Знак181"/>
    <w:qFormat/>
    <w:locked/>
    <w:uiPriority w:val="0"/>
    <w:rPr>
      <w:rFonts w:cs="Times New Roman"/>
      <w:sz w:val="24"/>
      <w:lang w:val="ru-RU" w:eastAsia="ru-RU" w:bidi="ar-SA"/>
    </w:rPr>
  </w:style>
  <w:style w:type="character" w:customStyle="1" w:styleId="659">
    <w:name w:val="Знак Знак12"/>
    <w:qFormat/>
    <w:locked/>
    <w:uiPriority w:val="0"/>
    <w:rPr>
      <w:bCs/>
      <w:iCs/>
      <w:sz w:val="24"/>
      <w:szCs w:val="24"/>
      <w:lang w:val="ru-RU" w:eastAsia="ru-RU" w:bidi="ar-SA"/>
    </w:rPr>
  </w:style>
  <w:style w:type="character" w:customStyle="1" w:styleId="660">
    <w:name w:val="Знак Знак11"/>
    <w:qFormat/>
    <w:locked/>
    <w:uiPriority w:val="0"/>
    <w:rPr>
      <w:i/>
      <w:iCs/>
      <w:sz w:val="24"/>
      <w:szCs w:val="24"/>
      <w:lang w:val="ru-RU" w:eastAsia="ru-RU" w:bidi="ar-SA"/>
    </w:rPr>
  </w:style>
  <w:style w:type="character" w:customStyle="1" w:styleId="661">
    <w:name w:val="Знак Знак10"/>
    <w:qFormat/>
    <w:locked/>
    <w:uiPriority w:val="0"/>
    <w:rPr>
      <w:i/>
      <w:iCs/>
      <w:sz w:val="24"/>
      <w:szCs w:val="24"/>
      <w:lang w:val="ru-RU" w:eastAsia="ru-RU" w:bidi="ar-SA"/>
    </w:rPr>
  </w:style>
  <w:style w:type="character" w:customStyle="1" w:styleId="662">
    <w:name w:val="Знак Знак9"/>
    <w:qFormat/>
    <w:locked/>
    <w:uiPriority w:val="0"/>
    <w:rPr>
      <w:b/>
      <w:bCs/>
      <w:sz w:val="24"/>
      <w:szCs w:val="24"/>
      <w:lang w:val="ru-RU" w:eastAsia="ru-RU" w:bidi="ar-SA"/>
    </w:rPr>
  </w:style>
  <w:style w:type="character" w:customStyle="1" w:styleId="663">
    <w:name w:val="Знак Знак81"/>
    <w:qFormat/>
    <w:locked/>
    <w:uiPriority w:val="0"/>
    <w:rPr>
      <w:b/>
      <w:bCs/>
      <w:i/>
      <w:iCs/>
      <w:sz w:val="24"/>
      <w:szCs w:val="24"/>
      <w:lang w:val="ru-RU" w:eastAsia="ru-RU" w:bidi="ar-SA"/>
    </w:rPr>
  </w:style>
  <w:style w:type="character" w:customStyle="1" w:styleId="664">
    <w:name w:val="Знак Знак71"/>
    <w:qFormat/>
    <w:locked/>
    <w:uiPriority w:val="0"/>
    <w:rPr>
      <w:b/>
      <w:sz w:val="22"/>
      <w:szCs w:val="22"/>
      <w:lang w:val="ru-RU" w:eastAsia="ru-RU" w:bidi="ar-SA"/>
    </w:rPr>
  </w:style>
  <w:style w:type="character" w:customStyle="1" w:styleId="665">
    <w:name w:val="Знак Знак61"/>
    <w:qFormat/>
    <w:locked/>
    <w:uiPriority w:val="0"/>
    <w:rPr>
      <w:b/>
      <w:sz w:val="24"/>
      <w:szCs w:val="24"/>
      <w:u w:val="single"/>
      <w:lang w:val="ru-RU" w:eastAsia="ru-RU" w:bidi="ar-SA"/>
    </w:rPr>
  </w:style>
  <w:style w:type="character" w:customStyle="1" w:styleId="666">
    <w:name w:val="Знак Знак5"/>
    <w:qFormat/>
    <w:locked/>
    <w:uiPriority w:val="0"/>
    <w:rPr>
      <w:sz w:val="24"/>
      <w:lang w:val="ru-RU" w:eastAsia="ru-RU" w:bidi="ar-SA"/>
    </w:rPr>
  </w:style>
  <w:style w:type="character" w:customStyle="1" w:styleId="667">
    <w:name w:val="Знак Знак4"/>
    <w:qFormat/>
    <w:locked/>
    <w:uiPriority w:val="0"/>
    <w:rPr>
      <w:sz w:val="24"/>
      <w:lang w:val="ru-RU" w:eastAsia="ru-RU" w:bidi="ar-SA"/>
    </w:rPr>
  </w:style>
  <w:style w:type="character" w:customStyle="1" w:styleId="668">
    <w:name w:val="Знак Знак3"/>
    <w:qFormat/>
    <w:locked/>
    <w:uiPriority w:val="0"/>
    <w:rPr>
      <w:b/>
      <w:sz w:val="24"/>
      <w:lang w:val="ru-RU" w:eastAsia="ru-RU" w:bidi="ar-SA"/>
    </w:rPr>
  </w:style>
  <w:style w:type="character" w:customStyle="1" w:styleId="669">
    <w:name w:val="Основной текст с отступом 2 Знак Знак Знак"/>
    <w:qFormat/>
    <w:locked/>
    <w:uiPriority w:val="0"/>
    <w:rPr>
      <w:sz w:val="24"/>
      <w:szCs w:val="24"/>
      <w:lang w:val="ru-RU" w:eastAsia="ru-RU" w:bidi="ar-SA"/>
    </w:rPr>
  </w:style>
  <w:style w:type="character" w:customStyle="1" w:styleId="670">
    <w:name w:val="v121"/>
    <w:qFormat/>
    <w:uiPriority w:val="0"/>
    <w:rPr>
      <w:rFonts w:hint="default" w:ascii="Verdana" w:hAnsi="Verdana"/>
      <w:sz w:val="18"/>
      <w:szCs w:val="18"/>
    </w:rPr>
  </w:style>
  <w:style w:type="paragraph" w:customStyle="1" w:styleId="671">
    <w:name w:val="Знак Знак Знак1"/>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672">
    <w:name w:val="1 Знак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table" w:customStyle="1" w:styleId="673">
    <w:name w:val="Стиль таблицы2"/>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674">
    <w:name w:val="Стиль таблицы3"/>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paragraph" w:customStyle="1" w:styleId="675">
    <w:name w:val="Знак Знак Знак1 Знак Знак Знак Знак1"/>
    <w:basedOn w:val="1"/>
    <w:qFormat/>
    <w:uiPriority w:val="0"/>
    <w:pPr>
      <w:numPr>
        <w:ilvl w:val="0"/>
        <w:numId w:val="16"/>
      </w:numPr>
      <w:spacing w:after="160" w:line="240" w:lineRule="exact"/>
      <w:jc w:val="both"/>
    </w:pPr>
    <w:rPr>
      <w:rFonts w:ascii="Verdana" w:hAnsi="Verdana" w:cs="Verdana"/>
      <w:sz w:val="20"/>
      <w:szCs w:val="20"/>
      <w:lang w:val="en-US" w:eastAsia="en-US"/>
    </w:rPr>
  </w:style>
  <w:style w:type="paragraph" w:customStyle="1" w:styleId="676">
    <w:name w:val="Iniiaiie oaeno n ionooiii 2"/>
    <w:basedOn w:val="1"/>
    <w:qFormat/>
    <w:uiPriority w:val="0"/>
    <w:pPr>
      <w:widowControl w:val="0"/>
      <w:spacing w:after="0" w:line="240" w:lineRule="auto"/>
      <w:ind w:right="170"/>
      <w:jc w:val="both"/>
    </w:pPr>
    <w:rPr>
      <w:snapToGrid w:val="0"/>
      <w:sz w:val="24"/>
      <w:szCs w:val="24"/>
    </w:rPr>
  </w:style>
  <w:style w:type="character" w:customStyle="1" w:styleId="677">
    <w:name w:val="Заголовок 5 Знак1"/>
    <w:semiHidden/>
    <w:qFormat/>
    <w:uiPriority w:val="0"/>
    <w:rPr>
      <w:rFonts w:hint="default" w:ascii="Cambria" w:hAnsi="Cambria" w:eastAsia="Times New Roman" w:cs="Times New Roman"/>
      <w:color w:val="243F60"/>
      <w:sz w:val="24"/>
      <w:szCs w:val="24"/>
    </w:rPr>
  </w:style>
  <w:style w:type="character" w:customStyle="1" w:styleId="678">
    <w:name w:val="Красная строка Знак"/>
    <w:basedOn w:val="161"/>
    <w:link w:val="72"/>
    <w:qFormat/>
    <w:uiPriority w:val="0"/>
    <w:rPr>
      <w:rFonts w:ascii="Times New Roman" w:hAnsi="Times New Roman" w:eastAsia="Calibri" w:cs="Times New Roman"/>
      <w:sz w:val="24"/>
      <w:szCs w:val="24"/>
    </w:rPr>
  </w:style>
  <w:style w:type="paragraph" w:customStyle="1" w:styleId="679">
    <w:name w:val="text"/>
    <w:basedOn w:val="1"/>
    <w:semiHidden/>
    <w:qFormat/>
    <w:uiPriority w:val="0"/>
    <w:pPr>
      <w:spacing w:before="40" w:after="40" w:line="240" w:lineRule="auto"/>
      <w:ind w:firstLine="315"/>
      <w:jc w:val="both"/>
    </w:pPr>
    <w:rPr>
      <w:rFonts w:ascii="Verdana" w:hAnsi="Verdana"/>
      <w:sz w:val="17"/>
      <w:szCs w:val="17"/>
    </w:rPr>
  </w:style>
  <w:style w:type="paragraph" w:customStyle="1" w:styleId="680">
    <w:name w:val="Список 21"/>
    <w:basedOn w:val="1"/>
    <w:semiHidden/>
    <w:qFormat/>
    <w:uiPriority w:val="0"/>
    <w:pPr>
      <w:suppressAutoHyphens/>
      <w:spacing w:after="0" w:line="240" w:lineRule="auto"/>
      <w:ind w:left="566" w:hanging="283"/>
    </w:pPr>
    <w:rPr>
      <w:sz w:val="24"/>
      <w:szCs w:val="24"/>
      <w:lang w:eastAsia="ar-SA"/>
    </w:rPr>
  </w:style>
  <w:style w:type="paragraph" w:customStyle="1" w:styleId="681">
    <w:name w:val="Знак Знак Знак1 Знак1"/>
    <w:basedOn w:val="1"/>
    <w:next w:val="3"/>
    <w:autoRedefine/>
    <w:semiHidden/>
    <w:qFormat/>
    <w:uiPriority w:val="99"/>
    <w:pPr>
      <w:spacing w:after="160" w:line="240" w:lineRule="exact"/>
      <w:ind w:firstLine="0"/>
      <w:jc w:val="right"/>
    </w:pPr>
    <w:rPr>
      <w:sz w:val="24"/>
      <w:szCs w:val="24"/>
      <w:lang w:val="en-US" w:eastAsia="en-US"/>
    </w:rPr>
  </w:style>
  <w:style w:type="paragraph" w:customStyle="1" w:styleId="682">
    <w:name w:val="Абзац списка11"/>
    <w:basedOn w:val="1"/>
    <w:semiHidden/>
    <w:qFormat/>
    <w:uiPriority w:val="0"/>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683">
    <w:name w:val="Моноширинный"/>
    <w:basedOn w:val="1"/>
    <w:next w:val="1"/>
    <w:semiHidden/>
    <w:qFormat/>
    <w:uiPriority w:val="0"/>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684">
    <w:name w:val="3"/>
    <w:basedOn w:val="76"/>
    <w:autoRedefine/>
    <w:semiHidden/>
    <w:qFormat/>
    <w:uiPriority w:val="99"/>
    <w:pPr>
      <w:numPr>
        <w:ilvl w:val="0"/>
        <w:numId w:val="0"/>
      </w:numPr>
      <w:tabs>
        <w:tab w:val="left" w:pos="1260"/>
      </w:tabs>
      <w:spacing w:line="288" w:lineRule="auto"/>
      <w:ind w:left="1260" w:hanging="180"/>
    </w:pPr>
    <w:rPr>
      <w:rFonts w:eastAsia="Arial Unicode MS"/>
    </w:rPr>
  </w:style>
  <w:style w:type="paragraph" w:customStyle="1" w:styleId="685">
    <w:name w:val="4"/>
    <w:basedOn w:val="1"/>
    <w:semiHidden/>
    <w:qFormat/>
    <w:uiPriority w:val="99"/>
    <w:pPr>
      <w:tabs>
        <w:tab w:val="left" w:pos="638"/>
        <w:tab w:val="left" w:pos="1429"/>
        <w:tab w:val="left" w:pos="4678"/>
      </w:tabs>
      <w:spacing w:before="120" w:after="120"/>
      <w:ind w:left="638"/>
      <w:jc w:val="both"/>
    </w:pPr>
    <w:rPr>
      <w:sz w:val="24"/>
      <w:szCs w:val="20"/>
    </w:rPr>
  </w:style>
  <w:style w:type="paragraph" w:customStyle="1" w:styleId="686">
    <w:name w:val="Абзац списка2"/>
    <w:basedOn w:val="1"/>
    <w:qFormat/>
    <w:uiPriority w:val="0"/>
    <w:pPr>
      <w:spacing w:after="0" w:line="240" w:lineRule="auto"/>
      <w:ind w:left="720" w:firstLine="0"/>
    </w:pPr>
    <w:rPr>
      <w:sz w:val="24"/>
      <w:szCs w:val="24"/>
    </w:rPr>
  </w:style>
  <w:style w:type="paragraph" w:customStyle="1" w:styleId="687">
    <w:name w:val="MARY заголовок 2"/>
    <w:basedOn w:val="3"/>
    <w:semiHidden/>
    <w:qFormat/>
    <w:uiPriority w:val="0"/>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styleId="688">
    <w:name w:val="Placeholder Text"/>
    <w:semiHidden/>
    <w:qFormat/>
    <w:uiPriority w:val="99"/>
    <w:rPr>
      <w:color w:val="808080"/>
    </w:rPr>
  </w:style>
  <w:style w:type="character" w:customStyle="1" w:styleId="689">
    <w:name w:val="Heading 3 Char"/>
    <w:qFormat/>
    <w:locked/>
    <w:uiPriority w:val="0"/>
    <w:rPr>
      <w:b/>
      <w:sz w:val="24"/>
      <w:szCs w:val="24"/>
      <w:u w:val="single"/>
      <w:lang w:val="ru-RU" w:eastAsia="ru-RU" w:bidi="ar-SA"/>
    </w:rPr>
  </w:style>
  <w:style w:type="character" w:customStyle="1" w:styleId="690">
    <w:name w:val="Body Text Indent 2 Char"/>
    <w:qFormat/>
    <w:locked/>
    <w:uiPriority w:val="0"/>
    <w:rPr>
      <w:sz w:val="24"/>
      <w:szCs w:val="24"/>
      <w:lang w:val="ru-RU" w:eastAsia="ru-RU" w:bidi="ar-SA"/>
    </w:rPr>
  </w:style>
  <w:style w:type="character" w:customStyle="1" w:styleId="691">
    <w:name w:val="Заголовок 3 Знак1"/>
    <w:qFormat/>
    <w:uiPriority w:val="99"/>
    <w:rPr>
      <w:rFonts w:ascii="Cambria" w:hAnsi="Cambria" w:eastAsia="Times New Roman" w:cs="Times New Roman"/>
      <w:b/>
      <w:bCs/>
      <w:color w:val="4F81BD"/>
      <w:sz w:val="24"/>
      <w:szCs w:val="24"/>
    </w:rPr>
  </w:style>
  <w:style w:type="character" w:customStyle="1" w:styleId="692">
    <w:name w:val="Текст примечания Знак1"/>
    <w:semiHidden/>
    <w:qFormat/>
    <w:uiPriority w:val="0"/>
  </w:style>
  <w:style w:type="character" w:customStyle="1" w:styleId="693">
    <w:name w:val="Основной текст 2 Знак1"/>
    <w:qFormat/>
    <w:uiPriority w:val="0"/>
    <w:rPr>
      <w:sz w:val="24"/>
      <w:szCs w:val="24"/>
    </w:rPr>
  </w:style>
  <w:style w:type="character" w:customStyle="1" w:styleId="694">
    <w:name w:val="Подпись Знак1"/>
    <w:semiHidden/>
    <w:qFormat/>
    <w:uiPriority w:val="0"/>
    <w:rPr>
      <w:sz w:val="24"/>
      <w:szCs w:val="24"/>
    </w:rPr>
  </w:style>
  <w:style w:type="character" w:customStyle="1" w:styleId="695">
    <w:name w:val="Заголовок 7 Знак1"/>
    <w:semiHidden/>
    <w:qFormat/>
    <w:uiPriority w:val="0"/>
    <w:rPr>
      <w:rFonts w:ascii="Cambria" w:hAnsi="Cambria" w:eastAsia="Times New Roman" w:cs="Times New Roman"/>
      <w:i/>
      <w:iCs/>
      <w:color w:val="404040"/>
      <w:sz w:val="24"/>
      <w:szCs w:val="24"/>
    </w:rPr>
  </w:style>
  <w:style w:type="character" w:customStyle="1" w:styleId="696">
    <w:name w:val="Заголовок 8 Знак1"/>
    <w:semiHidden/>
    <w:qFormat/>
    <w:uiPriority w:val="0"/>
    <w:rPr>
      <w:rFonts w:ascii="Cambria" w:hAnsi="Cambria" w:eastAsia="Times New Roman" w:cs="Times New Roman"/>
      <w:color w:val="404040"/>
    </w:rPr>
  </w:style>
  <w:style w:type="character" w:customStyle="1" w:styleId="697">
    <w:name w:val="Заголовок 9 Знак1"/>
    <w:semiHidden/>
    <w:qFormat/>
    <w:uiPriority w:val="0"/>
    <w:rPr>
      <w:rFonts w:ascii="Cambria" w:hAnsi="Cambria" w:eastAsia="Times New Roman" w:cs="Times New Roman"/>
      <w:i/>
      <w:iCs/>
      <w:color w:val="404040"/>
    </w:rPr>
  </w:style>
  <w:style w:type="character" w:customStyle="1" w:styleId="698">
    <w:name w:val="Нижний колонтитул Знак1"/>
    <w:qFormat/>
    <w:uiPriority w:val="0"/>
    <w:rPr>
      <w:sz w:val="24"/>
      <w:szCs w:val="24"/>
    </w:rPr>
  </w:style>
  <w:style w:type="character" w:customStyle="1" w:styleId="699">
    <w:name w:val="Верхний колонтитул Знак1"/>
    <w:qFormat/>
    <w:uiPriority w:val="99"/>
    <w:rPr>
      <w:sz w:val="24"/>
      <w:szCs w:val="24"/>
    </w:rPr>
  </w:style>
  <w:style w:type="character" w:customStyle="1" w:styleId="700">
    <w:name w:val="Основной текст с отступом 3 Знак1"/>
    <w:semiHidden/>
    <w:qFormat/>
    <w:uiPriority w:val="0"/>
    <w:rPr>
      <w:sz w:val="16"/>
      <w:szCs w:val="16"/>
    </w:rPr>
  </w:style>
  <w:style w:type="character" w:customStyle="1" w:styleId="701">
    <w:name w:val="Основной текст 3 Знак1"/>
    <w:semiHidden/>
    <w:qFormat/>
    <w:uiPriority w:val="99"/>
    <w:rPr>
      <w:sz w:val="16"/>
      <w:szCs w:val="16"/>
    </w:rPr>
  </w:style>
  <w:style w:type="character" w:customStyle="1" w:styleId="702">
    <w:name w:val="Схема документа Знак1"/>
    <w:qFormat/>
    <w:uiPriority w:val="99"/>
    <w:rPr>
      <w:rFonts w:ascii="Tahoma" w:hAnsi="Tahoma" w:cs="Tahoma"/>
      <w:sz w:val="16"/>
      <w:szCs w:val="16"/>
    </w:rPr>
  </w:style>
  <w:style w:type="character" w:customStyle="1" w:styleId="703">
    <w:name w:val="Текст выноски Знак1"/>
    <w:semiHidden/>
    <w:qFormat/>
    <w:uiPriority w:val="0"/>
    <w:rPr>
      <w:rFonts w:ascii="Tahoma" w:hAnsi="Tahoma" w:cs="Tahoma"/>
      <w:sz w:val="16"/>
      <w:szCs w:val="16"/>
    </w:rPr>
  </w:style>
  <w:style w:type="character" w:customStyle="1" w:styleId="704">
    <w:name w:val="Тема примечания Знак1"/>
    <w:semiHidden/>
    <w:qFormat/>
    <w:uiPriority w:val="0"/>
    <w:rPr>
      <w:b/>
      <w:bCs/>
    </w:rPr>
  </w:style>
  <w:style w:type="character" w:customStyle="1" w:styleId="705">
    <w:name w:val="Красная строка 2 Знак1"/>
    <w:semiHidden/>
    <w:qFormat/>
    <w:uiPriority w:val="0"/>
    <w:rPr>
      <w:sz w:val="24"/>
      <w:szCs w:val="24"/>
      <w:lang w:val="ru-RU" w:eastAsia="ru-RU" w:bidi="ar-SA"/>
    </w:rPr>
  </w:style>
  <w:style w:type="character" w:customStyle="1" w:styleId="706">
    <w:name w:val="Подзаголовок Знак1"/>
    <w:qFormat/>
    <w:uiPriority w:val="0"/>
    <w:rPr>
      <w:rFonts w:ascii="Cambria" w:hAnsi="Cambria" w:eastAsia="Times New Roman" w:cs="Times New Roman"/>
      <w:i/>
      <w:iCs/>
      <w:color w:val="4F81BD"/>
      <w:spacing w:val="15"/>
      <w:sz w:val="24"/>
      <w:szCs w:val="24"/>
    </w:rPr>
  </w:style>
  <w:style w:type="character" w:customStyle="1" w:styleId="707">
    <w:name w:val="Текст концевой сноски Знак1"/>
    <w:semiHidden/>
    <w:qFormat/>
    <w:uiPriority w:val="0"/>
  </w:style>
  <w:style w:type="character" w:customStyle="1" w:styleId="708">
    <w:name w:val="Шапка Знак1"/>
    <w:semiHidden/>
    <w:qFormat/>
    <w:uiPriority w:val="0"/>
    <w:rPr>
      <w:rFonts w:ascii="Cambria" w:hAnsi="Cambria" w:eastAsia="Times New Roman" w:cs="Times New Roman"/>
      <w:sz w:val="24"/>
      <w:szCs w:val="24"/>
      <w:shd w:val="pct20" w:color="auto" w:fill="auto"/>
    </w:rPr>
  </w:style>
  <w:style w:type="character" w:customStyle="1" w:styleId="709">
    <w:name w:val="Красная строка Знак1"/>
    <w:semiHidden/>
    <w:qFormat/>
    <w:uiPriority w:val="0"/>
    <w:rPr>
      <w:sz w:val="24"/>
      <w:szCs w:val="24"/>
      <w:lang w:val="ru-RU" w:eastAsia="ru-RU" w:bidi="ar-SA"/>
    </w:rPr>
  </w:style>
  <w:style w:type="paragraph" w:customStyle="1" w:styleId="710">
    <w:name w:val="Основной абзац"/>
    <w:basedOn w:val="1"/>
    <w:qFormat/>
    <w:uiPriority w:val="0"/>
    <w:pPr>
      <w:spacing w:after="0"/>
      <w:ind w:firstLine="567"/>
      <w:jc w:val="both"/>
    </w:pPr>
    <w:rPr>
      <w:sz w:val="24"/>
      <w:szCs w:val="20"/>
    </w:rPr>
  </w:style>
  <w:style w:type="character" w:customStyle="1" w:styleId="711">
    <w:name w:val="Заголовок №6 (2)_"/>
    <w:link w:val="712"/>
    <w:qFormat/>
    <w:uiPriority w:val="0"/>
    <w:rPr>
      <w:rFonts w:ascii="Times New Roman" w:hAnsi="Times New Roman"/>
      <w:i/>
      <w:iCs/>
      <w:sz w:val="27"/>
      <w:szCs w:val="27"/>
      <w:shd w:val="clear" w:color="auto" w:fill="FFFFFF"/>
      <w:lang w:val="en-US"/>
    </w:rPr>
  </w:style>
  <w:style w:type="paragraph" w:customStyle="1" w:styleId="712">
    <w:name w:val="Заголовок №6 (2)"/>
    <w:basedOn w:val="1"/>
    <w:link w:val="711"/>
    <w:qFormat/>
    <w:uiPriority w:val="0"/>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713">
    <w:name w:val="Основной текст + 12 pt;Полужирный"/>
    <w:qFormat/>
    <w:uiPriority w:val="0"/>
    <w:rPr>
      <w:rFonts w:ascii="Times New Roman" w:hAnsi="Times New Roman" w:eastAsia="Times New Roman" w:cs="Times New Roman"/>
      <w:b/>
      <w:bCs/>
      <w:color w:val="000000"/>
      <w:spacing w:val="0"/>
      <w:w w:val="100"/>
      <w:position w:val="0"/>
      <w:sz w:val="24"/>
      <w:szCs w:val="24"/>
      <w:shd w:val="clear" w:color="auto" w:fill="FFFFFF"/>
      <w:lang w:val="ru-RU"/>
    </w:rPr>
  </w:style>
  <w:style w:type="character" w:customStyle="1" w:styleId="714">
    <w:name w:val="Сноска_"/>
    <w:link w:val="715"/>
    <w:qFormat/>
    <w:uiPriority w:val="0"/>
    <w:rPr>
      <w:rFonts w:ascii="Times New Roman" w:hAnsi="Times New Roman"/>
      <w:b/>
      <w:bCs/>
      <w:shd w:val="clear" w:color="auto" w:fill="FFFFFF"/>
    </w:rPr>
  </w:style>
  <w:style w:type="paragraph" w:customStyle="1" w:styleId="715">
    <w:name w:val="Сноска"/>
    <w:basedOn w:val="1"/>
    <w:link w:val="714"/>
    <w:qFormat/>
    <w:uiPriority w:val="0"/>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716">
    <w:name w:val="Сноска (2)_"/>
    <w:link w:val="717"/>
    <w:qFormat/>
    <w:uiPriority w:val="0"/>
    <w:rPr>
      <w:rFonts w:ascii="Times New Roman" w:hAnsi="Times New Roman"/>
      <w:sz w:val="23"/>
      <w:szCs w:val="23"/>
      <w:shd w:val="clear" w:color="auto" w:fill="FFFFFF"/>
    </w:rPr>
  </w:style>
  <w:style w:type="paragraph" w:customStyle="1" w:styleId="717">
    <w:name w:val="Сноска (2)"/>
    <w:basedOn w:val="1"/>
    <w:link w:val="716"/>
    <w:qFormat/>
    <w:uiPriority w:val="0"/>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718">
    <w:name w:val="Основной текст + Полужирный;Курсив"/>
    <w:qFormat/>
    <w:uiPriority w:val="0"/>
    <w:rPr>
      <w:rFonts w:ascii="Times New Roman" w:hAnsi="Times New Roman" w:eastAsia="Times New Roman" w:cs="Times New Roman"/>
      <w:b/>
      <w:bCs/>
      <w:i/>
      <w:iCs/>
      <w:color w:val="000000"/>
      <w:spacing w:val="0"/>
      <w:w w:val="100"/>
      <w:position w:val="0"/>
      <w:sz w:val="27"/>
      <w:szCs w:val="27"/>
      <w:u w:val="none"/>
      <w:shd w:val="clear" w:color="auto" w:fill="FFFFFF"/>
      <w:lang w:val="ru-RU"/>
    </w:rPr>
  </w:style>
  <w:style w:type="character" w:customStyle="1" w:styleId="719">
    <w:name w:val="Основной текст + 9;5 pt"/>
    <w:qFormat/>
    <w:uiPriority w:val="0"/>
    <w:rPr>
      <w:rFonts w:ascii="Times New Roman" w:hAnsi="Times New Roman" w:eastAsia="Times New Roman" w:cs="Times New Roman"/>
      <w:color w:val="000000"/>
      <w:spacing w:val="0"/>
      <w:w w:val="100"/>
      <w:position w:val="0"/>
      <w:sz w:val="19"/>
      <w:szCs w:val="19"/>
      <w:shd w:val="clear" w:color="auto" w:fill="FFFFFF"/>
      <w:lang w:val="ru-RU"/>
    </w:rPr>
  </w:style>
  <w:style w:type="table" w:customStyle="1" w:styleId="720">
    <w:name w:val="Grid Table Light"/>
    <w:basedOn w:val="12"/>
    <w:qFormat/>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721">
    <w:name w:val="msonormal"/>
    <w:basedOn w:val="1"/>
    <w:qFormat/>
    <w:uiPriority w:val="0"/>
    <w:pPr>
      <w:spacing w:before="100" w:beforeAutospacing="1" w:after="100" w:afterAutospacing="1" w:line="240" w:lineRule="auto"/>
      <w:ind w:firstLine="0"/>
    </w:pPr>
    <w:rPr>
      <w:sz w:val="24"/>
      <w:szCs w:val="24"/>
    </w:rPr>
  </w:style>
  <w:style w:type="table" w:customStyle="1" w:styleId="722">
    <w:name w:val="Сетка таблицы4"/>
    <w:basedOn w:val="12"/>
    <w:qFormat/>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23">
    <w:name w:val="Основной текст + 10 pt"/>
    <w:qFormat/>
    <w:uiPriority w:val="0"/>
    <w:rPr>
      <w:rFonts w:ascii="Times New Roman" w:hAnsi="Times New Roman" w:eastAsia="Times New Roman" w:cs="Times New Roman"/>
      <w:color w:val="000000"/>
      <w:spacing w:val="0"/>
      <w:w w:val="100"/>
      <w:position w:val="0"/>
      <w:sz w:val="20"/>
      <w:szCs w:val="20"/>
      <w:u w:val="none"/>
      <w:shd w:val="clear" w:color="auto" w:fill="FFFFFF"/>
    </w:rPr>
  </w:style>
  <w:style w:type="character" w:customStyle="1" w:styleId="724">
    <w:name w:val="Упомянуть1"/>
    <w:semiHidden/>
    <w:unhideWhenUsed/>
    <w:qFormat/>
    <w:uiPriority w:val="99"/>
    <w:rPr>
      <w:color w:val="2B579A"/>
      <w:shd w:val="clear" w:color="auto" w:fill="E6E6E6"/>
    </w:rPr>
  </w:style>
  <w:style w:type="paragraph" w:customStyle="1" w:styleId="725">
    <w:name w:val="Для таблицы (приложения 1)"/>
    <w:basedOn w:val="1"/>
    <w:qFormat/>
    <w:uiPriority w:val="99"/>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726">
    <w:name w:val="Сетка таблицы6"/>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7">
    <w:name w:val="Сетка таблицы12"/>
    <w:basedOn w:val="12"/>
    <w:qFormat/>
    <w:uiPriority w:val="5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8">
    <w:name w:val="Сетка таблицы21"/>
    <w:basedOn w:val="12"/>
    <w:qFormat/>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9">
    <w:name w:val="Сетка таблицы7"/>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0">
    <w:name w:val="Table Normal"/>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1">
    <w:name w:val="Table Normal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732">
    <w:name w:val="Table Paragraph"/>
    <w:basedOn w:val="1"/>
    <w:qFormat/>
    <w:uiPriority w:val="1"/>
    <w:pPr>
      <w:widowControl w:val="0"/>
      <w:autoSpaceDE w:val="0"/>
      <w:autoSpaceDN w:val="0"/>
      <w:spacing w:after="0" w:line="240" w:lineRule="auto"/>
      <w:ind w:firstLine="0"/>
    </w:pPr>
    <w:rPr>
      <w:sz w:val="22"/>
      <w:lang w:val="en-US" w:eastAsia="en-US"/>
    </w:rPr>
  </w:style>
  <w:style w:type="table" w:customStyle="1" w:styleId="733">
    <w:name w:val="Table Normal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4">
    <w:name w:val="Table Normal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5">
    <w:name w:val="Table Normal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6">
    <w:name w:val="Table Normal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7">
    <w:name w:val="Table Normal6"/>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8">
    <w:name w:val="Table Normal7"/>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39">
    <w:name w:val="Table Normal8"/>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0">
    <w:name w:val="Table Normal9"/>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1">
    <w:name w:val="Table Normal10"/>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2">
    <w:name w:val="Table Normal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3">
    <w:name w:val="Table Normal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4">
    <w:name w:val="Table Normal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5">
    <w:name w:val="Table Normal1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6">
    <w:name w:val="Table Normal1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7">
    <w:name w:val="Table Normal1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8">
    <w:name w:val="Table Normal1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49">
    <w:name w:val="Table Normal1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50">
    <w:name w:val="Table Normal19"/>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751">
    <w:name w:val="Основной текст6"/>
    <w:basedOn w:val="1"/>
    <w:qFormat/>
    <w:uiPriority w:val="0"/>
    <w:pPr>
      <w:widowControl w:val="0"/>
      <w:shd w:val="clear" w:color="auto" w:fill="FFFFFF"/>
      <w:spacing w:after="180" w:line="442" w:lineRule="exact"/>
      <w:ind w:hanging="380"/>
    </w:pPr>
    <w:rPr>
      <w:color w:val="000000"/>
      <w:sz w:val="24"/>
      <w:szCs w:val="24"/>
    </w:rPr>
  </w:style>
  <w:style w:type="table" w:customStyle="1" w:styleId="752">
    <w:name w:val="Сетка таблицы8"/>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3">
    <w:name w:val="Сетка таблицы9"/>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4">
    <w:name w:val="Table Grid Report1"/>
    <w:basedOn w:val="12"/>
    <w:qFormat/>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5">
    <w:name w:val="Изысканная таблица2"/>
    <w:basedOn w:val="12"/>
    <w:semiHidden/>
    <w:unhideWhenUsed/>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756">
    <w:name w:val="Сетка таблицы13"/>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7">
    <w:name w:val="Сетка таблицы22"/>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8">
    <w:name w:val="Сетка таблицы31"/>
    <w:basedOn w:val="12"/>
    <w:qFormat/>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9">
    <w:name w:val="Сетка таблицы112"/>
    <w:basedOn w:val="12"/>
    <w:qFormat/>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0">
    <w:name w:val="Сетка таблицы1111"/>
    <w:basedOn w:val="12"/>
    <w:qFormat/>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1">
    <w:name w:val="Столбцы таблицы 11"/>
    <w:basedOn w:val="12"/>
    <w:qFormat/>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762">
    <w:name w:val="Столбцы таблицы 5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763">
    <w:name w:val="Таблица-список 21"/>
    <w:basedOn w:val="12"/>
    <w:qFormat/>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764">
    <w:name w:val="Таблица-список 7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765">
    <w:name w:val="Таблица-список 8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766">
    <w:name w:val="Объемная таблица 31"/>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767">
    <w:name w:val="Современная таблица1"/>
    <w:basedOn w:val="12"/>
    <w:qFormat/>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768">
    <w:name w:val="Изысканная таблица11"/>
    <w:basedOn w:val="12"/>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769">
    <w:name w:val="Изящная таблица 11"/>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770">
    <w:name w:val="Веб-таблица 31"/>
    <w:basedOn w:val="12"/>
    <w:qFormat/>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771">
    <w:name w:val="Стиль таблицы11"/>
    <w:basedOn w:val="110"/>
    <w:qFormat/>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2">
    <w:name w:val="Сетка таблицы5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3">
    <w:name w:val="Стиль таблицы21"/>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774">
    <w:name w:val="Стандартная таблица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775">
    <w:name w:val="Стиль таблицы31"/>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776">
    <w:name w:val="Сетка таблицы светлая1"/>
    <w:basedOn w:val="12"/>
    <w:qFormat/>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77">
    <w:name w:val="Сетка таблицы41"/>
    <w:basedOn w:val="12"/>
    <w:qFormat/>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8">
    <w:name w:val="Сетка таблицы6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9">
    <w:name w:val="Сетка таблицы121"/>
    <w:basedOn w:val="12"/>
    <w:qFormat/>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0">
    <w:name w:val="Сетка таблицы211"/>
    <w:basedOn w:val="12"/>
    <w:qFormat/>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1">
    <w:name w:val="Сетка таблицы71"/>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2">
    <w:name w:val="Table Normal2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3">
    <w:name w:val="Table Normal1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4">
    <w:name w:val="Table Normal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5">
    <w:name w:val="Table Normal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6">
    <w:name w:val="Table Normal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7">
    <w:name w:val="Table Normal51"/>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8">
    <w:name w:val="Table Normal61"/>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89">
    <w:name w:val="Table Normal7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0">
    <w:name w:val="Table Normal8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1">
    <w:name w:val="Table Normal9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2">
    <w:name w:val="Table Normal1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3">
    <w:name w:val="Table Normal1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4">
    <w:name w:val="Table Normal1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5">
    <w:name w:val="Table Normal1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6">
    <w:name w:val="Table Normal1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7">
    <w:name w:val="Table Normal1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8">
    <w:name w:val="Table Normal1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799">
    <w:name w:val="Table Normal17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00">
    <w:name w:val="Table Normal18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01">
    <w:name w:val="Table Normal19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02">
    <w:name w:val="Сетка таблицы8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3">
    <w:name w:val="Сетка таблицы9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4">
    <w:name w:val="Table Grid Report2"/>
    <w:basedOn w:val="12"/>
    <w:qFormat/>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5">
    <w:name w:val="Изысканная таблица3"/>
    <w:basedOn w:val="12"/>
    <w:semiHidden/>
    <w:unhideWhenUsed/>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806">
    <w:name w:val="Сетка таблицы14"/>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7">
    <w:name w:val="Сетка таблицы23"/>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8">
    <w:name w:val="Сетка таблицы32"/>
    <w:basedOn w:val="12"/>
    <w:qFormat/>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9">
    <w:name w:val="Сетка таблицы113"/>
    <w:basedOn w:val="12"/>
    <w:qFormat/>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0">
    <w:name w:val="Сетка таблицы1112"/>
    <w:basedOn w:val="12"/>
    <w:qFormat/>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1">
    <w:name w:val="Столбцы таблицы 12"/>
    <w:basedOn w:val="12"/>
    <w:qFormat/>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812">
    <w:name w:val="Столбцы таблицы 5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813">
    <w:name w:val="Таблица-список 22"/>
    <w:basedOn w:val="12"/>
    <w:qFormat/>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814">
    <w:name w:val="Таблица-список 7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815">
    <w:name w:val="Таблица-список 8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816">
    <w:name w:val="Объемная таблица 32"/>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817">
    <w:name w:val="Современная таблица2"/>
    <w:basedOn w:val="12"/>
    <w:qFormat/>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818">
    <w:name w:val="Изысканная таблица12"/>
    <w:basedOn w:val="12"/>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819">
    <w:name w:val="Изящная таблица 12"/>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820">
    <w:name w:val="Веб-таблица 32"/>
    <w:basedOn w:val="12"/>
    <w:qFormat/>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821">
    <w:name w:val="Стиль таблицы12"/>
    <w:basedOn w:val="110"/>
    <w:qFormat/>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2">
    <w:name w:val="Сетка таблицы5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3">
    <w:name w:val="Стиль таблицы22"/>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824">
    <w:name w:val="Стандартная таблица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825">
    <w:name w:val="Стиль таблицы32"/>
    <w:basedOn w:val="12"/>
    <w:qFormat/>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826">
    <w:name w:val="Сетка таблицы светлая2"/>
    <w:basedOn w:val="12"/>
    <w:qFormat/>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827">
    <w:name w:val="Сетка таблицы42"/>
    <w:basedOn w:val="12"/>
    <w:qFormat/>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8">
    <w:name w:val="Сетка таблицы62"/>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9">
    <w:name w:val="Сетка таблицы122"/>
    <w:basedOn w:val="12"/>
    <w:qFormat/>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0">
    <w:name w:val="Сетка таблицы212"/>
    <w:basedOn w:val="12"/>
    <w:qFormat/>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1">
    <w:name w:val="Сетка таблицы72"/>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2">
    <w:name w:val="Table Normal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3">
    <w:name w:val="Table Normal1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4">
    <w:name w:val="Table Normal2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5">
    <w:name w:val="Table Normal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6">
    <w:name w:val="Table Normal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7">
    <w:name w:val="Table Normal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8">
    <w:name w:val="Table Normal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39">
    <w:name w:val="Table Normal7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0">
    <w:name w:val="Table Normal8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1">
    <w:name w:val="Table Normal9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2">
    <w:name w:val="Table Normal1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3">
    <w:name w:val="Table Normal1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4">
    <w:name w:val="Table Normal1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5">
    <w:name w:val="Table Normal1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6">
    <w:name w:val="Table Normal1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7">
    <w:name w:val="Table Normal1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8">
    <w:name w:val="Table Normal1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49">
    <w:name w:val="Table Normal17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50">
    <w:name w:val="Table Normal18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51">
    <w:name w:val="Table Normal19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52">
    <w:name w:val="Сетка таблицы82"/>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3">
    <w:name w:val="Сетка таблицы9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4">
    <w:name w:val="Table Grid Report3"/>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5">
    <w:name w:val="Изысканная таблица4"/>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856">
    <w:name w:val="Сетка таблицы15"/>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7">
    <w:name w:val="Сетка таблицы24"/>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8">
    <w:name w:val="Сетка таблицы33"/>
    <w:basedOn w:val="12"/>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9">
    <w:name w:val="Сетка таблицы114"/>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0">
    <w:name w:val="Сетка таблицы1113"/>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1">
    <w:name w:val="Столбцы таблицы 13"/>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862">
    <w:name w:val="Столбцы таблицы 53"/>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863">
    <w:name w:val="Таблица-список 23"/>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864">
    <w:name w:val="Таблица-список 73"/>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865">
    <w:name w:val="Таблица-список 83"/>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866">
    <w:name w:val="Объемная таблица 33"/>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867">
    <w:name w:val="Современная таблица3"/>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868">
    <w:name w:val="Изысканная таблица13"/>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869">
    <w:name w:val="Изящная таблица 13"/>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870">
    <w:name w:val="Веб-таблица 33"/>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871">
    <w:name w:val="Стиль таблицы13"/>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2">
    <w:name w:val="Сетка таблицы53"/>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3">
    <w:name w:val="Стиль таблицы23"/>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874">
    <w:name w:val="Стандартная таблица3"/>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875">
    <w:name w:val="Стиль таблицы33"/>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876">
    <w:name w:val="Сетка таблицы светлая3"/>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877">
    <w:name w:val="Сетка таблицы43"/>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8">
    <w:name w:val="Сетка таблицы63"/>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9">
    <w:name w:val="Сетка таблицы123"/>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0">
    <w:name w:val="Сетка таблицы213"/>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1">
    <w:name w:val="Сетка таблицы73"/>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2">
    <w:name w:val="Table Normal2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3">
    <w:name w:val="Table Normal11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4">
    <w:name w:val="Table Normal2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5">
    <w:name w:val="Table Normal3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6">
    <w:name w:val="Table Normal4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7">
    <w:name w:val="Table Normal5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8">
    <w:name w:val="Table Normal6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89">
    <w:name w:val="Table Normal73"/>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0">
    <w:name w:val="Table Normal83"/>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1">
    <w:name w:val="Table Normal93"/>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2">
    <w:name w:val="Table Normal10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3">
    <w:name w:val="Table Normal11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4">
    <w:name w:val="Table Normal12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5">
    <w:name w:val="Table Normal13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6">
    <w:name w:val="Table Normal14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7">
    <w:name w:val="Table Normal15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8">
    <w:name w:val="Table Normal16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899">
    <w:name w:val="Table Normal17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00">
    <w:name w:val="Table Normal18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01">
    <w:name w:val="Table Normal19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02">
    <w:name w:val="Сетка таблицы83"/>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3">
    <w:name w:val="Сетка таблицы93"/>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4">
    <w:name w:val="Сетка таблицы10"/>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5">
    <w:name w:val="Сетка таблицы16"/>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6">
    <w:name w:val="Рис."/>
    <w:basedOn w:val="1"/>
    <w:next w:val="1"/>
    <w:qFormat/>
    <w:uiPriority w:val="0"/>
    <w:pPr>
      <w:widowControl w:val="0"/>
      <w:numPr>
        <w:ilvl w:val="0"/>
        <w:numId w:val="17"/>
      </w:numPr>
      <w:suppressAutoHyphens/>
      <w:spacing w:after="0" w:line="240" w:lineRule="auto"/>
      <w:ind w:left="360" w:right="-108"/>
    </w:pPr>
    <w:rPr>
      <w:b/>
      <w:sz w:val="26"/>
      <w:szCs w:val="20"/>
    </w:rPr>
  </w:style>
  <w:style w:type="table" w:customStyle="1" w:styleId="907">
    <w:name w:val="Сетка таблицы17"/>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8">
    <w:name w:val="Table Grid Report4"/>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9">
    <w:name w:val="Изысканная таблица5"/>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910">
    <w:name w:val="Сетка таблицы18"/>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1">
    <w:name w:val="Сетка таблицы25"/>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2">
    <w:name w:val="Сетка таблицы34"/>
    <w:basedOn w:val="12"/>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3">
    <w:name w:val="Сетка таблицы115"/>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4">
    <w:name w:val="Сетка таблицы1114"/>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5">
    <w:name w:val="Столбцы таблицы 14"/>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916">
    <w:name w:val="Столбцы таблицы 54"/>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917">
    <w:name w:val="Таблица-список 24"/>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918">
    <w:name w:val="Таблица-список 74"/>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919">
    <w:name w:val="Таблица-список 84"/>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920">
    <w:name w:val="Объемная таблица 34"/>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921">
    <w:name w:val="Современная таблица4"/>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922">
    <w:name w:val="Изысканная таблица14"/>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923">
    <w:name w:val="Изящная таблица 14"/>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924">
    <w:name w:val="Веб-таблица 34"/>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925">
    <w:name w:val="Стиль таблицы14"/>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Сетка таблицы54"/>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Стиль таблицы24"/>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928">
    <w:name w:val="Стандартная таблица4"/>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929">
    <w:name w:val="Стиль таблицы34"/>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930">
    <w:name w:val="Сетка таблицы светлая4"/>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931">
    <w:name w:val="Сетка таблицы44"/>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Сетка таблицы64"/>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Сетка таблицы124"/>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4">
    <w:name w:val="Сетка таблицы214"/>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5">
    <w:name w:val="Сетка таблицы74"/>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6">
    <w:name w:val="Table Normal2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37">
    <w:name w:val="Table Normal11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38">
    <w:name w:val="Table Normal2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39">
    <w:name w:val="Table Normal3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0">
    <w:name w:val="Table Normal4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1">
    <w:name w:val="Table Normal5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2">
    <w:name w:val="Table Normal6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3">
    <w:name w:val="Table Normal74"/>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4">
    <w:name w:val="Table Normal84"/>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5">
    <w:name w:val="Table Normal94"/>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6">
    <w:name w:val="Table Normal10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7">
    <w:name w:val="Table Normal11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8">
    <w:name w:val="Table Normal12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49">
    <w:name w:val="Table Normal13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0">
    <w:name w:val="Table Normal14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1">
    <w:name w:val="Table Normal15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2">
    <w:name w:val="Table Normal16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3">
    <w:name w:val="Table Normal17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4">
    <w:name w:val="Table Normal18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5">
    <w:name w:val="Table Normal19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56">
    <w:name w:val="Сетка таблицы84"/>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7">
    <w:name w:val="Сетка таблицы94"/>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8">
    <w:name w:val="Table Grid Report5"/>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Изысканная таблица6"/>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960">
    <w:name w:val="Сетка таблицы19"/>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Сетка таблицы26"/>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Сетка таблицы35"/>
    <w:basedOn w:val="12"/>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Сетка таблицы116"/>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Сетка таблицы1115"/>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5">
    <w:name w:val="Столбцы таблицы 15"/>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966">
    <w:name w:val="Столбцы таблицы 55"/>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967">
    <w:name w:val="Таблица-список 25"/>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968">
    <w:name w:val="Таблица-список 75"/>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969">
    <w:name w:val="Таблица-список 85"/>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970">
    <w:name w:val="Объемная таблица 35"/>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971">
    <w:name w:val="Современная таблица5"/>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972">
    <w:name w:val="Изысканная таблица15"/>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973">
    <w:name w:val="Изящная таблица 15"/>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974">
    <w:name w:val="Веб-таблица 35"/>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975">
    <w:name w:val="Стиль таблицы15"/>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6">
    <w:name w:val="Сетка таблицы55"/>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7">
    <w:name w:val="Стиль таблицы25"/>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978">
    <w:name w:val="Стандартная таблица5"/>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979">
    <w:name w:val="Стиль таблицы35"/>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980">
    <w:name w:val="Сетка таблицы светлая5"/>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981">
    <w:name w:val="Сетка таблицы45"/>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2">
    <w:name w:val="Сетка таблицы65"/>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3">
    <w:name w:val="Сетка таблицы125"/>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4">
    <w:name w:val="Сетка таблицы215"/>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5">
    <w:name w:val="Сетка таблицы75"/>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6">
    <w:name w:val="Table Normal2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87">
    <w:name w:val="Table Normal11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88">
    <w:name w:val="Table Normal29"/>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89">
    <w:name w:val="Table Normal3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0">
    <w:name w:val="Table Normal4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1">
    <w:name w:val="Table Normal5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2">
    <w:name w:val="Table Normal6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3">
    <w:name w:val="Table Normal75"/>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4">
    <w:name w:val="Table Normal85"/>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5">
    <w:name w:val="Table Normal95"/>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6">
    <w:name w:val="Table Normal10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7">
    <w:name w:val="Table Normal119"/>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8">
    <w:name w:val="Table Normal12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999">
    <w:name w:val="Table Normal13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0">
    <w:name w:val="Table Normal14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1">
    <w:name w:val="Table Normal15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2">
    <w:name w:val="Table Normal16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3">
    <w:name w:val="Table Normal17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4">
    <w:name w:val="Table Normal18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5">
    <w:name w:val="Table Normal195"/>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06">
    <w:name w:val="Сетка таблицы85"/>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Сетка таблицы95"/>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08">
    <w:name w:val="Стиль1 Знак"/>
    <w:basedOn w:val="11"/>
    <w:link w:val="454"/>
    <w:uiPriority w:val="99"/>
    <w:rPr>
      <w:rFonts w:ascii="Times New Roman" w:hAnsi="Times New Roman" w:eastAsia="Times New Roman" w:cs="Times New Roman"/>
      <w:sz w:val="24"/>
      <w:szCs w:val="20"/>
      <w:lang w:eastAsia="ru-RU"/>
    </w:rPr>
  </w:style>
  <w:style w:type="character" w:customStyle="1" w:styleId="1009">
    <w:name w:val="Основной текст + 9"/>
    <w:basedOn w:val="208"/>
    <w:uiPriority w:val="0"/>
    <w:rPr>
      <w:rFonts w:ascii="Times New Roman" w:hAnsi="Times New Roman" w:eastAsia="Times New Roman" w:cs="Times New Roman"/>
      <w:color w:val="000000"/>
      <w:spacing w:val="0"/>
      <w:w w:val="100"/>
      <w:position w:val="0"/>
      <w:sz w:val="19"/>
      <w:szCs w:val="19"/>
      <w:shd w:val="clear" w:color="auto" w:fill="FFFFFF"/>
      <w:lang w:val="ru-RU"/>
    </w:rPr>
  </w:style>
  <w:style w:type="table" w:customStyle="1" w:styleId="1010">
    <w:name w:val="Table Grid Report6"/>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Изысканная таблица7"/>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1012">
    <w:name w:val="Сетка таблицы110"/>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3">
    <w:name w:val="Сетка таблицы27"/>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4">
    <w:name w:val="Сетка таблицы36"/>
    <w:basedOn w:val="12"/>
    <w:uiPriority w:val="9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5">
    <w:name w:val="Сетка таблицы117"/>
    <w:basedOn w:val="12"/>
    <w:qFormat/>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6">
    <w:name w:val="Сетка таблицы1116"/>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7">
    <w:name w:val="Столбцы таблицы 16"/>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018">
    <w:name w:val="Столбцы таблицы 56"/>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1019">
    <w:name w:val="Таблица-список 26"/>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020">
    <w:name w:val="Таблица-список 76"/>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1021">
    <w:name w:val="Таблица-список 86"/>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1022">
    <w:name w:val="Объемная таблица 36"/>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023">
    <w:name w:val="Современная таблица6"/>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1024">
    <w:name w:val="Изысканная таблица16"/>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1025">
    <w:name w:val="Изящная таблица 16"/>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026">
    <w:name w:val="Веб-таблица 36"/>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1027">
    <w:name w:val="Стиль таблицы16"/>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8">
    <w:name w:val="Сетка таблицы56"/>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9">
    <w:name w:val="Стиль таблицы26"/>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1030">
    <w:name w:val="Стандартная таблица6"/>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1031">
    <w:name w:val="Стиль таблицы36"/>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1032">
    <w:name w:val="Сетка таблицы светлая6"/>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033">
    <w:name w:val="Сетка таблицы46"/>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4">
    <w:name w:val="Сетка таблицы66"/>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5">
    <w:name w:val="Сетка таблицы126"/>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6">
    <w:name w:val="Сетка таблицы216"/>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7">
    <w:name w:val="Сетка таблицы76"/>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8">
    <w:name w:val="Table Normal3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39">
    <w:name w:val="Table Normal12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0">
    <w:name w:val="Table Normal2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1">
    <w:name w:val="Table Normal3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2">
    <w:name w:val="Table Normal4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3">
    <w:name w:val="Table Normal5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4">
    <w:name w:val="Table Normal6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5">
    <w:name w:val="Table Normal76"/>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6">
    <w:name w:val="Table Normal86"/>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7">
    <w:name w:val="Table Normal96"/>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8">
    <w:name w:val="Table Normal10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49">
    <w:name w:val="Table Normal11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0">
    <w:name w:val="Table Normal12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1">
    <w:name w:val="Table Normal13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2">
    <w:name w:val="Table Normal14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3">
    <w:name w:val="Table Normal15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4">
    <w:name w:val="Table Normal16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5">
    <w:name w:val="Table Normal17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6">
    <w:name w:val="Table Normal18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7">
    <w:name w:val="Table Normal196"/>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058">
    <w:name w:val="Сетка таблицы86"/>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9">
    <w:name w:val="Сетка таблицы96"/>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60">
    <w:name w:val="xl22"/>
    <w:basedOn w:val="1"/>
    <w:qFormat/>
    <w:uiPriority w:val="0"/>
    <w:pPr>
      <w:spacing w:before="100" w:beforeAutospacing="1" w:after="100" w:afterAutospacing="1"/>
      <w:jc w:val="center"/>
    </w:pPr>
    <w:rPr>
      <w:rFonts w:ascii="Times New Roman CYR" w:hAnsi="Times New Roman CYR" w:cs="Times New Roman CYR"/>
      <w:sz w:val="24"/>
      <w:szCs w:val="24"/>
    </w:rPr>
  </w:style>
  <w:style w:type="paragraph" w:customStyle="1" w:styleId="1061">
    <w:name w:val="Заглавие раздела"/>
    <w:basedOn w:val="3"/>
    <w:semiHidden/>
    <w:qFormat/>
    <w:uiPriority w:val="0"/>
    <w:pPr>
      <w:keepLines w:val="0"/>
      <w:numPr>
        <w:ilvl w:val="0"/>
        <w:numId w:val="0"/>
      </w:numPr>
      <w:tabs>
        <w:tab w:val="left" w:pos="555"/>
        <w:tab w:val="left" w:pos="1789"/>
      </w:tabs>
      <w:spacing w:before="0" w:after="240"/>
      <w:ind w:left="1789" w:hanging="360"/>
      <w:jc w:val="center"/>
    </w:pPr>
    <w:rPr>
      <w:rFonts w:eastAsia="Times New Roman" w:cs="Times New Roman"/>
      <w:i/>
      <w:iCs/>
      <w:color w:val="auto"/>
      <w:sz w:val="24"/>
      <w:szCs w:val="24"/>
    </w:rPr>
  </w:style>
  <w:style w:type="paragraph" w:customStyle="1" w:styleId="1062">
    <w:name w:val="Заголовок_1 Знак"/>
    <w:basedOn w:val="1"/>
    <w:link w:val="1063"/>
    <w:semiHidden/>
    <w:qFormat/>
    <w:uiPriority w:val="0"/>
    <w:pPr>
      <w:spacing w:after="0"/>
      <w:jc w:val="center"/>
    </w:pPr>
    <w:rPr>
      <w:b/>
      <w:caps/>
      <w:sz w:val="24"/>
      <w:szCs w:val="24"/>
    </w:rPr>
  </w:style>
  <w:style w:type="character" w:customStyle="1" w:styleId="1063">
    <w:name w:val="Заголовок_1 Знак Знак"/>
    <w:basedOn w:val="11"/>
    <w:link w:val="1062"/>
    <w:semiHidden/>
    <w:uiPriority w:val="0"/>
    <w:rPr>
      <w:rFonts w:ascii="Times New Roman" w:hAnsi="Times New Roman" w:eastAsia="Times New Roman" w:cs="Times New Roman"/>
      <w:b/>
      <w:caps/>
      <w:sz w:val="24"/>
      <w:szCs w:val="24"/>
      <w:lang w:eastAsia="ru-RU"/>
    </w:rPr>
  </w:style>
  <w:style w:type="paragraph" w:customStyle="1" w:styleId="1064">
    <w:name w:val="Неразрывный основной текст"/>
    <w:basedOn w:val="58"/>
    <w:semiHidden/>
    <w:qFormat/>
    <w:uiPriority w:val="0"/>
    <w:pPr>
      <w:keepNext/>
      <w:spacing w:before="0" w:after="240" w:line="240" w:lineRule="atLeast"/>
      <w:ind w:left="1080" w:firstLine="709"/>
    </w:pPr>
    <w:rPr>
      <w:rFonts w:ascii="Arial" w:hAnsi="Arial" w:cs="Arial"/>
      <w:spacing w:val="-5"/>
      <w:sz w:val="20"/>
      <w:szCs w:val="20"/>
      <w:lang w:val="ru-RU" w:eastAsia="en-US"/>
    </w:rPr>
  </w:style>
  <w:style w:type="paragraph" w:customStyle="1" w:styleId="1065">
    <w:name w:val="Рисунок"/>
    <w:basedOn w:val="1"/>
    <w:next w:val="43"/>
    <w:link w:val="1844"/>
    <w:qFormat/>
    <w:uiPriority w:val="0"/>
    <w:pPr>
      <w:keepNext/>
      <w:spacing w:after="0"/>
      <w:ind w:left="1080"/>
      <w:jc w:val="both"/>
    </w:pPr>
    <w:rPr>
      <w:rFonts w:ascii="Arial" w:hAnsi="Arial" w:cs="Arial"/>
      <w:spacing w:val="-5"/>
      <w:sz w:val="20"/>
      <w:szCs w:val="20"/>
      <w:lang w:eastAsia="en-US"/>
    </w:rPr>
  </w:style>
  <w:style w:type="paragraph" w:customStyle="1" w:styleId="1066">
    <w:name w:val="Название части"/>
    <w:basedOn w:val="1"/>
    <w:semiHidden/>
    <w:qFormat/>
    <w:uiPriority w:val="0"/>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1067">
    <w:name w:val="Подзаголовок главы"/>
    <w:basedOn w:val="85"/>
    <w:semiHidden/>
    <w:qFormat/>
    <w:uiPriority w:val="0"/>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1068">
    <w:name w:val="Название предприятия"/>
    <w:basedOn w:val="1"/>
    <w:semiHidden/>
    <w:qFormat/>
    <w:uiPriority w:val="0"/>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069">
    <w:name w:val="Маркированный_1"/>
    <w:basedOn w:val="1"/>
    <w:link w:val="1070"/>
    <w:qFormat/>
    <w:uiPriority w:val="99"/>
    <w:pPr>
      <w:numPr>
        <w:ilvl w:val="1"/>
        <w:numId w:val="18"/>
      </w:numPr>
      <w:tabs>
        <w:tab w:val="left" w:pos="900"/>
        <w:tab w:val="clear" w:pos="2149"/>
      </w:tabs>
      <w:spacing w:after="0"/>
      <w:ind w:left="0" w:firstLine="720"/>
      <w:jc w:val="both"/>
    </w:pPr>
    <w:rPr>
      <w:sz w:val="24"/>
      <w:szCs w:val="24"/>
    </w:rPr>
  </w:style>
  <w:style w:type="character" w:customStyle="1" w:styleId="1070">
    <w:name w:val="Маркированный_1 Знак"/>
    <w:basedOn w:val="11"/>
    <w:link w:val="1069"/>
    <w:uiPriority w:val="99"/>
    <w:rPr>
      <w:rFonts w:ascii="Times New Roman" w:hAnsi="Times New Roman" w:eastAsia="Times New Roman" w:cs="Times New Roman"/>
      <w:sz w:val="24"/>
      <w:szCs w:val="24"/>
      <w:lang w:eastAsia="ru-RU"/>
    </w:rPr>
  </w:style>
  <w:style w:type="paragraph" w:customStyle="1" w:styleId="1071">
    <w:name w:val="Текст таблицы"/>
    <w:basedOn w:val="1"/>
    <w:qFormat/>
    <w:uiPriority w:val="0"/>
    <w:pPr>
      <w:spacing w:before="60" w:after="0"/>
      <w:jc w:val="both"/>
    </w:pPr>
    <w:rPr>
      <w:rFonts w:ascii="Arial" w:hAnsi="Arial" w:cs="Arial"/>
      <w:spacing w:val="-5"/>
      <w:sz w:val="16"/>
      <w:szCs w:val="16"/>
      <w:lang w:eastAsia="en-US"/>
    </w:rPr>
  </w:style>
  <w:style w:type="paragraph" w:customStyle="1" w:styleId="1072">
    <w:name w:val="Подчеркнутый"/>
    <w:basedOn w:val="1"/>
    <w:link w:val="1073"/>
    <w:semiHidden/>
    <w:qFormat/>
    <w:uiPriority w:val="0"/>
    <w:pPr>
      <w:spacing w:after="0"/>
      <w:jc w:val="both"/>
    </w:pPr>
    <w:rPr>
      <w:sz w:val="24"/>
      <w:szCs w:val="24"/>
      <w:u w:val="single"/>
    </w:rPr>
  </w:style>
  <w:style w:type="character" w:customStyle="1" w:styleId="1073">
    <w:name w:val="Подчеркнутый Знак"/>
    <w:basedOn w:val="11"/>
    <w:link w:val="1072"/>
    <w:semiHidden/>
    <w:uiPriority w:val="0"/>
    <w:rPr>
      <w:rFonts w:ascii="Times New Roman" w:hAnsi="Times New Roman" w:eastAsia="Times New Roman" w:cs="Times New Roman"/>
      <w:sz w:val="24"/>
      <w:szCs w:val="24"/>
      <w:u w:val="single"/>
      <w:lang w:eastAsia="ru-RU"/>
    </w:rPr>
  </w:style>
  <w:style w:type="paragraph" w:customStyle="1" w:styleId="1074">
    <w:name w:val="Название документа"/>
    <w:basedOn w:val="1"/>
    <w:semiHidden/>
    <w:qFormat/>
    <w:uiPriority w:val="0"/>
    <w:pPr>
      <w:keepNext/>
      <w:keepLines/>
      <w:pBdr>
        <w:top w:val="single" w:color="auto" w:sz="48" w:space="31"/>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1075">
    <w:name w:val="Нижний колонтитул (четный)"/>
    <w:basedOn w:val="80"/>
    <w:semiHidden/>
    <w:uiPriority w:val="0"/>
    <w:pPr>
      <w:keepLines/>
      <w:pBdr>
        <w:top w:val="single" w:color="auto" w:sz="6" w:space="2"/>
      </w:pBdr>
      <w:tabs>
        <w:tab w:val="center" w:pos="4320"/>
        <w:tab w:val="right" w:pos="8640"/>
        <w:tab w:val="clear" w:pos="4677"/>
        <w:tab w:val="clear" w:pos="9355"/>
      </w:tabs>
      <w:spacing w:before="600" w:line="190" w:lineRule="atLeast"/>
      <w:ind w:left="1080"/>
    </w:pPr>
    <w:rPr>
      <w:rFonts w:ascii="Arial" w:hAnsi="Arial" w:cs="Arial"/>
      <w:caps/>
      <w:spacing w:val="-5"/>
      <w:sz w:val="15"/>
      <w:szCs w:val="15"/>
      <w:lang w:val="ru-RU" w:eastAsia="en-US"/>
    </w:rPr>
  </w:style>
  <w:style w:type="paragraph" w:customStyle="1" w:styleId="1076">
    <w:name w:val="Нижний колонтитул (первый)"/>
    <w:basedOn w:val="80"/>
    <w:semiHidden/>
    <w:uiPriority w:val="0"/>
    <w:pPr>
      <w:keepLines/>
      <w:pBdr>
        <w:top w:val="single" w:color="auto" w:sz="6" w:space="2"/>
      </w:pBdr>
      <w:tabs>
        <w:tab w:val="center" w:pos="4320"/>
        <w:tab w:val="right" w:pos="8640"/>
        <w:tab w:val="clear" w:pos="4677"/>
        <w:tab w:val="clear" w:pos="9355"/>
      </w:tabs>
      <w:spacing w:before="600" w:line="190" w:lineRule="atLeast"/>
      <w:ind w:left="1080"/>
    </w:pPr>
    <w:rPr>
      <w:rFonts w:ascii="Arial" w:hAnsi="Arial" w:cs="Arial"/>
      <w:caps/>
      <w:spacing w:val="-5"/>
      <w:sz w:val="15"/>
      <w:szCs w:val="15"/>
      <w:lang w:val="ru-RU" w:eastAsia="en-US"/>
    </w:rPr>
  </w:style>
  <w:style w:type="paragraph" w:customStyle="1" w:styleId="1077">
    <w:name w:val="Нижний колонтитул (нечетный)"/>
    <w:basedOn w:val="80"/>
    <w:semiHidden/>
    <w:uiPriority w:val="0"/>
    <w:pPr>
      <w:keepLines/>
      <w:pBdr>
        <w:top w:val="single" w:color="auto" w:sz="6" w:space="2"/>
      </w:pBdr>
      <w:tabs>
        <w:tab w:val="center" w:pos="4320"/>
        <w:tab w:val="right" w:pos="8640"/>
        <w:tab w:val="clear" w:pos="4677"/>
        <w:tab w:val="clear" w:pos="9355"/>
      </w:tabs>
      <w:spacing w:before="600" w:line="190" w:lineRule="atLeast"/>
      <w:ind w:left="1080"/>
    </w:pPr>
    <w:rPr>
      <w:rFonts w:ascii="Arial" w:hAnsi="Arial" w:cs="Arial"/>
      <w:caps/>
      <w:spacing w:val="-5"/>
      <w:sz w:val="15"/>
      <w:szCs w:val="15"/>
      <w:lang w:val="ru-RU" w:eastAsia="en-US"/>
    </w:rPr>
  </w:style>
  <w:style w:type="paragraph" w:customStyle="1" w:styleId="1078">
    <w:name w:val="Подзаголовок части"/>
    <w:basedOn w:val="1"/>
    <w:next w:val="58"/>
    <w:semiHidden/>
    <w:qFormat/>
    <w:uiPriority w:val="0"/>
    <w:pPr>
      <w:keepNext/>
      <w:spacing w:before="360" w:after="120"/>
      <w:ind w:left="1080"/>
      <w:jc w:val="both"/>
    </w:pPr>
    <w:rPr>
      <w:rFonts w:ascii="Arial" w:hAnsi="Arial" w:cs="Arial"/>
      <w:i/>
      <w:iCs/>
      <w:spacing w:val="-5"/>
      <w:kern w:val="28"/>
      <w:sz w:val="26"/>
      <w:szCs w:val="26"/>
      <w:lang w:eastAsia="en-US"/>
    </w:rPr>
  </w:style>
  <w:style w:type="paragraph" w:customStyle="1" w:styleId="1079">
    <w:name w:val="Обратный адрес"/>
    <w:basedOn w:val="1"/>
    <w:semiHidden/>
    <w:qFormat/>
    <w:uiPriority w:val="0"/>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1080">
    <w:name w:val="Название раздела"/>
    <w:basedOn w:val="1"/>
    <w:next w:val="58"/>
    <w:semiHidden/>
    <w:qFormat/>
    <w:uiPriority w:val="0"/>
    <w:pPr>
      <w:pBdr>
        <w:bottom w:val="single" w:color="auto" w:sz="6" w:space="2"/>
      </w:pBdr>
      <w:spacing w:before="360" w:after="960"/>
      <w:jc w:val="both"/>
    </w:pPr>
    <w:rPr>
      <w:rFonts w:ascii="Arial Black" w:hAnsi="Arial Black" w:cs="Arial Black"/>
      <w:spacing w:val="-35"/>
      <w:sz w:val="54"/>
      <w:szCs w:val="54"/>
    </w:rPr>
  </w:style>
  <w:style w:type="paragraph" w:customStyle="1" w:styleId="1081">
    <w:name w:val="Подзаголовок титульного листа"/>
    <w:basedOn w:val="1"/>
    <w:next w:val="58"/>
    <w:semiHidden/>
    <w:qFormat/>
    <w:uiPriority w:val="0"/>
    <w:pPr>
      <w:pBdr>
        <w:top w:val="single" w:color="auto" w:sz="6" w:space="24"/>
      </w:pBdr>
      <w:spacing w:after="0" w:line="480" w:lineRule="atLeast"/>
      <w:ind w:left="835" w:right="835"/>
      <w:jc w:val="both"/>
    </w:pPr>
    <w:rPr>
      <w:rFonts w:ascii="Arial" w:hAnsi="Arial" w:cs="Arial"/>
      <w:b/>
      <w:bCs/>
      <w:spacing w:val="-30"/>
      <w:sz w:val="48"/>
      <w:szCs w:val="48"/>
    </w:rPr>
  </w:style>
  <w:style w:type="character" w:customStyle="1" w:styleId="1082">
    <w:name w:val="Надстрочный"/>
    <w:semiHidden/>
    <w:uiPriority w:val="0"/>
    <w:rPr>
      <w:b/>
      <w:bCs/>
      <w:vertAlign w:val="superscript"/>
    </w:rPr>
  </w:style>
  <w:style w:type="character" w:customStyle="1" w:styleId="1083">
    <w:name w:val="Приветствие Знак"/>
    <w:basedOn w:val="11"/>
    <w:link w:val="87"/>
    <w:uiPriority w:val="0"/>
    <w:rPr>
      <w:rFonts w:ascii="Arial" w:hAnsi="Arial" w:eastAsia="Times New Roman" w:cs="Arial"/>
      <w:spacing w:val="-5"/>
      <w:sz w:val="20"/>
      <w:szCs w:val="20"/>
    </w:rPr>
  </w:style>
  <w:style w:type="character" w:customStyle="1" w:styleId="1084">
    <w:name w:val="Прощание Знак"/>
    <w:basedOn w:val="11"/>
    <w:link w:val="37"/>
    <w:uiPriority w:val="0"/>
    <w:rPr>
      <w:rFonts w:ascii="Arial" w:hAnsi="Arial" w:eastAsia="Times New Roman" w:cs="Arial"/>
      <w:spacing w:val="-5"/>
      <w:sz w:val="20"/>
      <w:szCs w:val="20"/>
    </w:rPr>
  </w:style>
  <w:style w:type="character" w:customStyle="1" w:styleId="1085">
    <w:name w:val="Электронная подпись Знак"/>
    <w:basedOn w:val="11"/>
    <w:link w:val="98"/>
    <w:uiPriority w:val="0"/>
    <w:rPr>
      <w:rFonts w:ascii="Arial" w:hAnsi="Arial" w:eastAsia="Times New Roman" w:cs="Arial"/>
      <w:spacing w:val="-5"/>
      <w:sz w:val="20"/>
      <w:szCs w:val="20"/>
    </w:rPr>
  </w:style>
  <w:style w:type="paragraph" w:customStyle="1" w:styleId="1086">
    <w:name w:val="Обычный в таблице"/>
    <w:basedOn w:val="1"/>
    <w:link w:val="1133"/>
    <w:qFormat/>
    <w:uiPriority w:val="0"/>
    <w:pPr>
      <w:spacing w:after="0"/>
      <w:jc w:val="both"/>
    </w:pPr>
    <w:rPr>
      <w:szCs w:val="28"/>
    </w:rPr>
  </w:style>
  <w:style w:type="table" w:customStyle="1" w:styleId="1087">
    <w:name w:val="Сетка таблицы20"/>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8">
    <w:name w:val="Заголовок_1 Знак Знак Знак"/>
    <w:basedOn w:val="11"/>
    <w:semiHidden/>
    <w:uiPriority w:val="0"/>
    <w:rPr>
      <w:b/>
      <w:caps/>
      <w:sz w:val="24"/>
      <w:szCs w:val="24"/>
      <w:lang w:val="ru-RU" w:eastAsia="ru-RU" w:bidi="ar-SA"/>
    </w:rPr>
  </w:style>
  <w:style w:type="paragraph" w:customStyle="1" w:styleId="1089">
    <w:name w:val="База заголовка"/>
    <w:basedOn w:val="1"/>
    <w:next w:val="58"/>
    <w:semiHidden/>
    <w:qFormat/>
    <w:uiPriority w:val="0"/>
    <w:pPr>
      <w:keepNext/>
      <w:keepLines/>
      <w:spacing w:before="140" w:after="0" w:line="220" w:lineRule="atLeast"/>
      <w:ind w:left="1080"/>
      <w:jc w:val="both"/>
    </w:pPr>
    <w:rPr>
      <w:rFonts w:ascii="Arial" w:hAnsi="Arial" w:cs="Arial"/>
      <w:spacing w:val="-4"/>
      <w:kern w:val="28"/>
      <w:sz w:val="22"/>
      <w:lang w:eastAsia="en-US"/>
    </w:rPr>
  </w:style>
  <w:style w:type="paragraph" w:customStyle="1" w:styleId="1090">
    <w:name w:val="Цитаты"/>
    <w:basedOn w:val="1"/>
    <w:semiHidden/>
    <w:qFormat/>
    <w:uiPriority w:val="0"/>
    <w:pPr>
      <w:pBdr>
        <w:top w:val="single" w:color="FFFFFF" w:sz="12" w:space="12"/>
        <w:left w:val="single" w:color="FFFFFF" w:sz="6" w:space="12"/>
        <w:bottom w:val="single" w:color="FFFFFF" w:sz="6" w:space="12"/>
        <w:right w:val="single" w:color="FFFFFF" w:sz="6" w:space="12"/>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1091">
    <w:name w:val="Заголовок части"/>
    <w:basedOn w:val="1"/>
    <w:semiHidden/>
    <w:qFormat/>
    <w:uiPriority w:val="0"/>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1092">
    <w:name w:val="Заголовок главы"/>
    <w:basedOn w:val="1"/>
    <w:semiHidden/>
    <w:qFormat/>
    <w:uiPriority w:val="0"/>
    <w:pPr>
      <w:spacing w:after="0"/>
      <w:jc w:val="center"/>
    </w:pPr>
    <w:rPr>
      <w:caps/>
      <w:sz w:val="24"/>
      <w:szCs w:val="24"/>
    </w:rPr>
  </w:style>
  <w:style w:type="paragraph" w:customStyle="1" w:styleId="1093">
    <w:name w:val="База сноски"/>
    <w:basedOn w:val="1"/>
    <w:semiHidden/>
    <w:qFormat/>
    <w:uiPriority w:val="0"/>
    <w:pPr>
      <w:keepLines/>
      <w:spacing w:after="0" w:line="200" w:lineRule="atLeast"/>
      <w:ind w:left="1080"/>
      <w:jc w:val="both"/>
    </w:pPr>
    <w:rPr>
      <w:rFonts w:ascii="Arial" w:hAnsi="Arial" w:cs="Arial"/>
      <w:spacing w:val="-5"/>
      <w:sz w:val="16"/>
      <w:szCs w:val="16"/>
      <w:lang w:eastAsia="en-US"/>
    </w:rPr>
  </w:style>
  <w:style w:type="paragraph" w:customStyle="1" w:styleId="1094">
    <w:name w:val="Заголовок титульного листа"/>
    <w:basedOn w:val="1089"/>
    <w:next w:val="1"/>
    <w:semiHidden/>
    <w:qFormat/>
    <w:uiPriority w:val="0"/>
    <w:pPr>
      <w:pBdr>
        <w:top w:val="single" w:color="auto" w:sz="48" w:space="31"/>
      </w:pBdr>
      <w:tabs>
        <w:tab w:val="left" w:pos="0"/>
      </w:tabs>
      <w:spacing w:before="240" w:after="500" w:line="640" w:lineRule="exact"/>
      <w:ind w:left="0"/>
    </w:pPr>
    <w:rPr>
      <w:rFonts w:ascii="Arial Black" w:hAnsi="Arial Black" w:cs="Arial Black"/>
      <w:b/>
      <w:bCs/>
      <w:spacing w:val="-48"/>
      <w:sz w:val="64"/>
      <w:szCs w:val="64"/>
    </w:rPr>
  </w:style>
  <w:style w:type="paragraph" w:customStyle="1" w:styleId="1095">
    <w:name w:val="База верхнего колонтитула"/>
    <w:basedOn w:val="1"/>
    <w:semiHidden/>
    <w:qFormat/>
    <w:uiPriority w:val="0"/>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1096">
    <w:name w:val="Верхний колонтитул (четный)"/>
    <w:basedOn w:val="54"/>
    <w:semiHidden/>
    <w:qFormat/>
    <w:uiPriority w:val="0"/>
    <w:pPr>
      <w:keepLines/>
      <w:pBdr>
        <w:bottom w:val="single" w:color="auto" w:sz="6" w:space="1"/>
      </w:pBdr>
      <w:tabs>
        <w:tab w:val="center" w:pos="4320"/>
        <w:tab w:val="right" w:pos="8640"/>
        <w:tab w:val="clear" w:pos="4677"/>
        <w:tab w:val="clear" w:pos="9355"/>
      </w:tabs>
      <w:spacing w:after="600" w:line="190" w:lineRule="atLeast"/>
      <w:ind w:left="1080"/>
    </w:pPr>
    <w:rPr>
      <w:rFonts w:ascii="Arial" w:hAnsi="Arial" w:cs="Arial"/>
      <w:caps/>
      <w:spacing w:val="-5"/>
      <w:sz w:val="15"/>
      <w:szCs w:val="15"/>
      <w:lang w:val="ru-RU" w:eastAsia="en-US"/>
    </w:rPr>
  </w:style>
  <w:style w:type="paragraph" w:customStyle="1" w:styleId="1097">
    <w:name w:val="Верхний колонтитул (первый)"/>
    <w:basedOn w:val="54"/>
    <w:semiHidden/>
    <w:qFormat/>
    <w:uiPriority w:val="0"/>
    <w:pPr>
      <w:keepLines/>
      <w:pBdr>
        <w:top w:val="single" w:color="auto" w:sz="6" w:space="2"/>
      </w:pBdr>
      <w:tabs>
        <w:tab w:val="center" w:pos="4320"/>
        <w:tab w:val="right" w:pos="8640"/>
        <w:tab w:val="clear" w:pos="4677"/>
        <w:tab w:val="clear" w:pos="9355"/>
      </w:tabs>
      <w:spacing w:line="190" w:lineRule="atLeast"/>
      <w:ind w:left="1080"/>
      <w:jc w:val="right"/>
    </w:pPr>
    <w:rPr>
      <w:rFonts w:ascii="Arial" w:hAnsi="Arial" w:cs="Arial"/>
      <w:caps/>
      <w:spacing w:val="-5"/>
      <w:sz w:val="15"/>
      <w:szCs w:val="15"/>
      <w:lang w:val="ru-RU" w:eastAsia="en-US"/>
    </w:rPr>
  </w:style>
  <w:style w:type="paragraph" w:customStyle="1" w:styleId="1098">
    <w:name w:val="Верхний колонтитул (нечетный)"/>
    <w:basedOn w:val="54"/>
    <w:semiHidden/>
    <w:qFormat/>
    <w:uiPriority w:val="0"/>
    <w:pPr>
      <w:keepLines/>
      <w:pBdr>
        <w:bottom w:val="single" w:color="auto" w:sz="6" w:space="1"/>
      </w:pBdr>
      <w:tabs>
        <w:tab w:val="center" w:pos="4320"/>
        <w:tab w:val="right" w:pos="8640"/>
        <w:tab w:val="clear" w:pos="4677"/>
        <w:tab w:val="clear" w:pos="9355"/>
      </w:tabs>
      <w:spacing w:after="600" w:line="190" w:lineRule="atLeast"/>
      <w:ind w:left="1080"/>
    </w:pPr>
    <w:rPr>
      <w:rFonts w:ascii="Arial" w:hAnsi="Arial" w:cs="Arial"/>
      <w:caps/>
      <w:spacing w:val="-5"/>
      <w:sz w:val="15"/>
      <w:szCs w:val="15"/>
      <w:lang w:val="ru-RU" w:eastAsia="en-US"/>
    </w:rPr>
  </w:style>
  <w:style w:type="paragraph" w:customStyle="1" w:styleId="1099">
    <w:name w:val="База указателя"/>
    <w:basedOn w:val="1"/>
    <w:semiHidden/>
    <w:qFormat/>
    <w:uiPriority w:val="0"/>
    <w:pPr>
      <w:spacing w:after="0" w:line="240" w:lineRule="atLeast"/>
      <w:ind w:left="360" w:hanging="360"/>
      <w:jc w:val="both"/>
    </w:pPr>
    <w:rPr>
      <w:rFonts w:ascii="Arial" w:hAnsi="Arial" w:cs="Arial"/>
      <w:spacing w:val="-5"/>
      <w:sz w:val="18"/>
      <w:szCs w:val="18"/>
      <w:lang w:eastAsia="en-US"/>
    </w:rPr>
  </w:style>
  <w:style w:type="character" w:customStyle="1" w:styleId="1100">
    <w:name w:val="Вступление"/>
    <w:semiHidden/>
    <w:uiPriority w:val="0"/>
    <w:rPr>
      <w:rFonts w:ascii="Arial Black" w:hAnsi="Arial Black" w:cs="Arial Black"/>
      <w:spacing w:val="-4"/>
      <w:sz w:val="18"/>
      <w:szCs w:val="18"/>
    </w:rPr>
  </w:style>
  <w:style w:type="paragraph" w:customStyle="1" w:styleId="1101">
    <w:name w:val="Заголовок таблицы"/>
    <w:basedOn w:val="1"/>
    <w:qFormat/>
    <w:uiPriority w:val="0"/>
    <w:pPr>
      <w:spacing w:before="60" w:after="0"/>
      <w:jc w:val="center"/>
    </w:pPr>
    <w:rPr>
      <w:rFonts w:ascii="Arial Black" w:hAnsi="Arial Black" w:cs="Arial Black"/>
      <w:spacing w:val="-5"/>
      <w:sz w:val="16"/>
      <w:szCs w:val="16"/>
      <w:lang w:eastAsia="en-US"/>
    </w:rPr>
  </w:style>
  <w:style w:type="character" w:customStyle="1" w:styleId="1102">
    <w:name w:val="Девиз"/>
    <w:basedOn w:val="11"/>
    <w:semiHidden/>
    <w:uiPriority w:val="0"/>
    <w:rPr>
      <w:i/>
      <w:iCs/>
      <w:spacing w:val="-6"/>
      <w:sz w:val="24"/>
      <w:szCs w:val="24"/>
      <w:lang w:val="ru-RU"/>
    </w:rPr>
  </w:style>
  <w:style w:type="paragraph" w:customStyle="1" w:styleId="1103">
    <w:name w:val="База оглавления"/>
    <w:basedOn w:val="1"/>
    <w:semiHidden/>
    <w:qFormat/>
    <w:uiPriority w:val="0"/>
    <w:pPr>
      <w:tabs>
        <w:tab w:val="right" w:leader="dot" w:pos="6480"/>
      </w:tabs>
      <w:spacing w:after="240" w:line="240" w:lineRule="atLeast"/>
      <w:jc w:val="both"/>
    </w:pPr>
    <w:rPr>
      <w:rFonts w:ascii="Arial" w:hAnsi="Arial" w:cs="Arial"/>
      <w:spacing w:val="-5"/>
      <w:sz w:val="20"/>
      <w:szCs w:val="20"/>
      <w:lang w:eastAsia="en-US"/>
    </w:rPr>
  </w:style>
  <w:style w:type="character" w:customStyle="1" w:styleId="1104">
    <w:name w:val="Адрес HTML Знак"/>
    <w:basedOn w:val="11"/>
    <w:link w:val="52"/>
    <w:uiPriority w:val="0"/>
    <w:rPr>
      <w:rFonts w:ascii="Arial" w:hAnsi="Arial" w:eastAsia="Times New Roman" w:cs="Arial"/>
      <w:i/>
      <w:iCs/>
      <w:spacing w:val="-5"/>
      <w:sz w:val="20"/>
      <w:szCs w:val="20"/>
    </w:rPr>
  </w:style>
  <w:style w:type="character" w:customStyle="1" w:styleId="1105">
    <w:name w:val="Дата Знак"/>
    <w:basedOn w:val="11"/>
    <w:link w:val="70"/>
    <w:uiPriority w:val="0"/>
    <w:rPr>
      <w:rFonts w:ascii="Arial" w:hAnsi="Arial" w:eastAsia="Times New Roman" w:cs="Arial"/>
      <w:spacing w:val="-5"/>
      <w:sz w:val="20"/>
      <w:szCs w:val="20"/>
    </w:rPr>
  </w:style>
  <w:style w:type="character" w:customStyle="1" w:styleId="1106">
    <w:name w:val="Заголовок записки Знак"/>
    <w:basedOn w:val="11"/>
    <w:link w:val="69"/>
    <w:uiPriority w:val="0"/>
    <w:rPr>
      <w:rFonts w:ascii="Arial" w:hAnsi="Arial" w:eastAsia="Times New Roman" w:cs="Arial"/>
      <w:spacing w:val="-5"/>
      <w:sz w:val="20"/>
      <w:szCs w:val="20"/>
    </w:rPr>
  </w:style>
  <w:style w:type="paragraph" w:customStyle="1" w:styleId="1107">
    <w:name w:val="Название объекта1"/>
    <w:basedOn w:val="1"/>
    <w:qFormat/>
    <w:uiPriority w:val="0"/>
    <w:pPr>
      <w:spacing w:after="0"/>
      <w:ind w:left="1080"/>
      <w:jc w:val="both"/>
    </w:pPr>
    <w:rPr>
      <w:rFonts w:ascii="Arial" w:hAnsi="Arial" w:cs="Arial"/>
      <w:spacing w:val="-5"/>
      <w:sz w:val="20"/>
      <w:szCs w:val="20"/>
    </w:rPr>
  </w:style>
  <w:style w:type="character" w:customStyle="1" w:styleId="1108">
    <w:name w:val="Знак11"/>
    <w:basedOn w:val="11"/>
    <w:semiHidden/>
    <w:uiPriority w:val="0"/>
    <w:rPr>
      <w:rFonts w:ascii="Arial" w:hAnsi="Arial" w:cs="Arial"/>
      <w:b/>
      <w:bCs/>
      <w:i/>
      <w:iCs/>
      <w:sz w:val="28"/>
      <w:szCs w:val="28"/>
      <w:lang w:val="ru-RU" w:eastAsia="ru-RU" w:bidi="ar-SA"/>
    </w:rPr>
  </w:style>
  <w:style w:type="paragraph" w:customStyle="1" w:styleId="1109">
    <w:name w:val="Основной текст 22"/>
    <w:basedOn w:val="1"/>
    <w:qFormat/>
    <w:uiPriority w:val="0"/>
    <w:pPr>
      <w:spacing w:after="0"/>
      <w:ind w:left="426" w:hanging="426"/>
      <w:jc w:val="both"/>
    </w:pPr>
    <w:rPr>
      <w:b/>
      <w:szCs w:val="20"/>
    </w:rPr>
  </w:style>
  <w:style w:type="paragraph" w:customStyle="1" w:styleId="1110">
    <w:name w:val="Цитата1"/>
    <w:basedOn w:val="1"/>
    <w:semiHidden/>
    <w:qFormat/>
    <w:uiPriority w:val="0"/>
    <w:pPr>
      <w:spacing w:after="0"/>
      <w:ind w:left="526" w:right="43"/>
      <w:jc w:val="both"/>
    </w:pPr>
    <w:rPr>
      <w:szCs w:val="20"/>
    </w:rPr>
  </w:style>
  <w:style w:type="paragraph" w:customStyle="1" w:styleId="1111">
    <w:name w:val="Маркированный список1"/>
    <w:basedOn w:val="1"/>
    <w:semiHidden/>
    <w:qFormat/>
    <w:uiPriority w:val="0"/>
    <w:pPr>
      <w:spacing w:before="100" w:beforeAutospacing="1" w:after="100" w:afterAutospacing="1"/>
      <w:jc w:val="both"/>
    </w:pPr>
    <w:rPr>
      <w:szCs w:val="24"/>
    </w:rPr>
  </w:style>
  <w:style w:type="paragraph" w:customStyle="1" w:styleId="1112">
    <w:name w:val="Нумерованный список1"/>
    <w:basedOn w:val="1"/>
    <w:semiHidden/>
    <w:qFormat/>
    <w:uiPriority w:val="0"/>
    <w:pPr>
      <w:spacing w:before="100" w:beforeAutospacing="1" w:after="100" w:afterAutospacing="1"/>
      <w:jc w:val="both"/>
    </w:pPr>
    <w:rPr>
      <w:szCs w:val="24"/>
    </w:rPr>
  </w:style>
  <w:style w:type="table" w:customStyle="1" w:styleId="1113">
    <w:name w:val="Веб-таблица 37"/>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1114">
    <w:name w:val="Изысканная таблица8"/>
    <w:basedOn w:val="12"/>
    <w:semiHidden/>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1115">
    <w:name w:val="Изящная таблица 17"/>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116">
    <w:name w:val="Объемная таблица 37"/>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117">
    <w:name w:val="Современная таблица7"/>
    <w:basedOn w:val="12"/>
    <w:semiHidden/>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1118">
    <w:name w:val="Стандартная таблица7"/>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119">
    <w:name w:val="Столбцы таблицы 17"/>
    <w:basedOn w:val="12"/>
    <w:semiHidden/>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120">
    <w:name w:val="Столбцы таблицы 57"/>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1121">
    <w:name w:val="Таблица-список 27"/>
    <w:basedOn w:val="12"/>
    <w:semiHidden/>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122">
    <w:name w:val="Таблица-список 77"/>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1123">
    <w:name w:val="Таблица-список 87"/>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character" w:customStyle="1" w:styleId="1124">
    <w:name w:val="Заголовок_1"/>
    <w:semiHidden/>
    <w:uiPriority w:val="0"/>
    <w:rPr>
      <w:caps/>
    </w:rPr>
  </w:style>
  <w:style w:type="character" w:customStyle="1" w:styleId="1125">
    <w:name w:val="Маркированный_1 Знак Знак"/>
    <w:basedOn w:val="11"/>
    <w:semiHidden/>
    <w:uiPriority w:val="0"/>
    <w:rPr>
      <w:sz w:val="24"/>
      <w:szCs w:val="24"/>
      <w:lang w:val="ru-RU" w:eastAsia="ru-RU" w:bidi="ar-SA"/>
    </w:rPr>
  </w:style>
  <w:style w:type="character" w:customStyle="1" w:styleId="1126">
    <w:name w:val="Подчеркнутый Знак Знак"/>
    <w:basedOn w:val="11"/>
    <w:semiHidden/>
    <w:uiPriority w:val="0"/>
    <w:rPr>
      <w:sz w:val="24"/>
      <w:szCs w:val="24"/>
      <w:u w:val="single"/>
      <w:lang w:val="ru-RU" w:eastAsia="ru-RU" w:bidi="ar-SA"/>
    </w:rPr>
  </w:style>
  <w:style w:type="paragraph" w:customStyle="1" w:styleId="1127">
    <w:name w:val="Статья"/>
    <w:basedOn w:val="1"/>
    <w:semiHidden/>
    <w:qFormat/>
    <w:uiPriority w:val="0"/>
    <w:pPr>
      <w:spacing w:after="0" w:line="240" w:lineRule="auto"/>
      <w:ind w:firstLine="0"/>
      <w:jc w:val="both"/>
    </w:pPr>
    <w:rPr>
      <w:sz w:val="24"/>
      <w:szCs w:val="24"/>
    </w:rPr>
  </w:style>
  <w:style w:type="paragraph" w:customStyle="1" w:styleId="1128">
    <w:name w:val="текст 1"/>
    <w:basedOn w:val="1"/>
    <w:next w:val="1"/>
    <w:semiHidden/>
    <w:qFormat/>
    <w:uiPriority w:val="0"/>
    <w:pPr>
      <w:spacing w:after="0" w:line="240" w:lineRule="auto"/>
      <w:ind w:firstLine="540"/>
      <w:jc w:val="both"/>
    </w:pPr>
    <w:rPr>
      <w:sz w:val="20"/>
      <w:szCs w:val="24"/>
    </w:rPr>
  </w:style>
  <w:style w:type="paragraph" w:customStyle="1" w:styleId="1129">
    <w:name w:val="Заголовок таблици"/>
    <w:basedOn w:val="1128"/>
    <w:semiHidden/>
    <w:qFormat/>
    <w:uiPriority w:val="0"/>
    <w:rPr>
      <w:sz w:val="22"/>
    </w:rPr>
  </w:style>
  <w:style w:type="paragraph" w:customStyle="1" w:styleId="1130">
    <w:name w:val="Номер таблици"/>
    <w:basedOn w:val="1"/>
    <w:next w:val="1"/>
    <w:semiHidden/>
    <w:qFormat/>
    <w:uiPriority w:val="0"/>
    <w:pPr>
      <w:spacing w:after="0" w:line="240" w:lineRule="auto"/>
      <w:ind w:firstLine="0"/>
      <w:jc w:val="right"/>
    </w:pPr>
    <w:rPr>
      <w:b/>
      <w:sz w:val="20"/>
      <w:szCs w:val="24"/>
    </w:rPr>
  </w:style>
  <w:style w:type="paragraph" w:customStyle="1" w:styleId="1131">
    <w:name w:val="Приложение"/>
    <w:basedOn w:val="1"/>
    <w:next w:val="1"/>
    <w:qFormat/>
    <w:uiPriority w:val="0"/>
    <w:pPr>
      <w:spacing w:after="0" w:line="240" w:lineRule="auto"/>
      <w:ind w:firstLine="0"/>
      <w:jc w:val="right"/>
    </w:pPr>
    <w:rPr>
      <w:sz w:val="20"/>
      <w:szCs w:val="24"/>
    </w:rPr>
  </w:style>
  <w:style w:type="paragraph" w:customStyle="1" w:styleId="1132">
    <w:name w:val="Обычный по таблице"/>
    <w:basedOn w:val="1"/>
    <w:semiHidden/>
    <w:qFormat/>
    <w:uiPriority w:val="0"/>
    <w:pPr>
      <w:spacing w:after="0" w:line="240" w:lineRule="auto"/>
      <w:ind w:firstLine="0"/>
    </w:pPr>
    <w:rPr>
      <w:sz w:val="24"/>
      <w:szCs w:val="24"/>
    </w:rPr>
  </w:style>
  <w:style w:type="character" w:customStyle="1" w:styleId="1133">
    <w:name w:val="Обычный в таблице Знак"/>
    <w:basedOn w:val="11"/>
    <w:link w:val="1086"/>
    <w:semiHidden/>
    <w:uiPriority w:val="0"/>
    <w:rPr>
      <w:rFonts w:ascii="Times New Roman" w:hAnsi="Times New Roman" w:eastAsia="Times New Roman" w:cs="Times New Roman"/>
      <w:sz w:val="28"/>
      <w:szCs w:val="28"/>
      <w:lang w:eastAsia="ru-RU"/>
    </w:rPr>
  </w:style>
  <w:style w:type="character" w:customStyle="1" w:styleId="1134">
    <w:name w:val="Знак Знак13"/>
    <w:basedOn w:val="11"/>
    <w:uiPriority w:val="0"/>
    <w:rPr>
      <w:sz w:val="24"/>
      <w:szCs w:val="24"/>
      <w:u w:val="single"/>
      <w:lang w:val="ru-RU" w:eastAsia="ru-RU" w:bidi="ar-SA"/>
    </w:rPr>
  </w:style>
  <w:style w:type="character" w:customStyle="1" w:styleId="1135">
    <w:name w:val="Маркированный_1 Знак Знак Знак"/>
    <w:basedOn w:val="11"/>
    <w:semiHidden/>
    <w:uiPriority w:val="0"/>
    <w:rPr>
      <w:sz w:val="24"/>
      <w:szCs w:val="24"/>
      <w:lang w:val="ru-RU" w:eastAsia="ru-RU" w:bidi="ar-SA"/>
    </w:rPr>
  </w:style>
  <w:style w:type="character" w:customStyle="1" w:styleId="1136">
    <w:name w:val="Знак Знак Знак Знак3"/>
    <w:basedOn w:val="11"/>
    <w:uiPriority w:val="0"/>
    <w:rPr>
      <w:sz w:val="24"/>
      <w:szCs w:val="24"/>
      <w:lang w:val="ru-RU" w:eastAsia="ru-RU" w:bidi="ar-SA"/>
    </w:rPr>
  </w:style>
  <w:style w:type="paragraph" w:customStyle="1" w:styleId="1137">
    <w:name w:val="xl23"/>
    <w:basedOn w:val="1"/>
    <w:qFormat/>
    <w:uiPriority w:val="0"/>
    <w:pPr>
      <w:pBdr>
        <w:left w:val="single" w:color="auto" w:sz="8" w:space="0"/>
        <w:bottom w:val="single" w:color="auto" w:sz="8" w:space="0"/>
        <w:right w:val="single" w:color="auto" w:sz="8" w:space="0"/>
      </w:pBdr>
      <w:spacing w:before="100" w:beforeAutospacing="1" w:after="100" w:afterAutospacing="1" w:line="240" w:lineRule="auto"/>
      <w:ind w:firstLine="0"/>
      <w:jc w:val="center"/>
    </w:pPr>
    <w:rPr>
      <w:sz w:val="24"/>
      <w:szCs w:val="24"/>
    </w:rPr>
  </w:style>
  <w:style w:type="character" w:customStyle="1" w:styleId="1138">
    <w:name w:val="Знак3 Знак Знак"/>
    <w:basedOn w:val="11"/>
    <w:semiHidden/>
    <w:uiPriority w:val="0"/>
    <w:rPr>
      <w:b/>
      <w:sz w:val="24"/>
      <w:szCs w:val="24"/>
      <w:u w:val="single"/>
      <w:lang w:val="ru-RU" w:eastAsia="ru-RU" w:bidi="ar-SA"/>
    </w:rPr>
  </w:style>
  <w:style w:type="character" w:customStyle="1" w:styleId="1139">
    <w:name w:val="Подчеркнутый Знак Знак Знак"/>
    <w:basedOn w:val="11"/>
    <w:semiHidden/>
    <w:uiPriority w:val="0"/>
    <w:rPr>
      <w:sz w:val="24"/>
      <w:szCs w:val="24"/>
      <w:u w:val="single"/>
      <w:lang w:val="ru-RU" w:eastAsia="ru-RU" w:bidi="ar-SA"/>
    </w:rPr>
  </w:style>
  <w:style w:type="character" w:customStyle="1" w:styleId="1140">
    <w:name w:val="Маркированный_1 Знак Знак Знак Знак"/>
    <w:basedOn w:val="11"/>
    <w:semiHidden/>
    <w:uiPriority w:val="0"/>
    <w:rPr>
      <w:sz w:val="24"/>
      <w:szCs w:val="24"/>
      <w:lang w:val="ru-RU" w:eastAsia="ru-RU" w:bidi="ar-SA"/>
    </w:rPr>
  </w:style>
  <w:style w:type="character" w:customStyle="1" w:styleId="1141">
    <w:name w:val="Знак2 Знак Знак"/>
    <w:basedOn w:val="11"/>
    <w:semiHidden/>
    <w:uiPriority w:val="0"/>
    <w:rPr>
      <w:b/>
      <w:bCs/>
      <w:sz w:val="24"/>
      <w:szCs w:val="24"/>
      <w:lang w:val="ru-RU" w:eastAsia="ru-RU" w:bidi="ar-SA"/>
    </w:rPr>
  </w:style>
  <w:style w:type="character" w:customStyle="1" w:styleId="1142">
    <w:name w:val="Подчеркнутый Знак Знак1"/>
    <w:basedOn w:val="11"/>
    <w:semiHidden/>
    <w:uiPriority w:val="0"/>
    <w:rPr>
      <w:sz w:val="24"/>
      <w:szCs w:val="24"/>
      <w:u w:val="single"/>
      <w:lang w:val="ru-RU" w:eastAsia="ru-RU" w:bidi="ar-SA"/>
    </w:rPr>
  </w:style>
  <w:style w:type="character" w:customStyle="1" w:styleId="1143">
    <w:name w:val="Знак1 Знак Знак1"/>
    <w:basedOn w:val="11"/>
    <w:semiHidden/>
    <w:uiPriority w:val="0"/>
    <w:rPr>
      <w:sz w:val="24"/>
      <w:szCs w:val="24"/>
      <w:lang w:val="ru-RU" w:eastAsia="ru-RU" w:bidi="ar-SA"/>
    </w:rPr>
  </w:style>
  <w:style w:type="paragraph" w:customStyle="1" w:styleId="1144">
    <w:name w:val="S_Заголовок 1"/>
    <w:basedOn w:val="1062"/>
    <w:qFormat/>
    <w:uiPriority w:val="0"/>
    <w:pPr>
      <w:numPr>
        <w:ilvl w:val="0"/>
        <w:numId w:val="19"/>
      </w:numPr>
      <w:tabs>
        <w:tab w:val="left" w:pos="1077"/>
        <w:tab w:val="clear" w:pos="360"/>
      </w:tabs>
      <w:spacing w:line="240" w:lineRule="auto"/>
      <w:ind w:left="1077" w:hanging="368"/>
    </w:pPr>
  </w:style>
  <w:style w:type="paragraph" w:customStyle="1" w:styleId="1145">
    <w:name w:val="S_Заголовок 2"/>
    <w:basedOn w:val="3"/>
    <w:autoRedefine/>
    <w:qFormat/>
    <w:uiPriority w:val="0"/>
    <w:pPr>
      <w:keepLines w:val="0"/>
      <w:numPr>
        <w:ilvl w:val="0"/>
        <w:numId w:val="0"/>
      </w:numPr>
      <w:spacing w:before="0"/>
      <w:ind w:firstLine="567"/>
    </w:pPr>
    <w:rPr>
      <w:rFonts w:eastAsia="Times New Roman" w:cs="Times New Roman"/>
      <w:b w:val="0"/>
      <w:color w:val="auto"/>
      <w:szCs w:val="28"/>
    </w:rPr>
  </w:style>
  <w:style w:type="paragraph" w:customStyle="1" w:styleId="1146">
    <w:name w:val="S_Заголовок 3"/>
    <w:basedOn w:val="4"/>
    <w:link w:val="1157"/>
    <w:qFormat/>
    <w:uiPriority w:val="0"/>
    <w:pPr>
      <w:keepLines w:val="0"/>
      <w:numPr>
        <w:numId w:val="19"/>
      </w:numPr>
      <w:tabs>
        <w:tab w:val="left" w:pos="1800"/>
      </w:tabs>
      <w:spacing w:before="0"/>
      <w:jc w:val="left"/>
    </w:pPr>
    <w:rPr>
      <w:rFonts w:eastAsia="Times New Roman" w:cs="Times New Roman"/>
      <w:b w:val="0"/>
      <w:sz w:val="24"/>
      <w:u w:val="single"/>
    </w:rPr>
  </w:style>
  <w:style w:type="paragraph" w:customStyle="1" w:styleId="1147">
    <w:name w:val="S_Заголовок 4"/>
    <w:basedOn w:val="5"/>
    <w:link w:val="1148"/>
    <w:qFormat/>
    <w:uiPriority w:val="0"/>
    <w:pPr>
      <w:keepNext w:val="0"/>
      <w:keepLines w:val="0"/>
      <w:numPr>
        <w:numId w:val="19"/>
      </w:numPr>
      <w:tabs>
        <w:tab w:val="left" w:pos="1800"/>
      </w:tabs>
      <w:spacing w:before="0" w:line="240" w:lineRule="auto"/>
    </w:pPr>
    <w:rPr>
      <w:rFonts w:ascii="Times New Roman" w:hAnsi="Times New Roman" w:eastAsia="Times New Roman" w:cs="Times New Roman"/>
      <w:iCs w:val="0"/>
      <w:color w:val="auto"/>
      <w:sz w:val="24"/>
      <w:szCs w:val="24"/>
    </w:rPr>
  </w:style>
  <w:style w:type="character" w:customStyle="1" w:styleId="1148">
    <w:name w:val="S_Заголовок 4 Знак"/>
    <w:basedOn w:val="11"/>
    <w:link w:val="1147"/>
    <w:uiPriority w:val="0"/>
    <w:rPr>
      <w:rFonts w:ascii="Times New Roman" w:hAnsi="Times New Roman" w:eastAsia="Times New Roman" w:cs="Times New Roman"/>
      <w:i/>
      <w:sz w:val="24"/>
      <w:szCs w:val="24"/>
      <w:lang w:eastAsia="ru-RU"/>
    </w:rPr>
  </w:style>
  <w:style w:type="paragraph" w:customStyle="1" w:styleId="1149">
    <w:name w:val="S_Маркированный"/>
    <w:basedOn w:val="76"/>
    <w:link w:val="1156"/>
    <w:autoRedefine/>
    <w:qFormat/>
    <w:uiPriority w:val="0"/>
    <w:pPr>
      <w:numPr>
        <w:ilvl w:val="0"/>
        <w:numId w:val="20"/>
      </w:numPr>
      <w:spacing w:line="360" w:lineRule="auto"/>
      <w:jc w:val="both"/>
    </w:pPr>
  </w:style>
  <w:style w:type="paragraph" w:customStyle="1" w:styleId="1150">
    <w:name w:val="S_Обычный"/>
    <w:basedOn w:val="1"/>
    <w:link w:val="1153"/>
    <w:qFormat/>
    <w:uiPriority w:val="0"/>
    <w:pPr>
      <w:spacing w:after="0"/>
      <w:jc w:val="both"/>
    </w:pPr>
    <w:rPr>
      <w:sz w:val="24"/>
      <w:szCs w:val="24"/>
    </w:rPr>
  </w:style>
  <w:style w:type="paragraph" w:customStyle="1" w:styleId="1151">
    <w:name w:val="S_Обычный в таблице"/>
    <w:basedOn w:val="1"/>
    <w:link w:val="1152"/>
    <w:qFormat/>
    <w:uiPriority w:val="0"/>
    <w:pPr>
      <w:spacing w:after="0"/>
      <w:ind w:firstLine="0"/>
      <w:jc w:val="center"/>
    </w:pPr>
    <w:rPr>
      <w:sz w:val="24"/>
      <w:szCs w:val="24"/>
    </w:rPr>
  </w:style>
  <w:style w:type="character" w:customStyle="1" w:styleId="1152">
    <w:name w:val="S_Обычный в таблице Знак"/>
    <w:basedOn w:val="11"/>
    <w:link w:val="1151"/>
    <w:uiPriority w:val="0"/>
    <w:rPr>
      <w:rFonts w:ascii="Times New Roman" w:hAnsi="Times New Roman" w:eastAsia="Times New Roman" w:cs="Times New Roman"/>
      <w:sz w:val="24"/>
      <w:szCs w:val="24"/>
      <w:lang w:eastAsia="ru-RU"/>
    </w:rPr>
  </w:style>
  <w:style w:type="character" w:customStyle="1" w:styleId="1153">
    <w:name w:val="S_Обычный Знак"/>
    <w:basedOn w:val="11"/>
    <w:link w:val="1150"/>
    <w:uiPriority w:val="0"/>
    <w:rPr>
      <w:rFonts w:ascii="Times New Roman" w:hAnsi="Times New Roman" w:eastAsia="Times New Roman" w:cs="Times New Roman"/>
      <w:sz w:val="24"/>
      <w:szCs w:val="24"/>
      <w:lang w:eastAsia="ru-RU"/>
    </w:rPr>
  </w:style>
  <w:style w:type="paragraph" w:customStyle="1" w:styleId="1154">
    <w:name w:val="S_Титульный"/>
    <w:basedOn w:val="1150"/>
    <w:qFormat/>
    <w:uiPriority w:val="0"/>
    <w:pPr>
      <w:ind w:left="3240" w:firstLine="0"/>
      <w:jc w:val="right"/>
    </w:pPr>
    <w:rPr>
      <w:b/>
      <w:sz w:val="32"/>
      <w:szCs w:val="32"/>
    </w:rPr>
  </w:style>
  <w:style w:type="character" w:customStyle="1" w:styleId="1155">
    <w:name w:val="Маркированный список Знак"/>
    <w:basedOn w:val="1070"/>
    <w:link w:val="76"/>
    <w:uiPriority w:val="0"/>
    <w:rPr>
      <w:rFonts w:ascii="Times New Roman" w:hAnsi="Times New Roman" w:eastAsia="Times New Roman" w:cs="Times New Roman"/>
      <w:sz w:val="24"/>
      <w:szCs w:val="24"/>
      <w:lang w:eastAsia="ru-RU"/>
    </w:rPr>
  </w:style>
  <w:style w:type="character" w:customStyle="1" w:styleId="1156">
    <w:name w:val="S_Маркированный Знак Знак"/>
    <w:basedOn w:val="1155"/>
    <w:link w:val="1149"/>
    <w:uiPriority w:val="0"/>
    <w:rPr>
      <w:rFonts w:ascii="Times New Roman" w:hAnsi="Times New Roman" w:eastAsia="Times New Roman" w:cs="Times New Roman"/>
      <w:sz w:val="24"/>
      <w:szCs w:val="24"/>
      <w:lang w:eastAsia="ru-RU"/>
    </w:rPr>
  </w:style>
  <w:style w:type="character" w:customStyle="1" w:styleId="1157">
    <w:name w:val="S_Заголовок 3 Знак"/>
    <w:basedOn w:val="145"/>
    <w:link w:val="1146"/>
    <w:uiPriority w:val="0"/>
    <w:rPr>
      <w:rFonts w:ascii="Times New Roman" w:hAnsi="Times New Roman" w:eastAsia="Times New Roman" w:cs="Times New Roman"/>
      <w:b w:val="0"/>
      <w:sz w:val="24"/>
      <w:szCs w:val="24"/>
      <w:u w:val="single"/>
      <w:lang w:eastAsia="ru-RU"/>
    </w:rPr>
  </w:style>
  <w:style w:type="paragraph" w:customStyle="1" w:styleId="1158">
    <w:name w:val="S_Заголовок таблицы"/>
    <w:basedOn w:val="1"/>
    <w:qFormat/>
    <w:uiPriority w:val="0"/>
    <w:pPr>
      <w:spacing w:after="0"/>
      <w:jc w:val="center"/>
    </w:pPr>
    <w:rPr>
      <w:sz w:val="24"/>
      <w:szCs w:val="24"/>
      <w:u w:val="single"/>
    </w:rPr>
  </w:style>
  <w:style w:type="paragraph" w:customStyle="1" w:styleId="1159">
    <w:name w:val="S_рисунок"/>
    <w:basedOn w:val="1"/>
    <w:autoRedefine/>
    <w:qFormat/>
    <w:uiPriority w:val="0"/>
    <w:pPr>
      <w:numPr>
        <w:ilvl w:val="0"/>
        <w:numId w:val="21"/>
      </w:numPr>
      <w:spacing w:after="0"/>
      <w:jc w:val="right"/>
    </w:pPr>
    <w:rPr>
      <w:sz w:val="24"/>
      <w:szCs w:val="24"/>
    </w:rPr>
  </w:style>
  <w:style w:type="paragraph" w:customStyle="1" w:styleId="1160">
    <w:name w:val="S_Таблица"/>
    <w:basedOn w:val="1"/>
    <w:link w:val="1161"/>
    <w:autoRedefine/>
    <w:qFormat/>
    <w:uiPriority w:val="0"/>
    <w:pPr>
      <w:numPr>
        <w:ilvl w:val="0"/>
        <w:numId w:val="22"/>
      </w:numPr>
      <w:spacing w:after="0"/>
      <w:ind w:right="283"/>
      <w:jc w:val="right"/>
    </w:pPr>
    <w:rPr>
      <w:sz w:val="24"/>
      <w:szCs w:val="24"/>
    </w:rPr>
  </w:style>
  <w:style w:type="character" w:customStyle="1" w:styleId="1161">
    <w:name w:val="S_Таблица Знак Знак"/>
    <w:basedOn w:val="11"/>
    <w:link w:val="1160"/>
    <w:uiPriority w:val="0"/>
    <w:rPr>
      <w:rFonts w:ascii="Times New Roman" w:hAnsi="Times New Roman" w:eastAsia="Times New Roman" w:cs="Times New Roman"/>
      <w:sz w:val="24"/>
      <w:szCs w:val="24"/>
      <w:lang w:eastAsia="ru-RU"/>
    </w:rPr>
  </w:style>
  <w:style w:type="paragraph" w:customStyle="1" w:styleId="1162">
    <w:name w:val="Т"/>
    <w:basedOn w:val="1"/>
    <w:autoRedefine/>
    <w:qFormat/>
    <w:uiPriority w:val="0"/>
    <w:pPr>
      <w:tabs>
        <w:tab w:val="left" w:pos="834"/>
      </w:tabs>
      <w:spacing w:after="0"/>
      <w:ind w:left="834" w:right="-158" w:hanging="114"/>
      <w:jc w:val="right"/>
    </w:pPr>
    <w:rPr>
      <w:sz w:val="24"/>
      <w:szCs w:val="24"/>
    </w:rPr>
  </w:style>
  <w:style w:type="paragraph" w:customStyle="1" w:styleId="1163">
    <w:name w:val="Осн_текст"/>
    <w:basedOn w:val="1"/>
    <w:qFormat/>
    <w:uiPriority w:val="0"/>
    <w:pPr>
      <w:spacing w:before="120" w:after="120"/>
      <w:jc w:val="both"/>
    </w:pPr>
    <w:rPr>
      <w:sz w:val="26"/>
      <w:szCs w:val="26"/>
    </w:rPr>
  </w:style>
  <w:style w:type="character" w:customStyle="1" w:styleId="1164">
    <w:name w:val="S_Маркированный Знак"/>
    <w:basedOn w:val="11"/>
    <w:uiPriority w:val="0"/>
    <w:rPr>
      <w:sz w:val="24"/>
      <w:szCs w:val="24"/>
      <w:lang w:val="ru-RU" w:eastAsia="ru-RU" w:bidi="ar-SA"/>
    </w:rPr>
  </w:style>
  <w:style w:type="character" w:customStyle="1" w:styleId="1165">
    <w:name w:val="S_Маркированный Знак Знак1"/>
    <w:basedOn w:val="11"/>
    <w:uiPriority w:val="0"/>
    <w:rPr>
      <w:sz w:val="24"/>
      <w:szCs w:val="24"/>
      <w:lang w:val="ru-RU" w:eastAsia="ru-RU" w:bidi="ar-SA"/>
    </w:rPr>
  </w:style>
  <w:style w:type="paragraph" w:customStyle="1" w:styleId="1166">
    <w:name w:val="- S_Маркированный"/>
    <w:basedOn w:val="1"/>
    <w:autoRedefine/>
    <w:qFormat/>
    <w:uiPriority w:val="0"/>
    <w:pPr>
      <w:framePr w:hSpace="180" w:wrap="around" w:vAnchor="text" w:hAnchor="margin" w:xAlign="center" w:y="92"/>
      <w:spacing w:after="0" w:line="240" w:lineRule="auto"/>
      <w:ind w:firstLine="0"/>
    </w:pPr>
    <w:rPr>
      <w:sz w:val="24"/>
      <w:szCs w:val="24"/>
    </w:rPr>
  </w:style>
  <w:style w:type="paragraph" w:customStyle="1" w:styleId="1167">
    <w:name w:val="УГТП-Заголовок 2"/>
    <w:basedOn w:val="1"/>
    <w:semiHidden/>
    <w:qFormat/>
    <w:uiPriority w:val="0"/>
    <w:pPr>
      <w:spacing w:before="240" w:after="0" w:line="240" w:lineRule="auto"/>
      <w:ind w:left="284" w:right="284" w:firstLine="851"/>
      <w:jc w:val="both"/>
    </w:pPr>
    <w:rPr>
      <w:rFonts w:ascii="Arial" w:hAnsi="Arial" w:cs="Arial"/>
      <w:b/>
      <w:szCs w:val="28"/>
    </w:rPr>
  </w:style>
  <w:style w:type="paragraph" w:customStyle="1" w:styleId="1168">
    <w:name w:val="S_Обычный с подчеркиванием"/>
    <w:basedOn w:val="1"/>
    <w:link w:val="1169"/>
    <w:qFormat/>
    <w:uiPriority w:val="0"/>
    <w:pPr>
      <w:spacing w:after="0"/>
      <w:jc w:val="both"/>
    </w:pPr>
    <w:rPr>
      <w:sz w:val="24"/>
      <w:szCs w:val="24"/>
      <w:u w:val="single"/>
    </w:rPr>
  </w:style>
  <w:style w:type="character" w:customStyle="1" w:styleId="1169">
    <w:name w:val="S_Обычный с подчеркиванием Знак"/>
    <w:basedOn w:val="11"/>
    <w:link w:val="1168"/>
    <w:uiPriority w:val="0"/>
    <w:rPr>
      <w:rFonts w:ascii="Times New Roman" w:hAnsi="Times New Roman" w:eastAsia="Times New Roman" w:cs="Times New Roman"/>
      <w:sz w:val="24"/>
      <w:szCs w:val="24"/>
      <w:u w:val="single"/>
      <w:lang w:eastAsia="ru-RU"/>
    </w:rPr>
  </w:style>
  <w:style w:type="table" w:customStyle="1" w:styleId="1170">
    <w:name w:val="Сетка таблицы118"/>
    <w:basedOn w:val="12"/>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71">
    <w:name w:val="мой простой"/>
    <w:basedOn w:val="1"/>
    <w:link w:val="1172"/>
    <w:qFormat/>
    <w:uiPriority w:val="0"/>
    <w:pPr>
      <w:spacing w:after="0"/>
      <w:ind w:left="-113" w:firstLine="851"/>
      <w:jc w:val="both"/>
    </w:pPr>
    <w:rPr>
      <w:sz w:val="24"/>
      <w:szCs w:val="24"/>
    </w:rPr>
  </w:style>
  <w:style w:type="character" w:customStyle="1" w:styleId="1172">
    <w:name w:val="мой простой Знак"/>
    <w:link w:val="1171"/>
    <w:locked/>
    <w:uiPriority w:val="0"/>
    <w:rPr>
      <w:rFonts w:ascii="Times New Roman" w:hAnsi="Times New Roman" w:eastAsia="Times New Roman" w:cs="Times New Roman"/>
      <w:sz w:val="24"/>
      <w:szCs w:val="24"/>
    </w:rPr>
  </w:style>
  <w:style w:type="table" w:customStyle="1" w:styleId="1173">
    <w:name w:val="Table Normal37"/>
    <w:semiHidden/>
    <w:unhideWhenUsed/>
    <w:qFormat/>
    <w:uiPriority w:val="2"/>
    <w:pPr>
      <w:widowControl w:val="0"/>
      <w:spacing w:after="0" w:line="240" w:lineRule="auto"/>
    </w:pPr>
    <w:rPr>
      <w:lang w:val="en-US"/>
    </w:rPr>
    <w:tblPr>
      <w:tblCellMar>
        <w:top w:w="0" w:type="dxa"/>
        <w:left w:w="0" w:type="dxa"/>
        <w:bottom w:w="0" w:type="dxa"/>
        <w:right w:w="0" w:type="dxa"/>
      </w:tblCellMar>
    </w:tblPr>
  </w:style>
  <w:style w:type="table" w:customStyle="1" w:styleId="1174">
    <w:name w:val="Table Grid Report7"/>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5">
    <w:name w:val="Table Grid Report8"/>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6">
    <w:name w:val="Сетка таблицы28"/>
    <w:basedOn w:val="12"/>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7">
    <w:name w:val="Table Grid Report9"/>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8">
    <w:name w:val="Сетка таблицы97"/>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9">
    <w:name w:val="Table Grid Report7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0">
    <w:name w:val="Table Grid Report9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1">
    <w:name w:val="Table Grid Report9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2">
    <w:name w:val="Сетка таблицы98"/>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3">
    <w:name w:val="Table Grid Report10"/>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4">
    <w:name w:val="Table Grid Report11"/>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5">
    <w:name w:val="Сетка таблицы16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6">
    <w:name w:val="Сетка таблицы99"/>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7">
    <w:name w:val="Сетка таблицы910"/>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8">
    <w:name w:val="Table Grid Report1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9">
    <w:name w:val="Сетка таблицы91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0">
    <w:name w:val="Сетка таблицы912"/>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1">
    <w:name w:val="Table Grid Report13"/>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2">
    <w:name w:val="Сетка таблицы913"/>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3">
    <w:name w:val="Сетка таблицы914"/>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4">
    <w:name w:val="Table Normal38"/>
    <w:semiHidden/>
    <w:unhideWhenUsed/>
    <w:qFormat/>
    <w:uiPriority w:val="2"/>
    <w:pPr>
      <w:widowControl w:val="0"/>
      <w:spacing w:after="0" w:line="240" w:lineRule="auto"/>
    </w:pPr>
    <w:rPr>
      <w:lang w:val="en-US"/>
    </w:rPr>
    <w:tblPr>
      <w:tblCellMar>
        <w:top w:w="0" w:type="dxa"/>
        <w:left w:w="0" w:type="dxa"/>
        <w:bottom w:w="0" w:type="dxa"/>
        <w:right w:w="0" w:type="dxa"/>
      </w:tblCellMar>
    </w:tblPr>
  </w:style>
  <w:style w:type="table" w:customStyle="1" w:styleId="1195">
    <w:name w:val="Сетка таблицы915"/>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6">
    <w:name w:val="Сетка таблицы29"/>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7">
    <w:name w:val="Сетка таблицы47"/>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98">
    <w:name w:val="Основной текст + 9;5 pt;Полужирный;Курсив"/>
    <w:basedOn w:val="208"/>
    <w:uiPriority w:val="0"/>
    <w:rPr>
      <w:rFonts w:ascii="Times New Roman" w:hAnsi="Times New Roman" w:eastAsia="Times New Roman" w:cs="Times New Roman"/>
      <w:b/>
      <w:bCs/>
      <w:i/>
      <w:iCs/>
      <w:color w:val="000000"/>
      <w:spacing w:val="0"/>
      <w:w w:val="100"/>
      <w:position w:val="0"/>
      <w:sz w:val="19"/>
      <w:szCs w:val="19"/>
      <w:u w:val="none"/>
      <w:shd w:val="clear" w:color="auto" w:fill="FFFFFF"/>
      <w:lang w:val="ru-RU"/>
    </w:rPr>
  </w:style>
  <w:style w:type="table" w:customStyle="1" w:styleId="1199">
    <w:name w:val="Таблица-сетка 1 светлая1"/>
    <w:basedOn w:val="12"/>
    <w:uiPriority w:val="46"/>
    <w:pPr>
      <w:widowControl w:val="0"/>
      <w:spacing w:after="0" w:line="240" w:lineRule="auto"/>
    </w:pPr>
    <w:rPr>
      <w:rFonts w:ascii="Courier New" w:hAnsi="Courier New" w:eastAsia="Courier New" w:cs="Courier New"/>
      <w:sz w:val="24"/>
      <w:szCs w:val="24"/>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200">
    <w:name w:val="Таблица-сетка 1 светлая2"/>
    <w:basedOn w:val="12"/>
    <w:uiPriority w:val="46"/>
    <w:pPr>
      <w:spacing w:after="0" w:line="240" w:lineRule="auto"/>
    </w:pPr>
    <w:rPr>
      <w:rFonts w:ascii="Calibri" w:hAnsi="Calibri" w:eastAsia="Times New Roman" w:cs="Times New Roman"/>
      <w:sz w:val="20"/>
      <w:szCs w:val="20"/>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character" w:customStyle="1" w:styleId="1201">
    <w:name w:val="Основной текст (2)_"/>
    <w:basedOn w:val="11"/>
    <w:link w:val="1202"/>
    <w:uiPriority w:val="99"/>
    <w:rPr>
      <w:rFonts w:ascii="Times New Roman" w:hAnsi="Times New Roman"/>
      <w:sz w:val="60"/>
      <w:szCs w:val="60"/>
      <w:shd w:val="clear" w:color="auto" w:fill="FFFFFF"/>
    </w:rPr>
  </w:style>
  <w:style w:type="paragraph" w:customStyle="1" w:styleId="1202">
    <w:name w:val="Основной текст (2)"/>
    <w:basedOn w:val="1"/>
    <w:link w:val="1201"/>
    <w:qFormat/>
    <w:uiPriority w:val="99"/>
    <w:pPr>
      <w:widowControl w:val="0"/>
      <w:shd w:val="clear" w:color="auto" w:fill="FFFFFF"/>
      <w:spacing w:before="840" w:after="600" w:line="686" w:lineRule="exact"/>
      <w:ind w:firstLine="0"/>
      <w:jc w:val="center"/>
    </w:pPr>
    <w:rPr>
      <w:rFonts w:eastAsiaTheme="minorHAnsi" w:cstheme="minorBidi"/>
      <w:sz w:val="60"/>
      <w:szCs w:val="60"/>
      <w:lang w:eastAsia="en-US"/>
    </w:rPr>
  </w:style>
  <w:style w:type="character" w:customStyle="1" w:styleId="1203">
    <w:name w:val="Заголовок №2_"/>
    <w:basedOn w:val="11"/>
    <w:link w:val="1204"/>
    <w:uiPriority w:val="99"/>
    <w:rPr>
      <w:rFonts w:ascii="Times New Roman" w:hAnsi="Times New Roman"/>
      <w:b/>
      <w:bCs/>
      <w:sz w:val="27"/>
      <w:szCs w:val="27"/>
      <w:shd w:val="clear" w:color="auto" w:fill="FFFFFF"/>
    </w:rPr>
  </w:style>
  <w:style w:type="paragraph" w:customStyle="1" w:styleId="1204">
    <w:name w:val="Заголовок №2"/>
    <w:basedOn w:val="1"/>
    <w:link w:val="1203"/>
    <w:qFormat/>
    <w:uiPriority w:val="99"/>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character" w:customStyle="1" w:styleId="1205">
    <w:name w:val="Колонтитул + Times New Roman;11;5 pt"/>
    <w:basedOn w:val="413"/>
    <w:uiPriority w:val="0"/>
    <w:rPr>
      <w:rFonts w:ascii="Times New Roman" w:hAnsi="Times New Roman" w:eastAsia="Times New Roman" w:cs="Times New Roman"/>
      <w:color w:val="000000"/>
      <w:spacing w:val="0"/>
      <w:w w:val="100"/>
      <w:position w:val="0"/>
      <w:sz w:val="23"/>
      <w:szCs w:val="23"/>
      <w:u w:val="none"/>
      <w:shd w:val="clear" w:color="auto" w:fill="FFFFFF"/>
      <w:lang w:val="ru-RU"/>
    </w:rPr>
  </w:style>
  <w:style w:type="character" w:customStyle="1" w:styleId="1206">
    <w:name w:val="Оглавление 1 Знак"/>
    <w:basedOn w:val="11"/>
    <w:link w:val="60"/>
    <w:uiPriority w:val="39"/>
    <w:rPr>
      <w:rFonts w:eastAsia="Times New Roman" w:cs="Times New Roman" w:asciiTheme="majorHAnsi" w:hAnsiTheme="majorHAnsi"/>
      <w:b/>
      <w:bCs/>
      <w:caps/>
      <w:sz w:val="24"/>
      <w:szCs w:val="24"/>
      <w:lang w:eastAsia="ru-RU"/>
    </w:rPr>
  </w:style>
  <w:style w:type="character" w:customStyle="1" w:styleId="1207">
    <w:name w:val="Оглавление (3)_"/>
    <w:basedOn w:val="11"/>
    <w:link w:val="1208"/>
    <w:uiPriority w:val="99"/>
    <w:rPr>
      <w:rFonts w:ascii="Times New Roman" w:hAnsi="Times New Roman"/>
      <w:sz w:val="27"/>
      <w:szCs w:val="27"/>
      <w:shd w:val="clear" w:color="auto" w:fill="FFFFFF"/>
    </w:rPr>
  </w:style>
  <w:style w:type="paragraph" w:customStyle="1" w:styleId="1208">
    <w:name w:val="Оглавление (3)"/>
    <w:basedOn w:val="1"/>
    <w:link w:val="1207"/>
    <w:qFormat/>
    <w:uiPriority w:val="99"/>
    <w:pPr>
      <w:widowControl w:val="0"/>
      <w:shd w:val="clear" w:color="auto" w:fill="FFFFFF"/>
      <w:spacing w:after="0" w:line="274" w:lineRule="exact"/>
      <w:ind w:firstLine="0"/>
      <w:jc w:val="both"/>
    </w:pPr>
    <w:rPr>
      <w:rFonts w:eastAsiaTheme="minorHAnsi" w:cstheme="minorBidi"/>
      <w:sz w:val="27"/>
      <w:szCs w:val="27"/>
      <w:lang w:eastAsia="en-US"/>
    </w:rPr>
  </w:style>
  <w:style w:type="character" w:customStyle="1" w:styleId="1209">
    <w:name w:val="Оглавление 3 Знак"/>
    <w:basedOn w:val="11"/>
    <w:link w:val="65"/>
    <w:uiPriority w:val="0"/>
    <w:rPr>
      <w:rFonts w:eastAsia="Times New Roman" w:cstheme="minorHAnsi"/>
      <w:sz w:val="20"/>
      <w:szCs w:val="20"/>
      <w:lang w:eastAsia="ru-RU"/>
    </w:rPr>
  </w:style>
  <w:style w:type="character" w:customStyle="1" w:styleId="1210">
    <w:name w:val="Основной текст (3)_"/>
    <w:basedOn w:val="11"/>
    <w:link w:val="1211"/>
    <w:uiPriority w:val="99"/>
    <w:rPr>
      <w:rFonts w:ascii="Times New Roman" w:hAnsi="Times New Roman"/>
      <w:sz w:val="23"/>
      <w:szCs w:val="23"/>
      <w:shd w:val="clear" w:color="auto" w:fill="FFFFFF"/>
    </w:rPr>
  </w:style>
  <w:style w:type="paragraph" w:customStyle="1" w:styleId="1211">
    <w:name w:val="Основной текст (3)1"/>
    <w:basedOn w:val="1"/>
    <w:link w:val="1210"/>
    <w:qFormat/>
    <w:uiPriority w:val="99"/>
    <w:pPr>
      <w:widowControl w:val="0"/>
      <w:shd w:val="clear" w:color="auto" w:fill="FFFFFF"/>
      <w:spacing w:after="0" w:line="274" w:lineRule="exact"/>
      <w:ind w:firstLine="0"/>
      <w:jc w:val="both"/>
    </w:pPr>
    <w:rPr>
      <w:rFonts w:eastAsiaTheme="minorHAnsi" w:cstheme="minorBidi"/>
      <w:sz w:val="23"/>
      <w:szCs w:val="23"/>
      <w:lang w:eastAsia="en-US"/>
    </w:rPr>
  </w:style>
  <w:style w:type="character" w:customStyle="1" w:styleId="1212">
    <w:name w:val="Заголовок №3_"/>
    <w:basedOn w:val="11"/>
    <w:link w:val="1213"/>
    <w:uiPriority w:val="99"/>
    <w:rPr>
      <w:rFonts w:ascii="Times New Roman" w:hAnsi="Times New Roman"/>
      <w:sz w:val="27"/>
      <w:szCs w:val="27"/>
      <w:shd w:val="clear" w:color="auto" w:fill="FFFFFF"/>
    </w:rPr>
  </w:style>
  <w:style w:type="paragraph" w:customStyle="1" w:styleId="1213">
    <w:name w:val="Заголовок №3"/>
    <w:basedOn w:val="1"/>
    <w:link w:val="1212"/>
    <w:qFormat/>
    <w:uiPriority w:val="99"/>
    <w:pPr>
      <w:widowControl w:val="0"/>
      <w:shd w:val="clear" w:color="auto" w:fill="FFFFFF"/>
      <w:spacing w:after="0" w:line="326" w:lineRule="exact"/>
      <w:ind w:firstLine="0"/>
      <w:outlineLvl w:val="2"/>
    </w:pPr>
    <w:rPr>
      <w:rFonts w:eastAsiaTheme="minorHAnsi" w:cstheme="minorBidi"/>
      <w:sz w:val="27"/>
      <w:szCs w:val="27"/>
      <w:lang w:eastAsia="en-US"/>
    </w:rPr>
  </w:style>
  <w:style w:type="character" w:customStyle="1" w:styleId="1214">
    <w:name w:val="Заголовок №1_"/>
    <w:basedOn w:val="11"/>
    <w:link w:val="1215"/>
    <w:uiPriority w:val="99"/>
    <w:rPr>
      <w:rFonts w:ascii="Times New Roman" w:hAnsi="Times New Roman"/>
      <w:b/>
      <w:bCs/>
      <w:sz w:val="30"/>
      <w:szCs w:val="30"/>
      <w:shd w:val="clear" w:color="auto" w:fill="FFFFFF"/>
    </w:rPr>
  </w:style>
  <w:style w:type="paragraph" w:customStyle="1" w:styleId="1215">
    <w:name w:val="Заголовок №1"/>
    <w:basedOn w:val="1"/>
    <w:link w:val="1214"/>
    <w:qFormat/>
    <w:uiPriority w:val="0"/>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character" w:customStyle="1" w:styleId="1216">
    <w:name w:val="Основной текст (4)_"/>
    <w:basedOn w:val="11"/>
    <w:link w:val="1217"/>
    <w:uiPriority w:val="99"/>
    <w:rPr>
      <w:rFonts w:ascii="Times New Roman" w:hAnsi="Times New Roman"/>
      <w:b/>
      <w:bCs/>
      <w:sz w:val="27"/>
      <w:szCs w:val="27"/>
      <w:shd w:val="clear" w:color="auto" w:fill="FFFFFF"/>
    </w:rPr>
  </w:style>
  <w:style w:type="paragraph" w:customStyle="1" w:styleId="1217">
    <w:name w:val="Основной текст (4)1"/>
    <w:basedOn w:val="1"/>
    <w:link w:val="1216"/>
    <w:qFormat/>
    <w:uiPriority w:val="99"/>
    <w:pPr>
      <w:widowControl w:val="0"/>
      <w:shd w:val="clear" w:color="auto" w:fill="FFFFFF"/>
      <w:spacing w:after="0" w:line="485" w:lineRule="exact"/>
      <w:ind w:firstLine="0"/>
      <w:jc w:val="both"/>
    </w:pPr>
    <w:rPr>
      <w:rFonts w:eastAsiaTheme="minorHAnsi" w:cstheme="minorBidi"/>
      <w:b/>
      <w:bCs/>
      <w:sz w:val="27"/>
      <w:szCs w:val="27"/>
      <w:lang w:eastAsia="en-US"/>
    </w:rPr>
  </w:style>
  <w:style w:type="character" w:customStyle="1" w:styleId="1218">
    <w:name w:val="Основной текст + 9;5 pt;Полужирный"/>
    <w:basedOn w:val="208"/>
    <w:uiPriority w:val="0"/>
    <w:rPr>
      <w:rFonts w:ascii="Times New Roman" w:hAnsi="Times New Roman" w:eastAsia="Times New Roman" w:cs="Times New Roman"/>
      <w:b/>
      <w:bCs/>
      <w:color w:val="000000"/>
      <w:spacing w:val="0"/>
      <w:w w:val="100"/>
      <w:position w:val="0"/>
      <w:sz w:val="19"/>
      <w:szCs w:val="19"/>
      <w:u w:val="none"/>
      <w:shd w:val="clear" w:color="auto" w:fill="FFFFFF"/>
      <w:lang w:val="ru-RU"/>
    </w:rPr>
  </w:style>
  <w:style w:type="character" w:customStyle="1" w:styleId="1219">
    <w:name w:val="Подпись к таблице_"/>
    <w:basedOn w:val="11"/>
    <w:link w:val="1220"/>
    <w:uiPriority w:val="99"/>
    <w:rPr>
      <w:rFonts w:ascii="Times New Roman" w:hAnsi="Times New Roman"/>
      <w:sz w:val="23"/>
      <w:szCs w:val="23"/>
      <w:shd w:val="clear" w:color="auto" w:fill="FFFFFF"/>
    </w:rPr>
  </w:style>
  <w:style w:type="paragraph" w:customStyle="1" w:styleId="1220">
    <w:name w:val="Подпись к таблице"/>
    <w:basedOn w:val="1"/>
    <w:link w:val="1219"/>
    <w:qFormat/>
    <w:uiPriority w:val="0"/>
    <w:pPr>
      <w:widowControl w:val="0"/>
      <w:shd w:val="clear" w:color="auto" w:fill="FFFFFF"/>
      <w:spacing w:after="0" w:line="0" w:lineRule="atLeast"/>
      <w:ind w:firstLine="0"/>
    </w:pPr>
    <w:rPr>
      <w:rFonts w:eastAsiaTheme="minorHAnsi" w:cstheme="minorBidi"/>
      <w:sz w:val="23"/>
      <w:szCs w:val="23"/>
      <w:lang w:eastAsia="en-US"/>
    </w:rPr>
  </w:style>
  <w:style w:type="character" w:customStyle="1" w:styleId="1221">
    <w:name w:val="Основной текст + Book Antiqua;5 pt"/>
    <w:basedOn w:val="208"/>
    <w:uiPriority w:val="0"/>
    <w:rPr>
      <w:rFonts w:ascii="Book Antiqua" w:hAnsi="Book Antiqua" w:eastAsia="Book Antiqua" w:cs="Book Antiqua"/>
      <w:color w:val="000000"/>
      <w:spacing w:val="0"/>
      <w:w w:val="100"/>
      <w:position w:val="0"/>
      <w:sz w:val="10"/>
      <w:szCs w:val="10"/>
      <w:u w:val="none"/>
      <w:shd w:val="clear" w:color="auto" w:fill="FFFFFF"/>
      <w:lang w:val="ru-RU"/>
    </w:rPr>
  </w:style>
  <w:style w:type="character" w:customStyle="1" w:styleId="1222">
    <w:name w:val="Основной текст + Book Antiqua;5 pt;Курсив;Интервал -1 pt"/>
    <w:basedOn w:val="208"/>
    <w:uiPriority w:val="0"/>
    <w:rPr>
      <w:rFonts w:ascii="Book Antiqua" w:hAnsi="Book Antiqua" w:eastAsia="Book Antiqua" w:cs="Book Antiqua"/>
      <w:i/>
      <w:iCs/>
      <w:color w:val="000000"/>
      <w:spacing w:val="-20"/>
      <w:w w:val="100"/>
      <w:position w:val="0"/>
      <w:sz w:val="10"/>
      <w:szCs w:val="10"/>
      <w:u w:val="none"/>
      <w:shd w:val="clear" w:color="auto" w:fill="FFFFFF"/>
      <w:lang w:val="ru-RU"/>
    </w:rPr>
  </w:style>
  <w:style w:type="character" w:customStyle="1" w:styleId="1223">
    <w:name w:val="Основной текст + 4;5 pt;Интервал 0 pt;Масштаб 150%"/>
    <w:basedOn w:val="208"/>
    <w:uiPriority w:val="0"/>
    <w:rPr>
      <w:rFonts w:ascii="Times New Roman" w:hAnsi="Times New Roman" w:eastAsia="Times New Roman" w:cs="Times New Roman"/>
      <w:color w:val="000000"/>
      <w:spacing w:val="-10"/>
      <w:w w:val="150"/>
      <w:position w:val="0"/>
      <w:sz w:val="9"/>
      <w:szCs w:val="9"/>
      <w:u w:val="none"/>
      <w:shd w:val="clear" w:color="auto" w:fill="FFFFFF"/>
      <w:lang w:val="en-US"/>
    </w:rPr>
  </w:style>
  <w:style w:type="character" w:customStyle="1" w:styleId="1224">
    <w:name w:val="Основной текст + Franklin Gothic Heavy;4 pt;Курсив;Интервал 0 pt"/>
    <w:basedOn w:val="208"/>
    <w:uiPriority w:val="0"/>
    <w:rPr>
      <w:rFonts w:ascii="Franklin Gothic Heavy" w:hAnsi="Franklin Gothic Heavy" w:eastAsia="Franklin Gothic Heavy" w:cs="Franklin Gothic Heavy"/>
      <w:i/>
      <w:iCs/>
      <w:color w:val="000000"/>
      <w:spacing w:val="-10"/>
      <w:w w:val="100"/>
      <w:position w:val="0"/>
      <w:sz w:val="8"/>
      <w:szCs w:val="8"/>
      <w:u w:val="none"/>
      <w:shd w:val="clear" w:color="auto" w:fill="FFFFFF"/>
      <w:lang w:val="ru-RU"/>
    </w:rPr>
  </w:style>
  <w:style w:type="character" w:customStyle="1" w:styleId="1225">
    <w:name w:val="Подпись к картинке (2)_"/>
    <w:basedOn w:val="11"/>
    <w:link w:val="1226"/>
    <w:uiPriority w:val="99"/>
    <w:rPr>
      <w:rFonts w:ascii="Times New Roman" w:hAnsi="Times New Roman"/>
      <w:i/>
      <w:iCs/>
      <w:spacing w:val="-20"/>
      <w:sz w:val="23"/>
      <w:szCs w:val="23"/>
      <w:shd w:val="clear" w:color="auto" w:fill="FFFFFF"/>
    </w:rPr>
  </w:style>
  <w:style w:type="paragraph" w:customStyle="1" w:styleId="1226">
    <w:name w:val="Подпись к картинке (2)1"/>
    <w:basedOn w:val="1"/>
    <w:link w:val="1225"/>
    <w:qFormat/>
    <w:uiPriority w:val="0"/>
    <w:pPr>
      <w:widowControl w:val="0"/>
      <w:shd w:val="clear" w:color="auto" w:fill="FFFFFF"/>
      <w:spacing w:after="0" w:line="0" w:lineRule="atLeast"/>
      <w:ind w:firstLine="0"/>
    </w:pPr>
    <w:rPr>
      <w:rFonts w:eastAsiaTheme="minorHAnsi" w:cstheme="minorBidi"/>
      <w:i/>
      <w:iCs/>
      <w:spacing w:val="-20"/>
      <w:sz w:val="23"/>
      <w:szCs w:val="23"/>
      <w:lang w:eastAsia="en-US"/>
    </w:rPr>
  </w:style>
  <w:style w:type="character" w:customStyle="1" w:styleId="1227">
    <w:name w:val="Подпись к картинке (2)"/>
    <w:basedOn w:val="1225"/>
    <w:uiPriority w:val="0"/>
    <w:rPr>
      <w:rFonts w:ascii="Times New Roman" w:hAnsi="Times New Roman"/>
      <w:spacing w:val="-20"/>
      <w:sz w:val="23"/>
      <w:szCs w:val="23"/>
      <w:shd w:val="clear" w:color="auto" w:fill="FFFFFF"/>
    </w:rPr>
  </w:style>
  <w:style w:type="character" w:customStyle="1" w:styleId="1228">
    <w:name w:val="Подпись к картинке_"/>
    <w:basedOn w:val="11"/>
    <w:link w:val="1229"/>
    <w:uiPriority w:val="99"/>
    <w:rPr>
      <w:rFonts w:ascii="Times New Roman" w:hAnsi="Times New Roman"/>
      <w:sz w:val="23"/>
      <w:szCs w:val="23"/>
      <w:shd w:val="clear" w:color="auto" w:fill="FFFFFF"/>
    </w:rPr>
  </w:style>
  <w:style w:type="paragraph" w:customStyle="1" w:styleId="1229">
    <w:name w:val="Подпись к картинке"/>
    <w:basedOn w:val="1"/>
    <w:link w:val="1228"/>
    <w:qFormat/>
    <w:uiPriority w:val="0"/>
    <w:pPr>
      <w:widowControl w:val="0"/>
      <w:shd w:val="clear" w:color="auto" w:fill="FFFFFF"/>
      <w:spacing w:after="0" w:line="0" w:lineRule="atLeast"/>
      <w:ind w:firstLine="0"/>
    </w:pPr>
    <w:rPr>
      <w:rFonts w:eastAsiaTheme="minorHAnsi" w:cstheme="minorBidi"/>
      <w:sz w:val="23"/>
      <w:szCs w:val="23"/>
      <w:lang w:eastAsia="en-US"/>
    </w:rPr>
  </w:style>
  <w:style w:type="character" w:customStyle="1" w:styleId="1230">
    <w:name w:val="Основной текст + 11;5 pt"/>
    <w:basedOn w:val="208"/>
    <w:uiPriority w:val="0"/>
    <w:rPr>
      <w:rFonts w:ascii="Times New Roman" w:hAnsi="Times New Roman" w:eastAsia="Times New Roman" w:cs="Times New Roman"/>
      <w:color w:val="000000"/>
      <w:spacing w:val="0"/>
      <w:w w:val="100"/>
      <w:position w:val="0"/>
      <w:sz w:val="23"/>
      <w:szCs w:val="23"/>
      <w:u w:val="none"/>
      <w:shd w:val="clear" w:color="auto" w:fill="FFFFFF"/>
      <w:lang w:val="ru-RU"/>
    </w:rPr>
  </w:style>
  <w:style w:type="character" w:customStyle="1" w:styleId="1231">
    <w:name w:val="Основной текст + 7;5 pt;Полужирный"/>
    <w:basedOn w:val="208"/>
    <w:uiPriority w:val="0"/>
    <w:rPr>
      <w:rFonts w:ascii="Times New Roman" w:hAnsi="Times New Roman" w:eastAsia="Times New Roman" w:cs="Times New Roman"/>
      <w:b/>
      <w:bCs/>
      <w:color w:val="000000"/>
      <w:spacing w:val="0"/>
      <w:w w:val="100"/>
      <w:position w:val="0"/>
      <w:sz w:val="15"/>
      <w:szCs w:val="15"/>
      <w:u w:val="none"/>
      <w:shd w:val="clear" w:color="auto" w:fill="FFFFFF"/>
      <w:lang w:val="ru-RU"/>
    </w:rPr>
  </w:style>
  <w:style w:type="character" w:customStyle="1" w:styleId="1232">
    <w:name w:val="Основной текст + 11;5 pt;Курсив;Интервал -1 pt"/>
    <w:basedOn w:val="208"/>
    <w:uiPriority w:val="0"/>
    <w:rPr>
      <w:rFonts w:ascii="Times New Roman" w:hAnsi="Times New Roman" w:eastAsia="Times New Roman" w:cs="Times New Roman"/>
      <w:i/>
      <w:iCs/>
      <w:color w:val="000000"/>
      <w:spacing w:val="-20"/>
      <w:w w:val="100"/>
      <w:position w:val="0"/>
      <w:sz w:val="23"/>
      <w:szCs w:val="23"/>
      <w:u w:val="none"/>
      <w:shd w:val="clear" w:color="auto" w:fill="FFFFFF"/>
    </w:rPr>
  </w:style>
  <w:style w:type="character" w:customStyle="1" w:styleId="1233">
    <w:name w:val="Основной текст + 7;5 pt;Полужирный;Курсив"/>
    <w:basedOn w:val="208"/>
    <w:uiPriority w:val="0"/>
    <w:rPr>
      <w:rFonts w:ascii="Times New Roman" w:hAnsi="Times New Roman" w:eastAsia="Times New Roman" w:cs="Times New Roman"/>
      <w:b/>
      <w:bCs/>
      <w:i/>
      <w:iCs/>
      <w:color w:val="000000"/>
      <w:spacing w:val="0"/>
      <w:w w:val="100"/>
      <w:position w:val="0"/>
      <w:sz w:val="15"/>
      <w:szCs w:val="15"/>
      <w:u w:val="none"/>
      <w:shd w:val="clear" w:color="auto" w:fill="FFFFFF"/>
      <w:lang w:val="ru-RU"/>
    </w:rPr>
  </w:style>
  <w:style w:type="character" w:customStyle="1" w:styleId="1234">
    <w:name w:val="Колонтитул + 10 pt;Курсив"/>
    <w:basedOn w:val="413"/>
    <w:uiPriority w:val="0"/>
    <w:rPr>
      <w:rFonts w:ascii="Franklin Gothic Heavy" w:hAnsi="Franklin Gothic Heavy" w:eastAsia="Franklin Gothic Heavy" w:cs="Franklin Gothic Heavy"/>
      <w:i/>
      <w:iCs/>
      <w:color w:val="000000"/>
      <w:spacing w:val="0"/>
      <w:w w:val="100"/>
      <w:position w:val="0"/>
      <w:sz w:val="20"/>
      <w:szCs w:val="20"/>
      <w:u w:val="none"/>
      <w:shd w:val="clear" w:color="auto" w:fill="FFFFFF"/>
      <w:lang w:val="ru-RU"/>
    </w:rPr>
  </w:style>
  <w:style w:type="character" w:customStyle="1" w:styleId="1235">
    <w:name w:val="Основной текст (5) Exact"/>
    <w:basedOn w:val="11"/>
    <w:uiPriority w:val="0"/>
    <w:rPr>
      <w:rFonts w:ascii="Franklin Gothic Heavy" w:hAnsi="Franklin Gothic Heavy" w:eastAsia="Franklin Gothic Heavy" w:cs="Franklin Gothic Heavy"/>
      <w:spacing w:val="2"/>
      <w:sz w:val="8"/>
      <w:szCs w:val="8"/>
      <w:u w:val="none"/>
    </w:rPr>
  </w:style>
  <w:style w:type="character" w:customStyle="1" w:styleId="1236">
    <w:name w:val="Основной текст (5) Exact4"/>
    <w:basedOn w:val="1237"/>
    <w:uiPriority w:val="0"/>
    <w:rPr>
      <w:rFonts w:ascii="Franklin Gothic Heavy" w:hAnsi="Franklin Gothic Heavy" w:eastAsia="Franklin Gothic Heavy" w:cs="Franklin Gothic Heavy"/>
      <w:spacing w:val="2"/>
      <w:sz w:val="8"/>
      <w:szCs w:val="8"/>
      <w:shd w:val="clear" w:color="auto" w:fill="FFFFFF"/>
    </w:rPr>
  </w:style>
  <w:style w:type="character" w:customStyle="1" w:styleId="1237">
    <w:name w:val="Основной текст (5)_"/>
    <w:basedOn w:val="11"/>
    <w:link w:val="1238"/>
    <w:uiPriority w:val="99"/>
    <w:rPr>
      <w:rFonts w:ascii="Franklin Gothic Heavy" w:hAnsi="Franklin Gothic Heavy" w:eastAsia="Franklin Gothic Heavy" w:cs="Franklin Gothic Heavy"/>
      <w:sz w:val="8"/>
      <w:szCs w:val="8"/>
      <w:shd w:val="clear" w:color="auto" w:fill="FFFFFF"/>
    </w:rPr>
  </w:style>
  <w:style w:type="paragraph" w:customStyle="1" w:styleId="1238">
    <w:name w:val="Основной текст (5)1"/>
    <w:basedOn w:val="1"/>
    <w:link w:val="1237"/>
    <w:qFormat/>
    <w:uiPriority w:val="99"/>
    <w:pPr>
      <w:widowControl w:val="0"/>
      <w:shd w:val="clear" w:color="auto" w:fill="FFFFFF"/>
      <w:spacing w:after="0" w:line="0" w:lineRule="atLeast"/>
      <w:ind w:firstLine="0"/>
    </w:pPr>
    <w:rPr>
      <w:rFonts w:ascii="Franklin Gothic Heavy" w:hAnsi="Franklin Gothic Heavy" w:eastAsia="Franklin Gothic Heavy" w:cs="Franklin Gothic Heavy"/>
      <w:sz w:val="8"/>
      <w:szCs w:val="8"/>
      <w:lang w:eastAsia="en-US"/>
    </w:rPr>
  </w:style>
  <w:style w:type="character" w:customStyle="1" w:styleId="1239">
    <w:name w:val="Колонтитул6"/>
    <w:basedOn w:val="413"/>
    <w:uiPriority w:val="0"/>
    <w:rPr>
      <w:rFonts w:ascii="Franklin Gothic Heavy" w:hAnsi="Franklin Gothic Heavy" w:eastAsia="Franklin Gothic Heavy" w:cs="Franklin Gothic Heavy"/>
      <w:color w:val="000000"/>
      <w:spacing w:val="0"/>
      <w:w w:val="100"/>
      <w:position w:val="0"/>
      <w:sz w:val="12"/>
      <w:szCs w:val="12"/>
      <w:u w:val="none"/>
      <w:shd w:val="clear" w:color="auto" w:fill="FFFFFF"/>
      <w:lang w:val="ru-RU"/>
    </w:rPr>
  </w:style>
  <w:style w:type="character" w:customStyle="1" w:styleId="1240">
    <w:name w:val="Основной текст + 7;5 pt4"/>
    <w:basedOn w:val="208"/>
    <w:uiPriority w:val="0"/>
    <w:rPr>
      <w:rFonts w:ascii="Times New Roman" w:hAnsi="Times New Roman" w:eastAsia="Times New Roman" w:cs="Times New Roman"/>
      <w:color w:val="000000"/>
      <w:spacing w:val="0"/>
      <w:w w:val="100"/>
      <w:position w:val="0"/>
      <w:sz w:val="15"/>
      <w:szCs w:val="15"/>
      <w:u w:val="none"/>
      <w:shd w:val="clear" w:color="auto" w:fill="FFFFFF"/>
    </w:rPr>
  </w:style>
  <w:style w:type="character" w:customStyle="1" w:styleId="1241">
    <w:name w:val="Основной текст + 7;5 pt3"/>
    <w:basedOn w:val="208"/>
    <w:uiPriority w:val="0"/>
    <w:rPr>
      <w:rFonts w:ascii="Times New Roman" w:hAnsi="Times New Roman" w:eastAsia="Times New Roman" w:cs="Times New Roman"/>
      <w:color w:val="000000"/>
      <w:spacing w:val="0"/>
      <w:w w:val="100"/>
      <w:position w:val="0"/>
      <w:sz w:val="15"/>
      <w:szCs w:val="15"/>
      <w:u w:val="none"/>
      <w:shd w:val="clear" w:color="auto" w:fill="FFFFFF"/>
      <w:lang w:val="ru-RU"/>
    </w:rPr>
  </w:style>
  <w:style w:type="character" w:customStyle="1" w:styleId="1242">
    <w:name w:val="Основной текст (6) Exact"/>
    <w:basedOn w:val="11"/>
    <w:link w:val="1243"/>
    <w:uiPriority w:val="0"/>
    <w:rPr>
      <w:rFonts w:ascii="Franklin Gothic Heavy" w:hAnsi="Franklin Gothic Heavy" w:eastAsia="Franklin Gothic Heavy" w:cs="Franklin Gothic Heavy"/>
      <w:sz w:val="12"/>
      <w:szCs w:val="12"/>
      <w:shd w:val="clear" w:color="auto" w:fill="FFFFFF"/>
    </w:rPr>
  </w:style>
  <w:style w:type="paragraph" w:customStyle="1" w:styleId="1243">
    <w:name w:val="Основной текст (6)"/>
    <w:basedOn w:val="1"/>
    <w:link w:val="1242"/>
    <w:qFormat/>
    <w:uiPriority w:val="0"/>
    <w:pPr>
      <w:widowControl w:val="0"/>
      <w:shd w:val="clear" w:color="auto" w:fill="FFFFFF"/>
      <w:spacing w:after="60" w:line="0" w:lineRule="atLeast"/>
      <w:ind w:firstLine="0"/>
      <w:jc w:val="center"/>
    </w:pPr>
    <w:rPr>
      <w:rFonts w:ascii="Franklin Gothic Heavy" w:hAnsi="Franklin Gothic Heavy" w:eastAsia="Franklin Gothic Heavy" w:cs="Franklin Gothic Heavy"/>
      <w:sz w:val="12"/>
      <w:szCs w:val="12"/>
      <w:lang w:eastAsia="en-US"/>
    </w:rPr>
  </w:style>
  <w:style w:type="character" w:customStyle="1" w:styleId="1244">
    <w:name w:val="Основной текст (6) Exact1"/>
    <w:basedOn w:val="1242"/>
    <w:uiPriority w:val="0"/>
    <w:rPr>
      <w:rFonts w:ascii="Franklin Gothic Heavy" w:hAnsi="Franklin Gothic Heavy" w:eastAsia="Franklin Gothic Heavy" w:cs="Franklin Gothic Heavy"/>
      <w:color w:val="000000"/>
      <w:spacing w:val="0"/>
      <w:w w:val="100"/>
      <w:position w:val="0"/>
      <w:sz w:val="12"/>
      <w:szCs w:val="12"/>
      <w:shd w:val="clear" w:color="auto" w:fill="FFFFFF"/>
    </w:rPr>
  </w:style>
  <w:style w:type="character" w:customStyle="1" w:styleId="1245">
    <w:name w:val="Основной текст (5) Exact3"/>
    <w:basedOn w:val="1237"/>
    <w:uiPriority w:val="0"/>
    <w:rPr>
      <w:rFonts w:ascii="Franklin Gothic Heavy" w:hAnsi="Franklin Gothic Heavy" w:eastAsia="Franklin Gothic Heavy" w:cs="Franklin Gothic Heavy"/>
      <w:spacing w:val="2"/>
      <w:sz w:val="8"/>
      <w:szCs w:val="8"/>
      <w:shd w:val="clear" w:color="auto" w:fill="FFFFFF"/>
    </w:rPr>
  </w:style>
  <w:style w:type="character" w:customStyle="1" w:styleId="1246">
    <w:name w:val="Основной текст (5) + Times New Roman;Интервал 0 pt Exact"/>
    <w:basedOn w:val="1237"/>
    <w:uiPriority w:val="0"/>
    <w:rPr>
      <w:rFonts w:ascii="Times New Roman" w:hAnsi="Times New Roman" w:eastAsia="Times New Roman" w:cs="Times New Roman"/>
      <w:spacing w:val="-4"/>
      <w:sz w:val="8"/>
      <w:szCs w:val="8"/>
      <w:shd w:val="clear" w:color="auto" w:fill="FFFFFF"/>
    </w:rPr>
  </w:style>
  <w:style w:type="character" w:customStyle="1" w:styleId="1247">
    <w:name w:val="Основной текст (5) + Интервал 0 pt Exact"/>
    <w:basedOn w:val="1237"/>
    <w:uiPriority w:val="0"/>
    <w:rPr>
      <w:rFonts w:ascii="Franklin Gothic Heavy" w:hAnsi="Franklin Gothic Heavy" w:eastAsia="Franklin Gothic Heavy" w:cs="Franklin Gothic Heavy"/>
      <w:sz w:val="8"/>
      <w:szCs w:val="8"/>
      <w:shd w:val="clear" w:color="auto" w:fill="FFFFFF"/>
    </w:rPr>
  </w:style>
  <w:style w:type="character" w:customStyle="1" w:styleId="1248">
    <w:name w:val="Основной текст (5) Exact2"/>
    <w:basedOn w:val="1237"/>
    <w:uiPriority w:val="0"/>
    <w:rPr>
      <w:rFonts w:ascii="Franklin Gothic Heavy" w:hAnsi="Franklin Gothic Heavy" w:eastAsia="Franklin Gothic Heavy" w:cs="Franklin Gothic Heavy"/>
      <w:spacing w:val="2"/>
      <w:sz w:val="8"/>
      <w:szCs w:val="8"/>
      <w:shd w:val="clear" w:color="auto" w:fill="FFFFFF"/>
    </w:rPr>
  </w:style>
  <w:style w:type="character" w:customStyle="1" w:styleId="1249">
    <w:name w:val="Основной текст (7) Exact"/>
    <w:basedOn w:val="11"/>
    <w:uiPriority w:val="0"/>
    <w:rPr>
      <w:rFonts w:ascii="Times New Roman" w:hAnsi="Times New Roman" w:eastAsia="Times New Roman" w:cs="Times New Roman"/>
      <w:sz w:val="14"/>
      <w:szCs w:val="14"/>
      <w:u w:val="none"/>
    </w:rPr>
  </w:style>
  <w:style w:type="character" w:customStyle="1" w:styleId="1250">
    <w:name w:val="Основной текст (7) Exact4"/>
    <w:basedOn w:val="1251"/>
    <w:uiPriority w:val="0"/>
    <w:rPr>
      <w:rFonts w:ascii="Times New Roman" w:hAnsi="Times New Roman"/>
      <w:sz w:val="14"/>
      <w:szCs w:val="14"/>
      <w:shd w:val="clear" w:color="auto" w:fill="FFFFFF"/>
      <w:lang w:val="en-US"/>
    </w:rPr>
  </w:style>
  <w:style w:type="character" w:customStyle="1" w:styleId="1251">
    <w:name w:val="Основной текст (7)_"/>
    <w:basedOn w:val="11"/>
    <w:link w:val="1252"/>
    <w:uiPriority w:val="99"/>
    <w:rPr>
      <w:rFonts w:ascii="Times New Roman" w:hAnsi="Times New Roman"/>
      <w:sz w:val="15"/>
      <w:szCs w:val="15"/>
      <w:shd w:val="clear" w:color="auto" w:fill="FFFFFF"/>
    </w:rPr>
  </w:style>
  <w:style w:type="paragraph" w:customStyle="1" w:styleId="1252">
    <w:name w:val="Основной текст (7)1"/>
    <w:basedOn w:val="1"/>
    <w:link w:val="1251"/>
    <w:qFormat/>
    <w:uiPriority w:val="0"/>
    <w:pPr>
      <w:widowControl w:val="0"/>
      <w:shd w:val="clear" w:color="auto" w:fill="FFFFFF"/>
      <w:spacing w:after="0" w:line="202" w:lineRule="exact"/>
      <w:ind w:firstLine="0"/>
    </w:pPr>
    <w:rPr>
      <w:rFonts w:eastAsiaTheme="minorHAnsi" w:cstheme="minorBidi"/>
      <w:sz w:val="15"/>
      <w:szCs w:val="15"/>
      <w:lang w:eastAsia="en-US"/>
    </w:rPr>
  </w:style>
  <w:style w:type="character" w:customStyle="1" w:styleId="1253">
    <w:name w:val="Основной текст (5) Exact1"/>
    <w:basedOn w:val="1237"/>
    <w:uiPriority w:val="0"/>
    <w:rPr>
      <w:rFonts w:ascii="Franklin Gothic Heavy" w:hAnsi="Franklin Gothic Heavy" w:eastAsia="Franklin Gothic Heavy" w:cs="Franklin Gothic Heavy"/>
      <w:spacing w:val="2"/>
      <w:sz w:val="8"/>
      <w:szCs w:val="8"/>
      <w:shd w:val="clear" w:color="auto" w:fill="FFFFFF"/>
    </w:rPr>
  </w:style>
  <w:style w:type="character" w:customStyle="1" w:styleId="1254">
    <w:name w:val="Оглавление (4) Exact"/>
    <w:basedOn w:val="11"/>
    <w:link w:val="1255"/>
    <w:uiPriority w:val="0"/>
    <w:rPr>
      <w:rFonts w:ascii="Franklin Gothic Heavy" w:hAnsi="Franklin Gothic Heavy" w:eastAsia="Franklin Gothic Heavy" w:cs="Franklin Gothic Heavy"/>
      <w:spacing w:val="2"/>
      <w:sz w:val="8"/>
      <w:szCs w:val="8"/>
      <w:shd w:val="clear" w:color="auto" w:fill="FFFFFF"/>
    </w:rPr>
  </w:style>
  <w:style w:type="paragraph" w:customStyle="1" w:styleId="1255">
    <w:name w:val="Оглавление (4)"/>
    <w:basedOn w:val="1"/>
    <w:link w:val="1254"/>
    <w:qFormat/>
    <w:uiPriority w:val="0"/>
    <w:pPr>
      <w:widowControl w:val="0"/>
      <w:shd w:val="clear" w:color="auto" w:fill="FFFFFF"/>
      <w:spacing w:after="0" w:line="187" w:lineRule="exact"/>
      <w:ind w:firstLine="0"/>
      <w:jc w:val="both"/>
    </w:pPr>
    <w:rPr>
      <w:rFonts w:ascii="Franklin Gothic Heavy" w:hAnsi="Franklin Gothic Heavy" w:eastAsia="Franklin Gothic Heavy" w:cs="Franklin Gothic Heavy"/>
      <w:spacing w:val="2"/>
      <w:sz w:val="8"/>
      <w:szCs w:val="8"/>
      <w:lang w:eastAsia="en-US"/>
    </w:rPr>
  </w:style>
  <w:style w:type="character" w:customStyle="1" w:styleId="1256">
    <w:name w:val="Оглавление (4) Exact3"/>
    <w:basedOn w:val="1254"/>
    <w:uiPriority w:val="0"/>
    <w:rPr>
      <w:rFonts w:ascii="Franklin Gothic Heavy" w:hAnsi="Franklin Gothic Heavy" w:eastAsia="Franklin Gothic Heavy" w:cs="Franklin Gothic Heavy"/>
      <w:color w:val="000000"/>
      <w:spacing w:val="2"/>
      <w:w w:val="100"/>
      <w:position w:val="0"/>
      <w:sz w:val="8"/>
      <w:szCs w:val="8"/>
      <w:shd w:val="clear" w:color="auto" w:fill="FFFFFF"/>
      <w:lang w:val="ru-RU"/>
    </w:rPr>
  </w:style>
  <w:style w:type="character" w:customStyle="1" w:styleId="1257">
    <w:name w:val="Оглавление (4) Exact2"/>
    <w:basedOn w:val="1254"/>
    <w:uiPriority w:val="0"/>
    <w:rPr>
      <w:rFonts w:ascii="Franklin Gothic Heavy" w:hAnsi="Franklin Gothic Heavy" w:eastAsia="Franklin Gothic Heavy" w:cs="Franklin Gothic Heavy"/>
      <w:color w:val="000000"/>
      <w:spacing w:val="2"/>
      <w:w w:val="100"/>
      <w:position w:val="0"/>
      <w:sz w:val="8"/>
      <w:szCs w:val="8"/>
      <w:shd w:val="clear" w:color="auto" w:fill="FFFFFF"/>
      <w:lang w:val="ru-RU"/>
    </w:rPr>
  </w:style>
  <w:style w:type="character" w:customStyle="1" w:styleId="1258">
    <w:name w:val="Основной текст (5) + Times New Roman;Интервал 0 pt Exact5"/>
    <w:basedOn w:val="1237"/>
    <w:uiPriority w:val="0"/>
    <w:rPr>
      <w:rFonts w:ascii="Times New Roman" w:hAnsi="Times New Roman" w:eastAsia="Times New Roman" w:cs="Times New Roman"/>
      <w:spacing w:val="-2"/>
      <w:sz w:val="8"/>
      <w:szCs w:val="8"/>
      <w:shd w:val="clear" w:color="auto" w:fill="FFFFFF"/>
    </w:rPr>
  </w:style>
  <w:style w:type="character" w:customStyle="1" w:styleId="1259">
    <w:name w:val="Основной текст (5) + Times New Roman;7 pt;Интервал 0 pt Exact"/>
    <w:basedOn w:val="1237"/>
    <w:uiPriority w:val="0"/>
    <w:rPr>
      <w:rFonts w:ascii="Times New Roman" w:hAnsi="Times New Roman" w:eastAsia="Times New Roman" w:cs="Times New Roman"/>
      <w:sz w:val="14"/>
      <w:szCs w:val="14"/>
      <w:shd w:val="clear" w:color="auto" w:fill="FFFFFF"/>
    </w:rPr>
  </w:style>
  <w:style w:type="character" w:customStyle="1" w:styleId="1260">
    <w:name w:val="Основной текст (8) Exact"/>
    <w:basedOn w:val="11"/>
    <w:link w:val="1261"/>
    <w:uiPriority w:val="0"/>
    <w:rPr>
      <w:rFonts w:ascii="Times New Roman" w:hAnsi="Times New Roman"/>
      <w:spacing w:val="-5"/>
      <w:sz w:val="8"/>
      <w:szCs w:val="8"/>
      <w:shd w:val="clear" w:color="auto" w:fill="FFFFFF"/>
    </w:rPr>
  </w:style>
  <w:style w:type="paragraph" w:customStyle="1" w:styleId="1261">
    <w:name w:val="Основной текст (8)"/>
    <w:basedOn w:val="1"/>
    <w:link w:val="1260"/>
    <w:qFormat/>
    <w:uiPriority w:val="99"/>
    <w:pPr>
      <w:widowControl w:val="0"/>
      <w:shd w:val="clear" w:color="auto" w:fill="FFFFFF"/>
      <w:spacing w:after="0" w:line="0" w:lineRule="atLeast"/>
      <w:ind w:firstLine="0"/>
    </w:pPr>
    <w:rPr>
      <w:rFonts w:eastAsiaTheme="minorHAnsi" w:cstheme="minorBidi"/>
      <w:spacing w:val="-5"/>
      <w:sz w:val="8"/>
      <w:szCs w:val="8"/>
      <w:lang w:eastAsia="en-US"/>
    </w:rPr>
  </w:style>
  <w:style w:type="character" w:customStyle="1" w:styleId="1262">
    <w:name w:val="Основной текст (8) Exact1"/>
    <w:basedOn w:val="1260"/>
    <w:uiPriority w:val="0"/>
    <w:rPr>
      <w:rFonts w:ascii="Times New Roman" w:hAnsi="Times New Roman"/>
      <w:color w:val="000000"/>
      <w:spacing w:val="-5"/>
      <w:w w:val="100"/>
      <w:position w:val="0"/>
      <w:sz w:val="8"/>
      <w:szCs w:val="8"/>
      <w:shd w:val="clear" w:color="auto" w:fill="FFFFFF"/>
      <w:lang w:val="ru-RU"/>
    </w:rPr>
  </w:style>
  <w:style w:type="character" w:customStyle="1" w:styleId="1263">
    <w:name w:val="Основной текст (9) Exact"/>
    <w:basedOn w:val="11"/>
    <w:link w:val="1264"/>
    <w:uiPriority w:val="0"/>
    <w:rPr>
      <w:rFonts w:ascii="Arial" w:hAnsi="Arial" w:eastAsia="Arial" w:cs="Arial"/>
      <w:spacing w:val="-2"/>
      <w:sz w:val="8"/>
      <w:szCs w:val="8"/>
      <w:shd w:val="clear" w:color="auto" w:fill="FFFFFF"/>
    </w:rPr>
  </w:style>
  <w:style w:type="paragraph" w:customStyle="1" w:styleId="1264">
    <w:name w:val="Основной текст (9)"/>
    <w:basedOn w:val="1"/>
    <w:link w:val="1263"/>
    <w:qFormat/>
    <w:uiPriority w:val="0"/>
    <w:pPr>
      <w:widowControl w:val="0"/>
      <w:shd w:val="clear" w:color="auto" w:fill="FFFFFF"/>
      <w:spacing w:after="0" w:line="0" w:lineRule="atLeast"/>
      <w:ind w:firstLine="0"/>
    </w:pPr>
    <w:rPr>
      <w:rFonts w:ascii="Arial" w:hAnsi="Arial" w:eastAsia="Arial" w:cs="Arial"/>
      <w:spacing w:val="-2"/>
      <w:sz w:val="8"/>
      <w:szCs w:val="8"/>
      <w:lang w:eastAsia="en-US"/>
    </w:rPr>
  </w:style>
  <w:style w:type="character" w:customStyle="1" w:styleId="1265">
    <w:name w:val="Основной текст (9) Exact1"/>
    <w:basedOn w:val="1263"/>
    <w:uiPriority w:val="0"/>
    <w:rPr>
      <w:rFonts w:ascii="Arial" w:hAnsi="Arial" w:eastAsia="Arial" w:cs="Arial"/>
      <w:color w:val="000000"/>
      <w:spacing w:val="-2"/>
      <w:w w:val="100"/>
      <w:position w:val="0"/>
      <w:sz w:val="8"/>
      <w:szCs w:val="8"/>
      <w:shd w:val="clear" w:color="auto" w:fill="FFFFFF"/>
      <w:lang w:val="ru-RU"/>
    </w:rPr>
  </w:style>
  <w:style w:type="character" w:customStyle="1" w:styleId="1266">
    <w:name w:val="Основной текст (10) Exact"/>
    <w:basedOn w:val="11"/>
    <w:link w:val="1267"/>
    <w:uiPriority w:val="0"/>
    <w:rPr>
      <w:rFonts w:ascii="Bookman Old Style" w:hAnsi="Bookman Old Style" w:eastAsia="Bookman Old Style" w:cs="Bookman Old Style"/>
      <w:spacing w:val="-7"/>
      <w:sz w:val="8"/>
      <w:szCs w:val="8"/>
      <w:shd w:val="clear" w:color="auto" w:fill="FFFFFF"/>
    </w:rPr>
  </w:style>
  <w:style w:type="paragraph" w:customStyle="1" w:styleId="1267">
    <w:name w:val="Основной текст (10)"/>
    <w:basedOn w:val="1"/>
    <w:link w:val="1266"/>
    <w:qFormat/>
    <w:uiPriority w:val="0"/>
    <w:pPr>
      <w:widowControl w:val="0"/>
      <w:shd w:val="clear" w:color="auto" w:fill="FFFFFF"/>
      <w:spacing w:after="0" w:line="0" w:lineRule="atLeast"/>
      <w:ind w:firstLine="0"/>
    </w:pPr>
    <w:rPr>
      <w:rFonts w:ascii="Bookman Old Style" w:hAnsi="Bookman Old Style" w:eastAsia="Bookman Old Style" w:cs="Bookman Old Style"/>
      <w:spacing w:val="-7"/>
      <w:sz w:val="8"/>
      <w:szCs w:val="8"/>
      <w:lang w:eastAsia="en-US"/>
    </w:rPr>
  </w:style>
  <w:style w:type="character" w:customStyle="1" w:styleId="1268">
    <w:name w:val="Основной текст (10) Exact1"/>
    <w:basedOn w:val="1266"/>
    <w:uiPriority w:val="0"/>
    <w:rPr>
      <w:rFonts w:ascii="Bookman Old Style" w:hAnsi="Bookman Old Style" w:eastAsia="Bookman Old Style" w:cs="Bookman Old Style"/>
      <w:color w:val="000000"/>
      <w:spacing w:val="-7"/>
      <w:w w:val="100"/>
      <w:position w:val="0"/>
      <w:sz w:val="8"/>
      <w:szCs w:val="8"/>
      <w:shd w:val="clear" w:color="auto" w:fill="FFFFFF"/>
      <w:lang w:val="ru-RU"/>
    </w:rPr>
  </w:style>
  <w:style w:type="character" w:customStyle="1" w:styleId="1269">
    <w:name w:val="Основной текст (11) Exact"/>
    <w:basedOn w:val="11"/>
    <w:link w:val="1270"/>
    <w:uiPriority w:val="0"/>
    <w:rPr>
      <w:rFonts w:ascii="Times New Roman" w:hAnsi="Times New Roman"/>
      <w:sz w:val="8"/>
      <w:szCs w:val="8"/>
      <w:shd w:val="clear" w:color="auto" w:fill="FFFFFF"/>
    </w:rPr>
  </w:style>
  <w:style w:type="paragraph" w:customStyle="1" w:styleId="1270">
    <w:name w:val="Основной текст (11)"/>
    <w:basedOn w:val="1"/>
    <w:link w:val="1269"/>
    <w:qFormat/>
    <w:uiPriority w:val="0"/>
    <w:pPr>
      <w:widowControl w:val="0"/>
      <w:shd w:val="clear" w:color="auto" w:fill="FFFFFF"/>
      <w:spacing w:after="0" w:line="0" w:lineRule="atLeast"/>
      <w:ind w:firstLine="0"/>
    </w:pPr>
    <w:rPr>
      <w:rFonts w:eastAsiaTheme="minorHAnsi" w:cstheme="minorBidi"/>
      <w:sz w:val="8"/>
      <w:szCs w:val="8"/>
      <w:lang w:eastAsia="en-US"/>
    </w:rPr>
  </w:style>
  <w:style w:type="character" w:customStyle="1" w:styleId="1271">
    <w:name w:val="Основной текст (11) Exact1"/>
    <w:basedOn w:val="1269"/>
    <w:uiPriority w:val="0"/>
    <w:rPr>
      <w:rFonts w:ascii="Times New Roman" w:hAnsi="Times New Roman"/>
      <w:color w:val="000000"/>
      <w:spacing w:val="0"/>
      <w:w w:val="100"/>
      <w:position w:val="0"/>
      <w:sz w:val="8"/>
      <w:szCs w:val="8"/>
      <w:shd w:val="clear" w:color="auto" w:fill="FFFFFF"/>
    </w:rPr>
  </w:style>
  <w:style w:type="character" w:customStyle="1" w:styleId="1272">
    <w:name w:val="Основной текст (11) + Franklin Gothic Heavy Exact"/>
    <w:basedOn w:val="1269"/>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character" w:customStyle="1" w:styleId="1273">
    <w:name w:val="Основной текст (5) + Курсив;Интервал 0 pt Exact"/>
    <w:basedOn w:val="1237"/>
    <w:uiPriority w:val="0"/>
    <w:rPr>
      <w:rFonts w:ascii="Franklin Gothic Heavy" w:hAnsi="Franklin Gothic Heavy" w:eastAsia="Franklin Gothic Heavy" w:cs="Franklin Gothic Heavy"/>
      <w:i/>
      <w:iCs/>
      <w:spacing w:val="-3"/>
      <w:sz w:val="8"/>
      <w:szCs w:val="8"/>
      <w:shd w:val="clear" w:color="auto" w:fill="FFFFFF"/>
    </w:rPr>
  </w:style>
  <w:style w:type="character" w:customStyle="1" w:styleId="1274">
    <w:name w:val="Основной текст (5) + Курсив;Интервал 0 pt Exact1"/>
    <w:basedOn w:val="1237"/>
    <w:uiPriority w:val="0"/>
    <w:rPr>
      <w:rFonts w:ascii="Franklin Gothic Heavy" w:hAnsi="Franklin Gothic Heavy" w:eastAsia="Franklin Gothic Heavy" w:cs="Franklin Gothic Heavy"/>
      <w:i/>
      <w:iCs/>
      <w:spacing w:val="-3"/>
      <w:sz w:val="8"/>
      <w:szCs w:val="8"/>
      <w:shd w:val="clear" w:color="auto" w:fill="FFFFFF"/>
    </w:rPr>
  </w:style>
  <w:style w:type="character" w:customStyle="1" w:styleId="1275">
    <w:name w:val="Оглавление (4) Exact1"/>
    <w:basedOn w:val="1254"/>
    <w:uiPriority w:val="0"/>
    <w:rPr>
      <w:rFonts w:ascii="Franklin Gothic Heavy" w:hAnsi="Franklin Gothic Heavy" w:eastAsia="Franklin Gothic Heavy" w:cs="Franklin Gothic Heavy"/>
      <w:color w:val="000000"/>
      <w:spacing w:val="2"/>
      <w:w w:val="100"/>
      <w:position w:val="0"/>
      <w:sz w:val="8"/>
      <w:szCs w:val="8"/>
      <w:shd w:val="clear" w:color="auto" w:fill="FFFFFF"/>
      <w:lang w:val="ru-RU"/>
    </w:rPr>
  </w:style>
  <w:style w:type="character" w:customStyle="1" w:styleId="1276">
    <w:name w:val="Подпись к картинке (3) Exact"/>
    <w:basedOn w:val="11"/>
    <w:uiPriority w:val="0"/>
    <w:rPr>
      <w:rFonts w:ascii="Franklin Gothic Heavy" w:hAnsi="Franklin Gothic Heavy" w:eastAsia="Franklin Gothic Heavy" w:cs="Franklin Gothic Heavy"/>
      <w:spacing w:val="2"/>
      <w:sz w:val="8"/>
      <w:szCs w:val="8"/>
      <w:u w:val="none"/>
    </w:rPr>
  </w:style>
  <w:style w:type="character" w:customStyle="1" w:styleId="1277">
    <w:name w:val="Подпись к картинке (3) Exact1"/>
    <w:basedOn w:val="1278"/>
    <w:uiPriority w:val="0"/>
    <w:rPr>
      <w:rFonts w:ascii="Franklin Gothic Heavy" w:hAnsi="Franklin Gothic Heavy" w:eastAsia="Franklin Gothic Heavy" w:cs="Franklin Gothic Heavy"/>
      <w:spacing w:val="2"/>
      <w:sz w:val="8"/>
      <w:szCs w:val="8"/>
      <w:shd w:val="clear" w:color="auto" w:fill="FFFFFF"/>
    </w:rPr>
  </w:style>
  <w:style w:type="character" w:customStyle="1" w:styleId="1278">
    <w:name w:val="Подпись к картинке (3)_"/>
    <w:basedOn w:val="11"/>
    <w:link w:val="1279"/>
    <w:uiPriority w:val="99"/>
    <w:rPr>
      <w:rFonts w:ascii="Franklin Gothic Heavy" w:hAnsi="Franklin Gothic Heavy" w:eastAsia="Franklin Gothic Heavy" w:cs="Franklin Gothic Heavy"/>
      <w:sz w:val="8"/>
      <w:szCs w:val="8"/>
      <w:shd w:val="clear" w:color="auto" w:fill="FFFFFF"/>
    </w:rPr>
  </w:style>
  <w:style w:type="paragraph" w:customStyle="1" w:styleId="1279">
    <w:name w:val="Подпись к картинке (3)1"/>
    <w:basedOn w:val="1"/>
    <w:link w:val="1278"/>
    <w:qFormat/>
    <w:uiPriority w:val="99"/>
    <w:pPr>
      <w:widowControl w:val="0"/>
      <w:shd w:val="clear" w:color="auto" w:fill="FFFFFF"/>
      <w:spacing w:after="0" w:line="120" w:lineRule="exact"/>
      <w:ind w:firstLine="0"/>
    </w:pPr>
    <w:rPr>
      <w:rFonts w:ascii="Franklin Gothic Heavy" w:hAnsi="Franklin Gothic Heavy" w:eastAsia="Franklin Gothic Heavy" w:cs="Franklin Gothic Heavy"/>
      <w:sz w:val="8"/>
      <w:szCs w:val="8"/>
      <w:lang w:eastAsia="en-US"/>
    </w:rPr>
  </w:style>
  <w:style w:type="character" w:customStyle="1" w:styleId="1280">
    <w:name w:val="Подпись к картинке (4) Exact"/>
    <w:basedOn w:val="11"/>
    <w:uiPriority w:val="0"/>
    <w:rPr>
      <w:rFonts w:ascii="Times New Roman" w:hAnsi="Times New Roman" w:eastAsia="Times New Roman" w:cs="Times New Roman"/>
      <w:sz w:val="14"/>
      <w:szCs w:val="14"/>
      <w:u w:val="none"/>
    </w:rPr>
  </w:style>
  <w:style w:type="character" w:customStyle="1" w:styleId="1281">
    <w:name w:val="Подпись к картинке (4) Exact1"/>
    <w:basedOn w:val="1282"/>
    <w:uiPriority w:val="0"/>
    <w:rPr>
      <w:rFonts w:ascii="Times New Roman" w:hAnsi="Times New Roman"/>
      <w:sz w:val="14"/>
      <w:szCs w:val="14"/>
      <w:shd w:val="clear" w:color="auto" w:fill="FFFFFF"/>
    </w:rPr>
  </w:style>
  <w:style w:type="character" w:customStyle="1" w:styleId="1282">
    <w:name w:val="Подпись к картинке (4)_"/>
    <w:basedOn w:val="11"/>
    <w:link w:val="1283"/>
    <w:uiPriority w:val="99"/>
    <w:rPr>
      <w:rFonts w:ascii="Times New Roman" w:hAnsi="Times New Roman"/>
      <w:sz w:val="15"/>
      <w:szCs w:val="15"/>
      <w:shd w:val="clear" w:color="auto" w:fill="FFFFFF"/>
    </w:rPr>
  </w:style>
  <w:style w:type="paragraph" w:customStyle="1" w:styleId="1283">
    <w:name w:val="Подпись к картинке (4)1"/>
    <w:basedOn w:val="1"/>
    <w:link w:val="1282"/>
    <w:qFormat/>
    <w:uiPriority w:val="0"/>
    <w:pPr>
      <w:widowControl w:val="0"/>
      <w:shd w:val="clear" w:color="auto" w:fill="FFFFFF"/>
      <w:spacing w:after="0" w:line="120" w:lineRule="exact"/>
      <w:ind w:firstLine="0"/>
    </w:pPr>
    <w:rPr>
      <w:rFonts w:eastAsiaTheme="minorHAnsi" w:cstheme="minorBidi"/>
      <w:sz w:val="15"/>
      <w:szCs w:val="15"/>
      <w:lang w:eastAsia="en-US"/>
    </w:rPr>
  </w:style>
  <w:style w:type="character" w:customStyle="1" w:styleId="1284">
    <w:name w:val="Основной текст + Franklin Gothic Heavy;4 pt"/>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285">
    <w:name w:val="Основной текст + Franklin Gothic Heavy;4 pt9"/>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286">
    <w:name w:val="Основной текст + Bookman Old Style;14;5 pt"/>
    <w:basedOn w:val="208"/>
    <w:uiPriority w:val="0"/>
    <w:rPr>
      <w:rFonts w:ascii="Bookman Old Style" w:hAnsi="Bookman Old Style" w:eastAsia="Bookman Old Style" w:cs="Bookman Old Style"/>
      <w:color w:val="000000"/>
      <w:spacing w:val="0"/>
      <w:w w:val="100"/>
      <w:position w:val="0"/>
      <w:sz w:val="29"/>
      <w:szCs w:val="29"/>
      <w:u w:val="none"/>
      <w:shd w:val="clear" w:color="auto" w:fill="FFFFFF"/>
    </w:rPr>
  </w:style>
  <w:style w:type="character" w:customStyle="1" w:styleId="1287">
    <w:name w:val="Основной текст + Franklin Gothic Heavy;4 pt8"/>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288">
    <w:name w:val="Основной текст + 30 pt"/>
    <w:basedOn w:val="208"/>
    <w:uiPriority w:val="0"/>
    <w:rPr>
      <w:rFonts w:ascii="Times New Roman" w:hAnsi="Times New Roman" w:eastAsia="Times New Roman" w:cs="Times New Roman"/>
      <w:color w:val="000000"/>
      <w:spacing w:val="0"/>
      <w:w w:val="100"/>
      <w:position w:val="0"/>
      <w:sz w:val="60"/>
      <w:szCs w:val="60"/>
      <w:u w:val="none"/>
      <w:shd w:val="clear" w:color="auto" w:fill="FFFFFF"/>
    </w:rPr>
  </w:style>
  <w:style w:type="character" w:customStyle="1" w:styleId="1289">
    <w:name w:val="Основной текст + 9;5 pt3"/>
    <w:basedOn w:val="208"/>
    <w:uiPriority w:val="0"/>
    <w:rPr>
      <w:rFonts w:ascii="Times New Roman" w:hAnsi="Times New Roman" w:eastAsia="Times New Roman" w:cs="Times New Roman"/>
      <w:color w:val="000000"/>
      <w:spacing w:val="0"/>
      <w:w w:val="100"/>
      <w:position w:val="0"/>
      <w:sz w:val="19"/>
      <w:szCs w:val="19"/>
      <w:u w:val="none"/>
      <w:shd w:val="clear" w:color="auto" w:fill="FFFFFF"/>
    </w:rPr>
  </w:style>
  <w:style w:type="character" w:customStyle="1" w:styleId="1290">
    <w:name w:val="Основной текст + Bookman Old Style;13 pt"/>
    <w:basedOn w:val="208"/>
    <w:uiPriority w:val="0"/>
    <w:rPr>
      <w:rFonts w:ascii="Bookman Old Style" w:hAnsi="Bookman Old Style" w:eastAsia="Bookman Old Style" w:cs="Bookman Old Style"/>
      <w:color w:val="000000"/>
      <w:spacing w:val="0"/>
      <w:w w:val="100"/>
      <w:position w:val="0"/>
      <w:sz w:val="26"/>
      <w:szCs w:val="26"/>
      <w:u w:val="none"/>
      <w:shd w:val="clear" w:color="auto" w:fill="FFFFFF"/>
    </w:rPr>
  </w:style>
  <w:style w:type="character" w:customStyle="1" w:styleId="1291">
    <w:name w:val="Основной текст + Franklin Gothic Heavy;4 pt;Курсив"/>
    <w:basedOn w:val="208"/>
    <w:uiPriority w:val="0"/>
    <w:rPr>
      <w:rFonts w:ascii="Franklin Gothic Heavy" w:hAnsi="Franklin Gothic Heavy" w:eastAsia="Franklin Gothic Heavy" w:cs="Franklin Gothic Heavy"/>
      <w:i/>
      <w:iCs/>
      <w:color w:val="000000"/>
      <w:spacing w:val="0"/>
      <w:w w:val="100"/>
      <w:position w:val="0"/>
      <w:sz w:val="8"/>
      <w:szCs w:val="8"/>
      <w:u w:val="none"/>
      <w:shd w:val="clear" w:color="auto" w:fill="FFFFFF"/>
      <w:lang w:val="ru-RU"/>
    </w:rPr>
  </w:style>
  <w:style w:type="character" w:customStyle="1" w:styleId="1292">
    <w:name w:val="Основной текст + Franklin Gothic Heavy;4 pt;Курсив2"/>
    <w:basedOn w:val="208"/>
    <w:uiPriority w:val="0"/>
    <w:rPr>
      <w:rFonts w:ascii="Franklin Gothic Heavy" w:hAnsi="Franklin Gothic Heavy" w:eastAsia="Franklin Gothic Heavy" w:cs="Franklin Gothic Heavy"/>
      <w:i/>
      <w:iCs/>
      <w:color w:val="000000"/>
      <w:spacing w:val="0"/>
      <w:w w:val="100"/>
      <w:position w:val="0"/>
      <w:sz w:val="8"/>
      <w:szCs w:val="8"/>
      <w:u w:val="none"/>
      <w:shd w:val="clear" w:color="auto" w:fill="FFFFFF"/>
    </w:rPr>
  </w:style>
  <w:style w:type="character" w:customStyle="1" w:styleId="1293">
    <w:name w:val="Основной текст + Book Antiqua"/>
    <w:basedOn w:val="208"/>
    <w:uiPriority w:val="0"/>
    <w:rPr>
      <w:rFonts w:ascii="Book Antiqua" w:hAnsi="Book Antiqua" w:eastAsia="Book Antiqua" w:cs="Book Antiqua"/>
      <w:color w:val="000000"/>
      <w:spacing w:val="0"/>
      <w:w w:val="100"/>
      <w:position w:val="0"/>
      <w:sz w:val="27"/>
      <w:szCs w:val="27"/>
      <w:u w:val="none"/>
      <w:shd w:val="clear" w:color="auto" w:fill="FFFFFF"/>
    </w:rPr>
  </w:style>
  <w:style w:type="character" w:customStyle="1" w:styleId="1294">
    <w:name w:val="Основной текст + 9;5 pt2"/>
    <w:basedOn w:val="208"/>
    <w:uiPriority w:val="0"/>
    <w:rPr>
      <w:rFonts w:ascii="Times New Roman" w:hAnsi="Times New Roman" w:eastAsia="Times New Roman" w:cs="Times New Roman"/>
      <w:color w:val="000000"/>
      <w:spacing w:val="0"/>
      <w:w w:val="100"/>
      <w:position w:val="0"/>
      <w:sz w:val="19"/>
      <w:szCs w:val="19"/>
      <w:u w:val="none"/>
      <w:shd w:val="clear" w:color="auto" w:fill="FFFFFF"/>
    </w:rPr>
  </w:style>
  <w:style w:type="character" w:customStyle="1" w:styleId="1295">
    <w:name w:val="Основной текст + Franklin Gothic Heavy;4 pt7"/>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296">
    <w:name w:val="Основной текст (5)"/>
    <w:basedOn w:val="1237"/>
    <w:uiPriority w:val="99"/>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297">
    <w:name w:val="Основной текст + Franklin Gothic Heavy;4 pt6"/>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298">
    <w:name w:val="Подпись к картинке (3)"/>
    <w:basedOn w:val="1278"/>
    <w:uiPriority w:val="99"/>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299">
    <w:name w:val="Основной текст (12)_"/>
    <w:basedOn w:val="11"/>
    <w:link w:val="1300"/>
    <w:uiPriority w:val="99"/>
    <w:rPr>
      <w:rFonts w:ascii="Arial" w:hAnsi="Arial" w:eastAsia="Arial" w:cs="Arial"/>
      <w:i/>
      <w:iCs/>
      <w:sz w:val="13"/>
      <w:szCs w:val="13"/>
      <w:shd w:val="clear" w:color="auto" w:fill="FFFFFF"/>
    </w:rPr>
  </w:style>
  <w:style w:type="paragraph" w:customStyle="1" w:styleId="1300">
    <w:name w:val="Основной текст (12)1"/>
    <w:basedOn w:val="1"/>
    <w:link w:val="1299"/>
    <w:qFormat/>
    <w:uiPriority w:val="0"/>
    <w:pPr>
      <w:widowControl w:val="0"/>
      <w:shd w:val="clear" w:color="auto" w:fill="FFFFFF"/>
      <w:spacing w:after="0" w:line="0" w:lineRule="atLeast"/>
      <w:ind w:firstLine="0"/>
    </w:pPr>
    <w:rPr>
      <w:rFonts w:ascii="Arial" w:hAnsi="Arial" w:eastAsia="Arial" w:cs="Arial"/>
      <w:i/>
      <w:iCs/>
      <w:sz w:val="13"/>
      <w:szCs w:val="13"/>
      <w:lang w:eastAsia="en-US"/>
    </w:rPr>
  </w:style>
  <w:style w:type="character" w:customStyle="1" w:styleId="1301">
    <w:name w:val="Основной текст (12)"/>
    <w:basedOn w:val="1299"/>
    <w:uiPriority w:val="0"/>
    <w:rPr>
      <w:rFonts w:ascii="Arial" w:hAnsi="Arial" w:eastAsia="Arial" w:cs="Arial"/>
      <w:color w:val="000000"/>
      <w:spacing w:val="0"/>
      <w:w w:val="100"/>
      <w:position w:val="0"/>
      <w:sz w:val="13"/>
      <w:szCs w:val="13"/>
      <w:shd w:val="clear" w:color="auto" w:fill="FFFFFF"/>
    </w:rPr>
  </w:style>
  <w:style w:type="character" w:customStyle="1" w:styleId="1302">
    <w:name w:val="Основной текст (5)4"/>
    <w:basedOn w:val="1237"/>
    <w:uiPriority w:val="99"/>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03">
    <w:name w:val="Основной текст (13)_"/>
    <w:basedOn w:val="11"/>
    <w:link w:val="1304"/>
    <w:uiPriority w:val="99"/>
    <w:rPr>
      <w:rFonts w:ascii="Franklin Gothic Heavy" w:hAnsi="Franklin Gothic Heavy" w:eastAsia="Franklin Gothic Heavy" w:cs="Franklin Gothic Heavy"/>
      <w:sz w:val="25"/>
      <w:szCs w:val="25"/>
      <w:shd w:val="clear" w:color="auto" w:fill="FFFFFF"/>
    </w:rPr>
  </w:style>
  <w:style w:type="paragraph" w:customStyle="1" w:styleId="1304">
    <w:name w:val="Основной текст (13)1"/>
    <w:basedOn w:val="1"/>
    <w:link w:val="1303"/>
    <w:qFormat/>
    <w:uiPriority w:val="0"/>
    <w:pPr>
      <w:widowControl w:val="0"/>
      <w:shd w:val="clear" w:color="auto" w:fill="FFFFFF"/>
      <w:spacing w:after="0" w:line="0" w:lineRule="atLeast"/>
      <w:ind w:firstLine="0"/>
    </w:pPr>
    <w:rPr>
      <w:rFonts w:ascii="Franklin Gothic Heavy" w:hAnsi="Franklin Gothic Heavy" w:eastAsia="Franklin Gothic Heavy" w:cs="Franklin Gothic Heavy"/>
      <w:sz w:val="25"/>
      <w:szCs w:val="25"/>
      <w:lang w:eastAsia="en-US"/>
    </w:rPr>
  </w:style>
  <w:style w:type="character" w:customStyle="1" w:styleId="1305">
    <w:name w:val="Основной текст (13)"/>
    <w:basedOn w:val="1303"/>
    <w:uiPriority w:val="0"/>
    <w:rPr>
      <w:rFonts w:ascii="Franklin Gothic Heavy" w:hAnsi="Franklin Gothic Heavy" w:eastAsia="Franklin Gothic Heavy" w:cs="Franklin Gothic Heavy"/>
      <w:color w:val="000000"/>
      <w:spacing w:val="0"/>
      <w:w w:val="100"/>
      <w:position w:val="0"/>
      <w:sz w:val="25"/>
      <w:szCs w:val="25"/>
      <w:shd w:val="clear" w:color="auto" w:fill="FFFFFF"/>
    </w:rPr>
  </w:style>
  <w:style w:type="character" w:customStyle="1" w:styleId="1306">
    <w:name w:val="Основной текст (7)"/>
    <w:basedOn w:val="1251"/>
    <w:uiPriority w:val="0"/>
    <w:rPr>
      <w:rFonts w:ascii="Times New Roman" w:hAnsi="Times New Roman"/>
      <w:color w:val="000000"/>
      <w:spacing w:val="0"/>
      <w:w w:val="100"/>
      <w:position w:val="0"/>
      <w:sz w:val="15"/>
      <w:szCs w:val="15"/>
      <w:shd w:val="clear" w:color="auto" w:fill="FFFFFF"/>
    </w:rPr>
  </w:style>
  <w:style w:type="character" w:customStyle="1" w:styleId="1307">
    <w:name w:val="Основной текст (5)3"/>
    <w:basedOn w:val="1237"/>
    <w:uiPriority w:val="99"/>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08">
    <w:name w:val="Основной текст + Candara;4;5 pt"/>
    <w:basedOn w:val="208"/>
    <w:uiPriority w:val="0"/>
    <w:rPr>
      <w:rFonts w:ascii="Candara" w:hAnsi="Candara" w:eastAsia="Candara" w:cs="Candara"/>
      <w:color w:val="000000"/>
      <w:spacing w:val="0"/>
      <w:w w:val="100"/>
      <w:position w:val="0"/>
      <w:sz w:val="9"/>
      <w:szCs w:val="9"/>
      <w:u w:val="none"/>
      <w:shd w:val="clear" w:color="auto" w:fill="FFFFFF"/>
      <w:lang w:val="ru-RU"/>
    </w:rPr>
  </w:style>
  <w:style w:type="character" w:customStyle="1" w:styleId="1309">
    <w:name w:val="Подпись к картинке (3)3"/>
    <w:basedOn w:val="1278"/>
    <w:uiPriority w:val="0"/>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10">
    <w:name w:val="Подпись к картинке (3)2"/>
    <w:basedOn w:val="1278"/>
    <w:uiPriority w:val="0"/>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11">
    <w:name w:val="Подпись к картинке (4)"/>
    <w:basedOn w:val="1282"/>
    <w:uiPriority w:val="0"/>
    <w:rPr>
      <w:rFonts w:ascii="Times New Roman" w:hAnsi="Times New Roman"/>
      <w:color w:val="000000"/>
      <w:spacing w:val="0"/>
      <w:w w:val="100"/>
      <w:position w:val="0"/>
      <w:sz w:val="15"/>
      <w:szCs w:val="15"/>
      <w:shd w:val="clear" w:color="auto" w:fill="FFFFFF"/>
      <w:lang w:val="ru-RU"/>
    </w:rPr>
  </w:style>
  <w:style w:type="character" w:customStyle="1" w:styleId="1312">
    <w:name w:val="Колонтитул5"/>
    <w:basedOn w:val="413"/>
    <w:uiPriority w:val="0"/>
    <w:rPr>
      <w:rFonts w:ascii="Franklin Gothic Heavy" w:hAnsi="Franklin Gothic Heavy" w:eastAsia="Franklin Gothic Heavy" w:cs="Franklin Gothic Heavy"/>
      <w:color w:val="000000"/>
      <w:spacing w:val="0"/>
      <w:w w:val="100"/>
      <w:position w:val="0"/>
      <w:sz w:val="12"/>
      <w:szCs w:val="12"/>
      <w:u w:val="none"/>
      <w:shd w:val="clear" w:color="auto" w:fill="FFFFFF"/>
      <w:lang w:val="ru-RU"/>
    </w:rPr>
  </w:style>
  <w:style w:type="character" w:customStyle="1" w:styleId="1313">
    <w:name w:val="Основной текст (3)2"/>
    <w:basedOn w:val="1210"/>
    <w:uiPriority w:val="99"/>
    <w:rPr>
      <w:rFonts w:ascii="Times New Roman" w:hAnsi="Times New Roman"/>
      <w:color w:val="000000"/>
      <w:spacing w:val="0"/>
      <w:w w:val="100"/>
      <w:position w:val="0"/>
      <w:sz w:val="23"/>
      <w:szCs w:val="23"/>
      <w:shd w:val="clear" w:color="auto" w:fill="FFFFFF"/>
      <w:lang w:val="ru-RU"/>
    </w:rPr>
  </w:style>
  <w:style w:type="character" w:customStyle="1" w:styleId="1314">
    <w:name w:val="Колонтитул (2)"/>
    <w:basedOn w:val="11"/>
    <w:uiPriority w:val="0"/>
    <w:rPr>
      <w:rFonts w:ascii="Times New Roman" w:hAnsi="Times New Roman" w:eastAsia="Times New Roman" w:cs="Times New Roman"/>
      <w:sz w:val="23"/>
      <w:szCs w:val="23"/>
      <w:u w:val="none"/>
    </w:rPr>
  </w:style>
  <w:style w:type="character" w:customStyle="1" w:styleId="1315">
    <w:name w:val="Основной текст (16) Exact"/>
    <w:basedOn w:val="11"/>
    <w:link w:val="1316"/>
    <w:uiPriority w:val="0"/>
    <w:rPr>
      <w:rFonts w:ascii="Tahoma" w:hAnsi="Tahoma" w:eastAsia="Tahoma" w:cs="Tahoma"/>
      <w:spacing w:val="-2"/>
      <w:sz w:val="8"/>
      <w:szCs w:val="8"/>
      <w:shd w:val="clear" w:color="auto" w:fill="FFFFFF"/>
    </w:rPr>
  </w:style>
  <w:style w:type="paragraph" w:customStyle="1" w:styleId="1316">
    <w:name w:val="Основной текст (16)"/>
    <w:basedOn w:val="1"/>
    <w:link w:val="1315"/>
    <w:qFormat/>
    <w:uiPriority w:val="99"/>
    <w:pPr>
      <w:widowControl w:val="0"/>
      <w:shd w:val="clear" w:color="auto" w:fill="FFFFFF"/>
      <w:spacing w:after="0" w:line="0" w:lineRule="atLeast"/>
      <w:ind w:firstLine="0"/>
    </w:pPr>
    <w:rPr>
      <w:rFonts w:ascii="Tahoma" w:hAnsi="Tahoma" w:eastAsia="Tahoma" w:cs="Tahoma"/>
      <w:spacing w:val="-2"/>
      <w:sz w:val="8"/>
      <w:szCs w:val="8"/>
      <w:lang w:eastAsia="en-US"/>
    </w:rPr>
  </w:style>
  <w:style w:type="character" w:customStyle="1" w:styleId="1317">
    <w:name w:val="Основной текст (16) Exact3"/>
    <w:basedOn w:val="1315"/>
    <w:uiPriority w:val="0"/>
    <w:rPr>
      <w:rFonts w:ascii="Tahoma" w:hAnsi="Tahoma" w:eastAsia="Tahoma" w:cs="Tahoma"/>
      <w:color w:val="000000"/>
      <w:spacing w:val="-2"/>
      <w:w w:val="100"/>
      <w:position w:val="0"/>
      <w:sz w:val="8"/>
      <w:szCs w:val="8"/>
      <w:shd w:val="clear" w:color="auto" w:fill="FFFFFF"/>
      <w:lang w:val="ru-RU"/>
    </w:rPr>
  </w:style>
  <w:style w:type="character" w:customStyle="1" w:styleId="1318">
    <w:name w:val="Основной текст (16) Exact2"/>
    <w:basedOn w:val="1315"/>
    <w:uiPriority w:val="0"/>
    <w:rPr>
      <w:rFonts w:ascii="Tahoma" w:hAnsi="Tahoma" w:eastAsia="Tahoma" w:cs="Tahoma"/>
      <w:color w:val="000000"/>
      <w:spacing w:val="-2"/>
      <w:w w:val="100"/>
      <w:position w:val="0"/>
      <w:sz w:val="8"/>
      <w:szCs w:val="8"/>
      <w:shd w:val="clear" w:color="auto" w:fill="FFFFFF"/>
      <w:lang w:val="ru-RU"/>
    </w:rPr>
  </w:style>
  <w:style w:type="character" w:customStyle="1" w:styleId="1319">
    <w:name w:val="Основной текст + Franklin Gothic Heavy;4 pt5"/>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320">
    <w:name w:val="Основной текст + Franklin Gothic Heavy;4 pt4"/>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321">
    <w:name w:val="Основной текст + Franklin Gothic Heavy;4 pt3"/>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322">
    <w:name w:val="Основной текст + Franklin Gothic Heavy;4 pt2"/>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323">
    <w:name w:val="Основной текст + Franklin Gothic Heavy;4 pt;Курсив1"/>
    <w:basedOn w:val="208"/>
    <w:uiPriority w:val="0"/>
    <w:rPr>
      <w:rFonts w:ascii="Franklin Gothic Heavy" w:hAnsi="Franklin Gothic Heavy" w:eastAsia="Franklin Gothic Heavy" w:cs="Franklin Gothic Heavy"/>
      <w:i/>
      <w:iCs/>
      <w:color w:val="000000"/>
      <w:spacing w:val="0"/>
      <w:w w:val="100"/>
      <w:position w:val="0"/>
      <w:sz w:val="8"/>
      <w:szCs w:val="8"/>
      <w:u w:val="none"/>
      <w:shd w:val="clear" w:color="auto" w:fill="FFFFFF"/>
    </w:rPr>
  </w:style>
  <w:style w:type="character" w:customStyle="1" w:styleId="1324">
    <w:name w:val="Колонтитул (4) + 6 pt"/>
    <w:basedOn w:val="11"/>
    <w:uiPriority w:val="0"/>
    <w:rPr>
      <w:rFonts w:ascii="Franklin Gothic Heavy" w:hAnsi="Franklin Gothic Heavy" w:eastAsia="Franklin Gothic Heavy" w:cs="Franklin Gothic Heavy"/>
      <w:sz w:val="12"/>
      <w:szCs w:val="12"/>
      <w:u w:val="none"/>
    </w:rPr>
  </w:style>
  <w:style w:type="character" w:customStyle="1" w:styleId="1325">
    <w:name w:val="Колонтитул (4) + 6 pt1"/>
    <w:basedOn w:val="11"/>
    <w:uiPriority w:val="0"/>
    <w:rPr>
      <w:rFonts w:ascii="Franklin Gothic Heavy" w:hAnsi="Franklin Gothic Heavy" w:eastAsia="Franklin Gothic Heavy" w:cs="Franklin Gothic Heavy"/>
      <w:sz w:val="12"/>
      <w:szCs w:val="12"/>
      <w:u w:val="none"/>
    </w:rPr>
  </w:style>
  <w:style w:type="character" w:customStyle="1" w:styleId="1326">
    <w:name w:val="Основной текст (5)2"/>
    <w:basedOn w:val="1237"/>
    <w:uiPriority w:val="99"/>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27">
    <w:name w:val="Основной текст (7)7"/>
    <w:basedOn w:val="1251"/>
    <w:uiPriority w:val="0"/>
    <w:rPr>
      <w:rFonts w:ascii="Times New Roman" w:hAnsi="Times New Roman"/>
      <w:color w:val="000000"/>
      <w:spacing w:val="0"/>
      <w:w w:val="100"/>
      <w:position w:val="0"/>
      <w:sz w:val="15"/>
      <w:szCs w:val="15"/>
      <w:shd w:val="clear" w:color="auto" w:fill="FFFFFF"/>
      <w:lang w:val="ru-RU"/>
    </w:rPr>
  </w:style>
  <w:style w:type="character" w:customStyle="1" w:styleId="1328">
    <w:name w:val="Основной текст (5) + Times New Roman;7;5 pt"/>
    <w:basedOn w:val="1237"/>
    <w:uiPriority w:val="0"/>
    <w:rPr>
      <w:rFonts w:ascii="Times New Roman" w:hAnsi="Times New Roman" w:eastAsia="Times New Roman" w:cs="Times New Roman"/>
      <w:color w:val="000000"/>
      <w:spacing w:val="0"/>
      <w:w w:val="100"/>
      <w:position w:val="0"/>
      <w:sz w:val="15"/>
      <w:szCs w:val="15"/>
      <w:shd w:val="clear" w:color="auto" w:fill="FFFFFF"/>
    </w:rPr>
  </w:style>
  <w:style w:type="character" w:customStyle="1" w:styleId="1329">
    <w:name w:val="Основной текст + Lucida Sans Unicode;10 pt;Курсив"/>
    <w:basedOn w:val="208"/>
    <w:uiPriority w:val="0"/>
    <w:rPr>
      <w:rFonts w:ascii="Lucida Sans Unicode" w:hAnsi="Lucida Sans Unicode" w:eastAsia="Lucida Sans Unicode" w:cs="Lucida Sans Unicode"/>
      <w:i/>
      <w:iCs/>
      <w:color w:val="000000"/>
      <w:spacing w:val="0"/>
      <w:w w:val="100"/>
      <w:position w:val="0"/>
      <w:sz w:val="20"/>
      <w:szCs w:val="20"/>
      <w:u w:val="none"/>
      <w:shd w:val="clear" w:color="auto" w:fill="FFFFFF"/>
    </w:rPr>
  </w:style>
  <w:style w:type="character" w:customStyle="1" w:styleId="1330">
    <w:name w:val="Основной текст + Tahoma;9;5 pt;Полужирный"/>
    <w:basedOn w:val="208"/>
    <w:uiPriority w:val="0"/>
    <w:rPr>
      <w:rFonts w:ascii="Tahoma" w:hAnsi="Tahoma" w:eastAsia="Tahoma" w:cs="Tahoma"/>
      <w:b/>
      <w:bCs/>
      <w:color w:val="000000"/>
      <w:spacing w:val="0"/>
      <w:w w:val="100"/>
      <w:position w:val="0"/>
      <w:sz w:val="19"/>
      <w:szCs w:val="19"/>
      <w:u w:val="none"/>
      <w:shd w:val="clear" w:color="auto" w:fill="FFFFFF"/>
    </w:rPr>
  </w:style>
  <w:style w:type="character" w:customStyle="1" w:styleId="1331">
    <w:name w:val="Основной текст + Tahoma;9;5 pt;Полужирный3"/>
    <w:basedOn w:val="208"/>
    <w:uiPriority w:val="0"/>
    <w:rPr>
      <w:rFonts w:ascii="Tahoma" w:hAnsi="Tahoma" w:eastAsia="Tahoma" w:cs="Tahoma"/>
      <w:b/>
      <w:bCs/>
      <w:color w:val="000000"/>
      <w:spacing w:val="0"/>
      <w:w w:val="100"/>
      <w:position w:val="0"/>
      <w:sz w:val="19"/>
      <w:szCs w:val="19"/>
      <w:u w:val="none"/>
      <w:shd w:val="clear" w:color="auto" w:fill="FFFFFF"/>
    </w:rPr>
  </w:style>
  <w:style w:type="character" w:customStyle="1" w:styleId="1332">
    <w:name w:val="Основной текст + Tahoma;9;5 pt;Полужирный2"/>
    <w:basedOn w:val="208"/>
    <w:uiPriority w:val="0"/>
    <w:rPr>
      <w:rFonts w:ascii="Tahoma" w:hAnsi="Tahoma" w:eastAsia="Tahoma" w:cs="Tahoma"/>
      <w:b/>
      <w:bCs/>
      <w:color w:val="000000"/>
      <w:spacing w:val="0"/>
      <w:w w:val="100"/>
      <w:position w:val="0"/>
      <w:sz w:val="19"/>
      <w:szCs w:val="19"/>
      <w:u w:val="none"/>
      <w:shd w:val="clear" w:color="auto" w:fill="FFFFFF"/>
    </w:rPr>
  </w:style>
  <w:style w:type="character" w:customStyle="1" w:styleId="1333">
    <w:name w:val="Основной текст + Tahoma;9;5 pt;Полужирный1"/>
    <w:basedOn w:val="208"/>
    <w:uiPriority w:val="0"/>
    <w:rPr>
      <w:rFonts w:ascii="Tahoma" w:hAnsi="Tahoma" w:eastAsia="Tahoma" w:cs="Tahoma"/>
      <w:b/>
      <w:bCs/>
      <w:color w:val="000000"/>
      <w:spacing w:val="0"/>
      <w:w w:val="100"/>
      <w:position w:val="0"/>
      <w:sz w:val="19"/>
      <w:szCs w:val="19"/>
      <w:u w:val="none"/>
      <w:shd w:val="clear" w:color="auto" w:fill="FFFFFF"/>
    </w:rPr>
  </w:style>
  <w:style w:type="character" w:customStyle="1" w:styleId="1334">
    <w:name w:val="Подпись к таблице (2)_"/>
    <w:basedOn w:val="11"/>
    <w:link w:val="1335"/>
    <w:uiPriority w:val="99"/>
    <w:rPr>
      <w:rFonts w:ascii="Franklin Gothic Heavy" w:hAnsi="Franklin Gothic Heavy" w:eastAsia="Franklin Gothic Heavy" w:cs="Franklin Gothic Heavy"/>
      <w:sz w:val="8"/>
      <w:szCs w:val="8"/>
      <w:shd w:val="clear" w:color="auto" w:fill="FFFFFF"/>
    </w:rPr>
  </w:style>
  <w:style w:type="paragraph" w:customStyle="1" w:styleId="1335">
    <w:name w:val="Подпись к таблице (2)1"/>
    <w:basedOn w:val="1"/>
    <w:link w:val="1334"/>
    <w:qFormat/>
    <w:uiPriority w:val="0"/>
    <w:pPr>
      <w:widowControl w:val="0"/>
      <w:shd w:val="clear" w:color="auto" w:fill="FFFFFF"/>
      <w:spacing w:after="0" w:line="134" w:lineRule="exact"/>
      <w:ind w:firstLine="0"/>
    </w:pPr>
    <w:rPr>
      <w:rFonts w:ascii="Franklin Gothic Heavy" w:hAnsi="Franklin Gothic Heavy" w:eastAsia="Franklin Gothic Heavy" w:cs="Franklin Gothic Heavy"/>
      <w:sz w:val="8"/>
      <w:szCs w:val="8"/>
      <w:lang w:eastAsia="en-US"/>
    </w:rPr>
  </w:style>
  <w:style w:type="character" w:customStyle="1" w:styleId="1336">
    <w:name w:val="Подпись к таблице (2)"/>
    <w:basedOn w:val="1334"/>
    <w:uiPriority w:val="0"/>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37">
    <w:name w:val="Подпись к таблице (2)2"/>
    <w:basedOn w:val="1334"/>
    <w:uiPriority w:val="0"/>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338">
    <w:name w:val="Основной текст (16) Exact1"/>
    <w:basedOn w:val="1315"/>
    <w:uiPriority w:val="0"/>
    <w:rPr>
      <w:rFonts w:ascii="Tahoma" w:hAnsi="Tahoma" w:eastAsia="Tahoma" w:cs="Tahoma"/>
      <w:color w:val="000000"/>
      <w:spacing w:val="-2"/>
      <w:w w:val="100"/>
      <w:position w:val="0"/>
      <w:sz w:val="8"/>
      <w:szCs w:val="8"/>
      <w:shd w:val="clear" w:color="auto" w:fill="FFFFFF"/>
      <w:lang w:val="ru-RU"/>
    </w:rPr>
  </w:style>
  <w:style w:type="character" w:customStyle="1" w:styleId="1339">
    <w:name w:val="Основной текст + 11;5 pt3"/>
    <w:basedOn w:val="208"/>
    <w:uiPriority w:val="0"/>
    <w:rPr>
      <w:rFonts w:ascii="Times New Roman" w:hAnsi="Times New Roman" w:eastAsia="Times New Roman" w:cs="Times New Roman"/>
      <w:color w:val="000000"/>
      <w:spacing w:val="0"/>
      <w:w w:val="100"/>
      <w:position w:val="0"/>
      <w:sz w:val="23"/>
      <w:szCs w:val="23"/>
      <w:u w:val="none"/>
      <w:shd w:val="clear" w:color="auto" w:fill="FFFFFF"/>
    </w:rPr>
  </w:style>
  <w:style w:type="character" w:customStyle="1" w:styleId="1340">
    <w:name w:val="Основной текст + 11;5 pt2"/>
    <w:basedOn w:val="208"/>
    <w:uiPriority w:val="0"/>
    <w:rPr>
      <w:rFonts w:ascii="Times New Roman" w:hAnsi="Times New Roman" w:eastAsia="Times New Roman" w:cs="Times New Roman"/>
      <w:color w:val="000000"/>
      <w:spacing w:val="0"/>
      <w:w w:val="100"/>
      <w:position w:val="0"/>
      <w:sz w:val="23"/>
      <w:szCs w:val="23"/>
      <w:u w:val="none"/>
      <w:shd w:val="clear" w:color="auto" w:fill="FFFFFF"/>
    </w:rPr>
  </w:style>
  <w:style w:type="character" w:customStyle="1" w:styleId="1341">
    <w:name w:val="Основной текст + 11;5 pt1"/>
    <w:basedOn w:val="208"/>
    <w:uiPriority w:val="0"/>
    <w:rPr>
      <w:rFonts w:ascii="Times New Roman" w:hAnsi="Times New Roman" w:eastAsia="Times New Roman" w:cs="Times New Roman"/>
      <w:color w:val="000000"/>
      <w:spacing w:val="0"/>
      <w:w w:val="100"/>
      <w:position w:val="0"/>
      <w:sz w:val="23"/>
      <w:szCs w:val="23"/>
      <w:u w:val="none"/>
      <w:shd w:val="clear" w:color="auto" w:fill="FFFFFF"/>
    </w:rPr>
  </w:style>
  <w:style w:type="character" w:customStyle="1" w:styleId="1342">
    <w:name w:val="Колонтитул + Times New Roman;11;5 pt2"/>
    <w:basedOn w:val="413"/>
    <w:uiPriority w:val="0"/>
    <w:rPr>
      <w:rFonts w:ascii="Times New Roman" w:hAnsi="Times New Roman" w:eastAsia="Times New Roman" w:cs="Times New Roman"/>
      <w:color w:val="000000"/>
      <w:spacing w:val="0"/>
      <w:w w:val="100"/>
      <w:position w:val="0"/>
      <w:sz w:val="23"/>
      <w:szCs w:val="23"/>
      <w:u w:val="none"/>
      <w:shd w:val="clear" w:color="auto" w:fill="FFFFFF"/>
      <w:lang w:val="ru-RU"/>
    </w:rPr>
  </w:style>
  <w:style w:type="character" w:customStyle="1" w:styleId="1343">
    <w:name w:val="Основной текст (7)6"/>
    <w:basedOn w:val="1251"/>
    <w:uiPriority w:val="0"/>
    <w:rPr>
      <w:rFonts w:ascii="Times New Roman" w:hAnsi="Times New Roman"/>
      <w:color w:val="000000"/>
      <w:spacing w:val="0"/>
      <w:w w:val="100"/>
      <w:position w:val="0"/>
      <w:sz w:val="15"/>
      <w:szCs w:val="15"/>
      <w:shd w:val="clear" w:color="auto" w:fill="FFFFFF"/>
    </w:rPr>
  </w:style>
  <w:style w:type="character" w:customStyle="1" w:styleId="1344">
    <w:name w:val="Основной текст + Bookman Old Style;10 pt;Полужирный"/>
    <w:basedOn w:val="208"/>
    <w:uiPriority w:val="0"/>
    <w:rPr>
      <w:rFonts w:ascii="Bookman Old Style" w:hAnsi="Bookman Old Style" w:eastAsia="Bookman Old Style" w:cs="Bookman Old Style"/>
      <w:b/>
      <w:bCs/>
      <w:color w:val="000000"/>
      <w:spacing w:val="0"/>
      <w:w w:val="100"/>
      <w:position w:val="0"/>
      <w:sz w:val="20"/>
      <w:szCs w:val="20"/>
      <w:u w:val="none"/>
      <w:shd w:val="clear" w:color="auto" w:fill="FFFFFF"/>
    </w:rPr>
  </w:style>
  <w:style w:type="character" w:customStyle="1" w:styleId="1345">
    <w:name w:val="Основной текст + Bookman Old Style;10 pt;Полужирный1"/>
    <w:basedOn w:val="208"/>
    <w:uiPriority w:val="0"/>
    <w:rPr>
      <w:rFonts w:ascii="Bookman Old Style" w:hAnsi="Bookman Old Style" w:eastAsia="Bookman Old Style" w:cs="Bookman Old Style"/>
      <w:b/>
      <w:bCs/>
      <w:color w:val="000000"/>
      <w:spacing w:val="0"/>
      <w:w w:val="100"/>
      <w:position w:val="0"/>
      <w:sz w:val="20"/>
      <w:szCs w:val="20"/>
      <w:u w:val="none"/>
      <w:shd w:val="clear" w:color="auto" w:fill="FFFFFF"/>
    </w:rPr>
  </w:style>
  <w:style w:type="character" w:customStyle="1" w:styleId="1346">
    <w:name w:val="Основной текст + Bookman Old Style;Курсив"/>
    <w:basedOn w:val="208"/>
    <w:uiPriority w:val="0"/>
    <w:rPr>
      <w:rFonts w:ascii="Bookman Old Style" w:hAnsi="Bookman Old Style" w:eastAsia="Bookman Old Style" w:cs="Bookman Old Style"/>
      <w:i/>
      <w:iCs/>
      <w:color w:val="000000"/>
      <w:spacing w:val="0"/>
      <w:w w:val="100"/>
      <w:position w:val="0"/>
      <w:sz w:val="27"/>
      <w:szCs w:val="27"/>
      <w:u w:val="none"/>
      <w:shd w:val="clear" w:color="auto" w:fill="FFFFFF"/>
    </w:rPr>
  </w:style>
  <w:style w:type="character" w:customStyle="1" w:styleId="1347">
    <w:name w:val="Основной текст + Franklin Gothic Heavy;4 pt1"/>
    <w:basedOn w:val="208"/>
    <w:uiPriority w:val="0"/>
    <w:rPr>
      <w:rFonts w:ascii="Franklin Gothic Heavy" w:hAnsi="Franklin Gothic Heavy" w:eastAsia="Franklin Gothic Heavy" w:cs="Franklin Gothic Heavy"/>
      <w:color w:val="000000"/>
      <w:spacing w:val="0"/>
      <w:w w:val="100"/>
      <w:position w:val="0"/>
      <w:sz w:val="8"/>
      <w:szCs w:val="8"/>
      <w:u w:val="none"/>
      <w:shd w:val="clear" w:color="auto" w:fill="FFFFFF"/>
      <w:lang w:val="ru-RU"/>
    </w:rPr>
  </w:style>
  <w:style w:type="character" w:customStyle="1" w:styleId="1348">
    <w:name w:val="Основной текст (7) Exact3"/>
    <w:basedOn w:val="1251"/>
    <w:uiPriority w:val="0"/>
    <w:rPr>
      <w:rFonts w:ascii="Times New Roman" w:hAnsi="Times New Roman"/>
      <w:color w:val="000000"/>
      <w:spacing w:val="0"/>
      <w:w w:val="100"/>
      <w:position w:val="0"/>
      <w:sz w:val="14"/>
      <w:szCs w:val="14"/>
      <w:shd w:val="clear" w:color="auto" w:fill="FFFFFF"/>
      <w:lang w:val="ru-RU"/>
    </w:rPr>
  </w:style>
  <w:style w:type="character" w:customStyle="1" w:styleId="1349">
    <w:name w:val="Основной текст (5) + Times New Roman;7 pt;Интервал 0 pt Exact1"/>
    <w:basedOn w:val="1237"/>
    <w:uiPriority w:val="0"/>
    <w:rPr>
      <w:rFonts w:ascii="Times New Roman" w:hAnsi="Times New Roman" w:eastAsia="Times New Roman" w:cs="Times New Roman"/>
      <w:color w:val="000000"/>
      <w:spacing w:val="0"/>
      <w:w w:val="100"/>
      <w:position w:val="0"/>
      <w:sz w:val="14"/>
      <w:szCs w:val="14"/>
      <w:shd w:val="clear" w:color="auto" w:fill="FFFFFF"/>
      <w:lang w:val="ru-RU"/>
    </w:rPr>
  </w:style>
  <w:style w:type="character" w:customStyle="1" w:styleId="1350">
    <w:name w:val="Основной текст (5) + Bookman Old Style;Интервал 0 pt Exact"/>
    <w:basedOn w:val="1237"/>
    <w:uiPriority w:val="0"/>
    <w:rPr>
      <w:rFonts w:ascii="Bookman Old Style" w:hAnsi="Bookman Old Style" w:eastAsia="Bookman Old Style" w:cs="Bookman Old Style"/>
      <w:color w:val="000000"/>
      <w:spacing w:val="0"/>
      <w:w w:val="100"/>
      <w:position w:val="0"/>
      <w:sz w:val="8"/>
      <w:szCs w:val="8"/>
      <w:shd w:val="clear" w:color="auto" w:fill="FFFFFF"/>
      <w:lang w:val="ru-RU"/>
    </w:rPr>
  </w:style>
  <w:style w:type="character" w:customStyle="1" w:styleId="1351">
    <w:name w:val="Основной текст (18) Exact"/>
    <w:basedOn w:val="11"/>
    <w:link w:val="1352"/>
    <w:uiPriority w:val="0"/>
    <w:rPr>
      <w:rFonts w:ascii="Bookman Old Style" w:hAnsi="Bookman Old Style" w:eastAsia="Bookman Old Style" w:cs="Bookman Old Style"/>
      <w:spacing w:val="-1"/>
      <w:sz w:val="8"/>
      <w:szCs w:val="8"/>
      <w:shd w:val="clear" w:color="auto" w:fill="FFFFFF"/>
    </w:rPr>
  </w:style>
  <w:style w:type="paragraph" w:customStyle="1" w:styleId="1352">
    <w:name w:val="Основной текст (18)"/>
    <w:basedOn w:val="1"/>
    <w:link w:val="1351"/>
    <w:qFormat/>
    <w:uiPriority w:val="0"/>
    <w:pPr>
      <w:widowControl w:val="0"/>
      <w:shd w:val="clear" w:color="auto" w:fill="FFFFFF"/>
      <w:spacing w:after="60" w:line="0" w:lineRule="atLeast"/>
      <w:ind w:firstLine="0"/>
    </w:pPr>
    <w:rPr>
      <w:rFonts w:ascii="Bookman Old Style" w:hAnsi="Bookman Old Style" w:eastAsia="Bookman Old Style" w:cs="Bookman Old Style"/>
      <w:spacing w:val="-1"/>
      <w:sz w:val="8"/>
      <w:szCs w:val="8"/>
      <w:lang w:eastAsia="en-US"/>
    </w:rPr>
  </w:style>
  <w:style w:type="character" w:customStyle="1" w:styleId="1353">
    <w:name w:val="Основной текст (18) Exact1"/>
    <w:basedOn w:val="1351"/>
    <w:uiPriority w:val="0"/>
    <w:rPr>
      <w:rFonts w:ascii="Bookman Old Style" w:hAnsi="Bookman Old Style" w:eastAsia="Bookman Old Style" w:cs="Bookman Old Style"/>
      <w:color w:val="000000"/>
      <w:spacing w:val="-1"/>
      <w:w w:val="100"/>
      <w:position w:val="0"/>
      <w:sz w:val="8"/>
      <w:szCs w:val="8"/>
      <w:shd w:val="clear" w:color="auto" w:fill="FFFFFF"/>
      <w:lang w:val="ru-RU"/>
    </w:rPr>
  </w:style>
  <w:style w:type="character" w:customStyle="1" w:styleId="1354">
    <w:name w:val="Основной текст (5) + Bookman Old Style;Интервал 0 pt Exact1"/>
    <w:basedOn w:val="1237"/>
    <w:uiPriority w:val="0"/>
    <w:rPr>
      <w:rFonts w:ascii="Bookman Old Style" w:hAnsi="Bookman Old Style" w:eastAsia="Bookman Old Style" w:cs="Bookman Old Style"/>
      <w:color w:val="000000"/>
      <w:spacing w:val="-7"/>
      <w:w w:val="100"/>
      <w:position w:val="0"/>
      <w:sz w:val="8"/>
      <w:szCs w:val="8"/>
      <w:shd w:val="clear" w:color="auto" w:fill="FFFFFF"/>
      <w:lang w:val="ru-RU"/>
    </w:rPr>
  </w:style>
  <w:style w:type="character" w:customStyle="1" w:styleId="1355">
    <w:name w:val="Основной текст (5) + Times New Roman;Интервал 0 pt Exact4"/>
    <w:basedOn w:val="1237"/>
    <w:uiPriority w:val="0"/>
    <w:rPr>
      <w:rFonts w:ascii="Times New Roman" w:hAnsi="Times New Roman" w:eastAsia="Times New Roman" w:cs="Times New Roman"/>
      <w:color w:val="000000"/>
      <w:spacing w:val="-1"/>
      <w:w w:val="100"/>
      <w:position w:val="0"/>
      <w:sz w:val="8"/>
      <w:szCs w:val="8"/>
      <w:shd w:val="clear" w:color="auto" w:fill="FFFFFF"/>
      <w:lang w:val="ru-RU"/>
    </w:rPr>
  </w:style>
  <w:style w:type="character" w:customStyle="1" w:styleId="1356">
    <w:name w:val="Основной текст (5) + Интервал 0 pt Exact2"/>
    <w:basedOn w:val="1237"/>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character" w:customStyle="1" w:styleId="1357">
    <w:name w:val="Основной текст (5) + Times New Roman;Интервал 0 pt Exact3"/>
    <w:basedOn w:val="1237"/>
    <w:uiPriority w:val="0"/>
    <w:rPr>
      <w:rFonts w:ascii="Times New Roman" w:hAnsi="Times New Roman" w:eastAsia="Times New Roman" w:cs="Times New Roman"/>
      <w:color w:val="000000"/>
      <w:spacing w:val="-1"/>
      <w:w w:val="100"/>
      <w:position w:val="0"/>
      <w:sz w:val="8"/>
      <w:szCs w:val="8"/>
      <w:shd w:val="clear" w:color="auto" w:fill="FFFFFF"/>
      <w:lang w:val="ru-RU"/>
    </w:rPr>
  </w:style>
  <w:style w:type="character" w:customStyle="1" w:styleId="1358">
    <w:name w:val="Основной текст (5) + Times New Roman;Интервал 0 pt Exact2"/>
    <w:basedOn w:val="1237"/>
    <w:uiPriority w:val="0"/>
    <w:rPr>
      <w:rFonts w:ascii="Times New Roman" w:hAnsi="Times New Roman" w:eastAsia="Times New Roman" w:cs="Times New Roman"/>
      <w:color w:val="000000"/>
      <w:spacing w:val="-2"/>
      <w:w w:val="100"/>
      <w:position w:val="0"/>
      <w:sz w:val="8"/>
      <w:szCs w:val="8"/>
      <w:shd w:val="clear" w:color="auto" w:fill="FFFFFF"/>
      <w:lang w:val="ru-RU"/>
    </w:rPr>
  </w:style>
  <w:style w:type="character" w:customStyle="1" w:styleId="1359">
    <w:name w:val="Основной текст (5) + Интервал 0 pt Exact1"/>
    <w:basedOn w:val="1237"/>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character" w:customStyle="1" w:styleId="1360">
    <w:name w:val="Основной текст (5) + Times New Roman;Интервал 0 pt Exact1"/>
    <w:basedOn w:val="1237"/>
    <w:uiPriority w:val="0"/>
    <w:rPr>
      <w:rFonts w:ascii="Times New Roman" w:hAnsi="Times New Roman" w:eastAsia="Times New Roman" w:cs="Times New Roman"/>
      <w:color w:val="000000"/>
      <w:spacing w:val="-2"/>
      <w:w w:val="100"/>
      <w:position w:val="0"/>
      <w:sz w:val="8"/>
      <w:szCs w:val="8"/>
      <w:shd w:val="clear" w:color="auto" w:fill="FFFFFF"/>
      <w:lang w:val="ru-RU"/>
    </w:rPr>
  </w:style>
  <w:style w:type="character" w:customStyle="1" w:styleId="1361">
    <w:name w:val="Основной текст (5) + 4;5 pt;Интервал 0 pt Exact"/>
    <w:basedOn w:val="1237"/>
    <w:uiPriority w:val="0"/>
    <w:rPr>
      <w:rFonts w:ascii="Franklin Gothic Heavy" w:hAnsi="Franklin Gothic Heavy" w:eastAsia="Franklin Gothic Heavy" w:cs="Franklin Gothic Heavy"/>
      <w:color w:val="000000"/>
      <w:spacing w:val="-4"/>
      <w:w w:val="100"/>
      <w:position w:val="0"/>
      <w:sz w:val="9"/>
      <w:szCs w:val="9"/>
      <w:shd w:val="clear" w:color="auto" w:fill="FFFFFF"/>
      <w:lang w:val="ru-RU"/>
    </w:rPr>
  </w:style>
  <w:style w:type="character" w:customStyle="1" w:styleId="1362">
    <w:name w:val="Основной текст (5) + Tahoma;Интервал 0 pt Exact"/>
    <w:basedOn w:val="1237"/>
    <w:uiPriority w:val="0"/>
    <w:rPr>
      <w:rFonts w:ascii="Tahoma" w:hAnsi="Tahoma" w:eastAsia="Tahoma" w:cs="Tahoma"/>
      <w:color w:val="000000"/>
      <w:spacing w:val="0"/>
      <w:w w:val="100"/>
      <w:position w:val="0"/>
      <w:sz w:val="8"/>
      <w:szCs w:val="8"/>
      <w:shd w:val="clear" w:color="auto" w:fill="FFFFFF"/>
      <w:lang w:val="ru-RU"/>
    </w:rPr>
  </w:style>
  <w:style w:type="character" w:customStyle="1" w:styleId="1363">
    <w:name w:val="Основной текст (7) + Franklin Gothic Heavy;4 pt;Интервал 0 pt Exact"/>
    <w:basedOn w:val="1251"/>
    <w:uiPriority w:val="0"/>
    <w:rPr>
      <w:rFonts w:ascii="Franklin Gothic Heavy" w:hAnsi="Franklin Gothic Heavy" w:eastAsia="Franklin Gothic Heavy" w:cs="Franklin Gothic Heavy"/>
      <w:color w:val="000000"/>
      <w:spacing w:val="2"/>
      <w:w w:val="100"/>
      <w:position w:val="0"/>
      <w:sz w:val="8"/>
      <w:szCs w:val="8"/>
      <w:shd w:val="clear" w:color="auto" w:fill="FFFFFF"/>
      <w:lang w:val="ru-RU"/>
    </w:rPr>
  </w:style>
  <w:style w:type="character" w:customStyle="1" w:styleId="1364">
    <w:name w:val="Основной текст (19) Exact"/>
    <w:basedOn w:val="11"/>
    <w:link w:val="1365"/>
    <w:uiPriority w:val="0"/>
    <w:rPr>
      <w:rFonts w:ascii="Times New Roman" w:hAnsi="Times New Roman"/>
      <w:spacing w:val="1"/>
      <w:sz w:val="8"/>
      <w:szCs w:val="8"/>
      <w:shd w:val="clear" w:color="auto" w:fill="FFFFFF"/>
    </w:rPr>
  </w:style>
  <w:style w:type="paragraph" w:customStyle="1" w:styleId="1365">
    <w:name w:val="Основной текст (19)"/>
    <w:basedOn w:val="1"/>
    <w:link w:val="1364"/>
    <w:qFormat/>
    <w:uiPriority w:val="0"/>
    <w:pPr>
      <w:widowControl w:val="0"/>
      <w:shd w:val="clear" w:color="auto" w:fill="FFFFFF"/>
      <w:spacing w:after="0" w:line="235" w:lineRule="exact"/>
      <w:ind w:firstLine="0"/>
    </w:pPr>
    <w:rPr>
      <w:rFonts w:eastAsiaTheme="minorHAnsi" w:cstheme="minorBidi"/>
      <w:spacing w:val="1"/>
      <w:sz w:val="8"/>
      <w:szCs w:val="8"/>
      <w:lang w:eastAsia="en-US"/>
    </w:rPr>
  </w:style>
  <w:style w:type="character" w:customStyle="1" w:styleId="1366">
    <w:name w:val="Основной текст (19) Exact1"/>
    <w:basedOn w:val="1364"/>
    <w:uiPriority w:val="0"/>
    <w:rPr>
      <w:rFonts w:ascii="Times New Roman" w:hAnsi="Times New Roman"/>
      <w:color w:val="000000"/>
      <w:spacing w:val="1"/>
      <w:w w:val="100"/>
      <w:position w:val="0"/>
      <w:sz w:val="8"/>
      <w:szCs w:val="8"/>
      <w:shd w:val="clear" w:color="auto" w:fill="FFFFFF"/>
      <w:lang w:val="ru-RU"/>
    </w:rPr>
  </w:style>
  <w:style w:type="character" w:customStyle="1" w:styleId="1367">
    <w:name w:val="Основной текст (18) + Tahoma;Интервал 0 pt Exact"/>
    <w:basedOn w:val="1351"/>
    <w:uiPriority w:val="0"/>
    <w:rPr>
      <w:rFonts w:ascii="Tahoma" w:hAnsi="Tahoma" w:eastAsia="Tahoma" w:cs="Tahoma"/>
      <w:color w:val="000000"/>
      <w:spacing w:val="0"/>
      <w:w w:val="100"/>
      <w:position w:val="0"/>
      <w:sz w:val="8"/>
      <w:szCs w:val="8"/>
      <w:shd w:val="clear" w:color="auto" w:fill="FFFFFF"/>
    </w:rPr>
  </w:style>
  <w:style w:type="character" w:customStyle="1" w:styleId="1368">
    <w:name w:val="Основной текст (20) Exact"/>
    <w:basedOn w:val="11"/>
    <w:link w:val="1369"/>
    <w:uiPriority w:val="0"/>
    <w:rPr>
      <w:rFonts w:ascii="Times New Roman" w:hAnsi="Times New Roman"/>
      <w:spacing w:val="-1"/>
      <w:sz w:val="8"/>
      <w:szCs w:val="8"/>
      <w:shd w:val="clear" w:color="auto" w:fill="FFFFFF"/>
    </w:rPr>
  </w:style>
  <w:style w:type="paragraph" w:customStyle="1" w:styleId="1369">
    <w:name w:val="Основной текст (20)"/>
    <w:basedOn w:val="1"/>
    <w:link w:val="1368"/>
    <w:qFormat/>
    <w:uiPriority w:val="0"/>
    <w:pPr>
      <w:widowControl w:val="0"/>
      <w:shd w:val="clear" w:color="auto" w:fill="FFFFFF"/>
      <w:spacing w:after="0" w:line="0" w:lineRule="atLeast"/>
      <w:ind w:firstLine="0"/>
    </w:pPr>
    <w:rPr>
      <w:rFonts w:eastAsiaTheme="minorHAnsi" w:cstheme="minorBidi"/>
      <w:spacing w:val="-1"/>
      <w:sz w:val="8"/>
      <w:szCs w:val="8"/>
      <w:lang w:eastAsia="en-US"/>
    </w:rPr>
  </w:style>
  <w:style w:type="character" w:customStyle="1" w:styleId="1370">
    <w:name w:val="Основной текст (20) Exact1"/>
    <w:basedOn w:val="1368"/>
    <w:uiPriority w:val="0"/>
    <w:rPr>
      <w:rFonts w:ascii="Times New Roman" w:hAnsi="Times New Roman"/>
      <w:color w:val="000000"/>
      <w:spacing w:val="-1"/>
      <w:w w:val="100"/>
      <w:position w:val="0"/>
      <w:sz w:val="8"/>
      <w:szCs w:val="8"/>
      <w:shd w:val="clear" w:color="auto" w:fill="FFFFFF"/>
      <w:lang w:val="ru-RU"/>
    </w:rPr>
  </w:style>
  <w:style w:type="character" w:customStyle="1" w:styleId="1371">
    <w:name w:val="Основной текст (20) + Franklin Gothic Heavy;Интервал 0 pt Exact"/>
    <w:basedOn w:val="1368"/>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character" w:customStyle="1" w:styleId="1372">
    <w:name w:val="Основной текст + 12;5 pt;Полужирный"/>
    <w:basedOn w:val="208"/>
    <w:uiPriority w:val="0"/>
    <w:rPr>
      <w:rFonts w:ascii="Times New Roman" w:hAnsi="Times New Roman" w:eastAsia="Times New Roman" w:cs="Times New Roman"/>
      <w:b/>
      <w:bCs/>
      <w:color w:val="000000"/>
      <w:spacing w:val="0"/>
      <w:w w:val="100"/>
      <w:position w:val="0"/>
      <w:sz w:val="25"/>
      <w:szCs w:val="25"/>
      <w:u w:val="none"/>
      <w:shd w:val="clear" w:color="auto" w:fill="FFFFFF"/>
    </w:rPr>
  </w:style>
  <w:style w:type="character" w:customStyle="1" w:styleId="1373">
    <w:name w:val="Основной текст + 12;5 pt;Полужирный4"/>
    <w:basedOn w:val="208"/>
    <w:uiPriority w:val="0"/>
    <w:rPr>
      <w:rFonts w:ascii="Times New Roman" w:hAnsi="Times New Roman" w:eastAsia="Times New Roman" w:cs="Times New Roman"/>
      <w:b/>
      <w:bCs/>
      <w:color w:val="000000"/>
      <w:spacing w:val="0"/>
      <w:w w:val="100"/>
      <w:position w:val="0"/>
      <w:sz w:val="25"/>
      <w:szCs w:val="25"/>
      <w:u w:val="none"/>
      <w:shd w:val="clear" w:color="auto" w:fill="FFFFFF"/>
    </w:rPr>
  </w:style>
  <w:style w:type="character" w:customStyle="1" w:styleId="1374">
    <w:name w:val="Основной текст + 12;5 pt;Полужирный3"/>
    <w:basedOn w:val="208"/>
    <w:uiPriority w:val="0"/>
    <w:rPr>
      <w:rFonts w:ascii="Times New Roman" w:hAnsi="Times New Roman" w:eastAsia="Times New Roman" w:cs="Times New Roman"/>
      <w:b/>
      <w:bCs/>
      <w:color w:val="000000"/>
      <w:spacing w:val="0"/>
      <w:w w:val="100"/>
      <w:position w:val="0"/>
      <w:sz w:val="25"/>
      <w:szCs w:val="25"/>
      <w:u w:val="none"/>
      <w:shd w:val="clear" w:color="auto" w:fill="FFFFFF"/>
    </w:rPr>
  </w:style>
  <w:style w:type="character" w:customStyle="1" w:styleId="1375">
    <w:name w:val="Основной текст + 12;5 pt;Полужирный2"/>
    <w:basedOn w:val="208"/>
    <w:uiPriority w:val="0"/>
    <w:rPr>
      <w:rFonts w:ascii="Times New Roman" w:hAnsi="Times New Roman" w:eastAsia="Times New Roman" w:cs="Times New Roman"/>
      <w:b/>
      <w:bCs/>
      <w:color w:val="000000"/>
      <w:spacing w:val="0"/>
      <w:w w:val="100"/>
      <w:position w:val="0"/>
      <w:sz w:val="25"/>
      <w:szCs w:val="25"/>
      <w:u w:val="none"/>
      <w:shd w:val="clear" w:color="auto" w:fill="FFFFFF"/>
    </w:rPr>
  </w:style>
  <w:style w:type="character" w:customStyle="1" w:styleId="1376">
    <w:name w:val="Основной текст + 12;5 pt;Полужирный1"/>
    <w:basedOn w:val="208"/>
    <w:uiPriority w:val="0"/>
    <w:rPr>
      <w:rFonts w:ascii="Times New Roman" w:hAnsi="Times New Roman" w:eastAsia="Times New Roman" w:cs="Times New Roman"/>
      <w:b/>
      <w:bCs/>
      <w:color w:val="000000"/>
      <w:spacing w:val="0"/>
      <w:w w:val="100"/>
      <w:position w:val="0"/>
      <w:sz w:val="25"/>
      <w:szCs w:val="25"/>
      <w:u w:val="none"/>
      <w:shd w:val="clear" w:color="auto" w:fill="FFFFFF"/>
    </w:rPr>
  </w:style>
  <w:style w:type="character" w:customStyle="1" w:styleId="1377">
    <w:name w:val="Подпись к картинке (5)_"/>
    <w:basedOn w:val="11"/>
    <w:link w:val="1378"/>
    <w:uiPriority w:val="99"/>
    <w:rPr>
      <w:rFonts w:ascii="Tahoma" w:hAnsi="Tahoma" w:eastAsia="Tahoma" w:cs="Tahoma"/>
      <w:sz w:val="8"/>
      <w:szCs w:val="8"/>
      <w:shd w:val="clear" w:color="auto" w:fill="FFFFFF"/>
    </w:rPr>
  </w:style>
  <w:style w:type="paragraph" w:customStyle="1" w:styleId="1378">
    <w:name w:val="Подпись к картинке (5)1"/>
    <w:basedOn w:val="1"/>
    <w:link w:val="1377"/>
    <w:qFormat/>
    <w:uiPriority w:val="0"/>
    <w:pPr>
      <w:widowControl w:val="0"/>
      <w:shd w:val="clear" w:color="auto" w:fill="FFFFFF"/>
      <w:spacing w:after="0" w:line="0" w:lineRule="atLeast"/>
      <w:ind w:firstLine="0"/>
    </w:pPr>
    <w:rPr>
      <w:rFonts w:ascii="Tahoma" w:hAnsi="Tahoma" w:eastAsia="Tahoma" w:cs="Tahoma"/>
      <w:sz w:val="8"/>
      <w:szCs w:val="8"/>
      <w:lang w:eastAsia="en-US"/>
    </w:rPr>
  </w:style>
  <w:style w:type="character" w:customStyle="1" w:styleId="1379">
    <w:name w:val="Подпись к картинке (5)"/>
    <w:basedOn w:val="1377"/>
    <w:uiPriority w:val="0"/>
    <w:rPr>
      <w:rFonts w:ascii="Tahoma" w:hAnsi="Tahoma" w:eastAsia="Tahoma" w:cs="Tahoma"/>
      <w:color w:val="000000"/>
      <w:spacing w:val="0"/>
      <w:w w:val="100"/>
      <w:position w:val="0"/>
      <w:sz w:val="8"/>
      <w:szCs w:val="8"/>
      <w:shd w:val="clear" w:color="auto" w:fill="FFFFFF"/>
      <w:lang w:val="ru-RU"/>
    </w:rPr>
  </w:style>
  <w:style w:type="character" w:customStyle="1" w:styleId="1380">
    <w:name w:val="Подпись к картинке (5)2"/>
    <w:basedOn w:val="1377"/>
    <w:uiPriority w:val="0"/>
    <w:rPr>
      <w:rFonts w:ascii="Tahoma" w:hAnsi="Tahoma" w:eastAsia="Tahoma" w:cs="Tahoma"/>
      <w:color w:val="000000"/>
      <w:spacing w:val="0"/>
      <w:w w:val="100"/>
      <w:position w:val="0"/>
      <w:sz w:val="8"/>
      <w:szCs w:val="8"/>
      <w:shd w:val="clear" w:color="auto" w:fill="FFFFFF"/>
      <w:lang w:val="ru-RU"/>
    </w:rPr>
  </w:style>
  <w:style w:type="character" w:customStyle="1" w:styleId="1381">
    <w:name w:val="Основной текст (21) Exact"/>
    <w:basedOn w:val="11"/>
    <w:link w:val="1382"/>
    <w:uiPriority w:val="0"/>
    <w:rPr>
      <w:rFonts w:ascii="Times New Roman" w:hAnsi="Times New Roman"/>
      <w:spacing w:val="3"/>
      <w:sz w:val="8"/>
      <w:szCs w:val="8"/>
      <w:shd w:val="clear" w:color="auto" w:fill="FFFFFF"/>
    </w:rPr>
  </w:style>
  <w:style w:type="paragraph" w:customStyle="1" w:styleId="1382">
    <w:name w:val="Основной текст (21)"/>
    <w:basedOn w:val="1"/>
    <w:link w:val="1381"/>
    <w:qFormat/>
    <w:uiPriority w:val="99"/>
    <w:pPr>
      <w:widowControl w:val="0"/>
      <w:shd w:val="clear" w:color="auto" w:fill="FFFFFF"/>
      <w:spacing w:after="0" w:line="149" w:lineRule="exact"/>
      <w:ind w:firstLine="0"/>
    </w:pPr>
    <w:rPr>
      <w:rFonts w:eastAsiaTheme="minorHAnsi" w:cstheme="minorBidi"/>
      <w:spacing w:val="3"/>
      <w:sz w:val="8"/>
      <w:szCs w:val="8"/>
      <w:lang w:eastAsia="en-US"/>
    </w:rPr>
  </w:style>
  <w:style w:type="character" w:customStyle="1" w:styleId="1383">
    <w:name w:val="Основной текст (21) Exact1"/>
    <w:basedOn w:val="1381"/>
    <w:uiPriority w:val="0"/>
    <w:rPr>
      <w:rFonts w:ascii="Times New Roman" w:hAnsi="Times New Roman"/>
      <w:color w:val="000000"/>
      <w:spacing w:val="3"/>
      <w:w w:val="100"/>
      <w:position w:val="0"/>
      <w:sz w:val="8"/>
      <w:szCs w:val="8"/>
      <w:shd w:val="clear" w:color="auto" w:fill="FFFFFF"/>
      <w:lang w:val="ru-RU"/>
    </w:rPr>
  </w:style>
  <w:style w:type="character" w:customStyle="1" w:styleId="1384">
    <w:name w:val="Основной текст (21) + Franklin Gothic Heavy;Интервал 0 pt Exact"/>
    <w:basedOn w:val="1381"/>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character" w:customStyle="1" w:styleId="1385">
    <w:name w:val="Основной текст (22) Exact"/>
    <w:basedOn w:val="11"/>
    <w:link w:val="1386"/>
    <w:uiPriority w:val="0"/>
    <w:rPr>
      <w:rFonts w:ascii="Franklin Gothic Heavy" w:hAnsi="Franklin Gothic Heavy" w:eastAsia="Franklin Gothic Heavy" w:cs="Franklin Gothic Heavy"/>
      <w:spacing w:val="1"/>
      <w:sz w:val="8"/>
      <w:szCs w:val="8"/>
      <w:shd w:val="clear" w:color="auto" w:fill="FFFFFF"/>
    </w:rPr>
  </w:style>
  <w:style w:type="paragraph" w:customStyle="1" w:styleId="1386">
    <w:name w:val="Основной текст (22)"/>
    <w:basedOn w:val="1"/>
    <w:link w:val="1385"/>
    <w:qFormat/>
    <w:uiPriority w:val="99"/>
    <w:pPr>
      <w:widowControl w:val="0"/>
      <w:shd w:val="clear" w:color="auto" w:fill="FFFFFF"/>
      <w:spacing w:after="0" w:line="149" w:lineRule="exact"/>
      <w:ind w:firstLine="0"/>
    </w:pPr>
    <w:rPr>
      <w:rFonts w:ascii="Franklin Gothic Heavy" w:hAnsi="Franklin Gothic Heavy" w:eastAsia="Franklin Gothic Heavy" w:cs="Franklin Gothic Heavy"/>
      <w:spacing w:val="1"/>
      <w:sz w:val="8"/>
      <w:szCs w:val="8"/>
      <w:lang w:eastAsia="en-US"/>
    </w:rPr>
  </w:style>
  <w:style w:type="character" w:customStyle="1" w:styleId="1387">
    <w:name w:val="Основной текст (22) Exact1"/>
    <w:basedOn w:val="1385"/>
    <w:uiPriority w:val="0"/>
    <w:rPr>
      <w:rFonts w:ascii="Franklin Gothic Heavy" w:hAnsi="Franklin Gothic Heavy" w:eastAsia="Franklin Gothic Heavy" w:cs="Franklin Gothic Heavy"/>
      <w:color w:val="000000"/>
      <w:spacing w:val="1"/>
      <w:w w:val="100"/>
      <w:position w:val="0"/>
      <w:sz w:val="8"/>
      <w:szCs w:val="8"/>
      <w:shd w:val="clear" w:color="auto" w:fill="FFFFFF"/>
      <w:lang w:val="ru-RU"/>
    </w:rPr>
  </w:style>
  <w:style w:type="character" w:customStyle="1" w:styleId="1388">
    <w:name w:val="Основной текст (23) Exact"/>
    <w:basedOn w:val="11"/>
    <w:link w:val="1389"/>
    <w:uiPriority w:val="0"/>
    <w:rPr>
      <w:rFonts w:ascii="Franklin Gothic Heavy" w:hAnsi="Franklin Gothic Heavy" w:eastAsia="Franklin Gothic Heavy" w:cs="Franklin Gothic Heavy"/>
      <w:spacing w:val="1"/>
      <w:sz w:val="8"/>
      <w:szCs w:val="8"/>
      <w:shd w:val="clear" w:color="auto" w:fill="FFFFFF"/>
    </w:rPr>
  </w:style>
  <w:style w:type="paragraph" w:customStyle="1" w:styleId="1389">
    <w:name w:val="Основной текст (23)"/>
    <w:basedOn w:val="1"/>
    <w:link w:val="1388"/>
    <w:qFormat/>
    <w:uiPriority w:val="0"/>
    <w:pPr>
      <w:widowControl w:val="0"/>
      <w:shd w:val="clear" w:color="auto" w:fill="FFFFFF"/>
      <w:spacing w:after="0" w:line="149" w:lineRule="exact"/>
      <w:ind w:firstLine="0"/>
    </w:pPr>
    <w:rPr>
      <w:rFonts w:ascii="Franklin Gothic Heavy" w:hAnsi="Franklin Gothic Heavy" w:eastAsia="Franklin Gothic Heavy" w:cs="Franklin Gothic Heavy"/>
      <w:spacing w:val="1"/>
      <w:sz w:val="8"/>
      <w:szCs w:val="8"/>
      <w:lang w:eastAsia="en-US"/>
    </w:rPr>
  </w:style>
  <w:style w:type="character" w:customStyle="1" w:styleId="1390">
    <w:name w:val="Основной текст (23) Exact1"/>
    <w:basedOn w:val="1388"/>
    <w:uiPriority w:val="0"/>
    <w:rPr>
      <w:rFonts w:ascii="Franklin Gothic Heavy" w:hAnsi="Franklin Gothic Heavy" w:eastAsia="Franklin Gothic Heavy" w:cs="Franklin Gothic Heavy"/>
      <w:color w:val="000000"/>
      <w:spacing w:val="1"/>
      <w:w w:val="100"/>
      <w:position w:val="0"/>
      <w:sz w:val="8"/>
      <w:szCs w:val="8"/>
      <w:shd w:val="clear" w:color="auto" w:fill="FFFFFF"/>
      <w:lang w:val="ru-RU"/>
    </w:rPr>
  </w:style>
  <w:style w:type="character" w:customStyle="1" w:styleId="1391">
    <w:name w:val="Основной текст (24) Exact"/>
    <w:basedOn w:val="11"/>
    <w:link w:val="1392"/>
    <w:uiPriority w:val="0"/>
    <w:rPr>
      <w:rFonts w:ascii="Bookman Old Style" w:hAnsi="Bookman Old Style" w:eastAsia="Bookman Old Style" w:cs="Bookman Old Style"/>
      <w:spacing w:val="-3"/>
      <w:sz w:val="8"/>
      <w:szCs w:val="8"/>
      <w:shd w:val="clear" w:color="auto" w:fill="FFFFFF"/>
    </w:rPr>
  </w:style>
  <w:style w:type="paragraph" w:customStyle="1" w:styleId="1392">
    <w:name w:val="Основной текст (24)"/>
    <w:basedOn w:val="1"/>
    <w:link w:val="1391"/>
    <w:qFormat/>
    <w:uiPriority w:val="99"/>
    <w:pPr>
      <w:widowControl w:val="0"/>
      <w:shd w:val="clear" w:color="auto" w:fill="FFFFFF"/>
      <w:spacing w:after="0" w:line="149" w:lineRule="exact"/>
      <w:ind w:firstLine="0"/>
    </w:pPr>
    <w:rPr>
      <w:rFonts w:ascii="Bookman Old Style" w:hAnsi="Bookman Old Style" w:eastAsia="Bookman Old Style" w:cs="Bookman Old Style"/>
      <w:spacing w:val="-3"/>
      <w:sz w:val="8"/>
      <w:szCs w:val="8"/>
      <w:lang w:eastAsia="en-US"/>
    </w:rPr>
  </w:style>
  <w:style w:type="character" w:customStyle="1" w:styleId="1393">
    <w:name w:val="Основной текст (24) Exact1"/>
    <w:basedOn w:val="1391"/>
    <w:uiPriority w:val="0"/>
    <w:rPr>
      <w:rFonts w:ascii="Bookman Old Style" w:hAnsi="Bookman Old Style" w:eastAsia="Bookman Old Style" w:cs="Bookman Old Style"/>
      <w:color w:val="000000"/>
      <w:spacing w:val="-3"/>
      <w:w w:val="100"/>
      <w:position w:val="0"/>
      <w:sz w:val="8"/>
      <w:szCs w:val="8"/>
      <w:shd w:val="clear" w:color="auto" w:fill="FFFFFF"/>
      <w:lang w:val="ru-RU"/>
    </w:rPr>
  </w:style>
  <w:style w:type="character" w:customStyle="1" w:styleId="1394">
    <w:name w:val="Основной текст (25) Exact"/>
    <w:basedOn w:val="11"/>
    <w:link w:val="1395"/>
    <w:uiPriority w:val="0"/>
    <w:rPr>
      <w:rFonts w:ascii="Book Antiqua" w:hAnsi="Book Antiqua" w:eastAsia="Book Antiqua" w:cs="Book Antiqua"/>
      <w:w w:val="150"/>
      <w:sz w:val="8"/>
      <w:szCs w:val="8"/>
      <w:shd w:val="clear" w:color="auto" w:fill="FFFFFF"/>
    </w:rPr>
  </w:style>
  <w:style w:type="paragraph" w:customStyle="1" w:styleId="1395">
    <w:name w:val="Основной текст (25)"/>
    <w:basedOn w:val="1"/>
    <w:link w:val="1394"/>
    <w:qFormat/>
    <w:uiPriority w:val="99"/>
    <w:pPr>
      <w:widowControl w:val="0"/>
      <w:shd w:val="clear" w:color="auto" w:fill="FFFFFF"/>
      <w:spacing w:after="0" w:line="149" w:lineRule="exact"/>
      <w:ind w:firstLine="0"/>
    </w:pPr>
    <w:rPr>
      <w:rFonts w:ascii="Book Antiqua" w:hAnsi="Book Antiqua" w:eastAsia="Book Antiqua" w:cs="Book Antiqua"/>
      <w:w w:val="150"/>
      <w:sz w:val="8"/>
      <w:szCs w:val="8"/>
      <w:lang w:eastAsia="en-US"/>
    </w:rPr>
  </w:style>
  <w:style w:type="character" w:customStyle="1" w:styleId="1396">
    <w:name w:val="Основной текст (25) Exact1"/>
    <w:basedOn w:val="1394"/>
    <w:uiPriority w:val="0"/>
    <w:rPr>
      <w:rFonts w:ascii="Book Antiqua" w:hAnsi="Book Antiqua" w:eastAsia="Book Antiqua" w:cs="Book Antiqua"/>
      <w:color w:val="000000"/>
      <w:spacing w:val="0"/>
      <w:w w:val="150"/>
      <w:position w:val="0"/>
      <w:sz w:val="8"/>
      <w:szCs w:val="8"/>
      <w:shd w:val="clear" w:color="auto" w:fill="FFFFFF"/>
    </w:rPr>
  </w:style>
  <w:style w:type="character" w:customStyle="1" w:styleId="1397">
    <w:name w:val="Основной текст (26) Exact"/>
    <w:basedOn w:val="11"/>
    <w:link w:val="1398"/>
    <w:uiPriority w:val="0"/>
    <w:rPr>
      <w:rFonts w:ascii="Bookman Old Style" w:hAnsi="Bookman Old Style" w:eastAsia="Bookman Old Style" w:cs="Bookman Old Style"/>
      <w:spacing w:val="-6"/>
      <w:sz w:val="8"/>
      <w:szCs w:val="8"/>
      <w:shd w:val="clear" w:color="auto" w:fill="FFFFFF"/>
    </w:rPr>
  </w:style>
  <w:style w:type="paragraph" w:customStyle="1" w:styleId="1398">
    <w:name w:val="Основной текст (26)"/>
    <w:basedOn w:val="1"/>
    <w:link w:val="1397"/>
    <w:qFormat/>
    <w:uiPriority w:val="99"/>
    <w:pPr>
      <w:widowControl w:val="0"/>
      <w:shd w:val="clear" w:color="auto" w:fill="FFFFFF"/>
      <w:spacing w:after="0" w:line="149" w:lineRule="exact"/>
      <w:ind w:firstLine="0"/>
    </w:pPr>
    <w:rPr>
      <w:rFonts w:ascii="Bookman Old Style" w:hAnsi="Bookman Old Style" w:eastAsia="Bookman Old Style" w:cs="Bookman Old Style"/>
      <w:spacing w:val="-6"/>
      <w:sz w:val="8"/>
      <w:szCs w:val="8"/>
      <w:lang w:eastAsia="en-US"/>
    </w:rPr>
  </w:style>
  <w:style w:type="character" w:customStyle="1" w:styleId="1399">
    <w:name w:val="Основной текст (26) Exact1"/>
    <w:basedOn w:val="1397"/>
    <w:uiPriority w:val="0"/>
    <w:rPr>
      <w:rFonts w:ascii="Bookman Old Style" w:hAnsi="Bookman Old Style" w:eastAsia="Bookman Old Style" w:cs="Bookman Old Style"/>
      <w:color w:val="000000"/>
      <w:spacing w:val="-6"/>
      <w:w w:val="100"/>
      <w:position w:val="0"/>
      <w:sz w:val="8"/>
      <w:szCs w:val="8"/>
      <w:shd w:val="clear" w:color="auto" w:fill="FFFFFF"/>
      <w:lang w:val="ru-RU"/>
    </w:rPr>
  </w:style>
  <w:style w:type="character" w:customStyle="1" w:styleId="1400">
    <w:name w:val="Основной текст (27) Exact"/>
    <w:basedOn w:val="11"/>
    <w:link w:val="1401"/>
    <w:uiPriority w:val="0"/>
    <w:rPr>
      <w:rFonts w:ascii="Bookman Old Style" w:hAnsi="Bookman Old Style" w:eastAsia="Bookman Old Style" w:cs="Bookman Old Style"/>
      <w:spacing w:val="-6"/>
      <w:sz w:val="8"/>
      <w:szCs w:val="8"/>
      <w:shd w:val="clear" w:color="auto" w:fill="FFFFFF"/>
    </w:rPr>
  </w:style>
  <w:style w:type="paragraph" w:customStyle="1" w:styleId="1401">
    <w:name w:val="Основной текст (27)"/>
    <w:basedOn w:val="1"/>
    <w:link w:val="1400"/>
    <w:qFormat/>
    <w:uiPriority w:val="99"/>
    <w:pPr>
      <w:widowControl w:val="0"/>
      <w:shd w:val="clear" w:color="auto" w:fill="FFFFFF"/>
      <w:spacing w:after="0" w:line="149" w:lineRule="exact"/>
      <w:ind w:firstLine="0"/>
    </w:pPr>
    <w:rPr>
      <w:rFonts w:ascii="Bookman Old Style" w:hAnsi="Bookman Old Style" w:eastAsia="Bookman Old Style" w:cs="Bookman Old Style"/>
      <w:spacing w:val="-6"/>
      <w:sz w:val="8"/>
      <w:szCs w:val="8"/>
      <w:lang w:eastAsia="en-US"/>
    </w:rPr>
  </w:style>
  <w:style w:type="character" w:customStyle="1" w:styleId="1402">
    <w:name w:val="Основной текст (27) Exact1"/>
    <w:basedOn w:val="1400"/>
    <w:uiPriority w:val="0"/>
    <w:rPr>
      <w:rFonts w:ascii="Bookman Old Style" w:hAnsi="Bookman Old Style" w:eastAsia="Bookman Old Style" w:cs="Bookman Old Style"/>
      <w:color w:val="000000"/>
      <w:spacing w:val="-6"/>
      <w:w w:val="100"/>
      <w:position w:val="0"/>
      <w:sz w:val="8"/>
      <w:szCs w:val="8"/>
      <w:shd w:val="clear" w:color="auto" w:fill="FFFFFF"/>
      <w:lang w:val="ru-RU"/>
    </w:rPr>
  </w:style>
  <w:style w:type="character" w:customStyle="1" w:styleId="1403">
    <w:name w:val="Основной текст (7) Exact2"/>
    <w:basedOn w:val="1251"/>
    <w:uiPriority w:val="0"/>
    <w:rPr>
      <w:rFonts w:ascii="Times New Roman" w:hAnsi="Times New Roman"/>
      <w:color w:val="000000"/>
      <w:spacing w:val="0"/>
      <w:w w:val="100"/>
      <w:position w:val="0"/>
      <w:sz w:val="14"/>
      <w:szCs w:val="14"/>
      <w:shd w:val="clear" w:color="auto" w:fill="FFFFFF"/>
      <w:lang w:val="ru-RU"/>
    </w:rPr>
  </w:style>
  <w:style w:type="character" w:customStyle="1" w:styleId="1404">
    <w:name w:val="Основной текст (28) Exact"/>
    <w:basedOn w:val="11"/>
    <w:link w:val="1405"/>
    <w:uiPriority w:val="0"/>
    <w:rPr>
      <w:rFonts w:ascii="Times New Roman" w:hAnsi="Times New Roman"/>
      <w:spacing w:val="-1"/>
      <w:sz w:val="8"/>
      <w:szCs w:val="8"/>
      <w:shd w:val="clear" w:color="auto" w:fill="FFFFFF"/>
    </w:rPr>
  </w:style>
  <w:style w:type="paragraph" w:customStyle="1" w:styleId="1405">
    <w:name w:val="Основной текст (28)"/>
    <w:basedOn w:val="1"/>
    <w:link w:val="1404"/>
    <w:qFormat/>
    <w:uiPriority w:val="0"/>
    <w:pPr>
      <w:widowControl w:val="0"/>
      <w:shd w:val="clear" w:color="auto" w:fill="FFFFFF"/>
      <w:spacing w:after="0" w:line="149" w:lineRule="exact"/>
      <w:ind w:firstLine="0"/>
    </w:pPr>
    <w:rPr>
      <w:rFonts w:eastAsiaTheme="minorHAnsi" w:cstheme="minorBidi"/>
      <w:spacing w:val="-1"/>
      <w:sz w:val="8"/>
      <w:szCs w:val="8"/>
      <w:lang w:eastAsia="en-US"/>
    </w:rPr>
  </w:style>
  <w:style w:type="character" w:customStyle="1" w:styleId="1406">
    <w:name w:val="Основной текст (28) Exact1"/>
    <w:basedOn w:val="1404"/>
    <w:uiPriority w:val="0"/>
    <w:rPr>
      <w:rFonts w:ascii="Times New Roman" w:hAnsi="Times New Roman"/>
      <w:color w:val="000000"/>
      <w:spacing w:val="-1"/>
      <w:w w:val="100"/>
      <w:position w:val="0"/>
      <w:sz w:val="8"/>
      <w:szCs w:val="8"/>
      <w:shd w:val="clear" w:color="auto" w:fill="FFFFFF"/>
      <w:lang w:val="ru-RU"/>
    </w:rPr>
  </w:style>
  <w:style w:type="character" w:customStyle="1" w:styleId="1407">
    <w:name w:val="Основной текст + 9;5 pt1"/>
    <w:basedOn w:val="208"/>
    <w:uiPriority w:val="0"/>
    <w:rPr>
      <w:rFonts w:ascii="Times New Roman" w:hAnsi="Times New Roman" w:eastAsia="Times New Roman" w:cs="Times New Roman"/>
      <w:color w:val="000000"/>
      <w:spacing w:val="0"/>
      <w:w w:val="100"/>
      <w:position w:val="0"/>
      <w:sz w:val="19"/>
      <w:szCs w:val="19"/>
      <w:u w:val="none"/>
      <w:shd w:val="clear" w:color="auto" w:fill="FFFFFF"/>
      <w:lang w:val="ru-RU"/>
    </w:rPr>
  </w:style>
  <w:style w:type="character" w:customStyle="1" w:styleId="1408">
    <w:name w:val="Основной текст + 7;5 pt2"/>
    <w:basedOn w:val="208"/>
    <w:uiPriority w:val="0"/>
    <w:rPr>
      <w:rFonts w:ascii="Times New Roman" w:hAnsi="Times New Roman" w:eastAsia="Times New Roman" w:cs="Times New Roman"/>
      <w:color w:val="000000"/>
      <w:spacing w:val="0"/>
      <w:w w:val="100"/>
      <w:position w:val="0"/>
      <w:sz w:val="15"/>
      <w:szCs w:val="15"/>
      <w:u w:val="none"/>
      <w:shd w:val="clear" w:color="auto" w:fill="FFFFFF"/>
      <w:lang w:val="ru-RU"/>
    </w:rPr>
  </w:style>
  <w:style w:type="character" w:customStyle="1" w:styleId="1409">
    <w:name w:val="Основной текст + Tahoma;4 pt"/>
    <w:basedOn w:val="208"/>
    <w:uiPriority w:val="0"/>
    <w:rPr>
      <w:rFonts w:ascii="Tahoma" w:hAnsi="Tahoma" w:eastAsia="Tahoma" w:cs="Tahoma"/>
      <w:color w:val="000000"/>
      <w:spacing w:val="0"/>
      <w:w w:val="100"/>
      <w:position w:val="0"/>
      <w:sz w:val="8"/>
      <w:szCs w:val="8"/>
      <w:u w:val="none"/>
      <w:shd w:val="clear" w:color="auto" w:fill="FFFFFF"/>
    </w:rPr>
  </w:style>
  <w:style w:type="character" w:customStyle="1" w:styleId="1410">
    <w:name w:val="Основной текст + 7;5 pt;Полужирный5"/>
    <w:basedOn w:val="208"/>
    <w:uiPriority w:val="0"/>
    <w:rPr>
      <w:rFonts w:ascii="Times New Roman" w:hAnsi="Times New Roman" w:eastAsia="Times New Roman" w:cs="Times New Roman"/>
      <w:b/>
      <w:bCs/>
      <w:color w:val="000000"/>
      <w:spacing w:val="0"/>
      <w:w w:val="100"/>
      <w:position w:val="0"/>
      <w:sz w:val="15"/>
      <w:szCs w:val="15"/>
      <w:u w:val="none"/>
      <w:shd w:val="clear" w:color="auto" w:fill="FFFFFF"/>
      <w:lang w:val="ru-RU"/>
    </w:rPr>
  </w:style>
  <w:style w:type="character" w:customStyle="1" w:styleId="1411">
    <w:name w:val="Основной текст + 7;5 pt;Полужирный;Курсив1"/>
    <w:basedOn w:val="208"/>
    <w:uiPriority w:val="0"/>
    <w:rPr>
      <w:rFonts w:ascii="Times New Roman" w:hAnsi="Times New Roman" w:eastAsia="Times New Roman" w:cs="Times New Roman"/>
      <w:b/>
      <w:bCs/>
      <w:i/>
      <w:iCs/>
      <w:color w:val="000000"/>
      <w:spacing w:val="0"/>
      <w:w w:val="100"/>
      <w:position w:val="0"/>
      <w:sz w:val="15"/>
      <w:szCs w:val="15"/>
      <w:u w:val="none"/>
      <w:shd w:val="clear" w:color="auto" w:fill="FFFFFF"/>
      <w:lang w:val="ru-RU"/>
    </w:rPr>
  </w:style>
  <w:style w:type="character" w:customStyle="1" w:styleId="1412">
    <w:name w:val="Колонтитул + Times New Roman;7 pt"/>
    <w:basedOn w:val="413"/>
    <w:uiPriority w:val="0"/>
    <w:rPr>
      <w:rFonts w:ascii="Times New Roman" w:hAnsi="Times New Roman" w:eastAsia="Times New Roman" w:cs="Times New Roman"/>
      <w:color w:val="000000"/>
      <w:spacing w:val="0"/>
      <w:w w:val="100"/>
      <w:position w:val="0"/>
      <w:sz w:val="14"/>
      <w:szCs w:val="14"/>
      <w:u w:val="none"/>
      <w:shd w:val="clear" w:color="auto" w:fill="FFFFFF"/>
      <w:lang w:val="ru-RU"/>
    </w:rPr>
  </w:style>
  <w:style w:type="character" w:customStyle="1" w:styleId="1413">
    <w:name w:val="Колонтитул + Times New Roman;4 pt"/>
    <w:basedOn w:val="413"/>
    <w:uiPriority w:val="0"/>
    <w:rPr>
      <w:rFonts w:ascii="Times New Roman" w:hAnsi="Times New Roman" w:eastAsia="Times New Roman" w:cs="Times New Roman"/>
      <w:color w:val="000000"/>
      <w:spacing w:val="0"/>
      <w:w w:val="100"/>
      <w:position w:val="0"/>
      <w:sz w:val="8"/>
      <w:szCs w:val="8"/>
      <w:u w:val="none"/>
      <w:shd w:val="clear" w:color="auto" w:fill="FFFFFF"/>
    </w:rPr>
  </w:style>
  <w:style w:type="character" w:customStyle="1" w:styleId="1414">
    <w:name w:val="Основной текст (7) Exact1"/>
    <w:basedOn w:val="1251"/>
    <w:uiPriority w:val="0"/>
    <w:rPr>
      <w:rFonts w:ascii="Times New Roman" w:hAnsi="Times New Roman"/>
      <w:color w:val="000000"/>
      <w:spacing w:val="0"/>
      <w:w w:val="100"/>
      <w:position w:val="0"/>
      <w:sz w:val="14"/>
      <w:szCs w:val="14"/>
      <w:shd w:val="clear" w:color="auto" w:fill="FFFFFF"/>
      <w:lang w:val="ru-RU"/>
    </w:rPr>
  </w:style>
  <w:style w:type="character" w:customStyle="1" w:styleId="1415">
    <w:name w:val="Основной текст (29) Exact"/>
    <w:basedOn w:val="11"/>
    <w:uiPriority w:val="0"/>
    <w:rPr>
      <w:rFonts w:ascii="Times New Roman" w:hAnsi="Times New Roman" w:eastAsia="Times New Roman" w:cs="Times New Roman"/>
      <w:b/>
      <w:bCs/>
      <w:i/>
      <w:iCs/>
      <w:spacing w:val="-5"/>
      <w:sz w:val="14"/>
      <w:szCs w:val="14"/>
      <w:u w:val="none"/>
    </w:rPr>
  </w:style>
  <w:style w:type="character" w:customStyle="1" w:styleId="1416">
    <w:name w:val="Основной текст (3) Exact1"/>
    <w:basedOn w:val="1210"/>
    <w:uiPriority w:val="0"/>
    <w:rPr>
      <w:rFonts w:ascii="Times New Roman" w:hAnsi="Times New Roman"/>
      <w:color w:val="000000"/>
      <w:spacing w:val="3"/>
      <w:w w:val="100"/>
      <w:position w:val="0"/>
      <w:sz w:val="21"/>
      <w:szCs w:val="21"/>
      <w:u w:val="single"/>
      <w:shd w:val="clear" w:color="auto" w:fill="FFFFFF"/>
      <w:lang w:val="ru-RU"/>
    </w:rPr>
  </w:style>
  <w:style w:type="character" w:customStyle="1" w:styleId="1417">
    <w:name w:val="Основной текст + 9;5 pt;Полужирный;Курсив1"/>
    <w:basedOn w:val="208"/>
    <w:uiPriority w:val="0"/>
    <w:rPr>
      <w:rFonts w:ascii="Times New Roman" w:hAnsi="Times New Roman" w:eastAsia="Times New Roman" w:cs="Times New Roman"/>
      <w:b/>
      <w:bCs/>
      <w:i/>
      <w:iCs/>
      <w:color w:val="000000"/>
      <w:spacing w:val="0"/>
      <w:w w:val="100"/>
      <w:position w:val="0"/>
      <w:sz w:val="19"/>
      <w:szCs w:val="19"/>
      <w:u w:val="none"/>
      <w:shd w:val="clear" w:color="auto" w:fill="FFFFFF"/>
      <w:lang w:val="ru-RU"/>
    </w:rPr>
  </w:style>
  <w:style w:type="character" w:customStyle="1" w:styleId="1418">
    <w:name w:val="Основной текст (30) Exact"/>
    <w:basedOn w:val="11"/>
    <w:uiPriority w:val="0"/>
    <w:rPr>
      <w:rFonts w:ascii="Times New Roman" w:hAnsi="Times New Roman" w:eastAsia="Times New Roman" w:cs="Times New Roman"/>
      <w:sz w:val="17"/>
      <w:szCs w:val="17"/>
      <w:u w:val="none"/>
    </w:rPr>
  </w:style>
  <w:style w:type="character" w:customStyle="1" w:styleId="1419">
    <w:name w:val="Основной текст (31) Exact"/>
    <w:basedOn w:val="11"/>
    <w:link w:val="1420"/>
    <w:uiPriority w:val="0"/>
    <w:rPr>
      <w:rFonts w:ascii="Bookman Old Style" w:hAnsi="Bookman Old Style" w:eastAsia="Bookman Old Style" w:cs="Bookman Old Style"/>
      <w:b/>
      <w:bCs/>
      <w:spacing w:val="-7"/>
      <w:sz w:val="12"/>
      <w:szCs w:val="12"/>
      <w:shd w:val="clear" w:color="auto" w:fill="FFFFFF"/>
    </w:rPr>
  </w:style>
  <w:style w:type="paragraph" w:customStyle="1" w:styleId="1420">
    <w:name w:val="Основной текст (31)"/>
    <w:basedOn w:val="1"/>
    <w:link w:val="1419"/>
    <w:qFormat/>
    <w:uiPriority w:val="0"/>
    <w:pPr>
      <w:widowControl w:val="0"/>
      <w:shd w:val="clear" w:color="auto" w:fill="FFFFFF"/>
      <w:spacing w:after="0" w:line="0" w:lineRule="atLeast"/>
      <w:ind w:firstLine="0"/>
    </w:pPr>
    <w:rPr>
      <w:rFonts w:ascii="Bookman Old Style" w:hAnsi="Bookman Old Style" w:eastAsia="Bookman Old Style" w:cs="Bookman Old Style"/>
      <w:b/>
      <w:bCs/>
      <w:spacing w:val="-7"/>
      <w:sz w:val="12"/>
      <w:szCs w:val="12"/>
      <w:lang w:eastAsia="en-US"/>
    </w:rPr>
  </w:style>
  <w:style w:type="character" w:customStyle="1" w:styleId="1421">
    <w:name w:val="Основной текст (32) Exact"/>
    <w:basedOn w:val="11"/>
    <w:link w:val="1422"/>
    <w:uiPriority w:val="0"/>
    <w:rPr>
      <w:rFonts w:ascii="Times New Roman" w:hAnsi="Times New Roman"/>
      <w:b/>
      <w:bCs/>
      <w:spacing w:val="-2"/>
      <w:sz w:val="14"/>
      <w:szCs w:val="14"/>
      <w:shd w:val="clear" w:color="auto" w:fill="FFFFFF"/>
      <w:lang w:val="en-US"/>
    </w:rPr>
  </w:style>
  <w:style w:type="paragraph" w:customStyle="1" w:styleId="1422">
    <w:name w:val="Основной текст (32)"/>
    <w:basedOn w:val="1"/>
    <w:link w:val="1421"/>
    <w:qFormat/>
    <w:uiPriority w:val="99"/>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character" w:customStyle="1" w:styleId="1423">
    <w:name w:val="Основной текст (4)"/>
    <w:basedOn w:val="1216"/>
    <w:uiPriority w:val="99"/>
    <w:rPr>
      <w:rFonts w:ascii="Times New Roman" w:hAnsi="Times New Roman"/>
      <w:color w:val="000000"/>
      <w:spacing w:val="0"/>
      <w:w w:val="100"/>
      <w:position w:val="0"/>
      <w:sz w:val="27"/>
      <w:szCs w:val="27"/>
      <w:shd w:val="clear" w:color="auto" w:fill="FFFFFF"/>
      <w:lang w:val="ru-RU"/>
    </w:rPr>
  </w:style>
  <w:style w:type="character" w:customStyle="1" w:styleId="1424">
    <w:name w:val="Основной текст + Book Antiqua;5 pt;Курсив;Интервал 0 pt"/>
    <w:basedOn w:val="208"/>
    <w:uiPriority w:val="0"/>
    <w:rPr>
      <w:rFonts w:ascii="Book Antiqua" w:hAnsi="Book Antiqua" w:eastAsia="Book Antiqua" w:cs="Book Antiqua"/>
      <w:i/>
      <w:iCs/>
      <w:color w:val="000000"/>
      <w:spacing w:val="-10"/>
      <w:w w:val="100"/>
      <w:position w:val="0"/>
      <w:sz w:val="10"/>
      <w:szCs w:val="10"/>
      <w:u w:val="none"/>
      <w:shd w:val="clear" w:color="auto" w:fill="FFFFFF"/>
      <w:lang w:val="ru-RU"/>
    </w:rPr>
  </w:style>
  <w:style w:type="character" w:customStyle="1" w:styleId="1425">
    <w:name w:val="Основной текст + Book Antiqua;5 pt2"/>
    <w:basedOn w:val="208"/>
    <w:uiPriority w:val="0"/>
    <w:rPr>
      <w:rFonts w:ascii="Book Antiqua" w:hAnsi="Book Antiqua" w:eastAsia="Book Antiqua" w:cs="Book Antiqua"/>
      <w:color w:val="000000"/>
      <w:spacing w:val="0"/>
      <w:w w:val="100"/>
      <w:position w:val="0"/>
      <w:sz w:val="10"/>
      <w:szCs w:val="10"/>
      <w:u w:val="none"/>
      <w:shd w:val="clear" w:color="auto" w:fill="FFFFFF"/>
      <w:lang w:val="en-US"/>
    </w:rPr>
  </w:style>
  <w:style w:type="character" w:customStyle="1" w:styleId="1426">
    <w:name w:val="Основной текст + Tahoma;5;5 pt"/>
    <w:basedOn w:val="208"/>
    <w:uiPriority w:val="0"/>
    <w:rPr>
      <w:rFonts w:ascii="Tahoma" w:hAnsi="Tahoma" w:eastAsia="Tahoma" w:cs="Tahoma"/>
      <w:color w:val="000000"/>
      <w:spacing w:val="0"/>
      <w:w w:val="100"/>
      <w:position w:val="0"/>
      <w:sz w:val="11"/>
      <w:szCs w:val="11"/>
      <w:u w:val="none"/>
      <w:shd w:val="clear" w:color="auto" w:fill="FFFFFF"/>
      <w:lang w:val="ru-RU"/>
    </w:rPr>
  </w:style>
  <w:style w:type="character" w:customStyle="1" w:styleId="1427">
    <w:name w:val="Основной текст + Book Antiqua;5 pt;Малые прописные"/>
    <w:basedOn w:val="208"/>
    <w:uiPriority w:val="0"/>
    <w:rPr>
      <w:rFonts w:ascii="Book Antiqua" w:hAnsi="Book Antiqua" w:eastAsia="Book Antiqua" w:cs="Book Antiqua"/>
      <w:smallCaps/>
      <w:color w:val="000000"/>
      <w:spacing w:val="0"/>
      <w:w w:val="100"/>
      <w:position w:val="0"/>
      <w:sz w:val="10"/>
      <w:szCs w:val="10"/>
      <w:u w:val="none"/>
      <w:shd w:val="clear" w:color="auto" w:fill="FFFFFF"/>
    </w:rPr>
  </w:style>
  <w:style w:type="character" w:customStyle="1" w:styleId="1428">
    <w:name w:val="Колонтитул + Times New Roman;13;5 pt;Полужирный"/>
    <w:basedOn w:val="413"/>
    <w:uiPriority w:val="0"/>
    <w:rPr>
      <w:rFonts w:ascii="Times New Roman" w:hAnsi="Times New Roman" w:eastAsia="Times New Roman" w:cs="Times New Roman"/>
      <w:b/>
      <w:bCs/>
      <w:color w:val="000000"/>
      <w:spacing w:val="0"/>
      <w:w w:val="100"/>
      <w:position w:val="0"/>
      <w:sz w:val="27"/>
      <w:szCs w:val="27"/>
      <w:u w:val="none"/>
      <w:shd w:val="clear" w:color="auto" w:fill="FFFFFF"/>
      <w:lang w:val="ru-RU"/>
    </w:rPr>
  </w:style>
  <w:style w:type="character" w:customStyle="1" w:styleId="1429">
    <w:name w:val="Основной текст + 5;5 pt"/>
    <w:basedOn w:val="208"/>
    <w:uiPriority w:val="0"/>
    <w:rPr>
      <w:rFonts w:ascii="Times New Roman" w:hAnsi="Times New Roman" w:eastAsia="Times New Roman" w:cs="Times New Roman"/>
      <w:color w:val="000000"/>
      <w:spacing w:val="0"/>
      <w:w w:val="100"/>
      <w:position w:val="0"/>
      <w:sz w:val="11"/>
      <w:szCs w:val="11"/>
      <w:u w:val="none"/>
      <w:shd w:val="clear" w:color="auto" w:fill="FFFFFF"/>
      <w:lang w:val="ru-RU"/>
    </w:rPr>
  </w:style>
  <w:style w:type="character" w:customStyle="1" w:styleId="1430">
    <w:name w:val="Основной текст + 6;5 pt"/>
    <w:basedOn w:val="208"/>
    <w:uiPriority w:val="0"/>
    <w:rPr>
      <w:rFonts w:ascii="Times New Roman" w:hAnsi="Times New Roman" w:eastAsia="Times New Roman" w:cs="Times New Roman"/>
      <w:color w:val="000000"/>
      <w:spacing w:val="0"/>
      <w:w w:val="100"/>
      <w:position w:val="0"/>
      <w:sz w:val="13"/>
      <w:szCs w:val="13"/>
      <w:u w:val="none"/>
      <w:shd w:val="clear" w:color="auto" w:fill="FFFFFF"/>
      <w:lang w:val="en-US"/>
    </w:rPr>
  </w:style>
  <w:style w:type="character" w:customStyle="1" w:styleId="1431">
    <w:name w:val="Колонтитул + Impact;14 pt"/>
    <w:basedOn w:val="413"/>
    <w:uiPriority w:val="0"/>
    <w:rPr>
      <w:rFonts w:ascii="Impact" w:hAnsi="Impact" w:eastAsia="Impact" w:cs="Impact"/>
      <w:color w:val="000000"/>
      <w:spacing w:val="0"/>
      <w:w w:val="100"/>
      <w:position w:val="0"/>
      <w:sz w:val="28"/>
      <w:szCs w:val="28"/>
      <w:u w:val="none"/>
      <w:shd w:val="clear" w:color="auto" w:fill="FFFFFF"/>
    </w:rPr>
  </w:style>
  <w:style w:type="character" w:customStyle="1" w:styleId="1432">
    <w:name w:val="Колонтитул + Times New Roman;14 pt"/>
    <w:basedOn w:val="413"/>
    <w:uiPriority w:val="0"/>
    <w:rPr>
      <w:rFonts w:ascii="Times New Roman" w:hAnsi="Times New Roman" w:eastAsia="Times New Roman" w:cs="Times New Roman"/>
      <w:color w:val="000000"/>
      <w:spacing w:val="0"/>
      <w:w w:val="100"/>
      <w:position w:val="0"/>
      <w:sz w:val="28"/>
      <w:szCs w:val="28"/>
      <w:u w:val="none"/>
      <w:shd w:val="clear" w:color="auto" w:fill="FFFFFF"/>
    </w:rPr>
  </w:style>
  <w:style w:type="character" w:customStyle="1" w:styleId="1433">
    <w:name w:val="Заголовок №1 (2)_"/>
    <w:basedOn w:val="11"/>
    <w:link w:val="1434"/>
    <w:uiPriority w:val="99"/>
    <w:rPr>
      <w:rFonts w:ascii="Times New Roman" w:hAnsi="Times New Roman"/>
      <w:sz w:val="27"/>
      <w:szCs w:val="27"/>
      <w:shd w:val="clear" w:color="auto" w:fill="FFFFFF"/>
    </w:rPr>
  </w:style>
  <w:style w:type="paragraph" w:customStyle="1" w:styleId="1434">
    <w:name w:val="Заголовок №1 (2)"/>
    <w:basedOn w:val="1"/>
    <w:link w:val="1433"/>
    <w:qFormat/>
    <w:uiPriority w:val="99"/>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character" w:customStyle="1" w:styleId="1435">
    <w:name w:val="Основной текст (33)_"/>
    <w:basedOn w:val="11"/>
    <w:link w:val="1436"/>
    <w:uiPriority w:val="99"/>
    <w:rPr>
      <w:rFonts w:ascii="Times New Roman" w:hAnsi="Times New Roman"/>
      <w:sz w:val="13"/>
      <w:szCs w:val="13"/>
      <w:shd w:val="clear" w:color="auto" w:fill="FFFFFF"/>
      <w:lang w:val="en-US"/>
    </w:rPr>
  </w:style>
  <w:style w:type="paragraph" w:customStyle="1" w:styleId="1436">
    <w:name w:val="Основной текст (33)"/>
    <w:basedOn w:val="1"/>
    <w:link w:val="1435"/>
    <w:qFormat/>
    <w:uiPriority w:val="99"/>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character" w:customStyle="1" w:styleId="1437">
    <w:name w:val="Основной текст (33) + 9;5 pt"/>
    <w:basedOn w:val="1435"/>
    <w:uiPriority w:val="0"/>
    <w:rPr>
      <w:rFonts w:ascii="Times New Roman" w:hAnsi="Times New Roman"/>
      <w:color w:val="000000"/>
      <w:spacing w:val="0"/>
      <w:w w:val="100"/>
      <w:position w:val="0"/>
      <w:sz w:val="19"/>
      <w:szCs w:val="19"/>
      <w:shd w:val="clear" w:color="auto" w:fill="FFFFFF"/>
      <w:lang w:val="en-US"/>
    </w:rPr>
  </w:style>
  <w:style w:type="character" w:customStyle="1" w:styleId="1438">
    <w:name w:val="Основной текст + 7;5 pt1"/>
    <w:basedOn w:val="208"/>
    <w:uiPriority w:val="0"/>
    <w:rPr>
      <w:rFonts w:ascii="Times New Roman" w:hAnsi="Times New Roman" w:eastAsia="Times New Roman" w:cs="Times New Roman"/>
      <w:color w:val="000000"/>
      <w:spacing w:val="0"/>
      <w:w w:val="100"/>
      <w:position w:val="0"/>
      <w:sz w:val="15"/>
      <w:szCs w:val="15"/>
      <w:u w:val="none"/>
      <w:shd w:val="clear" w:color="auto" w:fill="FFFFFF"/>
      <w:lang w:val="ru-RU"/>
    </w:rPr>
  </w:style>
  <w:style w:type="character" w:customStyle="1" w:styleId="1439">
    <w:name w:val="Основной текст + 7;5 pt;Полужирный4"/>
    <w:basedOn w:val="208"/>
    <w:uiPriority w:val="0"/>
    <w:rPr>
      <w:rFonts w:ascii="Times New Roman" w:hAnsi="Times New Roman" w:eastAsia="Times New Roman" w:cs="Times New Roman"/>
      <w:b/>
      <w:bCs/>
      <w:color w:val="000000"/>
      <w:spacing w:val="0"/>
      <w:w w:val="100"/>
      <w:position w:val="0"/>
      <w:sz w:val="15"/>
      <w:szCs w:val="15"/>
      <w:u w:val="none"/>
      <w:shd w:val="clear" w:color="auto" w:fill="FFFFFF"/>
      <w:lang w:val="ru-RU"/>
    </w:rPr>
  </w:style>
  <w:style w:type="character" w:customStyle="1" w:styleId="1440">
    <w:name w:val="Основной текст (4)2"/>
    <w:basedOn w:val="1216"/>
    <w:uiPriority w:val="99"/>
    <w:rPr>
      <w:rFonts w:ascii="Times New Roman" w:hAnsi="Times New Roman"/>
      <w:color w:val="000000"/>
      <w:spacing w:val="0"/>
      <w:w w:val="100"/>
      <w:position w:val="0"/>
      <w:sz w:val="27"/>
      <w:szCs w:val="27"/>
      <w:shd w:val="clear" w:color="auto" w:fill="FFFFFF"/>
      <w:lang w:val="ru-RU"/>
    </w:rPr>
  </w:style>
  <w:style w:type="character" w:customStyle="1" w:styleId="1441">
    <w:name w:val="Колонтитул (2)1"/>
    <w:basedOn w:val="11"/>
    <w:uiPriority w:val="0"/>
    <w:rPr>
      <w:rFonts w:ascii="Times New Roman" w:hAnsi="Times New Roman" w:eastAsia="Times New Roman" w:cs="Times New Roman"/>
      <w:sz w:val="23"/>
      <w:szCs w:val="23"/>
      <w:u w:val="none"/>
    </w:rPr>
  </w:style>
  <w:style w:type="character" w:customStyle="1" w:styleId="1442">
    <w:name w:val="Заголовок №3 (2)_"/>
    <w:basedOn w:val="11"/>
    <w:link w:val="1443"/>
    <w:uiPriority w:val="0"/>
    <w:rPr>
      <w:rFonts w:ascii="Times New Roman" w:hAnsi="Times New Roman"/>
      <w:b/>
      <w:bCs/>
      <w:sz w:val="27"/>
      <w:szCs w:val="27"/>
      <w:shd w:val="clear" w:color="auto" w:fill="FFFFFF"/>
    </w:rPr>
  </w:style>
  <w:style w:type="paragraph" w:customStyle="1" w:styleId="1443">
    <w:name w:val="Заголовок №3 (2)"/>
    <w:basedOn w:val="1"/>
    <w:link w:val="1442"/>
    <w:qFormat/>
    <w:uiPriority w:val="0"/>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character" w:customStyle="1" w:styleId="1444">
    <w:name w:val="Заголовок №2 (2)_"/>
    <w:basedOn w:val="11"/>
    <w:link w:val="1445"/>
    <w:uiPriority w:val="0"/>
    <w:rPr>
      <w:rFonts w:ascii="Times New Roman" w:hAnsi="Times New Roman"/>
      <w:b/>
      <w:bCs/>
      <w:sz w:val="30"/>
      <w:szCs w:val="30"/>
      <w:shd w:val="clear" w:color="auto" w:fill="FFFFFF"/>
    </w:rPr>
  </w:style>
  <w:style w:type="paragraph" w:customStyle="1" w:styleId="1445">
    <w:name w:val="Заголовок №2 (2)"/>
    <w:basedOn w:val="1"/>
    <w:link w:val="1444"/>
    <w:qFormat/>
    <w:uiPriority w:val="0"/>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character" w:customStyle="1" w:styleId="1446">
    <w:name w:val="Основной текст + 7;5 pt;Полужирный;Курсив;Интервал 0 pt"/>
    <w:basedOn w:val="208"/>
    <w:uiPriority w:val="0"/>
    <w:rPr>
      <w:rFonts w:ascii="Times New Roman" w:hAnsi="Times New Roman" w:eastAsia="Times New Roman" w:cs="Times New Roman"/>
      <w:b/>
      <w:bCs/>
      <w:i/>
      <w:iCs/>
      <w:color w:val="000000"/>
      <w:spacing w:val="-10"/>
      <w:w w:val="100"/>
      <w:position w:val="0"/>
      <w:sz w:val="15"/>
      <w:szCs w:val="15"/>
      <w:u w:val="none"/>
      <w:shd w:val="clear" w:color="auto" w:fill="FFFFFF"/>
      <w:lang w:val="ru-RU"/>
    </w:rPr>
  </w:style>
  <w:style w:type="character" w:customStyle="1" w:styleId="1447">
    <w:name w:val="Основной текст + Book Antiqua;5 pt1"/>
    <w:basedOn w:val="208"/>
    <w:uiPriority w:val="0"/>
    <w:rPr>
      <w:rFonts w:ascii="Book Antiqua" w:hAnsi="Book Antiqua" w:eastAsia="Book Antiqua" w:cs="Book Antiqua"/>
      <w:color w:val="000000"/>
      <w:spacing w:val="0"/>
      <w:w w:val="100"/>
      <w:position w:val="0"/>
      <w:sz w:val="10"/>
      <w:szCs w:val="10"/>
      <w:u w:val="none"/>
      <w:shd w:val="clear" w:color="auto" w:fill="FFFFFF"/>
      <w:lang w:val="ru-RU"/>
    </w:rPr>
  </w:style>
  <w:style w:type="character" w:customStyle="1" w:styleId="1448">
    <w:name w:val="Основной текст + Book Antiqua;5 pt;Курсив;Интервал 0 pt1"/>
    <w:basedOn w:val="208"/>
    <w:uiPriority w:val="0"/>
    <w:rPr>
      <w:rFonts w:ascii="Book Antiqua" w:hAnsi="Book Antiqua" w:eastAsia="Book Antiqua" w:cs="Book Antiqua"/>
      <w:i/>
      <w:iCs/>
      <w:color w:val="000000"/>
      <w:spacing w:val="-10"/>
      <w:w w:val="100"/>
      <w:position w:val="0"/>
      <w:sz w:val="10"/>
      <w:szCs w:val="10"/>
      <w:u w:val="none"/>
      <w:shd w:val="clear" w:color="auto" w:fill="FFFFFF"/>
      <w:lang w:val="ru-RU"/>
    </w:rPr>
  </w:style>
  <w:style w:type="character" w:customStyle="1" w:styleId="1449">
    <w:name w:val="Колонтитул4"/>
    <w:basedOn w:val="413"/>
    <w:uiPriority w:val="0"/>
    <w:rPr>
      <w:rFonts w:ascii="Franklin Gothic Heavy" w:hAnsi="Franklin Gothic Heavy" w:eastAsia="Franklin Gothic Heavy" w:cs="Franklin Gothic Heavy"/>
      <w:color w:val="000000"/>
      <w:spacing w:val="0"/>
      <w:w w:val="100"/>
      <w:position w:val="0"/>
      <w:sz w:val="12"/>
      <w:szCs w:val="12"/>
      <w:u w:val="none"/>
      <w:shd w:val="clear" w:color="auto" w:fill="FFFFFF"/>
      <w:lang w:val="ru-RU"/>
    </w:rPr>
  </w:style>
  <w:style w:type="character" w:customStyle="1" w:styleId="1450">
    <w:name w:val="Колонтитул + Times New Roman;11;5 pt1"/>
    <w:basedOn w:val="413"/>
    <w:uiPriority w:val="0"/>
    <w:rPr>
      <w:rFonts w:ascii="Times New Roman" w:hAnsi="Times New Roman" w:eastAsia="Times New Roman" w:cs="Times New Roman"/>
      <w:color w:val="000000"/>
      <w:spacing w:val="0"/>
      <w:w w:val="100"/>
      <w:position w:val="0"/>
      <w:sz w:val="23"/>
      <w:szCs w:val="23"/>
      <w:u w:val="none"/>
      <w:shd w:val="clear" w:color="auto" w:fill="FFFFFF"/>
      <w:lang w:val="ru-RU"/>
    </w:rPr>
  </w:style>
  <w:style w:type="character" w:customStyle="1" w:styleId="1451">
    <w:name w:val="Основной текст (35) Exact"/>
    <w:basedOn w:val="11"/>
    <w:link w:val="1452"/>
    <w:uiPriority w:val="0"/>
    <w:rPr>
      <w:rFonts w:ascii="Times New Roman" w:hAnsi="Times New Roman"/>
      <w:spacing w:val="-4"/>
      <w:w w:val="150"/>
      <w:sz w:val="8"/>
      <w:szCs w:val="8"/>
      <w:shd w:val="clear" w:color="auto" w:fill="FFFFFF"/>
    </w:rPr>
  </w:style>
  <w:style w:type="paragraph" w:customStyle="1" w:styleId="1452">
    <w:name w:val="Основной текст (35)"/>
    <w:basedOn w:val="1"/>
    <w:link w:val="1451"/>
    <w:qFormat/>
    <w:uiPriority w:val="99"/>
    <w:pPr>
      <w:widowControl w:val="0"/>
      <w:shd w:val="clear" w:color="auto" w:fill="FFFFFF"/>
      <w:spacing w:after="0" w:line="0" w:lineRule="atLeast"/>
      <w:ind w:firstLine="0"/>
    </w:pPr>
    <w:rPr>
      <w:rFonts w:eastAsiaTheme="minorHAnsi" w:cstheme="minorBidi"/>
      <w:spacing w:val="-4"/>
      <w:w w:val="150"/>
      <w:sz w:val="8"/>
      <w:szCs w:val="8"/>
      <w:lang w:eastAsia="en-US"/>
    </w:rPr>
  </w:style>
  <w:style w:type="character" w:customStyle="1" w:styleId="1453">
    <w:name w:val="Основной текст (35) Exact2"/>
    <w:basedOn w:val="1451"/>
    <w:uiPriority w:val="0"/>
    <w:rPr>
      <w:rFonts w:ascii="Times New Roman" w:hAnsi="Times New Roman"/>
      <w:color w:val="000000"/>
      <w:spacing w:val="-4"/>
      <w:w w:val="150"/>
      <w:position w:val="0"/>
      <w:sz w:val="8"/>
      <w:szCs w:val="8"/>
      <w:shd w:val="clear" w:color="auto" w:fill="FFFFFF"/>
      <w:lang w:val="ru-RU"/>
    </w:rPr>
  </w:style>
  <w:style w:type="character" w:customStyle="1" w:styleId="1454">
    <w:name w:val="Основной текст (36) Exact"/>
    <w:basedOn w:val="11"/>
    <w:uiPriority w:val="0"/>
    <w:rPr>
      <w:rFonts w:ascii="Arial" w:hAnsi="Arial" w:eastAsia="Arial" w:cs="Arial"/>
      <w:b/>
      <w:bCs/>
      <w:spacing w:val="-2"/>
      <w:sz w:val="8"/>
      <w:szCs w:val="8"/>
      <w:u w:val="none"/>
    </w:rPr>
  </w:style>
  <w:style w:type="character" w:customStyle="1" w:styleId="1455">
    <w:name w:val="Основной текст (36) Exact3"/>
    <w:basedOn w:val="1456"/>
    <w:uiPriority w:val="0"/>
    <w:rPr>
      <w:rFonts w:ascii="Arial" w:hAnsi="Arial" w:eastAsia="Arial" w:cs="Arial"/>
      <w:spacing w:val="-2"/>
      <w:sz w:val="8"/>
      <w:szCs w:val="8"/>
      <w:shd w:val="clear" w:color="auto" w:fill="FFFFFF"/>
    </w:rPr>
  </w:style>
  <w:style w:type="character" w:customStyle="1" w:styleId="1456">
    <w:name w:val="Основной текст (36)_"/>
    <w:basedOn w:val="11"/>
    <w:link w:val="1457"/>
    <w:uiPriority w:val="99"/>
    <w:rPr>
      <w:rFonts w:ascii="Arial" w:hAnsi="Arial" w:eastAsia="Arial" w:cs="Arial"/>
      <w:b/>
      <w:bCs/>
      <w:sz w:val="8"/>
      <w:szCs w:val="8"/>
      <w:shd w:val="clear" w:color="auto" w:fill="FFFFFF"/>
    </w:rPr>
  </w:style>
  <w:style w:type="paragraph" w:customStyle="1" w:styleId="1457">
    <w:name w:val="Основной текст (36)1"/>
    <w:basedOn w:val="1"/>
    <w:link w:val="1456"/>
    <w:qFormat/>
    <w:uiPriority w:val="0"/>
    <w:pPr>
      <w:widowControl w:val="0"/>
      <w:shd w:val="clear" w:color="auto" w:fill="FFFFFF"/>
      <w:spacing w:after="0" w:line="0" w:lineRule="atLeast"/>
      <w:ind w:firstLine="0"/>
    </w:pPr>
    <w:rPr>
      <w:rFonts w:ascii="Arial" w:hAnsi="Arial" w:eastAsia="Arial" w:cs="Arial"/>
      <w:b/>
      <w:bCs/>
      <w:sz w:val="8"/>
      <w:szCs w:val="8"/>
      <w:lang w:eastAsia="en-US"/>
    </w:rPr>
  </w:style>
  <w:style w:type="character" w:customStyle="1" w:styleId="1458">
    <w:name w:val="Основной текст (36) + Franklin Gothic Heavy;Не полужирный;Интервал 0 pt Exact"/>
    <w:basedOn w:val="1456"/>
    <w:uiPriority w:val="0"/>
    <w:rPr>
      <w:rFonts w:ascii="Franklin Gothic Heavy" w:hAnsi="Franklin Gothic Heavy" w:eastAsia="Franklin Gothic Heavy" w:cs="Franklin Gothic Heavy"/>
      <w:spacing w:val="2"/>
      <w:sz w:val="8"/>
      <w:szCs w:val="8"/>
      <w:shd w:val="clear" w:color="auto" w:fill="FFFFFF"/>
    </w:rPr>
  </w:style>
  <w:style w:type="character" w:customStyle="1" w:styleId="1459">
    <w:name w:val="Основной текст (36) + Franklin Gothic Heavy;4;5 pt;Не полужирный;Интервал 0 pt Exact"/>
    <w:basedOn w:val="1456"/>
    <w:uiPriority w:val="0"/>
    <w:rPr>
      <w:rFonts w:ascii="Franklin Gothic Heavy" w:hAnsi="Franklin Gothic Heavy" w:eastAsia="Franklin Gothic Heavy" w:cs="Franklin Gothic Heavy"/>
      <w:spacing w:val="-6"/>
      <w:sz w:val="9"/>
      <w:szCs w:val="9"/>
      <w:shd w:val="clear" w:color="auto" w:fill="FFFFFF"/>
    </w:rPr>
  </w:style>
  <w:style w:type="character" w:customStyle="1" w:styleId="1460">
    <w:name w:val="Основной текст (36) + Franklin Gothic Heavy;4;5 pt;Не полужирный;Интервал 0 pt Exact2"/>
    <w:basedOn w:val="1456"/>
    <w:uiPriority w:val="0"/>
    <w:rPr>
      <w:rFonts w:ascii="Franklin Gothic Heavy" w:hAnsi="Franklin Gothic Heavy" w:eastAsia="Franklin Gothic Heavy" w:cs="Franklin Gothic Heavy"/>
      <w:sz w:val="9"/>
      <w:szCs w:val="9"/>
      <w:shd w:val="clear" w:color="auto" w:fill="FFFFFF"/>
    </w:rPr>
  </w:style>
  <w:style w:type="character" w:customStyle="1" w:styleId="1461">
    <w:name w:val="Основной текст (36) + Bookman Old Style;Не полужирный;Интервал 0 pt Exact"/>
    <w:basedOn w:val="1456"/>
    <w:uiPriority w:val="0"/>
    <w:rPr>
      <w:rFonts w:ascii="Bookman Old Style" w:hAnsi="Bookman Old Style" w:eastAsia="Bookman Old Style" w:cs="Bookman Old Style"/>
      <w:spacing w:val="-1"/>
      <w:sz w:val="8"/>
      <w:szCs w:val="8"/>
      <w:shd w:val="clear" w:color="auto" w:fill="FFFFFF"/>
      <w:lang w:val="en-US"/>
    </w:rPr>
  </w:style>
  <w:style w:type="character" w:customStyle="1" w:styleId="1462">
    <w:name w:val="Основной текст (36) Exact2"/>
    <w:basedOn w:val="1456"/>
    <w:uiPriority w:val="0"/>
    <w:rPr>
      <w:rFonts w:ascii="Arial" w:hAnsi="Arial" w:eastAsia="Arial" w:cs="Arial"/>
      <w:spacing w:val="-2"/>
      <w:sz w:val="8"/>
      <w:szCs w:val="8"/>
      <w:shd w:val="clear" w:color="auto" w:fill="FFFFFF"/>
    </w:rPr>
  </w:style>
  <w:style w:type="character" w:customStyle="1" w:styleId="1463">
    <w:name w:val="Основной текст (36) + Times New Roman;7 pt;Не полужирный;Интервал 0 pt Exact"/>
    <w:basedOn w:val="1456"/>
    <w:uiPriority w:val="0"/>
    <w:rPr>
      <w:rFonts w:ascii="Times New Roman" w:hAnsi="Times New Roman" w:eastAsia="Times New Roman" w:cs="Times New Roman"/>
      <w:spacing w:val="1"/>
      <w:sz w:val="14"/>
      <w:szCs w:val="14"/>
      <w:shd w:val="clear" w:color="auto" w:fill="FFFFFF"/>
    </w:rPr>
  </w:style>
  <w:style w:type="character" w:customStyle="1" w:styleId="1464">
    <w:name w:val="Основной текст (36) + Times New Roman;Не полужирный;Интервал 0 pt Exact"/>
    <w:basedOn w:val="1456"/>
    <w:uiPriority w:val="0"/>
    <w:rPr>
      <w:rFonts w:ascii="Times New Roman" w:hAnsi="Times New Roman" w:eastAsia="Times New Roman" w:cs="Times New Roman"/>
      <w:spacing w:val="4"/>
      <w:sz w:val="8"/>
      <w:szCs w:val="8"/>
      <w:shd w:val="clear" w:color="auto" w:fill="FFFFFF"/>
    </w:rPr>
  </w:style>
  <w:style w:type="character" w:customStyle="1" w:styleId="1465">
    <w:name w:val="Основной текст (36) + Franklin Gothic Heavy;Не полужирный;Интервал 0 pt Exact2"/>
    <w:basedOn w:val="1456"/>
    <w:uiPriority w:val="0"/>
    <w:rPr>
      <w:rFonts w:ascii="Franklin Gothic Heavy" w:hAnsi="Franklin Gothic Heavy" w:eastAsia="Franklin Gothic Heavy" w:cs="Franklin Gothic Heavy"/>
      <w:spacing w:val="5"/>
      <w:sz w:val="8"/>
      <w:szCs w:val="8"/>
      <w:shd w:val="clear" w:color="auto" w:fill="FFFFFF"/>
    </w:rPr>
  </w:style>
  <w:style w:type="character" w:customStyle="1" w:styleId="1466">
    <w:name w:val="Основной текст (36) + Franklin Gothic Heavy;4;5 pt;Не полужирный;Интервал 0 pt Exact1"/>
    <w:basedOn w:val="1456"/>
    <w:uiPriority w:val="0"/>
    <w:rPr>
      <w:rFonts w:ascii="Franklin Gothic Heavy" w:hAnsi="Franklin Gothic Heavy" w:eastAsia="Franklin Gothic Heavy" w:cs="Franklin Gothic Heavy"/>
      <w:spacing w:val="-1"/>
      <w:sz w:val="9"/>
      <w:szCs w:val="9"/>
      <w:shd w:val="clear" w:color="auto" w:fill="FFFFFF"/>
    </w:rPr>
  </w:style>
  <w:style w:type="character" w:customStyle="1" w:styleId="1467">
    <w:name w:val="Основной текст (36) Exact1"/>
    <w:basedOn w:val="1456"/>
    <w:uiPriority w:val="0"/>
    <w:rPr>
      <w:rFonts w:ascii="Arial" w:hAnsi="Arial" w:eastAsia="Arial" w:cs="Arial"/>
      <w:spacing w:val="-2"/>
      <w:sz w:val="8"/>
      <w:szCs w:val="8"/>
      <w:shd w:val="clear" w:color="auto" w:fill="FFFFFF"/>
    </w:rPr>
  </w:style>
  <w:style w:type="character" w:customStyle="1" w:styleId="1468">
    <w:name w:val="Основной текст (37) Exact"/>
    <w:basedOn w:val="11"/>
    <w:link w:val="1469"/>
    <w:uiPriority w:val="0"/>
    <w:rPr>
      <w:rFonts w:ascii="Franklin Gothic Heavy" w:hAnsi="Franklin Gothic Heavy" w:eastAsia="Franklin Gothic Heavy" w:cs="Franklin Gothic Heavy"/>
      <w:sz w:val="8"/>
      <w:szCs w:val="8"/>
      <w:shd w:val="clear" w:color="auto" w:fill="FFFFFF"/>
    </w:rPr>
  </w:style>
  <w:style w:type="paragraph" w:customStyle="1" w:styleId="1469">
    <w:name w:val="Основной текст (37)"/>
    <w:basedOn w:val="1"/>
    <w:link w:val="1468"/>
    <w:qFormat/>
    <w:uiPriority w:val="99"/>
    <w:pPr>
      <w:widowControl w:val="0"/>
      <w:shd w:val="clear" w:color="auto" w:fill="FFFFFF"/>
      <w:spacing w:before="60" w:after="0" w:line="235" w:lineRule="exact"/>
      <w:ind w:firstLine="0"/>
    </w:pPr>
    <w:rPr>
      <w:rFonts w:ascii="Franklin Gothic Heavy" w:hAnsi="Franklin Gothic Heavy" w:eastAsia="Franklin Gothic Heavy" w:cs="Franklin Gothic Heavy"/>
      <w:sz w:val="8"/>
      <w:szCs w:val="8"/>
      <w:lang w:eastAsia="en-US"/>
    </w:rPr>
  </w:style>
  <w:style w:type="character" w:customStyle="1" w:styleId="1470">
    <w:name w:val="Основной текст (37) Exact1"/>
    <w:basedOn w:val="1468"/>
    <w:uiPriority w:val="0"/>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471">
    <w:name w:val="Основной текст (36) + Times New Roman;5 pt;Не полужирный;Интервал 0 pt Exact"/>
    <w:basedOn w:val="1456"/>
    <w:uiPriority w:val="0"/>
    <w:rPr>
      <w:rFonts w:ascii="Times New Roman" w:hAnsi="Times New Roman" w:eastAsia="Times New Roman" w:cs="Times New Roman"/>
      <w:spacing w:val="-3"/>
      <w:sz w:val="10"/>
      <w:szCs w:val="10"/>
      <w:shd w:val="clear" w:color="auto" w:fill="FFFFFF"/>
    </w:rPr>
  </w:style>
  <w:style w:type="character" w:customStyle="1" w:styleId="1472">
    <w:name w:val="Основной текст (38) Exact"/>
    <w:basedOn w:val="11"/>
    <w:link w:val="1473"/>
    <w:uiPriority w:val="0"/>
    <w:rPr>
      <w:rFonts w:ascii="Bookman Old Style" w:hAnsi="Bookman Old Style" w:eastAsia="Bookman Old Style" w:cs="Bookman Old Style"/>
      <w:spacing w:val="-5"/>
      <w:sz w:val="9"/>
      <w:szCs w:val="9"/>
      <w:shd w:val="clear" w:color="auto" w:fill="FFFFFF"/>
    </w:rPr>
  </w:style>
  <w:style w:type="paragraph" w:customStyle="1" w:styleId="1473">
    <w:name w:val="Основной текст (38)"/>
    <w:basedOn w:val="1"/>
    <w:link w:val="1472"/>
    <w:qFormat/>
    <w:uiPriority w:val="99"/>
    <w:pPr>
      <w:widowControl w:val="0"/>
      <w:shd w:val="clear" w:color="auto" w:fill="FFFFFF"/>
      <w:spacing w:before="60" w:after="0" w:line="235" w:lineRule="exact"/>
      <w:ind w:firstLine="0"/>
    </w:pPr>
    <w:rPr>
      <w:rFonts w:ascii="Bookman Old Style" w:hAnsi="Bookman Old Style" w:eastAsia="Bookman Old Style" w:cs="Bookman Old Style"/>
      <w:spacing w:val="-5"/>
      <w:sz w:val="9"/>
      <w:szCs w:val="9"/>
      <w:lang w:eastAsia="en-US"/>
    </w:rPr>
  </w:style>
  <w:style w:type="character" w:customStyle="1" w:styleId="1474">
    <w:name w:val="Основной текст (38) Exact1"/>
    <w:basedOn w:val="1472"/>
    <w:uiPriority w:val="0"/>
    <w:rPr>
      <w:rFonts w:ascii="Bookman Old Style" w:hAnsi="Bookman Old Style" w:eastAsia="Bookman Old Style" w:cs="Bookman Old Style"/>
      <w:color w:val="000000"/>
      <w:spacing w:val="-5"/>
      <w:w w:val="100"/>
      <w:position w:val="0"/>
      <w:sz w:val="9"/>
      <w:szCs w:val="9"/>
      <w:shd w:val="clear" w:color="auto" w:fill="FFFFFF"/>
      <w:lang w:val="ru-RU"/>
    </w:rPr>
  </w:style>
  <w:style w:type="character" w:customStyle="1" w:styleId="1475">
    <w:name w:val="Основной текст (39) Exact"/>
    <w:basedOn w:val="11"/>
    <w:link w:val="1476"/>
    <w:uiPriority w:val="0"/>
    <w:rPr>
      <w:rFonts w:ascii="Arial" w:hAnsi="Arial" w:eastAsia="Arial" w:cs="Arial"/>
      <w:spacing w:val="-3"/>
      <w:sz w:val="9"/>
      <w:szCs w:val="9"/>
      <w:shd w:val="clear" w:color="auto" w:fill="FFFFFF"/>
    </w:rPr>
  </w:style>
  <w:style w:type="paragraph" w:customStyle="1" w:styleId="1476">
    <w:name w:val="Основной текст (39)"/>
    <w:basedOn w:val="1"/>
    <w:link w:val="1475"/>
    <w:qFormat/>
    <w:uiPriority w:val="0"/>
    <w:pPr>
      <w:widowControl w:val="0"/>
      <w:shd w:val="clear" w:color="auto" w:fill="FFFFFF"/>
      <w:spacing w:after="0" w:line="235" w:lineRule="exact"/>
      <w:ind w:firstLine="0"/>
    </w:pPr>
    <w:rPr>
      <w:rFonts w:ascii="Arial" w:hAnsi="Arial" w:eastAsia="Arial" w:cs="Arial"/>
      <w:spacing w:val="-3"/>
      <w:sz w:val="9"/>
      <w:szCs w:val="9"/>
      <w:lang w:eastAsia="en-US"/>
    </w:rPr>
  </w:style>
  <w:style w:type="character" w:customStyle="1" w:styleId="1477">
    <w:name w:val="Основной текст (39) Exact1"/>
    <w:basedOn w:val="1475"/>
    <w:uiPriority w:val="0"/>
    <w:rPr>
      <w:rFonts w:ascii="Arial" w:hAnsi="Arial" w:eastAsia="Arial" w:cs="Arial"/>
      <w:color w:val="000000"/>
      <w:spacing w:val="-3"/>
      <w:w w:val="100"/>
      <w:position w:val="0"/>
      <w:sz w:val="9"/>
      <w:szCs w:val="9"/>
      <w:shd w:val="clear" w:color="auto" w:fill="FFFFFF"/>
      <w:lang w:val="ru-RU"/>
    </w:rPr>
  </w:style>
  <w:style w:type="character" w:customStyle="1" w:styleId="1478">
    <w:name w:val="Основной текст (35) Exact1"/>
    <w:basedOn w:val="1451"/>
    <w:uiPriority w:val="0"/>
    <w:rPr>
      <w:rFonts w:ascii="Times New Roman" w:hAnsi="Times New Roman"/>
      <w:color w:val="000000"/>
      <w:spacing w:val="-4"/>
      <w:w w:val="150"/>
      <w:position w:val="0"/>
      <w:sz w:val="8"/>
      <w:szCs w:val="8"/>
      <w:shd w:val="clear" w:color="auto" w:fill="FFFFFF"/>
      <w:lang w:val="ru-RU"/>
    </w:rPr>
  </w:style>
  <w:style w:type="character" w:customStyle="1" w:styleId="1479">
    <w:name w:val="Основной текст (36) + Candara;4;5 pt;Интервал 0 pt Exact"/>
    <w:basedOn w:val="1456"/>
    <w:uiPriority w:val="0"/>
    <w:rPr>
      <w:rFonts w:ascii="Candara" w:hAnsi="Candara" w:eastAsia="Candara" w:cs="Candara"/>
      <w:spacing w:val="2"/>
      <w:sz w:val="9"/>
      <w:szCs w:val="9"/>
      <w:shd w:val="clear" w:color="auto" w:fill="FFFFFF"/>
    </w:rPr>
  </w:style>
  <w:style w:type="character" w:customStyle="1" w:styleId="1480">
    <w:name w:val="Основной текст (40) Exact"/>
    <w:basedOn w:val="11"/>
    <w:link w:val="1481"/>
    <w:uiPriority w:val="0"/>
    <w:rPr>
      <w:rFonts w:ascii="Candara" w:hAnsi="Candara" w:eastAsia="Candara" w:cs="Candara"/>
      <w:spacing w:val="-7"/>
      <w:sz w:val="8"/>
      <w:szCs w:val="8"/>
      <w:shd w:val="clear" w:color="auto" w:fill="FFFFFF"/>
    </w:rPr>
  </w:style>
  <w:style w:type="paragraph" w:customStyle="1" w:styleId="1481">
    <w:name w:val="Основной текст (40)"/>
    <w:basedOn w:val="1"/>
    <w:link w:val="1480"/>
    <w:qFormat/>
    <w:uiPriority w:val="0"/>
    <w:pPr>
      <w:widowControl w:val="0"/>
      <w:shd w:val="clear" w:color="auto" w:fill="FFFFFF"/>
      <w:spacing w:after="0" w:line="0" w:lineRule="atLeast"/>
      <w:ind w:firstLine="0"/>
    </w:pPr>
    <w:rPr>
      <w:rFonts w:ascii="Candara" w:hAnsi="Candara" w:eastAsia="Candara" w:cs="Candara"/>
      <w:spacing w:val="-7"/>
      <w:sz w:val="8"/>
      <w:szCs w:val="8"/>
      <w:lang w:eastAsia="en-US"/>
    </w:rPr>
  </w:style>
  <w:style w:type="character" w:customStyle="1" w:styleId="1482">
    <w:name w:val="Основной текст (40) + Century Gothic;Полужирный;Интервал 0 pt Exact"/>
    <w:basedOn w:val="1480"/>
    <w:uiPriority w:val="0"/>
    <w:rPr>
      <w:rFonts w:ascii="Century Gothic" w:hAnsi="Century Gothic" w:eastAsia="Century Gothic" w:cs="Century Gothic"/>
      <w:b/>
      <w:bCs/>
      <w:color w:val="000000"/>
      <w:spacing w:val="2"/>
      <w:w w:val="100"/>
      <w:position w:val="0"/>
      <w:sz w:val="8"/>
      <w:szCs w:val="8"/>
      <w:shd w:val="clear" w:color="auto" w:fill="FFFFFF"/>
      <w:lang w:val="ru-RU"/>
    </w:rPr>
  </w:style>
  <w:style w:type="character" w:customStyle="1" w:styleId="1483">
    <w:name w:val="Основной текст (40) + Book Antiqua;Интервал 0 pt Exact"/>
    <w:basedOn w:val="1480"/>
    <w:uiPriority w:val="0"/>
    <w:rPr>
      <w:rFonts w:ascii="Book Antiqua" w:hAnsi="Book Antiqua" w:eastAsia="Book Antiqua" w:cs="Book Antiqua"/>
      <w:color w:val="000000"/>
      <w:spacing w:val="0"/>
      <w:w w:val="100"/>
      <w:position w:val="0"/>
      <w:sz w:val="8"/>
      <w:szCs w:val="8"/>
      <w:shd w:val="clear" w:color="auto" w:fill="FFFFFF"/>
    </w:rPr>
  </w:style>
  <w:style w:type="character" w:customStyle="1" w:styleId="1484">
    <w:name w:val="Основной текст (40) Exact1"/>
    <w:basedOn w:val="1480"/>
    <w:uiPriority w:val="0"/>
    <w:rPr>
      <w:rFonts w:ascii="Candara" w:hAnsi="Candara" w:eastAsia="Candara" w:cs="Candara"/>
      <w:color w:val="000000"/>
      <w:spacing w:val="-7"/>
      <w:w w:val="100"/>
      <w:position w:val="0"/>
      <w:sz w:val="8"/>
      <w:szCs w:val="8"/>
      <w:shd w:val="clear" w:color="auto" w:fill="FFFFFF"/>
      <w:lang w:val="ru-RU"/>
    </w:rPr>
  </w:style>
  <w:style w:type="character" w:customStyle="1" w:styleId="1485">
    <w:name w:val="Колонтитул3"/>
    <w:basedOn w:val="413"/>
    <w:uiPriority w:val="0"/>
    <w:rPr>
      <w:rFonts w:ascii="Franklin Gothic Heavy" w:hAnsi="Franklin Gothic Heavy" w:eastAsia="Franklin Gothic Heavy" w:cs="Franklin Gothic Heavy"/>
      <w:color w:val="000000"/>
      <w:spacing w:val="0"/>
      <w:w w:val="100"/>
      <w:position w:val="0"/>
      <w:sz w:val="12"/>
      <w:szCs w:val="12"/>
      <w:u w:val="none"/>
      <w:shd w:val="clear" w:color="auto" w:fill="FFFFFF"/>
      <w:lang w:val="ru-RU"/>
    </w:rPr>
  </w:style>
  <w:style w:type="character" w:customStyle="1" w:styleId="1486">
    <w:name w:val="Основной текст + Arial;4;5 pt"/>
    <w:basedOn w:val="208"/>
    <w:uiPriority w:val="0"/>
    <w:rPr>
      <w:rFonts w:ascii="Arial" w:hAnsi="Arial" w:eastAsia="Arial" w:cs="Arial"/>
      <w:color w:val="000000"/>
      <w:spacing w:val="0"/>
      <w:w w:val="100"/>
      <w:position w:val="0"/>
      <w:sz w:val="9"/>
      <w:szCs w:val="9"/>
      <w:u w:val="none"/>
      <w:shd w:val="clear" w:color="auto" w:fill="FFFFFF"/>
      <w:lang w:val="ru-RU"/>
    </w:rPr>
  </w:style>
  <w:style w:type="character" w:customStyle="1" w:styleId="1487">
    <w:name w:val="Основной текст + 7;5 pt;Полужирный3"/>
    <w:basedOn w:val="208"/>
    <w:uiPriority w:val="0"/>
    <w:rPr>
      <w:rFonts w:ascii="Times New Roman" w:hAnsi="Times New Roman" w:eastAsia="Times New Roman" w:cs="Times New Roman"/>
      <w:b/>
      <w:bCs/>
      <w:color w:val="000000"/>
      <w:spacing w:val="0"/>
      <w:w w:val="100"/>
      <w:position w:val="0"/>
      <w:sz w:val="15"/>
      <w:szCs w:val="15"/>
      <w:u w:val="none"/>
      <w:shd w:val="clear" w:color="auto" w:fill="FFFFFF"/>
    </w:rPr>
  </w:style>
  <w:style w:type="character" w:customStyle="1" w:styleId="1488">
    <w:name w:val="Основной текст + 7;5 pt;Полужирный2"/>
    <w:basedOn w:val="208"/>
    <w:uiPriority w:val="0"/>
    <w:rPr>
      <w:rFonts w:ascii="Times New Roman" w:hAnsi="Times New Roman" w:eastAsia="Times New Roman" w:cs="Times New Roman"/>
      <w:b/>
      <w:bCs/>
      <w:color w:val="000000"/>
      <w:spacing w:val="0"/>
      <w:w w:val="100"/>
      <w:position w:val="0"/>
      <w:sz w:val="15"/>
      <w:szCs w:val="15"/>
      <w:u w:val="none"/>
      <w:shd w:val="clear" w:color="auto" w:fill="FFFFFF"/>
    </w:rPr>
  </w:style>
  <w:style w:type="character" w:customStyle="1" w:styleId="1489">
    <w:name w:val="Основной текст + Candara;Курсив"/>
    <w:basedOn w:val="208"/>
    <w:uiPriority w:val="0"/>
    <w:rPr>
      <w:rFonts w:ascii="Candara" w:hAnsi="Candara" w:eastAsia="Candara" w:cs="Candara"/>
      <w:i/>
      <w:iCs/>
      <w:color w:val="000000"/>
      <w:spacing w:val="0"/>
      <w:w w:val="100"/>
      <w:position w:val="0"/>
      <w:sz w:val="27"/>
      <w:szCs w:val="27"/>
      <w:u w:val="none"/>
      <w:shd w:val="clear" w:color="auto" w:fill="FFFFFF"/>
    </w:rPr>
  </w:style>
  <w:style w:type="character" w:customStyle="1" w:styleId="1490">
    <w:name w:val="Основной текст + 7;5 pt;Полужирный1"/>
    <w:basedOn w:val="208"/>
    <w:uiPriority w:val="0"/>
    <w:rPr>
      <w:rFonts w:ascii="Times New Roman" w:hAnsi="Times New Roman" w:eastAsia="Times New Roman" w:cs="Times New Roman"/>
      <w:b/>
      <w:bCs/>
      <w:color w:val="000000"/>
      <w:spacing w:val="0"/>
      <w:w w:val="100"/>
      <w:position w:val="0"/>
      <w:sz w:val="15"/>
      <w:szCs w:val="15"/>
      <w:u w:val="none"/>
      <w:shd w:val="clear" w:color="auto" w:fill="FFFFFF"/>
    </w:rPr>
  </w:style>
  <w:style w:type="character" w:customStyle="1" w:styleId="1491">
    <w:name w:val="Основной текст + Arial;4;5 pt3"/>
    <w:basedOn w:val="208"/>
    <w:uiPriority w:val="0"/>
    <w:rPr>
      <w:rFonts w:ascii="Arial" w:hAnsi="Arial" w:eastAsia="Arial" w:cs="Arial"/>
      <w:color w:val="000000"/>
      <w:spacing w:val="0"/>
      <w:w w:val="100"/>
      <w:position w:val="0"/>
      <w:sz w:val="9"/>
      <w:szCs w:val="9"/>
      <w:u w:val="none"/>
      <w:shd w:val="clear" w:color="auto" w:fill="FFFFFF"/>
      <w:lang w:val="ru-RU"/>
    </w:rPr>
  </w:style>
  <w:style w:type="character" w:customStyle="1" w:styleId="1492">
    <w:name w:val="Основной текст + Arial;4;5 pt2"/>
    <w:basedOn w:val="208"/>
    <w:uiPriority w:val="0"/>
    <w:rPr>
      <w:rFonts w:ascii="Arial" w:hAnsi="Arial" w:eastAsia="Arial" w:cs="Arial"/>
      <w:color w:val="000000"/>
      <w:spacing w:val="0"/>
      <w:w w:val="100"/>
      <w:position w:val="0"/>
      <w:sz w:val="9"/>
      <w:szCs w:val="9"/>
      <w:u w:val="none"/>
      <w:shd w:val="clear" w:color="auto" w:fill="FFFFFF"/>
      <w:lang w:val="ru-RU"/>
    </w:rPr>
  </w:style>
  <w:style w:type="character" w:customStyle="1" w:styleId="1493">
    <w:name w:val="Основной текст + Arial;4;5 pt1"/>
    <w:basedOn w:val="208"/>
    <w:uiPriority w:val="0"/>
    <w:rPr>
      <w:rFonts w:ascii="Arial" w:hAnsi="Arial" w:eastAsia="Arial" w:cs="Arial"/>
      <w:color w:val="000000"/>
      <w:spacing w:val="0"/>
      <w:w w:val="100"/>
      <w:position w:val="0"/>
      <w:sz w:val="9"/>
      <w:szCs w:val="9"/>
      <w:u w:val="none"/>
      <w:shd w:val="clear" w:color="auto" w:fill="FFFFFF"/>
      <w:lang w:val="ru-RU"/>
    </w:rPr>
  </w:style>
  <w:style w:type="character" w:customStyle="1" w:styleId="1494">
    <w:name w:val="Основной текст + Arial;4;5 pt;Курсив"/>
    <w:basedOn w:val="208"/>
    <w:uiPriority w:val="0"/>
    <w:rPr>
      <w:rFonts w:ascii="Arial" w:hAnsi="Arial" w:eastAsia="Arial" w:cs="Arial"/>
      <w:i/>
      <w:iCs/>
      <w:color w:val="000000"/>
      <w:spacing w:val="0"/>
      <w:w w:val="100"/>
      <w:position w:val="0"/>
      <w:sz w:val="9"/>
      <w:szCs w:val="9"/>
      <w:u w:val="none"/>
      <w:shd w:val="clear" w:color="auto" w:fill="FFFFFF"/>
    </w:rPr>
  </w:style>
  <w:style w:type="character" w:customStyle="1" w:styleId="1495">
    <w:name w:val="Подпись к таблице (3)_"/>
    <w:basedOn w:val="11"/>
    <w:link w:val="1496"/>
    <w:uiPriority w:val="99"/>
    <w:rPr>
      <w:rFonts w:ascii="Arial" w:hAnsi="Arial" w:eastAsia="Arial" w:cs="Arial"/>
      <w:sz w:val="9"/>
      <w:szCs w:val="9"/>
      <w:shd w:val="clear" w:color="auto" w:fill="FFFFFF"/>
    </w:rPr>
  </w:style>
  <w:style w:type="paragraph" w:customStyle="1" w:styleId="1496">
    <w:name w:val="Подпись к таблице (3)1"/>
    <w:basedOn w:val="1"/>
    <w:link w:val="1495"/>
    <w:qFormat/>
    <w:uiPriority w:val="0"/>
    <w:pPr>
      <w:widowControl w:val="0"/>
      <w:shd w:val="clear" w:color="auto" w:fill="FFFFFF"/>
      <w:spacing w:after="0" w:line="0" w:lineRule="atLeast"/>
      <w:ind w:firstLine="0"/>
    </w:pPr>
    <w:rPr>
      <w:rFonts w:ascii="Arial" w:hAnsi="Arial" w:eastAsia="Arial" w:cs="Arial"/>
      <w:sz w:val="9"/>
      <w:szCs w:val="9"/>
      <w:lang w:eastAsia="en-US"/>
    </w:rPr>
  </w:style>
  <w:style w:type="character" w:customStyle="1" w:styleId="1497">
    <w:name w:val="Подпись к таблице (3)"/>
    <w:basedOn w:val="1495"/>
    <w:uiPriority w:val="0"/>
    <w:rPr>
      <w:rFonts w:ascii="Arial" w:hAnsi="Arial" w:eastAsia="Arial" w:cs="Arial"/>
      <w:sz w:val="9"/>
      <w:szCs w:val="9"/>
      <w:shd w:val="clear" w:color="auto" w:fill="FFFFFF"/>
    </w:rPr>
  </w:style>
  <w:style w:type="character" w:customStyle="1" w:styleId="1498">
    <w:name w:val="Основной текст (47) Exact"/>
    <w:basedOn w:val="11"/>
    <w:link w:val="1499"/>
    <w:uiPriority w:val="0"/>
    <w:rPr>
      <w:rFonts w:ascii="Franklin Gothic Heavy" w:hAnsi="Franklin Gothic Heavy" w:eastAsia="Franklin Gothic Heavy" w:cs="Franklin Gothic Heavy"/>
      <w:spacing w:val="-3"/>
      <w:sz w:val="8"/>
      <w:szCs w:val="8"/>
      <w:shd w:val="clear" w:color="auto" w:fill="FFFFFF"/>
    </w:rPr>
  </w:style>
  <w:style w:type="paragraph" w:customStyle="1" w:styleId="1499">
    <w:name w:val="Основной текст (47)"/>
    <w:basedOn w:val="1"/>
    <w:link w:val="1498"/>
    <w:qFormat/>
    <w:uiPriority w:val="0"/>
    <w:pPr>
      <w:widowControl w:val="0"/>
      <w:shd w:val="clear" w:color="auto" w:fill="FFFFFF"/>
      <w:spacing w:after="0" w:line="120" w:lineRule="exact"/>
      <w:ind w:firstLine="0"/>
    </w:pPr>
    <w:rPr>
      <w:rFonts w:ascii="Franklin Gothic Heavy" w:hAnsi="Franklin Gothic Heavy" w:eastAsia="Franklin Gothic Heavy" w:cs="Franklin Gothic Heavy"/>
      <w:spacing w:val="-3"/>
      <w:sz w:val="8"/>
      <w:szCs w:val="8"/>
      <w:lang w:eastAsia="en-US"/>
    </w:rPr>
  </w:style>
  <w:style w:type="character" w:customStyle="1" w:styleId="1500">
    <w:name w:val="Основной текст (47) Exact1"/>
    <w:basedOn w:val="1498"/>
    <w:uiPriority w:val="0"/>
    <w:rPr>
      <w:rFonts w:ascii="Franklin Gothic Heavy" w:hAnsi="Franklin Gothic Heavy" w:eastAsia="Franklin Gothic Heavy" w:cs="Franklin Gothic Heavy"/>
      <w:color w:val="000000"/>
      <w:spacing w:val="-3"/>
      <w:w w:val="100"/>
      <w:position w:val="0"/>
      <w:sz w:val="8"/>
      <w:szCs w:val="8"/>
      <w:shd w:val="clear" w:color="auto" w:fill="FFFFFF"/>
      <w:lang w:val="ru-RU"/>
    </w:rPr>
  </w:style>
  <w:style w:type="character" w:customStyle="1" w:styleId="1501">
    <w:name w:val="Основной текст (7) + Интервал 0 pt Exact"/>
    <w:basedOn w:val="1251"/>
    <w:uiPriority w:val="0"/>
    <w:rPr>
      <w:rFonts w:ascii="Times New Roman" w:hAnsi="Times New Roman"/>
      <w:color w:val="000000"/>
      <w:spacing w:val="1"/>
      <w:w w:val="100"/>
      <w:position w:val="0"/>
      <w:sz w:val="14"/>
      <w:szCs w:val="14"/>
      <w:shd w:val="clear" w:color="auto" w:fill="FFFFFF"/>
      <w:lang w:val="ru-RU"/>
    </w:rPr>
  </w:style>
  <w:style w:type="character" w:customStyle="1" w:styleId="1502">
    <w:name w:val="Основной текст (7) + Интервал 0 pt Exact3"/>
    <w:basedOn w:val="1251"/>
    <w:uiPriority w:val="0"/>
    <w:rPr>
      <w:rFonts w:ascii="Times New Roman" w:hAnsi="Times New Roman"/>
      <w:color w:val="000000"/>
      <w:spacing w:val="1"/>
      <w:w w:val="100"/>
      <w:position w:val="0"/>
      <w:sz w:val="14"/>
      <w:szCs w:val="14"/>
      <w:shd w:val="clear" w:color="auto" w:fill="FFFFFF"/>
      <w:lang w:val="ru-RU"/>
    </w:rPr>
  </w:style>
  <w:style w:type="character" w:customStyle="1" w:styleId="1503">
    <w:name w:val="Основной текст (41) Exact"/>
    <w:basedOn w:val="11"/>
    <w:uiPriority w:val="0"/>
    <w:rPr>
      <w:rFonts w:ascii="Arial" w:hAnsi="Arial" w:eastAsia="Arial" w:cs="Arial"/>
      <w:spacing w:val="-4"/>
      <w:sz w:val="9"/>
      <w:szCs w:val="9"/>
      <w:u w:val="none"/>
    </w:rPr>
  </w:style>
  <w:style w:type="character" w:customStyle="1" w:styleId="1504">
    <w:name w:val="Основной текст (41) Exact2"/>
    <w:basedOn w:val="1505"/>
    <w:uiPriority w:val="0"/>
    <w:rPr>
      <w:rFonts w:ascii="Arial" w:hAnsi="Arial" w:eastAsia="Arial" w:cs="Arial"/>
      <w:spacing w:val="-4"/>
      <w:sz w:val="9"/>
      <w:szCs w:val="9"/>
      <w:shd w:val="clear" w:color="auto" w:fill="FFFFFF"/>
    </w:rPr>
  </w:style>
  <w:style w:type="character" w:customStyle="1" w:styleId="1505">
    <w:name w:val="Основной текст (41)_"/>
    <w:basedOn w:val="11"/>
    <w:link w:val="1506"/>
    <w:uiPriority w:val="99"/>
    <w:rPr>
      <w:rFonts w:ascii="Arial" w:hAnsi="Arial" w:eastAsia="Arial" w:cs="Arial"/>
      <w:sz w:val="9"/>
      <w:szCs w:val="9"/>
      <w:shd w:val="clear" w:color="auto" w:fill="FFFFFF"/>
    </w:rPr>
  </w:style>
  <w:style w:type="paragraph" w:customStyle="1" w:styleId="1506">
    <w:name w:val="Основной текст (41)1"/>
    <w:basedOn w:val="1"/>
    <w:link w:val="1505"/>
    <w:qFormat/>
    <w:uiPriority w:val="99"/>
    <w:pPr>
      <w:widowControl w:val="0"/>
      <w:shd w:val="clear" w:color="auto" w:fill="FFFFFF"/>
      <w:spacing w:after="0" w:line="120" w:lineRule="exact"/>
      <w:ind w:firstLine="0"/>
      <w:jc w:val="right"/>
    </w:pPr>
    <w:rPr>
      <w:rFonts w:ascii="Arial" w:hAnsi="Arial" w:eastAsia="Arial" w:cs="Arial"/>
      <w:sz w:val="9"/>
      <w:szCs w:val="9"/>
      <w:lang w:eastAsia="en-US"/>
    </w:rPr>
  </w:style>
  <w:style w:type="character" w:customStyle="1" w:styleId="1507">
    <w:name w:val="Основной текст (41) Exact1"/>
    <w:basedOn w:val="1505"/>
    <w:uiPriority w:val="0"/>
    <w:rPr>
      <w:rFonts w:ascii="Arial" w:hAnsi="Arial" w:eastAsia="Arial" w:cs="Arial"/>
      <w:spacing w:val="-4"/>
      <w:sz w:val="9"/>
      <w:szCs w:val="9"/>
      <w:shd w:val="clear" w:color="auto" w:fill="FFFFFF"/>
    </w:rPr>
  </w:style>
  <w:style w:type="character" w:customStyle="1" w:styleId="1508">
    <w:name w:val="Подпись к картинке (6) Exact"/>
    <w:basedOn w:val="11"/>
    <w:link w:val="1509"/>
    <w:uiPriority w:val="0"/>
    <w:rPr>
      <w:rFonts w:ascii="Times New Roman" w:hAnsi="Times New Roman"/>
      <w:spacing w:val="-4"/>
      <w:w w:val="150"/>
      <w:sz w:val="8"/>
      <w:szCs w:val="8"/>
      <w:shd w:val="clear" w:color="auto" w:fill="FFFFFF"/>
    </w:rPr>
  </w:style>
  <w:style w:type="paragraph" w:customStyle="1" w:styleId="1509">
    <w:name w:val="Подпись к картинке (6)"/>
    <w:basedOn w:val="1"/>
    <w:link w:val="1508"/>
    <w:qFormat/>
    <w:uiPriority w:val="99"/>
    <w:pPr>
      <w:widowControl w:val="0"/>
      <w:shd w:val="clear" w:color="auto" w:fill="FFFFFF"/>
      <w:spacing w:after="0" w:line="0" w:lineRule="atLeast"/>
      <w:ind w:firstLine="0"/>
    </w:pPr>
    <w:rPr>
      <w:rFonts w:eastAsiaTheme="minorHAnsi" w:cstheme="minorBidi"/>
      <w:spacing w:val="-4"/>
      <w:w w:val="150"/>
      <w:sz w:val="8"/>
      <w:szCs w:val="8"/>
      <w:lang w:eastAsia="en-US"/>
    </w:rPr>
  </w:style>
  <w:style w:type="character" w:customStyle="1" w:styleId="1510">
    <w:name w:val="Подпись к картинке (6) Exact1"/>
    <w:basedOn w:val="1508"/>
    <w:uiPriority w:val="0"/>
    <w:rPr>
      <w:rFonts w:ascii="Times New Roman" w:hAnsi="Times New Roman"/>
      <w:color w:val="000000"/>
      <w:spacing w:val="-4"/>
      <w:w w:val="150"/>
      <w:position w:val="0"/>
      <w:sz w:val="8"/>
      <w:szCs w:val="8"/>
      <w:shd w:val="clear" w:color="auto" w:fill="FFFFFF"/>
      <w:lang w:val="ru-RU"/>
    </w:rPr>
  </w:style>
  <w:style w:type="character" w:customStyle="1" w:styleId="1511">
    <w:name w:val="Основной текст (41)"/>
    <w:basedOn w:val="1505"/>
    <w:uiPriority w:val="99"/>
    <w:rPr>
      <w:rFonts w:ascii="Arial" w:hAnsi="Arial" w:eastAsia="Arial" w:cs="Arial"/>
      <w:color w:val="000000"/>
      <w:spacing w:val="0"/>
      <w:w w:val="100"/>
      <w:position w:val="0"/>
      <w:sz w:val="9"/>
      <w:szCs w:val="9"/>
      <w:shd w:val="clear" w:color="auto" w:fill="FFFFFF"/>
      <w:lang w:val="ru-RU"/>
    </w:rPr>
  </w:style>
  <w:style w:type="character" w:customStyle="1" w:styleId="1512">
    <w:name w:val="Основной текст (7)5"/>
    <w:basedOn w:val="1251"/>
    <w:uiPriority w:val="0"/>
    <w:rPr>
      <w:rFonts w:ascii="Times New Roman" w:hAnsi="Times New Roman"/>
      <w:color w:val="000000"/>
      <w:spacing w:val="0"/>
      <w:w w:val="100"/>
      <w:position w:val="0"/>
      <w:sz w:val="15"/>
      <w:szCs w:val="15"/>
      <w:shd w:val="clear" w:color="auto" w:fill="FFFFFF"/>
      <w:lang w:val="ru-RU"/>
    </w:rPr>
  </w:style>
  <w:style w:type="character" w:customStyle="1" w:styleId="1513">
    <w:name w:val="Основной текст (41)2"/>
    <w:basedOn w:val="1505"/>
    <w:uiPriority w:val="99"/>
    <w:rPr>
      <w:rFonts w:ascii="Arial" w:hAnsi="Arial" w:eastAsia="Arial" w:cs="Arial"/>
      <w:color w:val="000000"/>
      <w:spacing w:val="0"/>
      <w:w w:val="100"/>
      <w:position w:val="0"/>
      <w:sz w:val="9"/>
      <w:szCs w:val="9"/>
      <w:shd w:val="clear" w:color="auto" w:fill="FFFFFF"/>
      <w:lang w:val="ru-RU"/>
    </w:rPr>
  </w:style>
  <w:style w:type="character" w:customStyle="1" w:styleId="1514">
    <w:name w:val="Основной текст (42)_"/>
    <w:basedOn w:val="11"/>
    <w:link w:val="1515"/>
    <w:uiPriority w:val="99"/>
    <w:rPr>
      <w:rFonts w:ascii="Franklin Gothic Heavy" w:hAnsi="Franklin Gothic Heavy" w:eastAsia="Franklin Gothic Heavy" w:cs="Franklin Gothic Heavy"/>
      <w:spacing w:val="-10"/>
      <w:sz w:val="9"/>
      <w:szCs w:val="9"/>
      <w:shd w:val="clear" w:color="auto" w:fill="FFFFFF"/>
    </w:rPr>
  </w:style>
  <w:style w:type="paragraph" w:customStyle="1" w:styleId="1515">
    <w:name w:val="Основной текст (42)1"/>
    <w:basedOn w:val="1"/>
    <w:link w:val="1514"/>
    <w:qFormat/>
    <w:uiPriority w:val="0"/>
    <w:pPr>
      <w:widowControl w:val="0"/>
      <w:shd w:val="clear" w:color="auto" w:fill="FFFFFF"/>
      <w:spacing w:after="0" w:line="120" w:lineRule="exact"/>
      <w:ind w:firstLine="0"/>
      <w:jc w:val="right"/>
    </w:pPr>
    <w:rPr>
      <w:rFonts w:ascii="Franklin Gothic Heavy" w:hAnsi="Franklin Gothic Heavy" w:eastAsia="Franklin Gothic Heavy" w:cs="Franklin Gothic Heavy"/>
      <w:spacing w:val="-10"/>
      <w:sz w:val="9"/>
      <w:szCs w:val="9"/>
      <w:lang w:eastAsia="en-US"/>
    </w:rPr>
  </w:style>
  <w:style w:type="character" w:customStyle="1" w:styleId="1516">
    <w:name w:val="Основной текст (42)"/>
    <w:basedOn w:val="1514"/>
    <w:uiPriority w:val="0"/>
    <w:rPr>
      <w:rFonts w:ascii="Franklin Gothic Heavy" w:hAnsi="Franklin Gothic Heavy" w:eastAsia="Franklin Gothic Heavy" w:cs="Franklin Gothic Heavy"/>
      <w:color w:val="000000"/>
      <w:spacing w:val="-10"/>
      <w:w w:val="100"/>
      <w:position w:val="0"/>
      <w:sz w:val="9"/>
      <w:szCs w:val="9"/>
      <w:shd w:val="clear" w:color="auto" w:fill="FFFFFF"/>
      <w:lang w:val="ru-RU"/>
    </w:rPr>
  </w:style>
  <w:style w:type="character" w:customStyle="1" w:styleId="1517">
    <w:name w:val="Основной текст (43)_"/>
    <w:basedOn w:val="11"/>
    <w:link w:val="1518"/>
    <w:uiPriority w:val="99"/>
    <w:rPr>
      <w:rFonts w:ascii="Franklin Gothic Heavy" w:hAnsi="Franklin Gothic Heavy" w:eastAsia="Franklin Gothic Heavy" w:cs="Franklin Gothic Heavy"/>
      <w:sz w:val="9"/>
      <w:szCs w:val="9"/>
      <w:shd w:val="clear" w:color="auto" w:fill="FFFFFF"/>
    </w:rPr>
  </w:style>
  <w:style w:type="paragraph" w:customStyle="1" w:styleId="1518">
    <w:name w:val="Основной текст (43)1"/>
    <w:basedOn w:val="1"/>
    <w:link w:val="1517"/>
    <w:qFormat/>
    <w:uiPriority w:val="99"/>
    <w:pPr>
      <w:widowControl w:val="0"/>
      <w:shd w:val="clear" w:color="auto" w:fill="FFFFFF"/>
      <w:spacing w:after="0" w:line="120" w:lineRule="exact"/>
      <w:ind w:firstLine="0"/>
      <w:jc w:val="right"/>
    </w:pPr>
    <w:rPr>
      <w:rFonts w:ascii="Franklin Gothic Heavy" w:hAnsi="Franklin Gothic Heavy" w:eastAsia="Franklin Gothic Heavy" w:cs="Franklin Gothic Heavy"/>
      <w:sz w:val="9"/>
      <w:szCs w:val="9"/>
      <w:lang w:eastAsia="en-US"/>
    </w:rPr>
  </w:style>
  <w:style w:type="character" w:customStyle="1" w:styleId="1519">
    <w:name w:val="Основной текст (43)"/>
    <w:basedOn w:val="1517"/>
    <w:uiPriority w:val="99"/>
    <w:rPr>
      <w:rFonts w:ascii="Franklin Gothic Heavy" w:hAnsi="Franklin Gothic Heavy" w:eastAsia="Franklin Gothic Heavy" w:cs="Franklin Gothic Heavy"/>
      <w:color w:val="000000"/>
      <w:spacing w:val="0"/>
      <w:w w:val="100"/>
      <w:position w:val="0"/>
      <w:sz w:val="9"/>
      <w:szCs w:val="9"/>
      <w:shd w:val="clear" w:color="auto" w:fill="FFFFFF"/>
      <w:lang w:val="ru-RU"/>
    </w:rPr>
  </w:style>
  <w:style w:type="character" w:customStyle="1" w:styleId="1520">
    <w:name w:val="Основной текст (7)4"/>
    <w:basedOn w:val="1251"/>
    <w:uiPriority w:val="0"/>
    <w:rPr>
      <w:rFonts w:ascii="Times New Roman" w:hAnsi="Times New Roman"/>
      <w:color w:val="000000"/>
      <w:spacing w:val="0"/>
      <w:w w:val="100"/>
      <w:position w:val="0"/>
      <w:sz w:val="15"/>
      <w:szCs w:val="15"/>
      <w:shd w:val="clear" w:color="auto" w:fill="FFFFFF"/>
      <w:lang w:val="ru-RU"/>
    </w:rPr>
  </w:style>
  <w:style w:type="character" w:customStyle="1" w:styleId="1521">
    <w:name w:val="Основной текст (44)_"/>
    <w:basedOn w:val="11"/>
    <w:link w:val="1522"/>
    <w:uiPriority w:val="99"/>
    <w:rPr>
      <w:rFonts w:ascii="Times New Roman" w:hAnsi="Times New Roman"/>
      <w:sz w:val="10"/>
      <w:szCs w:val="10"/>
      <w:shd w:val="clear" w:color="auto" w:fill="FFFFFF"/>
    </w:rPr>
  </w:style>
  <w:style w:type="paragraph" w:customStyle="1" w:styleId="1522">
    <w:name w:val="Основной текст (44)1"/>
    <w:basedOn w:val="1"/>
    <w:link w:val="1521"/>
    <w:qFormat/>
    <w:uiPriority w:val="99"/>
    <w:pPr>
      <w:widowControl w:val="0"/>
      <w:shd w:val="clear" w:color="auto" w:fill="FFFFFF"/>
      <w:spacing w:after="0" w:line="120" w:lineRule="exact"/>
      <w:ind w:firstLine="0"/>
      <w:jc w:val="right"/>
    </w:pPr>
    <w:rPr>
      <w:rFonts w:eastAsiaTheme="minorHAnsi" w:cstheme="minorBidi"/>
      <w:sz w:val="10"/>
      <w:szCs w:val="10"/>
      <w:lang w:eastAsia="en-US"/>
    </w:rPr>
  </w:style>
  <w:style w:type="character" w:customStyle="1" w:styleId="1523">
    <w:name w:val="Основной текст (44)"/>
    <w:basedOn w:val="1521"/>
    <w:uiPriority w:val="99"/>
    <w:rPr>
      <w:rFonts w:ascii="Times New Roman" w:hAnsi="Times New Roman"/>
      <w:color w:val="000000"/>
      <w:spacing w:val="0"/>
      <w:w w:val="100"/>
      <w:position w:val="0"/>
      <w:sz w:val="10"/>
      <w:szCs w:val="10"/>
      <w:shd w:val="clear" w:color="auto" w:fill="FFFFFF"/>
      <w:lang w:val="ru-RU"/>
    </w:rPr>
  </w:style>
  <w:style w:type="character" w:customStyle="1" w:styleId="1524">
    <w:name w:val="Основной текст (45)_"/>
    <w:basedOn w:val="11"/>
    <w:link w:val="1525"/>
    <w:uiPriority w:val="0"/>
    <w:rPr>
      <w:rFonts w:ascii="Franklin Gothic Heavy" w:hAnsi="Franklin Gothic Heavy" w:eastAsia="Franklin Gothic Heavy" w:cs="Franklin Gothic Heavy"/>
      <w:sz w:val="10"/>
      <w:szCs w:val="10"/>
      <w:shd w:val="clear" w:color="auto" w:fill="FFFFFF"/>
    </w:rPr>
  </w:style>
  <w:style w:type="paragraph" w:customStyle="1" w:styleId="1525">
    <w:name w:val="Основной текст (45)1"/>
    <w:basedOn w:val="1"/>
    <w:link w:val="1524"/>
    <w:qFormat/>
    <w:uiPriority w:val="0"/>
    <w:pPr>
      <w:widowControl w:val="0"/>
      <w:shd w:val="clear" w:color="auto" w:fill="FFFFFF"/>
      <w:spacing w:after="0" w:line="120" w:lineRule="exact"/>
      <w:ind w:firstLine="0"/>
      <w:jc w:val="right"/>
    </w:pPr>
    <w:rPr>
      <w:rFonts w:ascii="Franklin Gothic Heavy" w:hAnsi="Franklin Gothic Heavy" w:eastAsia="Franklin Gothic Heavy" w:cs="Franklin Gothic Heavy"/>
      <w:sz w:val="10"/>
      <w:szCs w:val="10"/>
      <w:lang w:eastAsia="en-US"/>
    </w:rPr>
  </w:style>
  <w:style w:type="character" w:customStyle="1" w:styleId="1526">
    <w:name w:val="Основной текст (45)"/>
    <w:basedOn w:val="1524"/>
    <w:uiPriority w:val="0"/>
    <w:rPr>
      <w:rFonts w:ascii="Franklin Gothic Heavy" w:hAnsi="Franklin Gothic Heavy" w:eastAsia="Franklin Gothic Heavy" w:cs="Franklin Gothic Heavy"/>
      <w:color w:val="000000"/>
      <w:spacing w:val="0"/>
      <w:w w:val="100"/>
      <w:position w:val="0"/>
      <w:sz w:val="10"/>
      <w:szCs w:val="10"/>
      <w:shd w:val="clear" w:color="auto" w:fill="FFFFFF"/>
    </w:rPr>
  </w:style>
  <w:style w:type="character" w:customStyle="1" w:styleId="1527">
    <w:name w:val="Основной текст (46)_"/>
    <w:basedOn w:val="11"/>
    <w:link w:val="1528"/>
    <w:uiPriority w:val="0"/>
    <w:rPr>
      <w:rFonts w:ascii="Franklin Gothic Heavy" w:hAnsi="Franklin Gothic Heavy" w:eastAsia="Franklin Gothic Heavy" w:cs="Franklin Gothic Heavy"/>
      <w:sz w:val="9"/>
      <w:szCs w:val="9"/>
      <w:shd w:val="clear" w:color="auto" w:fill="FFFFFF"/>
    </w:rPr>
  </w:style>
  <w:style w:type="paragraph" w:customStyle="1" w:styleId="1528">
    <w:name w:val="Основной текст (46)1"/>
    <w:basedOn w:val="1"/>
    <w:link w:val="1527"/>
    <w:qFormat/>
    <w:uiPriority w:val="0"/>
    <w:pPr>
      <w:widowControl w:val="0"/>
      <w:shd w:val="clear" w:color="auto" w:fill="FFFFFF"/>
      <w:spacing w:after="0" w:line="120" w:lineRule="exact"/>
      <w:ind w:firstLine="0"/>
      <w:jc w:val="right"/>
    </w:pPr>
    <w:rPr>
      <w:rFonts w:ascii="Franklin Gothic Heavy" w:hAnsi="Franklin Gothic Heavy" w:eastAsia="Franklin Gothic Heavy" w:cs="Franklin Gothic Heavy"/>
      <w:sz w:val="9"/>
      <w:szCs w:val="9"/>
      <w:lang w:eastAsia="en-US"/>
    </w:rPr>
  </w:style>
  <w:style w:type="character" w:customStyle="1" w:styleId="1529">
    <w:name w:val="Основной текст (46)"/>
    <w:basedOn w:val="1527"/>
    <w:uiPriority w:val="0"/>
    <w:rPr>
      <w:rFonts w:ascii="Franklin Gothic Heavy" w:hAnsi="Franklin Gothic Heavy" w:eastAsia="Franklin Gothic Heavy" w:cs="Franklin Gothic Heavy"/>
      <w:color w:val="000000"/>
      <w:spacing w:val="0"/>
      <w:w w:val="100"/>
      <w:position w:val="0"/>
      <w:sz w:val="9"/>
      <w:szCs w:val="9"/>
      <w:shd w:val="clear" w:color="auto" w:fill="FFFFFF"/>
    </w:rPr>
  </w:style>
  <w:style w:type="character" w:customStyle="1" w:styleId="1530">
    <w:name w:val="Основной текст (36)"/>
    <w:basedOn w:val="1456"/>
    <w:uiPriority w:val="0"/>
    <w:rPr>
      <w:rFonts w:ascii="Arial" w:hAnsi="Arial" w:eastAsia="Arial" w:cs="Arial"/>
      <w:color w:val="000000"/>
      <w:spacing w:val="0"/>
      <w:w w:val="100"/>
      <w:position w:val="0"/>
      <w:sz w:val="8"/>
      <w:szCs w:val="8"/>
      <w:shd w:val="clear" w:color="auto" w:fill="FFFFFF"/>
      <w:lang w:val="ru-RU"/>
    </w:rPr>
  </w:style>
  <w:style w:type="character" w:customStyle="1" w:styleId="1531">
    <w:name w:val="Основной текст (29)_"/>
    <w:basedOn w:val="11"/>
    <w:link w:val="1532"/>
    <w:uiPriority w:val="99"/>
    <w:rPr>
      <w:rFonts w:ascii="Times New Roman" w:hAnsi="Times New Roman"/>
      <w:b/>
      <w:bCs/>
      <w:i/>
      <w:iCs/>
      <w:sz w:val="15"/>
      <w:szCs w:val="15"/>
      <w:shd w:val="clear" w:color="auto" w:fill="FFFFFF"/>
    </w:rPr>
  </w:style>
  <w:style w:type="paragraph" w:customStyle="1" w:styleId="1532">
    <w:name w:val="Основной текст (29)"/>
    <w:basedOn w:val="1"/>
    <w:link w:val="1531"/>
    <w:qFormat/>
    <w:uiPriority w:val="0"/>
    <w:pPr>
      <w:widowControl w:val="0"/>
      <w:shd w:val="clear" w:color="auto" w:fill="FFFFFF"/>
      <w:spacing w:after="0" w:line="0" w:lineRule="atLeast"/>
      <w:ind w:firstLine="0"/>
    </w:pPr>
    <w:rPr>
      <w:rFonts w:eastAsiaTheme="minorHAnsi" w:cstheme="minorBidi"/>
      <w:b/>
      <w:bCs/>
      <w:i/>
      <w:iCs/>
      <w:sz w:val="15"/>
      <w:szCs w:val="15"/>
      <w:lang w:eastAsia="en-US"/>
    </w:rPr>
  </w:style>
  <w:style w:type="character" w:customStyle="1" w:styleId="1533">
    <w:name w:val="Основной текст (29) + Интервал 0 pt"/>
    <w:basedOn w:val="1531"/>
    <w:uiPriority w:val="0"/>
    <w:rPr>
      <w:rFonts w:ascii="Times New Roman" w:hAnsi="Times New Roman"/>
      <w:color w:val="000000"/>
      <w:spacing w:val="-10"/>
      <w:w w:val="100"/>
      <w:position w:val="0"/>
      <w:sz w:val="15"/>
      <w:szCs w:val="15"/>
      <w:shd w:val="clear" w:color="auto" w:fill="FFFFFF"/>
    </w:rPr>
  </w:style>
  <w:style w:type="character" w:customStyle="1" w:styleId="1534">
    <w:name w:val="Основной текст (36) + Times New Roman;7;5 pt;Не полужирный"/>
    <w:basedOn w:val="1456"/>
    <w:uiPriority w:val="0"/>
    <w:rPr>
      <w:rFonts w:ascii="Times New Roman" w:hAnsi="Times New Roman" w:eastAsia="Times New Roman" w:cs="Times New Roman"/>
      <w:color w:val="000000"/>
      <w:spacing w:val="0"/>
      <w:w w:val="100"/>
      <w:position w:val="0"/>
      <w:sz w:val="15"/>
      <w:szCs w:val="15"/>
      <w:shd w:val="clear" w:color="auto" w:fill="FFFFFF"/>
    </w:rPr>
  </w:style>
  <w:style w:type="character" w:customStyle="1" w:styleId="1535">
    <w:name w:val="Колонтитул2"/>
    <w:basedOn w:val="413"/>
    <w:uiPriority w:val="0"/>
    <w:rPr>
      <w:rFonts w:ascii="Franklin Gothic Heavy" w:hAnsi="Franklin Gothic Heavy" w:eastAsia="Franklin Gothic Heavy" w:cs="Franklin Gothic Heavy"/>
      <w:color w:val="000000"/>
      <w:spacing w:val="0"/>
      <w:w w:val="100"/>
      <w:position w:val="0"/>
      <w:sz w:val="12"/>
      <w:szCs w:val="12"/>
      <w:u w:val="none"/>
      <w:shd w:val="clear" w:color="auto" w:fill="FFFFFF"/>
    </w:rPr>
  </w:style>
  <w:style w:type="character" w:customStyle="1" w:styleId="1536">
    <w:name w:val="Основной текст Exact"/>
    <w:basedOn w:val="11"/>
    <w:uiPriority w:val="99"/>
    <w:rPr>
      <w:rFonts w:ascii="Times New Roman" w:hAnsi="Times New Roman" w:eastAsia="Times New Roman" w:cs="Times New Roman"/>
      <w:spacing w:val="2"/>
      <w:sz w:val="25"/>
      <w:szCs w:val="25"/>
      <w:u w:val="none"/>
    </w:rPr>
  </w:style>
  <w:style w:type="character" w:customStyle="1" w:styleId="1537">
    <w:name w:val="Основной текст Exact1"/>
    <w:basedOn w:val="208"/>
    <w:uiPriority w:val="0"/>
    <w:rPr>
      <w:rFonts w:ascii="Times New Roman" w:hAnsi="Times New Roman" w:eastAsia="Times New Roman" w:cs="Times New Roman"/>
      <w:color w:val="000000"/>
      <w:spacing w:val="2"/>
      <w:w w:val="100"/>
      <w:position w:val="0"/>
      <w:sz w:val="25"/>
      <w:szCs w:val="25"/>
      <w:u w:val="none"/>
      <w:shd w:val="clear" w:color="auto" w:fill="FFFFFF"/>
      <w:lang w:val="ru-RU"/>
    </w:rPr>
  </w:style>
  <w:style w:type="character" w:customStyle="1" w:styleId="1538">
    <w:name w:val="Основной текст + 10 pt;Курсив;Интервал 0 pt Exact"/>
    <w:basedOn w:val="208"/>
    <w:uiPriority w:val="0"/>
    <w:rPr>
      <w:rFonts w:ascii="Times New Roman" w:hAnsi="Times New Roman" w:eastAsia="Times New Roman" w:cs="Times New Roman"/>
      <w:i/>
      <w:iCs/>
      <w:color w:val="000000"/>
      <w:spacing w:val="0"/>
      <w:w w:val="100"/>
      <w:position w:val="0"/>
      <w:sz w:val="20"/>
      <w:szCs w:val="20"/>
      <w:u w:val="none"/>
      <w:shd w:val="clear" w:color="auto" w:fill="FFFFFF"/>
    </w:rPr>
  </w:style>
  <w:style w:type="character" w:customStyle="1" w:styleId="1539">
    <w:name w:val="Основной текст (36) + 4;5 pt;Не полужирный;Интервал 0 pt Exact"/>
    <w:basedOn w:val="1456"/>
    <w:uiPriority w:val="0"/>
    <w:rPr>
      <w:rFonts w:ascii="Arial" w:hAnsi="Arial" w:eastAsia="Arial" w:cs="Arial"/>
      <w:color w:val="000000"/>
      <w:spacing w:val="-4"/>
      <w:w w:val="100"/>
      <w:position w:val="0"/>
      <w:sz w:val="9"/>
      <w:szCs w:val="9"/>
      <w:shd w:val="clear" w:color="auto" w:fill="FFFFFF"/>
      <w:lang w:val="ru-RU"/>
    </w:rPr>
  </w:style>
  <w:style w:type="character" w:customStyle="1" w:styleId="1540">
    <w:name w:val="Основной текст (36) + Bookman Old Style;4;5 pt;Не полужирный;Интервал 0 pt Exact"/>
    <w:basedOn w:val="1456"/>
    <w:uiPriority w:val="0"/>
    <w:rPr>
      <w:rFonts w:ascii="Bookman Old Style" w:hAnsi="Bookman Old Style" w:eastAsia="Bookman Old Style" w:cs="Bookman Old Style"/>
      <w:color w:val="000000"/>
      <w:spacing w:val="-5"/>
      <w:w w:val="100"/>
      <w:position w:val="0"/>
      <w:sz w:val="9"/>
      <w:szCs w:val="9"/>
      <w:shd w:val="clear" w:color="auto" w:fill="FFFFFF"/>
    </w:rPr>
  </w:style>
  <w:style w:type="character" w:customStyle="1" w:styleId="1541">
    <w:name w:val="Основной текст (36) + Bookman Old Style;4;5 pt;Не полужирный;Интервал 0 pt Exact4"/>
    <w:basedOn w:val="1456"/>
    <w:uiPriority w:val="0"/>
    <w:rPr>
      <w:rFonts w:ascii="Bookman Old Style" w:hAnsi="Bookman Old Style" w:eastAsia="Bookman Old Style" w:cs="Bookman Old Style"/>
      <w:color w:val="000000"/>
      <w:spacing w:val="-5"/>
      <w:w w:val="100"/>
      <w:position w:val="0"/>
      <w:sz w:val="9"/>
      <w:szCs w:val="9"/>
      <w:shd w:val="clear" w:color="auto" w:fill="FFFFFF"/>
      <w:lang w:val="ru-RU"/>
    </w:rPr>
  </w:style>
  <w:style w:type="character" w:customStyle="1" w:styleId="1542">
    <w:name w:val="Основной текст (36) + Bookman Old Style;4;5 pt;Не полужирный;Интервал 0 pt Exact3"/>
    <w:basedOn w:val="1456"/>
    <w:uiPriority w:val="0"/>
    <w:rPr>
      <w:rFonts w:ascii="Bookman Old Style" w:hAnsi="Bookman Old Style" w:eastAsia="Bookman Old Style" w:cs="Bookman Old Style"/>
      <w:color w:val="000000"/>
      <w:spacing w:val="0"/>
      <w:w w:val="100"/>
      <w:position w:val="0"/>
      <w:sz w:val="9"/>
      <w:szCs w:val="9"/>
      <w:shd w:val="clear" w:color="auto" w:fill="FFFFFF"/>
    </w:rPr>
  </w:style>
  <w:style w:type="character" w:customStyle="1" w:styleId="1543">
    <w:name w:val="Основной текст (36) + Times New Roman;Не полужирный;Интервал 0 pt Exact1"/>
    <w:basedOn w:val="1456"/>
    <w:uiPriority w:val="0"/>
    <w:rPr>
      <w:rFonts w:ascii="Times New Roman" w:hAnsi="Times New Roman" w:eastAsia="Times New Roman" w:cs="Times New Roman"/>
      <w:color w:val="000000"/>
      <w:spacing w:val="-5"/>
      <w:w w:val="100"/>
      <w:position w:val="0"/>
      <w:sz w:val="8"/>
      <w:szCs w:val="8"/>
      <w:shd w:val="clear" w:color="auto" w:fill="FFFFFF"/>
      <w:lang w:val="ru-RU"/>
    </w:rPr>
  </w:style>
  <w:style w:type="character" w:customStyle="1" w:styleId="1544">
    <w:name w:val="Основной текст (36) + Bookman Old Style;Не полужирный;Интервал 0 pt Exact1"/>
    <w:basedOn w:val="1456"/>
    <w:uiPriority w:val="0"/>
    <w:rPr>
      <w:rFonts w:ascii="Bookman Old Style" w:hAnsi="Bookman Old Style" w:eastAsia="Bookman Old Style" w:cs="Bookman Old Style"/>
      <w:color w:val="000000"/>
      <w:spacing w:val="0"/>
      <w:w w:val="100"/>
      <w:position w:val="0"/>
      <w:sz w:val="8"/>
      <w:szCs w:val="8"/>
      <w:shd w:val="clear" w:color="auto" w:fill="FFFFFF"/>
    </w:rPr>
  </w:style>
  <w:style w:type="character" w:customStyle="1" w:styleId="1545">
    <w:name w:val="Основной текст (36) + Не полужирный;Интервал 0 pt Exact"/>
    <w:basedOn w:val="1456"/>
    <w:uiPriority w:val="0"/>
    <w:rPr>
      <w:rFonts w:ascii="Arial" w:hAnsi="Arial" w:eastAsia="Arial" w:cs="Arial"/>
      <w:color w:val="000000"/>
      <w:spacing w:val="-3"/>
      <w:w w:val="100"/>
      <w:position w:val="0"/>
      <w:sz w:val="8"/>
      <w:szCs w:val="8"/>
      <w:shd w:val="clear" w:color="auto" w:fill="FFFFFF"/>
      <w:lang w:val="ru-RU"/>
    </w:rPr>
  </w:style>
  <w:style w:type="character" w:customStyle="1" w:styleId="1546">
    <w:name w:val="Основной текст (36) + Bookman Old Style;4;5 pt;Не полужирный;Интервал 0 pt Exact2"/>
    <w:basedOn w:val="1456"/>
    <w:uiPriority w:val="0"/>
    <w:rPr>
      <w:rFonts w:ascii="Bookman Old Style" w:hAnsi="Bookman Old Style" w:eastAsia="Bookman Old Style" w:cs="Bookman Old Style"/>
      <w:color w:val="000000"/>
      <w:spacing w:val="0"/>
      <w:w w:val="100"/>
      <w:position w:val="0"/>
      <w:sz w:val="9"/>
      <w:szCs w:val="9"/>
      <w:shd w:val="clear" w:color="auto" w:fill="FFFFFF"/>
    </w:rPr>
  </w:style>
  <w:style w:type="character" w:customStyle="1" w:styleId="1547">
    <w:name w:val="Основной текст (36) + Не полужирный;Интервал 0 pt Exact1"/>
    <w:basedOn w:val="1456"/>
    <w:uiPriority w:val="0"/>
    <w:rPr>
      <w:rFonts w:ascii="Arial" w:hAnsi="Arial" w:eastAsia="Arial" w:cs="Arial"/>
      <w:color w:val="000000"/>
      <w:spacing w:val="-3"/>
      <w:w w:val="100"/>
      <w:position w:val="0"/>
      <w:sz w:val="8"/>
      <w:szCs w:val="8"/>
      <w:shd w:val="clear" w:color="auto" w:fill="FFFFFF"/>
    </w:rPr>
  </w:style>
  <w:style w:type="character" w:customStyle="1" w:styleId="1548">
    <w:name w:val="Основной текст (36) + Bookman Old Style;4;5 pt;Не полужирный;Интервал 0 pt Exact1"/>
    <w:basedOn w:val="1456"/>
    <w:uiPriority w:val="0"/>
    <w:rPr>
      <w:rFonts w:ascii="Bookman Old Style" w:hAnsi="Bookman Old Style" w:eastAsia="Bookman Old Style" w:cs="Bookman Old Style"/>
      <w:color w:val="000000"/>
      <w:spacing w:val="0"/>
      <w:w w:val="100"/>
      <w:position w:val="0"/>
      <w:sz w:val="9"/>
      <w:szCs w:val="9"/>
      <w:shd w:val="clear" w:color="auto" w:fill="FFFFFF"/>
    </w:rPr>
  </w:style>
  <w:style w:type="character" w:customStyle="1" w:styleId="1549">
    <w:name w:val="Основной текст (36) + Candara;4;5 pt;Интервал 0 pt Exact1"/>
    <w:basedOn w:val="1456"/>
    <w:uiPriority w:val="0"/>
    <w:rPr>
      <w:rFonts w:ascii="Candara" w:hAnsi="Candara" w:eastAsia="Candara" w:cs="Candara"/>
      <w:color w:val="000000"/>
      <w:spacing w:val="2"/>
      <w:w w:val="100"/>
      <w:position w:val="0"/>
      <w:sz w:val="9"/>
      <w:szCs w:val="9"/>
      <w:shd w:val="clear" w:color="auto" w:fill="FFFFFF"/>
      <w:lang w:val="ru-RU"/>
    </w:rPr>
  </w:style>
  <w:style w:type="character" w:customStyle="1" w:styleId="1550">
    <w:name w:val="Основной текст (48) Exact"/>
    <w:basedOn w:val="11"/>
    <w:link w:val="1551"/>
    <w:uiPriority w:val="0"/>
    <w:rPr>
      <w:rFonts w:ascii="Franklin Gothic Heavy" w:hAnsi="Franklin Gothic Heavy" w:eastAsia="Franklin Gothic Heavy" w:cs="Franklin Gothic Heavy"/>
      <w:spacing w:val="-1"/>
      <w:sz w:val="9"/>
      <w:szCs w:val="9"/>
      <w:shd w:val="clear" w:color="auto" w:fill="FFFFFF"/>
    </w:rPr>
  </w:style>
  <w:style w:type="paragraph" w:customStyle="1" w:styleId="1551">
    <w:name w:val="Основной текст (48)"/>
    <w:basedOn w:val="1"/>
    <w:link w:val="1550"/>
    <w:qFormat/>
    <w:uiPriority w:val="0"/>
    <w:pPr>
      <w:widowControl w:val="0"/>
      <w:shd w:val="clear" w:color="auto" w:fill="FFFFFF"/>
      <w:spacing w:after="0" w:line="245" w:lineRule="exact"/>
      <w:ind w:firstLine="0"/>
    </w:pPr>
    <w:rPr>
      <w:rFonts w:ascii="Franklin Gothic Heavy" w:hAnsi="Franklin Gothic Heavy" w:eastAsia="Franklin Gothic Heavy" w:cs="Franklin Gothic Heavy"/>
      <w:spacing w:val="-1"/>
      <w:sz w:val="9"/>
      <w:szCs w:val="9"/>
      <w:lang w:eastAsia="en-US"/>
    </w:rPr>
  </w:style>
  <w:style w:type="character" w:customStyle="1" w:styleId="1552">
    <w:name w:val="Основной текст (48) Exact1"/>
    <w:basedOn w:val="1550"/>
    <w:uiPriority w:val="0"/>
    <w:rPr>
      <w:rFonts w:ascii="Franklin Gothic Heavy" w:hAnsi="Franklin Gothic Heavy" w:eastAsia="Franklin Gothic Heavy" w:cs="Franklin Gothic Heavy"/>
      <w:color w:val="000000"/>
      <w:spacing w:val="-1"/>
      <w:w w:val="100"/>
      <w:position w:val="0"/>
      <w:sz w:val="9"/>
      <w:szCs w:val="9"/>
      <w:shd w:val="clear" w:color="auto" w:fill="FFFFFF"/>
      <w:lang w:val="ru-RU"/>
    </w:rPr>
  </w:style>
  <w:style w:type="character" w:customStyle="1" w:styleId="1553">
    <w:name w:val="Основной текст (49) Exact"/>
    <w:basedOn w:val="11"/>
    <w:link w:val="1554"/>
    <w:uiPriority w:val="0"/>
    <w:rPr>
      <w:rFonts w:ascii="Franklin Gothic Heavy" w:hAnsi="Franklin Gothic Heavy" w:eastAsia="Franklin Gothic Heavy" w:cs="Franklin Gothic Heavy"/>
      <w:spacing w:val="2"/>
      <w:sz w:val="8"/>
      <w:szCs w:val="8"/>
      <w:shd w:val="clear" w:color="auto" w:fill="FFFFFF"/>
    </w:rPr>
  </w:style>
  <w:style w:type="paragraph" w:customStyle="1" w:styleId="1554">
    <w:name w:val="Основной текст (49)"/>
    <w:basedOn w:val="1"/>
    <w:link w:val="1553"/>
    <w:qFormat/>
    <w:uiPriority w:val="0"/>
    <w:pPr>
      <w:widowControl w:val="0"/>
      <w:shd w:val="clear" w:color="auto" w:fill="FFFFFF"/>
      <w:spacing w:after="0" w:line="245" w:lineRule="exact"/>
      <w:ind w:firstLine="0"/>
    </w:pPr>
    <w:rPr>
      <w:rFonts w:ascii="Franklin Gothic Heavy" w:hAnsi="Franklin Gothic Heavy" w:eastAsia="Franklin Gothic Heavy" w:cs="Franklin Gothic Heavy"/>
      <w:spacing w:val="2"/>
      <w:sz w:val="8"/>
      <w:szCs w:val="8"/>
      <w:lang w:eastAsia="en-US"/>
    </w:rPr>
  </w:style>
  <w:style w:type="character" w:customStyle="1" w:styleId="1555">
    <w:name w:val="Основной текст (49) Exact1"/>
    <w:basedOn w:val="1553"/>
    <w:uiPriority w:val="0"/>
    <w:rPr>
      <w:rFonts w:ascii="Franklin Gothic Heavy" w:hAnsi="Franklin Gothic Heavy" w:eastAsia="Franklin Gothic Heavy" w:cs="Franklin Gothic Heavy"/>
      <w:color w:val="000000"/>
      <w:spacing w:val="2"/>
      <w:w w:val="100"/>
      <w:position w:val="0"/>
      <w:sz w:val="8"/>
      <w:szCs w:val="8"/>
      <w:shd w:val="clear" w:color="auto" w:fill="FFFFFF"/>
      <w:lang w:val="ru-RU"/>
    </w:rPr>
  </w:style>
  <w:style w:type="character" w:customStyle="1" w:styleId="1556">
    <w:name w:val="Основной текст (36) + Franklin Gothic Heavy;Не полужирный;Интервал 0 pt Exact1"/>
    <w:basedOn w:val="1456"/>
    <w:uiPriority w:val="0"/>
    <w:rPr>
      <w:rFonts w:ascii="Franklin Gothic Heavy" w:hAnsi="Franklin Gothic Heavy" w:eastAsia="Franklin Gothic Heavy" w:cs="Franklin Gothic Heavy"/>
      <w:color w:val="000000"/>
      <w:spacing w:val="0"/>
      <w:w w:val="100"/>
      <w:position w:val="0"/>
      <w:sz w:val="8"/>
      <w:szCs w:val="8"/>
      <w:shd w:val="clear" w:color="auto" w:fill="FFFFFF"/>
      <w:lang w:val="ru-RU"/>
    </w:rPr>
  </w:style>
  <w:style w:type="character" w:customStyle="1" w:styleId="1557">
    <w:name w:val="Основной текст (50) Exact"/>
    <w:basedOn w:val="11"/>
    <w:link w:val="1558"/>
    <w:uiPriority w:val="0"/>
    <w:rPr>
      <w:rFonts w:ascii="Times New Roman" w:hAnsi="Times New Roman"/>
      <w:spacing w:val="-3"/>
      <w:sz w:val="10"/>
      <w:szCs w:val="10"/>
      <w:shd w:val="clear" w:color="auto" w:fill="FFFFFF"/>
    </w:rPr>
  </w:style>
  <w:style w:type="paragraph" w:customStyle="1" w:styleId="1558">
    <w:name w:val="Основной текст (50)"/>
    <w:basedOn w:val="1"/>
    <w:link w:val="1557"/>
    <w:qFormat/>
    <w:uiPriority w:val="0"/>
    <w:pPr>
      <w:widowControl w:val="0"/>
      <w:shd w:val="clear" w:color="auto" w:fill="FFFFFF"/>
      <w:spacing w:before="60" w:after="60" w:line="0" w:lineRule="atLeast"/>
      <w:ind w:firstLine="0"/>
    </w:pPr>
    <w:rPr>
      <w:rFonts w:eastAsiaTheme="minorHAnsi" w:cstheme="minorBidi"/>
      <w:spacing w:val="-3"/>
      <w:sz w:val="10"/>
      <w:szCs w:val="10"/>
      <w:lang w:eastAsia="en-US"/>
    </w:rPr>
  </w:style>
  <w:style w:type="character" w:customStyle="1" w:styleId="1559">
    <w:name w:val="Основной текст (50) Exact1"/>
    <w:basedOn w:val="1557"/>
    <w:uiPriority w:val="0"/>
    <w:rPr>
      <w:rFonts w:ascii="Times New Roman" w:hAnsi="Times New Roman"/>
      <w:color w:val="000000"/>
      <w:spacing w:val="-3"/>
      <w:w w:val="100"/>
      <w:position w:val="0"/>
      <w:sz w:val="10"/>
      <w:szCs w:val="10"/>
      <w:shd w:val="clear" w:color="auto" w:fill="FFFFFF"/>
      <w:lang w:val="ru-RU"/>
    </w:rPr>
  </w:style>
  <w:style w:type="character" w:customStyle="1" w:styleId="1560">
    <w:name w:val="Основной текст + Arial;4 pt;Полужирный;Интервал 0 pt"/>
    <w:basedOn w:val="208"/>
    <w:uiPriority w:val="0"/>
    <w:rPr>
      <w:rFonts w:ascii="Arial" w:hAnsi="Arial" w:eastAsia="Arial" w:cs="Arial"/>
      <w:b/>
      <w:bCs/>
      <w:color w:val="000000"/>
      <w:spacing w:val="-2"/>
      <w:w w:val="100"/>
      <w:position w:val="0"/>
      <w:sz w:val="8"/>
      <w:szCs w:val="8"/>
      <w:u w:val="none"/>
      <w:shd w:val="clear" w:color="auto" w:fill="FFFFFF"/>
      <w:lang w:val="ru-RU"/>
    </w:rPr>
  </w:style>
  <w:style w:type="character" w:customStyle="1" w:styleId="1561">
    <w:name w:val="Основной текст + Bookman Old Style;17;5 pt;Интервал 0 pt"/>
    <w:basedOn w:val="208"/>
    <w:uiPriority w:val="0"/>
    <w:rPr>
      <w:rFonts w:ascii="Bookman Old Style" w:hAnsi="Bookman Old Style" w:eastAsia="Bookman Old Style" w:cs="Bookman Old Style"/>
      <w:color w:val="000000"/>
      <w:spacing w:val="0"/>
      <w:w w:val="100"/>
      <w:position w:val="0"/>
      <w:sz w:val="35"/>
      <w:szCs w:val="35"/>
      <w:u w:val="none"/>
      <w:shd w:val="clear" w:color="auto" w:fill="FFFFFF"/>
    </w:rPr>
  </w:style>
  <w:style w:type="character" w:customStyle="1" w:styleId="1562">
    <w:name w:val="Основной текст + Arial;4 pt;Полужирный;Интервал 0 pt3"/>
    <w:basedOn w:val="208"/>
    <w:uiPriority w:val="0"/>
    <w:rPr>
      <w:rFonts w:ascii="Arial" w:hAnsi="Arial" w:eastAsia="Arial" w:cs="Arial"/>
      <w:b/>
      <w:bCs/>
      <w:color w:val="000000"/>
      <w:spacing w:val="-2"/>
      <w:w w:val="100"/>
      <w:position w:val="0"/>
      <w:sz w:val="8"/>
      <w:szCs w:val="8"/>
      <w:u w:val="none"/>
      <w:shd w:val="clear" w:color="auto" w:fill="FFFFFF"/>
      <w:lang w:val="ru-RU"/>
    </w:rPr>
  </w:style>
  <w:style w:type="character" w:customStyle="1" w:styleId="1563">
    <w:name w:val="Основной текст + Arial;4 pt;Полужирный;Интервал 0 pt2"/>
    <w:basedOn w:val="208"/>
    <w:uiPriority w:val="0"/>
    <w:rPr>
      <w:rFonts w:ascii="Arial" w:hAnsi="Arial" w:eastAsia="Arial" w:cs="Arial"/>
      <w:b/>
      <w:bCs/>
      <w:color w:val="000000"/>
      <w:spacing w:val="-2"/>
      <w:w w:val="100"/>
      <w:position w:val="0"/>
      <w:sz w:val="8"/>
      <w:szCs w:val="8"/>
      <w:u w:val="none"/>
      <w:shd w:val="clear" w:color="auto" w:fill="FFFFFF"/>
    </w:rPr>
  </w:style>
  <w:style w:type="character" w:customStyle="1" w:styleId="1564">
    <w:name w:val="Основной текст + 10;5 pt;Курсив;Интервал 0 pt"/>
    <w:basedOn w:val="208"/>
    <w:uiPriority w:val="0"/>
    <w:rPr>
      <w:rFonts w:ascii="Times New Roman" w:hAnsi="Times New Roman" w:eastAsia="Times New Roman" w:cs="Times New Roman"/>
      <w:i/>
      <w:iCs/>
      <w:color w:val="000000"/>
      <w:spacing w:val="0"/>
      <w:w w:val="100"/>
      <w:position w:val="0"/>
      <w:sz w:val="21"/>
      <w:szCs w:val="21"/>
      <w:u w:val="none"/>
      <w:shd w:val="clear" w:color="auto" w:fill="FFFFFF"/>
    </w:rPr>
  </w:style>
  <w:style w:type="character" w:customStyle="1" w:styleId="1565">
    <w:name w:val="Основной текст + Arial;4 pt;Полужирный;Интервал 0 pt1"/>
    <w:basedOn w:val="208"/>
    <w:uiPriority w:val="0"/>
    <w:rPr>
      <w:rFonts w:ascii="Arial" w:hAnsi="Arial" w:eastAsia="Arial" w:cs="Arial"/>
      <w:b/>
      <w:bCs/>
      <w:color w:val="000000"/>
      <w:spacing w:val="-2"/>
      <w:w w:val="100"/>
      <w:position w:val="0"/>
      <w:sz w:val="8"/>
      <w:szCs w:val="8"/>
      <w:u w:val="none"/>
      <w:shd w:val="clear" w:color="auto" w:fill="FFFFFF"/>
      <w:lang w:val="ru-RU"/>
    </w:rPr>
  </w:style>
  <w:style w:type="character" w:customStyle="1" w:styleId="1566">
    <w:name w:val="Основной текст + 10;5 pt;Курсив;Интервал 0 pt1"/>
    <w:basedOn w:val="208"/>
    <w:uiPriority w:val="0"/>
    <w:rPr>
      <w:rFonts w:ascii="Times New Roman" w:hAnsi="Times New Roman" w:eastAsia="Times New Roman" w:cs="Times New Roman"/>
      <w:i/>
      <w:iCs/>
      <w:color w:val="000000"/>
      <w:spacing w:val="0"/>
      <w:w w:val="100"/>
      <w:position w:val="0"/>
      <w:sz w:val="21"/>
      <w:szCs w:val="21"/>
      <w:u w:val="none"/>
      <w:shd w:val="clear" w:color="auto" w:fill="FFFFFF"/>
    </w:rPr>
  </w:style>
  <w:style w:type="character" w:customStyle="1" w:styleId="1567">
    <w:name w:val="Основной текст + Candara;4;5 pt;Полужирный"/>
    <w:basedOn w:val="208"/>
    <w:uiPriority w:val="0"/>
    <w:rPr>
      <w:rFonts w:ascii="Candara" w:hAnsi="Candara" w:eastAsia="Candara" w:cs="Candara"/>
      <w:b/>
      <w:bCs/>
      <w:color w:val="000000"/>
      <w:spacing w:val="2"/>
      <w:w w:val="100"/>
      <w:position w:val="0"/>
      <w:sz w:val="9"/>
      <w:szCs w:val="9"/>
      <w:u w:val="none"/>
      <w:shd w:val="clear" w:color="auto" w:fill="FFFFFF"/>
      <w:lang w:val="ru-RU"/>
    </w:rPr>
  </w:style>
  <w:style w:type="character" w:customStyle="1" w:styleId="1568">
    <w:name w:val="Основной текст + Book Antiqua;4 pt;Интервал 0 pt"/>
    <w:basedOn w:val="208"/>
    <w:uiPriority w:val="0"/>
    <w:rPr>
      <w:rFonts w:ascii="Book Antiqua" w:hAnsi="Book Antiqua" w:eastAsia="Book Antiqua" w:cs="Book Antiqua"/>
      <w:color w:val="000000"/>
      <w:spacing w:val="-4"/>
      <w:w w:val="100"/>
      <w:position w:val="0"/>
      <w:sz w:val="8"/>
      <w:szCs w:val="8"/>
      <w:u w:val="none"/>
      <w:shd w:val="clear" w:color="auto" w:fill="FFFFFF"/>
      <w:lang w:val="ru-RU"/>
    </w:rPr>
  </w:style>
  <w:style w:type="character" w:customStyle="1" w:styleId="1569">
    <w:name w:val="Основной текст + 10;5 pt;Интервал 0 pt"/>
    <w:basedOn w:val="208"/>
    <w:uiPriority w:val="0"/>
    <w:rPr>
      <w:rFonts w:ascii="Times New Roman" w:hAnsi="Times New Roman" w:eastAsia="Times New Roman" w:cs="Times New Roman"/>
      <w:color w:val="000000"/>
      <w:spacing w:val="3"/>
      <w:w w:val="100"/>
      <w:position w:val="0"/>
      <w:sz w:val="21"/>
      <w:szCs w:val="21"/>
      <w:u w:val="none"/>
      <w:shd w:val="clear" w:color="auto" w:fill="FFFFFF"/>
      <w:lang w:val="ru-RU"/>
    </w:rPr>
  </w:style>
  <w:style w:type="character" w:customStyle="1" w:styleId="1570">
    <w:name w:val="Основной текст (51) Exact"/>
    <w:basedOn w:val="11"/>
    <w:link w:val="1571"/>
    <w:uiPriority w:val="0"/>
    <w:rPr>
      <w:rFonts w:ascii="Arial" w:hAnsi="Arial" w:eastAsia="Arial" w:cs="Arial"/>
      <w:spacing w:val="-4"/>
      <w:sz w:val="9"/>
      <w:szCs w:val="9"/>
      <w:shd w:val="clear" w:color="auto" w:fill="FFFFFF"/>
    </w:rPr>
  </w:style>
  <w:style w:type="paragraph" w:customStyle="1" w:styleId="1571">
    <w:name w:val="Основной текст (51)"/>
    <w:basedOn w:val="1"/>
    <w:link w:val="1570"/>
    <w:qFormat/>
    <w:uiPriority w:val="0"/>
    <w:pPr>
      <w:widowControl w:val="0"/>
      <w:shd w:val="clear" w:color="auto" w:fill="FFFFFF"/>
      <w:spacing w:after="0" w:line="0" w:lineRule="atLeast"/>
      <w:ind w:firstLine="0"/>
    </w:pPr>
    <w:rPr>
      <w:rFonts w:ascii="Arial" w:hAnsi="Arial" w:eastAsia="Arial" w:cs="Arial"/>
      <w:spacing w:val="-4"/>
      <w:sz w:val="9"/>
      <w:szCs w:val="9"/>
      <w:lang w:eastAsia="en-US"/>
    </w:rPr>
  </w:style>
  <w:style w:type="character" w:customStyle="1" w:styleId="1572">
    <w:name w:val="Основной текст (51) Exact1"/>
    <w:basedOn w:val="1570"/>
    <w:uiPriority w:val="0"/>
    <w:rPr>
      <w:rFonts w:ascii="Arial" w:hAnsi="Arial" w:eastAsia="Arial" w:cs="Arial"/>
      <w:color w:val="000000"/>
      <w:spacing w:val="-4"/>
      <w:w w:val="100"/>
      <w:position w:val="0"/>
      <w:sz w:val="9"/>
      <w:szCs w:val="9"/>
      <w:shd w:val="clear" w:color="auto" w:fill="FFFFFF"/>
      <w:lang w:val="ru-RU"/>
    </w:rPr>
  </w:style>
  <w:style w:type="character" w:customStyle="1" w:styleId="1573">
    <w:name w:val="Основной текст (52) Exact"/>
    <w:basedOn w:val="11"/>
    <w:link w:val="1574"/>
    <w:uiPriority w:val="0"/>
    <w:rPr>
      <w:rFonts w:ascii="Arial" w:hAnsi="Arial" w:eastAsia="Arial" w:cs="Arial"/>
      <w:spacing w:val="19"/>
      <w:sz w:val="9"/>
      <w:szCs w:val="9"/>
      <w:shd w:val="clear" w:color="auto" w:fill="FFFFFF"/>
    </w:rPr>
  </w:style>
  <w:style w:type="paragraph" w:customStyle="1" w:styleId="1574">
    <w:name w:val="Основной текст (52)"/>
    <w:basedOn w:val="1"/>
    <w:link w:val="1573"/>
    <w:qFormat/>
    <w:uiPriority w:val="0"/>
    <w:pPr>
      <w:widowControl w:val="0"/>
      <w:shd w:val="clear" w:color="auto" w:fill="FFFFFF"/>
      <w:spacing w:before="60" w:after="0" w:line="245" w:lineRule="exact"/>
      <w:ind w:firstLine="0"/>
      <w:jc w:val="both"/>
    </w:pPr>
    <w:rPr>
      <w:rFonts w:ascii="Arial" w:hAnsi="Arial" w:eastAsia="Arial" w:cs="Arial"/>
      <w:spacing w:val="19"/>
      <w:sz w:val="9"/>
      <w:szCs w:val="9"/>
      <w:lang w:eastAsia="en-US"/>
    </w:rPr>
  </w:style>
  <w:style w:type="character" w:customStyle="1" w:styleId="1575">
    <w:name w:val="Основной текст (52) Exact1"/>
    <w:basedOn w:val="1573"/>
    <w:uiPriority w:val="0"/>
    <w:rPr>
      <w:rFonts w:ascii="Arial" w:hAnsi="Arial" w:eastAsia="Arial" w:cs="Arial"/>
      <w:color w:val="000000"/>
      <w:spacing w:val="19"/>
      <w:w w:val="100"/>
      <w:position w:val="0"/>
      <w:sz w:val="9"/>
      <w:szCs w:val="9"/>
      <w:shd w:val="clear" w:color="auto" w:fill="FFFFFF"/>
      <w:lang w:val="ru-RU"/>
    </w:rPr>
  </w:style>
  <w:style w:type="character" w:customStyle="1" w:styleId="1576">
    <w:name w:val="Подпись к таблице (4)_"/>
    <w:basedOn w:val="11"/>
    <w:link w:val="1577"/>
    <w:uiPriority w:val="99"/>
    <w:rPr>
      <w:rFonts w:ascii="Arial" w:hAnsi="Arial" w:eastAsia="Arial" w:cs="Arial"/>
      <w:sz w:val="9"/>
      <w:szCs w:val="9"/>
      <w:shd w:val="clear" w:color="auto" w:fill="FFFFFF"/>
    </w:rPr>
  </w:style>
  <w:style w:type="paragraph" w:customStyle="1" w:styleId="1577">
    <w:name w:val="Подпись к таблице (4)1"/>
    <w:basedOn w:val="1"/>
    <w:link w:val="1576"/>
    <w:qFormat/>
    <w:uiPriority w:val="99"/>
    <w:pPr>
      <w:widowControl w:val="0"/>
      <w:shd w:val="clear" w:color="auto" w:fill="FFFFFF"/>
      <w:spacing w:after="0" w:line="206" w:lineRule="exact"/>
      <w:ind w:firstLine="0"/>
      <w:jc w:val="both"/>
    </w:pPr>
    <w:rPr>
      <w:rFonts w:ascii="Arial" w:hAnsi="Arial" w:eastAsia="Arial" w:cs="Arial"/>
      <w:sz w:val="9"/>
      <w:szCs w:val="9"/>
      <w:lang w:eastAsia="en-US"/>
    </w:rPr>
  </w:style>
  <w:style w:type="character" w:customStyle="1" w:styleId="1578">
    <w:name w:val="Подпись к таблице (4)"/>
    <w:basedOn w:val="1576"/>
    <w:uiPriority w:val="99"/>
    <w:rPr>
      <w:rFonts w:ascii="Arial" w:hAnsi="Arial" w:eastAsia="Arial" w:cs="Arial"/>
      <w:color w:val="000000"/>
      <w:spacing w:val="0"/>
      <w:w w:val="100"/>
      <w:position w:val="0"/>
      <w:sz w:val="9"/>
      <w:szCs w:val="9"/>
      <w:shd w:val="clear" w:color="auto" w:fill="FFFFFF"/>
      <w:lang w:val="ru-RU"/>
    </w:rPr>
  </w:style>
  <w:style w:type="character" w:customStyle="1" w:styleId="1579">
    <w:name w:val="Основной текст (14) Exact"/>
    <w:basedOn w:val="11"/>
    <w:link w:val="1580"/>
    <w:uiPriority w:val="0"/>
    <w:rPr>
      <w:rFonts w:ascii="Arial" w:hAnsi="Arial" w:eastAsia="Arial" w:cs="Arial"/>
      <w:spacing w:val="-4"/>
      <w:sz w:val="8"/>
      <w:szCs w:val="8"/>
      <w:shd w:val="clear" w:color="auto" w:fill="FFFFFF"/>
    </w:rPr>
  </w:style>
  <w:style w:type="paragraph" w:customStyle="1" w:styleId="1580">
    <w:name w:val="Основной текст (14)"/>
    <w:basedOn w:val="1"/>
    <w:link w:val="1579"/>
    <w:qFormat/>
    <w:uiPriority w:val="99"/>
    <w:pPr>
      <w:widowControl w:val="0"/>
      <w:shd w:val="clear" w:color="auto" w:fill="FFFFFF"/>
      <w:spacing w:after="0" w:line="0" w:lineRule="atLeast"/>
      <w:ind w:firstLine="0"/>
    </w:pPr>
    <w:rPr>
      <w:rFonts w:ascii="Arial" w:hAnsi="Arial" w:eastAsia="Arial" w:cs="Arial"/>
      <w:spacing w:val="-4"/>
      <w:sz w:val="8"/>
      <w:szCs w:val="8"/>
      <w:lang w:eastAsia="en-US"/>
    </w:rPr>
  </w:style>
  <w:style w:type="character" w:customStyle="1" w:styleId="1581">
    <w:name w:val="Основной текст (14) + Интервал 0 pt Exact"/>
    <w:basedOn w:val="1579"/>
    <w:uiPriority w:val="0"/>
    <w:rPr>
      <w:rFonts w:ascii="Arial" w:hAnsi="Arial" w:eastAsia="Arial" w:cs="Arial"/>
      <w:color w:val="000000"/>
      <w:spacing w:val="-7"/>
      <w:w w:val="100"/>
      <w:position w:val="0"/>
      <w:sz w:val="8"/>
      <w:szCs w:val="8"/>
      <w:shd w:val="clear" w:color="auto" w:fill="FFFFFF"/>
      <w:lang w:val="ru-RU"/>
    </w:rPr>
  </w:style>
  <w:style w:type="character" w:customStyle="1" w:styleId="1582">
    <w:name w:val="Основной текст + Arial;4 pt;Полужирный;Малые прописные"/>
    <w:basedOn w:val="208"/>
    <w:uiPriority w:val="0"/>
    <w:rPr>
      <w:rFonts w:ascii="Arial" w:hAnsi="Arial" w:eastAsia="Arial" w:cs="Arial"/>
      <w:b/>
      <w:bCs/>
      <w:smallCaps/>
      <w:color w:val="000000"/>
      <w:spacing w:val="0"/>
      <w:w w:val="100"/>
      <w:position w:val="0"/>
      <w:sz w:val="8"/>
      <w:szCs w:val="8"/>
      <w:u w:val="none"/>
      <w:shd w:val="clear" w:color="auto" w:fill="FFFFFF"/>
      <w:lang w:val="en-US"/>
    </w:rPr>
  </w:style>
  <w:style w:type="character" w:customStyle="1" w:styleId="1583">
    <w:name w:val="Подпись к таблице (5)_"/>
    <w:basedOn w:val="11"/>
    <w:link w:val="1584"/>
    <w:uiPriority w:val="99"/>
    <w:rPr>
      <w:rFonts w:ascii="Times New Roman" w:hAnsi="Times New Roman"/>
      <w:b/>
      <w:bCs/>
      <w:sz w:val="15"/>
      <w:szCs w:val="15"/>
      <w:shd w:val="clear" w:color="auto" w:fill="FFFFFF"/>
    </w:rPr>
  </w:style>
  <w:style w:type="paragraph" w:customStyle="1" w:styleId="1584">
    <w:name w:val="Подпись к таблице (5)"/>
    <w:basedOn w:val="1"/>
    <w:link w:val="1583"/>
    <w:qFormat/>
    <w:uiPriority w:val="0"/>
    <w:pPr>
      <w:widowControl w:val="0"/>
      <w:shd w:val="clear" w:color="auto" w:fill="FFFFFF"/>
      <w:spacing w:after="0" w:line="0" w:lineRule="atLeast"/>
      <w:ind w:firstLine="0"/>
    </w:pPr>
    <w:rPr>
      <w:rFonts w:eastAsiaTheme="minorHAnsi" w:cstheme="minorBidi"/>
      <w:b/>
      <w:bCs/>
      <w:sz w:val="15"/>
      <w:szCs w:val="15"/>
      <w:lang w:eastAsia="en-US"/>
    </w:rPr>
  </w:style>
  <w:style w:type="character" w:customStyle="1" w:styleId="1585">
    <w:name w:val="Колонтитул + Times New Roman;7;5 pt"/>
    <w:basedOn w:val="413"/>
    <w:uiPriority w:val="0"/>
    <w:rPr>
      <w:rFonts w:ascii="Times New Roman" w:hAnsi="Times New Roman" w:eastAsia="Times New Roman" w:cs="Times New Roman"/>
      <w:color w:val="000000"/>
      <w:spacing w:val="0"/>
      <w:w w:val="100"/>
      <w:position w:val="0"/>
      <w:sz w:val="15"/>
      <w:szCs w:val="15"/>
      <w:u w:val="none"/>
      <w:shd w:val="clear" w:color="auto" w:fill="FFFFFF"/>
      <w:lang w:val="ru-RU"/>
    </w:rPr>
  </w:style>
  <w:style w:type="character" w:customStyle="1" w:styleId="1586">
    <w:name w:val="Колонтитул + Times New Roman;7;5 pt1"/>
    <w:basedOn w:val="413"/>
    <w:uiPriority w:val="0"/>
    <w:rPr>
      <w:rFonts w:ascii="Times New Roman" w:hAnsi="Times New Roman" w:eastAsia="Times New Roman" w:cs="Times New Roman"/>
      <w:color w:val="000000"/>
      <w:spacing w:val="0"/>
      <w:w w:val="100"/>
      <w:position w:val="0"/>
      <w:sz w:val="15"/>
      <w:szCs w:val="15"/>
      <w:u w:val="single"/>
      <w:shd w:val="clear" w:color="auto" w:fill="FFFFFF"/>
      <w:lang w:val="ru-RU"/>
    </w:rPr>
  </w:style>
  <w:style w:type="character" w:customStyle="1" w:styleId="1587">
    <w:name w:val="Основной текст (7) + Интервал 0 pt Exact2"/>
    <w:basedOn w:val="1251"/>
    <w:uiPriority w:val="0"/>
    <w:rPr>
      <w:rFonts w:ascii="Times New Roman" w:hAnsi="Times New Roman"/>
      <w:color w:val="000000"/>
      <w:spacing w:val="1"/>
      <w:w w:val="100"/>
      <w:position w:val="0"/>
      <w:sz w:val="14"/>
      <w:szCs w:val="14"/>
      <w:shd w:val="clear" w:color="auto" w:fill="FFFFFF"/>
      <w:lang w:val="ru-RU"/>
    </w:rPr>
  </w:style>
  <w:style w:type="character" w:customStyle="1" w:styleId="1588">
    <w:name w:val="Основной текст (7) + Интервал 0 pt Exact1"/>
    <w:basedOn w:val="1251"/>
    <w:uiPriority w:val="0"/>
    <w:rPr>
      <w:rFonts w:ascii="Times New Roman" w:hAnsi="Times New Roman"/>
      <w:color w:val="000000"/>
      <w:spacing w:val="1"/>
      <w:w w:val="100"/>
      <w:position w:val="0"/>
      <w:sz w:val="14"/>
      <w:szCs w:val="14"/>
      <w:u w:val="single"/>
      <w:shd w:val="clear" w:color="auto" w:fill="FFFFFF"/>
      <w:lang w:val="ru-RU"/>
    </w:rPr>
  </w:style>
  <w:style w:type="character" w:customStyle="1" w:styleId="1589">
    <w:name w:val="Основной текст (7)3"/>
    <w:basedOn w:val="1251"/>
    <w:uiPriority w:val="0"/>
    <w:rPr>
      <w:rFonts w:ascii="Times New Roman" w:hAnsi="Times New Roman"/>
      <w:color w:val="000000"/>
      <w:spacing w:val="0"/>
      <w:w w:val="100"/>
      <w:position w:val="0"/>
      <w:sz w:val="15"/>
      <w:szCs w:val="15"/>
      <w:shd w:val="clear" w:color="auto" w:fill="FFFFFF"/>
      <w:lang w:val="ru-RU"/>
    </w:rPr>
  </w:style>
  <w:style w:type="character" w:customStyle="1" w:styleId="1590">
    <w:name w:val="Основной текст (7)2"/>
    <w:basedOn w:val="1251"/>
    <w:uiPriority w:val="0"/>
    <w:rPr>
      <w:rFonts w:ascii="Times New Roman" w:hAnsi="Times New Roman"/>
      <w:color w:val="000000"/>
      <w:spacing w:val="0"/>
      <w:w w:val="100"/>
      <w:position w:val="0"/>
      <w:sz w:val="15"/>
      <w:szCs w:val="15"/>
      <w:u w:val="single"/>
      <w:shd w:val="clear" w:color="auto" w:fill="FFFFFF"/>
      <w:lang w:val="ru-RU"/>
    </w:rPr>
  </w:style>
  <w:style w:type="character" w:customStyle="1" w:styleId="1591">
    <w:name w:val="Подпись к таблице (6)_"/>
    <w:basedOn w:val="11"/>
    <w:link w:val="1592"/>
    <w:uiPriority w:val="99"/>
    <w:rPr>
      <w:rFonts w:ascii="Times New Roman" w:hAnsi="Times New Roman"/>
      <w:sz w:val="15"/>
      <w:szCs w:val="15"/>
      <w:shd w:val="clear" w:color="auto" w:fill="FFFFFF"/>
    </w:rPr>
  </w:style>
  <w:style w:type="paragraph" w:customStyle="1" w:styleId="1592">
    <w:name w:val="Подпись к таблице (6)"/>
    <w:basedOn w:val="1"/>
    <w:link w:val="1591"/>
    <w:qFormat/>
    <w:uiPriority w:val="99"/>
    <w:pPr>
      <w:widowControl w:val="0"/>
      <w:shd w:val="clear" w:color="auto" w:fill="FFFFFF"/>
      <w:spacing w:after="0" w:line="0" w:lineRule="atLeast"/>
      <w:ind w:firstLine="0"/>
    </w:pPr>
    <w:rPr>
      <w:rFonts w:eastAsiaTheme="minorHAnsi" w:cstheme="minorBidi"/>
      <w:sz w:val="15"/>
      <w:szCs w:val="15"/>
      <w:lang w:eastAsia="en-US"/>
    </w:rPr>
  </w:style>
  <w:style w:type="character" w:customStyle="1" w:styleId="1593">
    <w:name w:val="Основной текст (30)_"/>
    <w:basedOn w:val="11"/>
    <w:link w:val="1594"/>
    <w:uiPriority w:val="99"/>
    <w:rPr>
      <w:rFonts w:ascii="Times New Roman" w:hAnsi="Times New Roman"/>
      <w:sz w:val="19"/>
      <w:szCs w:val="19"/>
      <w:shd w:val="clear" w:color="auto" w:fill="FFFFFF"/>
    </w:rPr>
  </w:style>
  <w:style w:type="paragraph" w:customStyle="1" w:styleId="1594">
    <w:name w:val="Основной текст (30)"/>
    <w:basedOn w:val="1"/>
    <w:link w:val="1593"/>
    <w:qFormat/>
    <w:uiPriority w:val="0"/>
    <w:pPr>
      <w:widowControl w:val="0"/>
      <w:shd w:val="clear" w:color="auto" w:fill="FFFFFF"/>
      <w:spacing w:after="0" w:line="230" w:lineRule="exact"/>
      <w:ind w:firstLine="0"/>
      <w:jc w:val="both"/>
    </w:pPr>
    <w:rPr>
      <w:rFonts w:eastAsiaTheme="minorHAnsi" w:cstheme="minorBidi"/>
      <w:sz w:val="19"/>
      <w:szCs w:val="19"/>
      <w:lang w:eastAsia="en-US"/>
    </w:rPr>
  </w:style>
  <w:style w:type="character" w:customStyle="1" w:styleId="1595">
    <w:name w:val="Основной текст + 9;5 pt;Полужирный1"/>
    <w:basedOn w:val="208"/>
    <w:uiPriority w:val="0"/>
    <w:rPr>
      <w:rFonts w:ascii="Times New Roman" w:hAnsi="Times New Roman" w:eastAsia="Times New Roman" w:cs="Times New Roman"/>
      <w:b/>
      <w:bCs/>
      <w:color w:val="000000"/>
      <w:spacing w:val="0"/>
      <w:w w:val="100"/>
      <w:position w:val="0"/>
      <w:sz w:val="19"/>
      <w:szCs w:val="19"/>
      <w:u w:val="none"/>
      <w:shd w:val="clear" w:color="auto" w:fill="FFFFFF"/>
      <w:lang w:val="ru-RU"/>
    </w:rPr>
  </w:style>
  <w:style w:type="paragraph" w:customStyle="1" w:styleId="1596">
    <w:name w:val="Колонтитул1"/>
    <w:basedOn w:val="1"/>
    <w:qFormat/>
    <w:uiPriority w:val="0"/>
    <w:pPr>
      <w:widowControl w:val="0"/>
      <w:shd w:val="clear" w:color="auto" w:fill="FFFFFF"/>
      <w:spacing w:after="0" w:line="0" w:lineRule="atLeast"/>
      <w:ind w:firstLine="0"/>
    </w:pPr>
    <w:rPr>
      <w:rFonts w:ascii="Franklin Gothic Heavy" w:hAnsi="Franklin Gothic Heavy" w:eastAsia="Franklin Gothic Heavy" w:cs="Franklin Gothic Heavy"/>
      <w:color w:val="000000"/>
      <w:sz w:val="12"/>
      <w:szCs w:val="12"/>
    </w:rPr>
  </w:style>
  <w:style w:type="table" w:customStyle="1" w:styleId="1597">
    <w:name w:val="Сетка таблицы светлая7"/>
    <w:basedOn w:val="12"/>
    <w:uiPriority w:val="40"/>
    <w:pPr>
      <w:widowControl w:val="0"/>
      <w:spacing w:after="0" w:line="240" w:lineRule="auto"/>
    </w:pPr>
    <w:rPr>
      <w:rFonts w:ascii="Courier New" w:hAnsi="Courier New" w:eastAsia="Courier New" w:cs="Courier New"/>
      <w:sz w:val="24"/>
      <w:szCs w:val="24"/>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character" w:customStyle="1" w:styleId="1598">
    <w:name w:val="Основной текст + Times New Roman;Не полужирный"/>
    <w:basedOn w:val="208"/>
    <w:uiPriority w:val="0"/>
    <w:rPr>
      <w:rFonts w:ascii="Times New Roman" w:hAnsi="Times New Roman" w:eastAsia="Times New Roman" w:cs="Times New Roman"/>
      <w:b/>
      <w:bCs/>
      <w:color w:val="000000"/>
      <w:spacing w:val="0"/>
      <w:w w:val="100"/>
      <w:position w:val="0"/>
      <w:sz w:val="21"/>
      <w:szCs w:val="21"/>
      <w:u w:val="none"/>
      <w:shd w:val="clear" w:color="auto" w:fill="FFFFFF"/>
      <w:lang w:val="ru-RU"/>
    </w:rPr>
  </w:style>
  <w:style w:type="table" w:customStyle="1" w:styleId="1599">
    <w:name w:val="Grid Table 1 Light"/>
    <w:basedOn w:val="12"/>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600">
    <w:name w:val="Сетка таблицы48"/>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1">
    <w:name w:val="Таблица-сетка 1 светлая3"/>
    <w:basedOn w:val="12"/>
    <w:uiPriority w:val="46"/>
    <w:pPr>
      <w:spacing w:after="0" w:line="240" w:lineRule="auto"/>
    </w:pPr>
    <w:rPr>
      <w:rFonts w:ascii="Calibri" w:hAnsi="Calibri" w:eastAsia="Times New Roman" w:cs="Times New Roman"/>
      <w:sz w:val="20"/>
      <w:szCs w:val="20"/>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602">
    <w:name w:val="Сетка таблицы светлая8"/>
    <w:basedOn w:val="12"/>
    <w:uiPriority w:val="40"/>
    <w:pPr>
      <w:widowControl w:val="0"/>
      <w:spacing w:after="0" w:line="240" w:lineRule="auto"/>
    </w:pPr>
    <w:rPr>
      <w:rFonts w:ascii="Courier New" w:hAnsi="Courier New" w:eastAsia="Courier New" w:cs="Courier New"/>
      <w:sz w:val="24"/>
      <w:szCs w:val="24"/>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603">
    <w:name w:val="Сетка таблицы49"/>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4">
    <w:name w:val="Таблица-сетка 1 светлая4"/>
    <w:basedOn w:val="12"/>
    <w:uiPriority w:val="46"/>
    <w:pPr>
      <w:spacing w:after="0" w:line="240" w:lineRule="auto"/>
    </w:pPr>
    <w:rPr>
      <w:rFonts w:ascii="Calibri" w:hAnsi="Calibri" w:eastAsia="Times New Roman" w:cs="Times New Roman"/>
      <w:sz w:val="20"/>
      <w:szCs w:val="20"/>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605">
    <w:name w:val="Сетка таблицы светлая9"/>
    <w:basedOn w:val="12"/>
    <w:uiPriority w:val="40"/>
    <w:pPr>
      <w:widowControl w:val="0"/>
      <w:spacing w:after="0" w:line="240" w:lineRule="auto"/>
    </w:pPr>
    <w:rPr>
      <w:rFonts w:ascii="Courier New" w:hAnsi="Courier New" w:eastAsia="Courier New" w:cs="Courier New"/>
      <w:sz w:val="24"/>
      <w:szCs w:val="24"/>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character" w:customStyle="1" w:styleId="1606">
    <w:name w:val="Body text (2)_"/>
    <w:basedOn w:val="11"/>
    <w:link w:val="1607"/>
    <w:uiPriority w:val="0"/>
    <w:rPr>
      <w:rFonts w:ascii="Times New Roman" w:hAnsi="Times New Roman" w:eastAsia="Times New Roman" w:cs="Times New Roman"/>
      <w:shd w:val="clear" w:color="auto" w:fill="FFFFFF"/>
    </w:rPr>
  </w:style>
  <w:style w:type="paragraph" w:customStyle="1" w:styleId="1607">
    <w:name w:val="Body text (2)"/>
    <w:basedOn w:val="1"/>
    <w:link w:val="1606"/>
    <w:qFormat/>
    <w:uiPriority w:val="0"/>
    <w:pPr>
      <w:widowControl w:val="0"/>
      <w:shd w:val="clear" w:color="auto" w:fill="FFFFFF"/>
      <w:spacing w:before="720" w:after="480" w:line="414" w:lineRule="exact"/>
      <w:ind w:firstLine="0"/>
      <w:jc w:val="both"/>
    </w:pPr>
    <w:rPr>
      <w:sz w:val="22"/>
      <w:lang w:eastAsia="en-US"/>
    </w:rPr>
  </w:style>
  <w:style w:type="character" w:customStyle="1" w:styleId="1608">
    <w:name w:val="Body text (2) + 9.5 pt"/>
    <w:basedOn w:val="1606"/>
    <w:uiPriority w:val="0"/>
    <w:rPr>
      <w:rFonts w:ascii="Times New Roman" w:hAnsi="Times New Roman" w:eastAsia="Times New Roman" w:cs="Times New Roman"/>
      <w:color w:val="000000"/>
      <w:spacing w:val="0"/>
      <w:w w:val="100"/>
      <w:position w:val="0"/>
      <w:sz w:val="19"/>
      <w:szCs w:val="19"/>
      <w:shd w:val="clear" w:color="auto" w:fill="FFFFFF"/>
      <w:lang w:val="ru-RU" w:eastAsia="ru-RU" w:bidi="ru-RU"/>
    </w:rPr>
  </w:style>
  <w:style w:type="character" w:customStyle="1" w:styleId="1609">
    <w:name w:val="Body text (2) + 7 pt"/>
    <w:basedOn w:val="1606"/>
    <w:uiPriority w:val="0"/>
    <w:rPr>
      <w:rFonts w:ascii="Times New Roman" w:hAnsi="Times New Roman" w:eastAsia="Times New Roman" w:cs="Times New Roman"/>
      <w:color w:val="000000"/>
      <w:spacing w:val="0"/>
      <w:w w:val="100"/>
      <w:position w:val="0"/>
      <w:sz w:val="14"/>
      <w:szCs w:val="14"/>
      <w:shd w:val="clear" w:color="auto" w:fill="FFFFFF"/>
      <w:lang w:val="ru-RU" w:eastAsia="ru-RU" w:bidi="ru-RU"/>
    </w:rPr>
  </w:style>
  <w:style w:type="table" w:customStyle="1" w:styleId="1610">
    <w:name w:val="Сетка таблицы30"/>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1">
    <w:name w:val="Table Normal39"/>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612">
    <w:name w:val="Table Normal40"/>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613">
    <w:name w:val="Table Normal47"/>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614">
    <w:name w:val="Table Normal48"/>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615">
    <w:name w:val="Table Normal49"/>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616">
    <w:name w:val="xl21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617">
    <w:name w:val="xl211"/>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618">
    <w:name w:val="xl21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619">
    <w:name w:val="xl2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2"/>
      <w:szCs w:val="12"/>
    </w:rPr>
  </w:style>
  <w:style w:type="paragraph" w:customStyle="1" w:styleId="1620">
    <w:name w:val="xl2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14"/>
      <w:szCs w:val="14"/>
    </w:rPr>
  </w:style>
  <w:style w:type="paragraph" w:customStyle="1" w:styleId="1621">
    <w:name w:val="xl215"/>
    <w:basedOn w:val="1"/>
    <w:qFormat/>
    <w:uiPriority w:val="0"/>
    <w:pPr>
      <w:pBdr>
        <w:top w:val="single" w:color="auto" w:sz="4" w:space="0"/>
        <w:left w:val="single" w:color="auto" w:sz="4" w:space="0"/>
        <w:bottom w:val="single" w:color="auto" w:sz="4" w:space="0"/>
      </w:pBdr>
      <w:spacing w:before="100" w:beforeAutospacing="1" w:after="100" w:afterAutospacing="1" w:line="240" w:lineRule="auto"/>
      <w:ind w:firstLine="0"/>
      <w:jc w:val="center"/>
    </w:pPr>
    <w:rPr>
      <w:sz w:val="14"/>
      <w:szCs w:val="14"/>
    </w:rPr>
  </w:style>
  <w:style w:type="paragraph" w:customStyle="1" w:styleId="1622">
    <w:name w:val="xl216"/>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pPr>
    <w:rPr>
      <w:sz w:val="16"/>
      <w:szCs w:val="16"/>
    </w:rPr>
  </w:style>
  <w:style w:type="paragraph" w:customStyle="1" w:styleId="1623">
    <w:name w:val="xl217"/>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624">
    <w:name w:val="xl218"/>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textAlignment w:val="center"/>
    </w:pPr>
    <w:rPr>
      <w:sz w:val="18"/>
      <w:szCs w:val="18"/>
    </w:rPr>
  </w:style>
  <w:style w:type="paragraph" w:customStyle="1" w:styleId="1625">
    <w:name w:val="xl21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textAlignment w:val="center"/>
    </w:pPr>
    <w:rPr>
      <w:sz w:val="18"/>
      <w:szCs w:val="18"/>
    </w:rPr>
  </w:style>
  <w:style w:type="paragraph" w:customStyle="1" w:styleId="1626">
    <w:name w:val="xl22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 w:val="18"/>
      <w:szCs w:val="18"/>
    </w:rPr>
  </w:style>
  <w:style w:type="paragraph" w:customStyle="1" w:styleId="1627">
    <w:name w:val="xl221"/>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628">
    <w:name w:val="xl222"/>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line="240" w:lineRule="auto"/>
      <w:ind w:firstLine="0"/>
      <w:jc w:val="center"/>
    </w:pPr>
    <w:rPr>
      <w:sz w:val="18"/>
      <w:szCs w:val="18"/>
    </w:rPr>
  </w:style>
  <w:style w:type="paragraph" w:customStyle="1" w:styleId="1629">
    <w:name w:val="xl223"/>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line="240" w:lineRule="auto"/>
      <w:ind w:firstLine="0"/>
      <w:jc w:val="right"/>
    </w:pPr>
    <w:rPr>
      <w:sz w:val="18"/>
      <w:szCs w:val="18"/>
    </w:rPr>
  </w:style>
  <w:style w:type="paragraph" w:customStyle="1" w:styleId="1630">
    <w:name w:val="xl224"/>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631">
    <w:name w:val="xl225"/>
    <w:basedOn w:val="1"/>
    <w:qFormat/>
    <w:uiPriority w:val="0"/>
    <w:pPr>
      <w:pBdr>
        <w:top w:val="single" w:color="auto" w:sz="8" w:space="0"/>
        <w:left w:val="single" w:color="auto" w:sz="4" w:space="0"/>
        <w:bottom w:val="single" w:color="auto" w:sz="8" w:space="0"/>
        <w:right w:val="single" w:color="auto" w:sz="4" w:space="0"/>
      </w:pBdr>
      <w:shd w:val="clear" w:color="000000" w:fill="FFFF00"/>
      <w:spacing w:before="100" w:beforeAutospacing="1" w:after="100" w:afterAutospacing="1" w:line="240" w:lineRule="auto"/>
      <w:ind w:firstLine="0"/>
      <w:jc w:val="right"/>
    </w:pPr>
    <w:rPr>
      <w:b/>
      <w:bCs/>
      <w:sz w:val="18"/>
      <w:szCs w:val="18"/>
    </w:rPr>
  </w:style>
  <w:style w:type="paragraph" w:customStyle="1" w:styleId="1632">
    <w:name w:val="xl226"/>
    <w:basedOn w:val="1"/>
    <w:qFormat/>
    <w:uiPriority w:val="0"/>
    <w:pPr>
      <w:pBdr>
        <w:top w:val="single" w:color="auto" w:sz="8" w:space="0"/>
        <w:left w:val="single" w:color="auto" w:sz="4" w:space="0"/>
        <w:bottom w:val="single" w:color="auto" w:sz="8" w:space="0"/>
        <w:right w:val="single" w:color="auto" w:sz="4" w:space="0"/>
      </w:pBdr>
      <w:shd w:val="clear" w:color="000000" w:fill="FFFF00"/>
      <w:spacing w:before="100" w:beforeAutospacing="1" w:after="100" w:afterAutospacing="1" w:line="240" w:lineRule="auto"/>
      <w:ind w:firstLine="0"/>
    </w:pPr>
    <w:rPr>
      <w:b/>
      <w:bCs/>
      <w:sz w:val="18"/>
      <w:szCs w:val="18"/>
    </w:rPr>
  </w:style>
  <w:style w:type="paragraph" w:customStyle="1" w:styleId="1633">
    <w:name w:val="xl227"/>
    <w:basedOn w:val="1"/>
    <w:qFormat/>
    <w:uiPriority w:val="0"/>
    <w:pPr>
      <w:pBdr>
        <w:top w:val="single" w:color="auto" w:sz="8" w:space="0"/>
        <w:left w:val="single" w:color="auto" w:sz="4" w:space="0"/>
        <w:bottom w:val="single" w:color="auto" w:sz="8" w:space="0"/>
        <w:right w:val="single" w:color="auto" w:sz="8" w:space="0"/>
      </w:pBdr>
      <w:shd w:val="clear" w:color="000000" w:fill="FFFF00"/>
      <w:spacing w:before="100" w:beforeAutospacing="1" w:after="100" w:afterAutospacing="1" w:line="240" w:lineRule="auto"/>
      <w:ind w:firstLine="0"/>
    </w:pPr>
    <w:rPr>
      <w:b/>
      <w:bCs/>
      <w:sz w:val="18"/>
      <w:szCs w:val="18"/>
    </w:rPr>
  </w:style>
  <w:style w:type="paragraph" w:customStyle="1" w:styleId="1634">
    <w:name w:val="xl228"/>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pPr>
    <w:rPr>
      <w:b/>
      <w:bCs/>
      <w:color w:val="FF0000"/>
      <w:sz w:val="16"/>
      <w:szCs w:val="16"/>
    </w:rPr>
  </w:style>
  <w:style w:type="paragraph" w:customStyle="1" w:styleId="1635">
    <w:name w:val="xl22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color w:val="FF0000"/>
      <w:sz w:val="16"/>
      <w:szCs w:val="16"/>
    </w:rPr>
  </w:style>
  <w:style w:type="paragraph" w:customStyle="1" w:styleId="1636">
    <w:name w:val="xl23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637">
    <w:name w:val="xl231"/>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638">
    <w:name w:val="xl23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pPr>
    <w:rPr>
      <w:sz w:val="16"/>
      <w:szCs w:val="16"/>
    </w:rPr>
  </w:style>
  <w:style w:type="paragraph" w:customStyle="1" w:styleId="1639">
    <w:name w:val="xl23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640">
    <w:name w:val="xl23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b/>
      <w:bCs/>
      <w:color w:val="FF0000"/>
      <w:sz w:val="16"/>
      <w:szCs w:val="16"/>
    </w:rPr>
  </w:style>
  <w:style w:type="paragraph" w:customStyle="1" w:styleId="1641">
    <w:name w:val="xl235"/>
    <w:basedOn w:val="1"/>
    <w:qFormat/>
    <w:uiPriority w:val="0"/>
    <w:pPr>
      <w:spacing w:before="100" w:beforeAutospacing="1" w:after="100" w:afterAutospacing="1" w:line="240" w:lineRule="auto"/>
      <w:ind w:firstLine="0"/>
      <w:jc w:val="center"/>
    </w:pPr>
    <w:rPr>
      <w:b/>
      <w:bCs/>
      <w:color w:val="FF0000"/>
      <w:sz w:val="20"/>
      <w:szCs w:val="20"/>
    </w:rPr>
  </w:style>
  <w:style w:type="paragraph" w:customStyle="1" w:styleId="1642">
    <w:name w:val="xl236"/>
    <w:basedOn w:val="1"/>
    <w:qFormat/>
    <w:uiPriority w:val="0"/>
    <w:pPr>
      <w:pBdr>
        <w:top w:val="single" w:color="auto" w:sz="4" w:space="0"/>
        <w:left w:val="single" w:color="auto" w:sz="4" w:space="0"/>
        <w:bottom w:val="single" w:color="auto" w:sz="4" w:space="0"/>
        <w:right w:val="single" w:color="auto" w:sz="4" w:space="0"/>
      </w:pBdr>
      <w:shd w:val="clear" w:color="000000" w:fill="8DB4E3"/>
      <w:spacing w:before="100" w:beforeAutospacing="1" w:after="100" w:afterAutospacing="1" w:line="240" w:lineRule="auto"/>
      <w:ind w:firstLine="0"/>
    </w:pPr>
    <w:rPr>
      <w:b/>
      <w:bCs/>
      <w:sz w:val="18"/>
      <w:szCs w:val="18"/>
    </w:rPr>
  </w:style>
  <w:style w:type="paragraph" w:customStyle="1" w:styleId="1643">
    <w:name w:val="xl237"/>
    <w:basedOn w:val="1"/>
    <w:qFormat/>
    <w:uiPriority w:val="0"/>
    <w:pPr>
      <w:shd w:val="clear" w:color="000000" w:fill="8DB4E3"/>
      <w:spacing w:before="100" w:beforeAutospacing="1" w:after="100" w:afterAutospacing="1" w:line="240" w:lineRule="auto"/>
      <w:ind w:firstLine="0"/>
    </w:pPr>
    <w:rPr>
      <w:sz w:val="16"/>
      <w:szCs w:val="16"/>
    </w:rPr>
  </w:style>
  <w:style w:type="paragraph" w:customStyle="1" w:styleId="1644">
    <w:name w:val="xl238"/>
    <w:basedOn w:val="1"/>
    <w:qFormat/>
    <w:uiPriority w:val="0"/>
    <w:pPr>
      <w:pBdr>
        <w:top w:val="single" w:color="auto" w:sz="8" w:space="0"/>
        <w:left w:val="single" w:color="auto" w:sz="8"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45">
    <w:name w:val="xl239"/>
    <w:basedOn w:val="1"/>
    <w:qFormat/>
    <w:uiPriority w:val="0"/>
    <w:pPr>
      <w:pBdr>
        <w:top w:val="single" w:color="auto" w:sz="8" w:space="0"/>
        <w:left w:val="single" w:color="auto" w:sz="4" w:space="0"/>
        <w:right w:val="single" w:color="auto" w:sz="4" w:space="0"/>
      </w:pBdr>
      <w:shd w:val="clear" w:color="000000" w:fill="FDE9D9"/>
      <w:spacing w:before="100" w:beforeAutospacing="1" w:after="100" w:afterAutospacing="1" w:line="240" w:lineRule="auto"/>
      <w:ind w:firstLine="0"/>
    </w:pPr>
    <w:rPr>
      <w:b/>
      <w:bCs/>
      <w:sz w:val="16"/>
      <w:szCs w:val="16"/>
    </w:rPr>
  </w:style>
  <w:style w:type="paragraph" w:customStyle="1" w:styleId="1646">
    <w:name w:val="xl240"/>
    <w:basedOn w:val="1"/>
    <w:qFormat/>
    <w:uiPriority w:val="0"/>
    <w:pPr>
      <w:pBdr>
        <w:top w:val="single" w:color="auto" w:sz="8" w:space="0"/>
        <w:left w:val="single" w:color="auto" w:sz="4" w:space="0"/>
        <w:right w:val="single" w:color="auto" w:sz="4" w:space="0"/>
      </w:pBdr>
      <w:shd w:val="clear" w:color="000000" w:fill="FDE9D9"/>
      <w:spacing w:before="100" w:beforeAutospacing="1" w:after="100" w:afterAutospacing="1" w:line="240" w:lineRule="auto"/>
      <w:ind w:firstLine="0"/>
      <w:jc w:val="center"/>
    </w:pPr>
    <w:rPr>
      <w:sz w:val="16"/>
      <w:szCs w:val="16"/>
    </w:rPr>
  </w:style>
  <w:style w:type="paragraph" w:customStyle="1" w:styleId="1647">
    <w:name w:val="xl241"/>
    <w:basedOn w:val="1"/>
    <w:qFormat/>
    <w:uiPriority w:val="0"/>
    <w:pPr>
      <w:pBdr>
        <w:top w:val="single" w:color="auto" w:sz="8" w:space="0"/>
        <w:left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48">
    <w:name w:val="xl242"/>
    <w:basedOn w:val="1"/>
    <w:qFormat/>
    <w:uiPriority w:val="0"/>
    <w:pPr>
      <w:pBdr>
        <w:top w:val="single" w:color="auto" w:sz="8" w:space="0"/>
        <w:left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49">
    <w:name w:val="xl243"/>
    <w:basedOn w:val="1"/>
    <w:qFormat/>
    <w:uiPriority w:val="0"/>
    <w:pPr>
      <w:pBdr>
        <w:top w:val="single" w:color="auto" w:sz="8" w:space="0"/>
        <w:left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50">
    <w:name w:val="xl244"/>
    <w:basedOn w:val="1"/>
    <w:qFormat/>
    <w:uiPriority w:val="0"/>
    <w:pPr>
      <w:pBdr>
        <w:top w:val="single" w:color="auto" w:sz="8" w:space="0"/>
      </w:pBdr>
      <w:shd w:val="clear" w:color="000000" w:fill="FDE9D9"/>
      <w:spacing w:before="100" w:beforeAutospacing="1" w:after="100" w:afterAutospacing="1" w:line="240" w:lineRule="auto"/>
      <w:ind w:firstLine="0"/>
    </w:pPr>
    <w:rPr>
      <w:sz w:val="16"/>
      <w:szCs w:val="16"/>
    </w:rPr>
  </w:style>
  <w:style w:type="paragraph" w:customStyle="1" w:styleId="1651">
    <w:name w:val="xl245"/>
    <w:basedOn w:val="1"/>
    <w:qFormat/>
    <w:uiPriority w:val="0"/>
    <w:pPr>
      <w:pBdr>
        <w:top w:val="single" w:color="auto" w:sz="8" w:space="0"/>
        <w:left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52">
    <w:name w:val="xl246"/>
    <w:basedOn w:val="1"/>
    <w:qFormat/>
    <w:uiPriority w:val="0"/>
    <w:pPr>
      <w:pBdr>
        <w:top w:val="single" w:color="auto" w:sz="8" w:space="0"/>
        <w:left w:val="single" w:color="auto" w:sz="4" w:space="0"/>
        <w:right w:val="single" w:color="auto" w:sz="8" w:space="0"/>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1653">
    <w:name w:val="xl247"/>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54">
    <w:name w:val="xl248"/>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line="240" w:lineRule="auto"/>
      <w:ind w:firstLine="0"/>
    </w:pPr>
    <w:rPr>
      <w:b/>
      <w:bCs/>
      <w:sz w:val="16"/>
      <w:szCs w:val="16"/>
    </w:rPr>
  </w:style>
  <w:style w:type="paragraph" w:customStyle="1" w:styleId="1655">
    <w:name w:val="xl249"/>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line="240" w:lineRule="auto"/>
      <w:ind w:firstLine="0"/>
      <w:jc w:val="center"/>
    </w:pPr>
    <w:rPr>
      <w:sz w:val="16"/>
      <w:szCs w:val="16"/>
    </w:rPr>
  </w:style>
  <w:style w:type="paragraph" w:customStyle="1" w:styleId="1656">
    <w:name w:val="xl250"/>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657">
    <w:name w:val="xl251"/>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1658">
    <w:name w:val="xl252"/>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sz w:val="16"/>
      <w:szCs w:val="16"/>
    </w:rPr>
  </w:style>
  <w:style w:type="paragraph" w:customStyle="1" w:styleId="1659">
    <w:name w:val="xl253"/>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textAlignment w:val="center"/>
    </w:pPr>
    <w:rPr>
      <w:sz w:val="16"/>
      <w:szCs w:val="16"/>
    </w:rPr>
  </w:style>
  <w:style w:type="paragraph" w:customStyle="1" w:styleId="1660">
    <w:name w:val="xl254"/>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1661">
    <w:name w:val="xl255"/>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1662">
    <w:name w:val="xl256"/>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1663">
    <w:name w:val="xl257"/>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pPr>
    <w:rPr>
      <w:sz w:val="16"/>
      <w:szCs w:val="16"/>
    </w:rPr>
  </w:style>
  <w:style w:type="paragraph" w:customStyle="1" w:styleId="1664">
    <w:name w:val="xl258"/>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color w:val="FF0000"/>
      <w:sz w:val="16"/>
      <w:szCs w:val="16"/>
    </w:rPr>
  </w:style>
  <w:style w:type="paragraph" w:customStyle="1" w:styleId="1665">
    <w:name w:val="xl259"/>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sz w:val="16"/>
      <w:szCs w:val="16"/>
    </w:rPr>
  </w:style>
  <w:style w:type="paragraph" w:customStyle="1" w:styleId="1666">
    <w:name w:val="xl260"/>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sz w:val="15"/>
      <w:szCs w:val="15"/>
    </w:rPr>
  </w:style>
  <w:style w:type="paragraph" w:customStyle="1" w:styleId="1667">
    <w:name w:val="xl261"/>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68">
    <w:name w:val="xl262"/>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69">
    <w:name w:val="xl263"/>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1670">
    <w:name w:val="xl264"/>
    <w:basedOn w:val="1"/>
    <w:qFormat/>
    <w:uiPriority w:val="0"/>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71">
    <w:name w:val="xl265"/>
    <w:basedOn w:val="1"/>
    <w:qFormat/>
    <w:uiPriority w:val="0"/>
    <w:pPr>
      <w:pBdr>
        <w:top w:val="single" w:color="auto" w:sz="4" w:space="0"/>
        <w:left w:val="single" w:color="auto" w:sz="4" w:space="0"/>
        <w:right w:val="single" w:color="auto" w:sz="4" w:space="0"/>
      </w:pBdr>
      <w:shd w:val="clear" w:color="000000" w:fill="C5D9F1"/>
      <w:spacing w:before="100" w:beforeAutospacing="1" w:after="100" w:afterAutospacing="1" w:line="240" w:lineRule="auto"/>
      <w:ind w:firstLine="0"/>
      <w:jc w:val="center"/>
    </w:pPr>
    <w:rPr>
      <w:sz w:val="16"/>
      <w:szCs w:val="16"/>
    </w:rPr>
  </w:style>
  <w:style w:type="paragraph" w:customStyle="1" w:styleId="1672">
    <w:name w:val="xl266"/>
    <w:basedOn w:val="1"/>
    <w:qFormat/>
    <w:uiPriority w:val="0"/>
    <w:pPr>
      <w:pBdr>
        <w:top w:val="single" w:color="auto" w:sz="4" w:space="0"/>
        <w:left w:val="single" w:color="auto" w:sz="4" w:space="0"/>
        <w:right w:val="single" w:color="auto" w:sz="4" w:space="0"/>
      </w:pBdr>
      <w:shd w:val="clear" w:color="000000" w:fill="C5D9F1"/>
      <w:spacing w:before="100" w:beforeAutospacing="1" w:after="100" w:afterAutospacing="1" w:line="240" w:lineRule="auto"/>
      <w:ind w:firstLine="0"/>
      <w:jc w:val="right"/>
    </w:pPr>
    <w:rPr>
      <w:sz w:val="16"/>
      <w:szCs w:val="16"/>
    </w:rPr>
  </w:style>
  <w:style w:type="paragraph" w:customStyle="1" w:styleId="1673">
    <w:name w:val="xl267"/>
    <w:basedOn w:val="1"/>
    <w:qFormat/>
    <w:uiPriority w:val="0"/>
    <w:pPr>
      <w:pBdr>
        <w:top w:val="single" w:color="auto" w:sz="4" w:space="0"/>
        <w:left w:val="single" w:color="auto" w:sz="4"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74">
    <w:name w:val="xl268"/>
    <w:basedOn w:val="1"/>
    <w:qFormat/>
    <w:uiPriority w:val="0"/>
    <w:pPr>
      <w:pBdr>
        <w:top w:val="single" w:color="auto" w:sz="4" w:space="0"/>
        <w:left w:val="single" w:color="auto" w:sz="4"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75">
    <w:name w:val="xl269"/>
    <w:basedOn w:val="1"/>
    <w:qFormat/>
    <w:uiPriority w:val="0"/>
    <w:pPr>
      <w:pBdr>
        <w:top w:val="single" w:color="auto" w:sz="4" w:space="0"/>
        <w:left w:val="single" w:color="auto" w:sz="4" w:space="0"/>
        <w:right w:val="single" w:color="auto" w:sz="4" w:space="0"/>
      </w:pBdr>
      <w:shd w:val="clear" w:color="000000" w:fill="C5D9F1"/>
      <w:spacing w:before="100" w:beforeAutospacing="1" w:after="100" w:afterAutospacing="1" w:line="240" w:lineRule="auto"/>
      <w:ind w:firstLine="0"/>
      <w:jc w:val="center"/>
    </w:pPr>
    <w:rPr>
      <w:b/>
      <w:bCs/>
      <w:sz w:val="18"/>
      <w:szCs w:val="18"/>
    </w:rPr>
  </w:style>
  <w:style w:type="paragraph" w:customStyle="1" w:styleId="1676">
    <w:name w:val="xl270"/>
    <w:basedOn w:val="1"/>
    <w:qFormat/>
    <w:uiPriority w:val="0"/>
    <w:pPr>
      <w:pBdr>
        <w:top w:val="single" w:color="auto" w:sz="4" w:space="0"/>
        <w:left w:val="single" w:color="auto" w:sz="4" w:space="0"/>
        <w:right w:val="single" w:color="auto" w:sz="4" w:space="0"/>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1677">
    <w:name w:val="xl271"/>
    <w:basedOn w:val="1"/>
    <w:qFormat/>
    <w:uiPriority w:val="0"/>
    <w:pPr>
      <w:pBdr>
        <w:top w:val="single" w:color="auto" w:sz="8" w:space="0"/>
        <w:left w:val="single" w:color="auto" w:sz="8" w:space="0"/>
        <w:bottom w:val="single" w:color="auto" w:sz="8" w:space="0"/>
        <w:right w:val="single" w:color="auto" w:sz="4" w:space="0"/>
      </w:pBdr>
      <w:shd w:val="clear" w:color="000000" w:fill="C5D9F1"/>
      <w:spacing w:before="100" w:beforeAutospacing="1" w:after="100" w:afterAutospacing="1" w:line="240" w:lineRule="auto"/>
      <w:ind w:firstLine="0"/>
      <w:jc w:val="center"/>
    </w:pPr>
    <w:rPr>
      <w:sz w:val="16"/>
      <w:szCs w:val="16"/>
    </w:rPr>
  </w:style>
  <w:style w:type="paragraph" w:customStyle="1" w:styleId="1678">
    <w:name w:val="xl272"/>
    <w:basedOn w:val="1"/>
    <w:qFormat/>
    <w:uiPriority w:val="0"/>
    <w:pPr>
      <w:pBdr>
        <w:top w:val="single" w:color="auto" w:sz="8" w:space="0"/>
        <w:left w:val="single" w:color="auto" w:sz="4" w:space="0"/>
        <w:bottom w:val="single" w:color="auto" w:sz="8" w:space="0"/>
        <w:right w:val="single" w:color="auto" w:sz="4" w:space="0"/>
      </w:pBdr>
      <w:shd w:val="clear" w:color="000000" w:fill="C5D9F1"/>
      <w:spacing w:before="100" w:beforeAutospacing="1" w:after="100" w:afterAutospacing="1" w:line="240" w:lineRule="auto"/>
      <w:ind w:firstLine="0"/>
      <w:jc w:val="right"/>
    </w:pPr>
    <w:rPr>
      <w:b/>
      <w:bCs/>
      <w:sz w:val="18"/>
      <w:szCs w:val="18"/>
    </w:rPr>
  </w:style>
  <w:style w:type="paragraph" w:customStyle="1" w:styleId="1679">
    <w:name w:val="xl273"/>
    <w:basedOn w:val="1"/>
    <w:qFormat/>
    <w:uiPriority w:val="0"/>
    <w:pPr>
      <w:pBdr>
        <w:top w:val="single" w:color="auto" w:sz="8" w:space="0"/>
        <w:left w:val="single" w:color="auto" w:sz="4" w:space="0"/>
        <w:bottom w:val="single" w:color="auto" w:sz="8" w:space="0"/>
        <w:right w:val="single" w:color="auto" w:sz="4" w:space="0"/>
      </w:pBdr>
      <w:shd w:val="clear" w:color="000000" w:fill="C5D9F1"/>
      <w:spacing w:before="100" w:beforeAutospacing="1" w:after="100" w:afterAutospacing="1" w:line="240" w:lineRule="auto"/>
      <w:ind w:firstLine="0"/>
      <w:jc w:val="center"/>
    </w:pPr>
    <w:rPr>
      <w:sz w:val="16"/>
      <w:szCs w:val="16"/>
    </w:rPr>
  </w:style>
  <w:style w:type="paragraph" w:customStyle="1" w:styleId="1680">
    <w:name w:val="xl274"/>
    <w:basedOn w:val="1"/>
    <w:qFormat/>
    <w:uiPriority w:val="0"/>
    <w:pPr>
      <w:pBdr>
        <w:top w:val="single" w:color="auto" w:sz="8" w:space="0"/>
        <w:left w:val="single" w:color="auto" w:sz="4" w:space="0"/>
        <w:bottom w:val="single" w:color="auto" w:sz="8"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81">
    <w:name w:val="xl275"/>
    <w:basedOn w:val="1"/>
    <w:qFormat/>
    <w:uiPriority w:val="0"/>
    <w:pPr>
      <w:pBdr>
        <w:top w:val="single" w:color="auto" w:sz="8" w:space="0"/>
        <w:left w:val="single" w:color="auto" w:sz="4" w:space="0"/>
        <w:bottom w:val="single" w:color="auto" w:sz="8" w:space="0"/>
        <w:right w:val="single" w:color="auto" w:sz="4" w:space="0"/>
      </w:pBdr>
      <w:shd w:val="clear" w:color="000000" w:fill="C5D9F1"/>
      <w:spacing w:before="100" w:beforeAutospacing="1" w:after="100" w:afterAutospacing="1" w:line="240" w:lineRule="auto"/>
      <w:ind w:firstLine="0"/>
      <w:jc w:val="center"/>
    </w:pPr>
    <w:rPr>
      <w:b/>
      <w:bCs/>
      <w:sz w:val="16"/>
      <w:szCs w:val="16"/>
    </w:rPr>
  </w:style>
  <w:style w:type="paragraph" w:customStyle="1" w:styleId="1682">
    <w:name w:val="xl276"/>
    <w:basedOn w:val="1"/>
    <w:qFormat/>
    <w:uiPriority w:val="0"/>
    <w:pPr>
      <w:pBdr>
        <w:top w:val="single" w:color="auto" w:sz="8" w:space="0"/>
        <w:left w:val="single" w:color="auto" w:sz="4" w:space="0"/>
        <w:bottom w:val="single" w:color="auto" w:sz="8" w:space="0"/>
        <w:right w:val="single" w:color="auto" w:sz="4" w:space="0"/>
      </w:pBdr>
      <w:shd w:val="clear" w:color="000000" w:fill="C5D9F1"/>
      <w:spacing w:before="100" w:beforeAutospacing="1" w:after="100" w:afterAutospacing="1" w:line="240" w:lineRule="auto"/>
      <w:ind w:firstLine="0"/>
    </w:pPr>
    <w:rPr>
      <w:b/>
      <w:bCs/>
      <w:sz w:val="16"/>
      <w:szCs w:val="16"/>
    </w:rPr>
  </w:style>
  <w:style w:type="paragraph" w:customStyle="1" w:styleId="1683">
    <w:name w:val="xl277"/>
    <w:basedOn w:val="1"/>
    <w:qFormat/>
    <w:uiPriority w:val="0"/>
    <w:pPr>
      <w:pBdr>
        <w:top w:val="single" w:color="auto" w:sz="8" w:space="0"/>
        <w:left w:val="single" w:color="auto" w:sz="4" w:space="0"/>
        <w:bottom w:val="single" w:color="auto" w:sz="8" w:space="0"/>
        <w:right w:val="single" w:color="auto" w:sz="8" w:space="0"/>
      </w:pBdr>
      <w:shd w:val="clear" w:color="000000" w:fill="C5D9F1"/>
      <w:spacing w:before="100" w:beforeAutospacing="1" w:after="100" w:afterAutospacing="1" w:line="240" w:lineRule="auto"/>
      <w:ind w:firstLine="0"/>
    </w:pPr>
    <w:rPr>
      <w:b/>
      <w:bCs/>
      <w:sz w:val="16"/>
      <w:szCs w:val="16"/>
    </w:rPr>
  </w:style>
  <w:style w:type="paragraph" w:customStyle="1" w:styleId="1684">
    <w:name w:val="xl278"/>
    <w:basedOn w:val="1"/>
    <w:qFormat/>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685">
    <w:name w:val="xl279"/>
    <w:basedOn w:val="1"/>
    <w:qFormat/>
    <w:uiPriority w:val="0"/>
    <w:pPr>
      <w:spacing w:before="100" w:beforeAutospacing="1" w:after="100" w:afterAutospacing="1" w:line="240" w:lineRule="auto"/>
      <w:ind w:firstLine="0"/>
      <w:jc w:val="center"/>
    </w:pPr>
    <w:rPr>
      <w:sz w:val="22"/>
    </w:rPr>
  </w:style>
  <w:style w:type="paragraph" w:customStyle="1" w:styleId="1686">
    <w:name w:val="xl280"/>
    <w:basedOn w:val="1"/>
    <w:qFormat/>
    <w:uiPriority w:val="0"/>
    <w:pPr>
      <w:spacing w:before="100" w:beforeAutospacing="1" w:after="100" w:afterAutospacing="1" w:line="240" w:lineRule="auto"/>
      <w:ind w:firstLine="0"/>
      <w:jc w:val="center"/>
    </w:pPr>
    <w:rPr>
      <w:color w:val="FF0000"/>
      <w:sz w:val="22"/>
    </w:rPr>
  </w:style>
  <w:style w:type="paragraph" w:customStyle="1" w:styleId="1687">
    <w:name w:val="xl281"/>
    <w:basedOn w:val="1"/>
    <w:qFormat/>
    <w:uiPriority w:val="0"/>
    <w:pPr>
      <w:spacing w:before="100" w:beforeAutospacing="1" w:after="100" w:afterAutospacing="1" w:line="240" w:lineRule="auto"/>
      <w:ind w:firstLine="0"/>
      <w:jc w:val="center"/>
    </w:pPr>
    <w:rPr>
      <w:color w:val="FF0000"/>
      <w:sz w:val="22"/>
    </w:rPr>
  </w:style>
  <w:style w:type="paragraph" w:customStyle="1" w:styleId="1688">
    <w:name w:val="xl282"/>
    <w:basedOn w:val="1"/>
    <w:qFormat/>
    <w:uiPriority w:val="0"/>
    <w:pPr>
      <w:spacing w:before="100" w:beforeAutospacing="1" w:after="100" w:afterAutospacing="1" w:line="240" w:lineRule="auto"/>
      <w:ind w:firstLine="0"/>
    </w:pPr>
    <w:rPr>
      <w:sz w:val="22"/>
    </w:rPr>
  </w:style>
  <w:style w:type="paragraph" w:customStyle="1" w:styleId="1689">
    <w:name w:val="xl283"/>
    <w:basedOn w:val="1"/>
    <w:qFormat/>
    <w:uiPriority w:val="0"/>
    <w:pPr>
      <w:spacing w:before="100" w:beforeAutospacing="1" w:after="100" w:afterAutospacing="1" w:line="240" w:lineRule="auto"/>
      <w:ind w:firstLine="0"/>
    </w:pPr>
    <w:rPr>
      <w:sz w:val="22"/>
    </w:rPr>
  </w:style>
  <w:style w:type="paragraph" w:customStyle="1" w:styleId="1690">
    <w:name w:val="xl284"/>
    <w:basedOn w:val="1"/>
    <w:qFormat/>
    <w:uiPriority w:val="0"/>
    <w:pPr>
      <w:pBdr>
        <w:top w:val="single" w:color="auto" w:sz="4" w:space="0"/>
        <w:left w:val="single" w:color="auto" w:sz="4" w:space="0"/>
        <w:bottom w:val="single" w:color="auto" w:sz="4" w:space="0"/>
        <w:right w:val="single" w:color="auto" w:sz="4" w:space="0"/>
      </w:pBdr>
      <w:shd w:val="clear" w:color="000000" w:fill="8DB4E3"/>
      <w:spacing w:before="100" w:beforeAutospacing="1" w:after="100" w:afterAutospacing="1" w:line="240" w:lineRule="auto"/>
      <w:ind w:firstLine="0"/>
    </w:pPr>
    <w:rPr>
      <w:b/>
      <w:bCs/>
      <w:sz w:val="18"/>
      <w:szCs w:val="18"/>
    </w:rPr>
  </w:style>
  <w:style w:type="paragraph" w:customStyle="1" w:styleId="1691">
    <w:name w:val="xl285"/>
    <w:basedOn w:val="1"/>
    <w:qFormat/>
    <w:uiPriority w:val="0"/>
    <w:pPr>
      <w:pBdr>
        <w:top w:val="single" w:color="auto" w:sz="8" w:space="0"/>
        <w:left w:val="single" w:color="auto" w:sz="4" w:space="0"/>
        <w:bottom w:val="single" w:color="auto" w:sz="8" w:space="0"/>
        <w:right w:val="single" w:color="auto" w:sz="4" w:space="0"/>
      </w:pBdr>
      <w:shd w:val="clear" w:color="000000" w:fill="FFFF00"/>
      <w:spacing w:before="100" w:beforeAutospacing="1" w:after="100" w:afterAutospacing="1" w:line="240" w:lineRule="auto"/>
      <w:ind w:firstLine="0"/>
      <w:jc w:val="center"/>
    </w:pPr>
    <w:rPr>
      <w:b/>
      <w:bCs/>
      <w:sz w:val="18"/>
      <w:szCs w:val="18"/>
    </w:rPr>
  </w:style>
  <w:style w:type="paragraph" w:customStyle="1" w:styleId="1692">
    <w:name w:val="xl286"/>
    <w:basedOn w:val="1"/>
    <w:qFormat/>
    <w:uiPriority w:val="0"/>
    <w:pPr>
      <w:spacing w:before="100" w:beforeAutospacing="1" w:after="100" w:afterAutospacing="1" w:line="240" w:lineRule="auto"/>
      <w:ind w:firstLine="0"/>
      <w:jc w:val="center"/>
    </w:pPr>
    <w:rPr>
      <w:b/>
      <w:bCs/>
      <w:sz w:val="16"/>
      <w:szCs w:val="16"/>
    </w:rPr>
  </w:style>
  <w:style w:type="paragraph" w:customStyle="1" w:styleId="1693">
    <w:name w:val="xl2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color w:val="FF0000"/>
      <w:sz w:val="16"/>
      <w:szCs w:val="16"/>
    </w:rPr>
  </w:style>
  <w:style w:type="paragraph" w:customStyle="1" w:styleId="1694">
    <w:name w:val="xl288"/>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695">
    <w:name w:val="xl289"/>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696">
    <w:name w:val="xl29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697">
    <w:name w:val="xl291"/>
    <w:basedOn w:val="1"/>
    <w:qFormat/>
    <w:uiPriority w:val="0"/>
    <w:pPr>
      <w:pBdr>
        <w:top w:val="single" w:color="auto" w:sz="4" w:space="0"/>
        <w:left w:val="single" w:color="auto" w:sz="4" w:space="0"/>
        <w:bottom w:val="single" w:color="auto" w:sz="4" w:space="0"/>
      </w:pBdr>
      <w:shd w:val="clear" w:color="000000" w:fill="8DB4E3"/>
      <w:spacing w:before="100" w:beforeAutospacing="1" w:after="100" w:afterAutospacing="1" w:line="240" w:lineRule="auto"/>
      <w:ind w:firstLine="0"/>
    </w:pPr>
    <w:rPr>
      <w:b/>
      <w:bCs/>
      <w:sz w:val="18"/>
      <w:szCs w:val="18"/>
    </w:rPr>
  </w:style>
  <w:style w:type="paragraph" w:customStyle="1" w:styleId="1698">
    <w:name w:val="xl292"/>
    <w:basedOn w:val="1"/>
    <w:qFormat/>
    <w:uiPriority w:val="0"/>
    <w:pPr>
      <w:pBdr>
        <w:top w:val="single" w:color="auto" w:sz="4" w:space="0"/>
        <w:bottom w:val="single" w:color="auto" w:sz="4" w:space="0"/>
      </w:pBdr>
      <w:shd w:val="clear" w:color="000000" w:fill="8DB4E3"/>
      <w:spacing w:before="100" w:beforeAutospacing="1" w:after="100" w:afterAutospacing="1" w:line="240" w:lineRule="auto"/>
      <w:ind w:firstLine="0"/>
    </w:pPr>
    <w:rPr>
      <w:b/>
      <w:bCs/>
      <w:sz w:val="18"/>
      <w:szCs w:val="18"/>
    </w:rPr>
  </w:style>
  <w:style w:type="paragraph" w:customStyle="1" w:styleId="1699">
    <w:name w:val="xl293"/>
    <w:basedOn w:val="1"/>
    <w:qFormat/>
    <w:uiPriority w:val="0"/>
    <w:pPr>
      <w:pBdr>
        <w:top w:val="single" w:color="auto" w:sz="4" w:space="0"/>
        <w:bottom w:val="single" w:color="auto" w:sz="4" w:space="0"/>
        <w:right w:val="single" w:color="auto" w:sz="4" w:space="0"/>
      </w:pBdr>
      <w:shd w:val="clear" w:color="000000" w:fill="8DB4E3"/>
      <w:spacing w:before="100" w:beforeAutospacing="1" w:after="100" w:afterAutospacing="1" w:line="240" w:lineRule="auto"/>
      <w:ind w:firstLine="0"/>
    </w:pPr>
    <w:rPr>
      <w:b/>
      <w:bCs/>
      <w:sz w:val="18"/>
      <w:szCs w:val="18"/>
    </w:rPr>
  </w:style>
  <w:style w:type="paragraph" w:customStyle="1" w:styleId="1700">
    <w:name w:val="xl294"/>
    <w:basedOn w:val="1"/>
    <w:qFormat/>
    <w:uiPriority w:val="0"/>
    <w:pPr>
      <w:pBdr>
        <w:top w:val="single" w:color="auto" w:sz="4" w:space="0"/>
        <w:left w:val="single" w:color="auto" w:sz="4" w:space="0"/>
        <w:bottom w:val="single" w:color="auto" w:sz="4" w:space="0"/>
        <w:right w:val="single" w:color="auto" w:sz="4" w:space="0"/>
      </w:pBdr>
      <w:shd w:val="clear" w:color="000000" w:fill="95B3D7"/>
      <w:spacing w:before="100" w:beforeAutospacing="1" w:after="100" w:afterAutospacing="1" w:line="240" w:lineRule="auto"/>
      <w:ind w:firstLine="0"/>
      <w:jc w:val="center"/>
    </w:pPr>
    <w:rPr>
      <w:color w:val="0070C0"/>
      <w:sz w:val="18"/>
      <w:szCs w:val="18"/>
    </w:rPr>
  </w:style>
  <w:style w:type="paragraph" w:customStyle="1" w:styleId="1701">
    <w:name w:val="xl295"/>
    <w:basedOn w:val="1"/>
    <w:qFormat/>
    <w:uiPriority w:val="0"/>
    <w:pPr>
      <w:pBdr>
        <w:top w:val="single" w:color="auto" w:sz="4" w:space="0"/>
        <w:left w:val="single" w:color="auto" w:sz="4" w:space="0"/>
        <w:right w:val="single" w:color="auto" w:sz="4" w:space="0"/>
      </w:pBdr>
      <w:shd w:val="clear" w:color="000000" w:fill="8DB4E3"/>
      <w:spacing w:before="100" w:beforeAutospacing="1" w:after="100" w:afterAutospacing="1" w:line="240" w:lineRule="auto"/>
      <w:ind w:firstLine="0"/>
      <w:jc w:val="center"/>
    </w:pPr>
    <w:rPr>
      <w:sz w:val="18"/>
      <w:szCs w:val="18"/>
    </w:rPr>
  </w:style>
  <w:style w:type="paragraph" w:customStyle="1" w:styleId="1702">
    <w:name w:val="xl296"/>
    <w:basedOn w:val="1"/>
    <w:qFormat/>
    <w:uiPriority w:val="0"/>
    <w:pPr>
      <w:pBdr>
        <w:top w:val="single" w:color="auto" w:sz="4" w:space="0"/>
        <w:left w:val="single" w:color="auto" w:sz="4" w:space="0"/>
        <w:right w:val="single" w:color="auto" w:sz="4" w:space="0"/>
      </w:pBdr>
      <w:shd w:val="clear" w:color="000000" w:fill="8DB4E3"/>
      <w:spacing w:before="100" w:beforeAutospacing="1" w:after="100" w:afterAutospacing="1" w:line="240" w:lineRule="auto"/>
      <w:ind w:firstLine="0"/>
      <w:jc w:val="right"/>
    </w:pPr>
    <w:rPr>
      <w:b/>
      <w:bCs/>
      <w:sz w:val="18"/>
      <w:szCs w:val="18"/>
    </w:rPr>
  </w:style>
  <w:style w:type="paragraph" w:customStyle="1" w:styleId="1703">
    <w:name w:val="xl297"/>
    <w:basedOn w:val="1"/>
    <w:qFormat/>
    <w:uiPriority w:val="0"/>
    <w:pPr>
      <w:pBdr>
        <w:top w:val="single" w:color="auto" w:sz="4" w:space="0"/>
        <w:left w:val="single" w:color="auto" w:sz="4" w:space="0"/>
        <w:right w:val="single" w:color="auto" w:sz="4" w:space="0"/>
      </w:pBdr>
      <w:shd w:val="clear" w:color="000000" w:fill="8DB4E3"/>
      <w:spacing w:before="100" w:beforeAutospacing="1" w:after="100" w:afterAutospacing="1" w:line="240" w:lineRule="auto"/>
      <w:ind w:firstLine="0"/>
    </w:pPr>
    <w:rPr>
      <w:b/>
      <w:bCs/>
      <w:sz w:val="18"/>
      <w:szCs w:val="18"/>
    </w:rPr>
  </w:style>
  <w:style w:type="paragraph" w:customStyle="1" w:styleId="1704">
    <w:name w:val="xl298"/>
    <w:basedOn w:val="1"/>
    <w:qFormat/>
    <w:uiPriority w:val="0"/>
    <w:pPr>
      <w:pBdr>
        <w:top w:val="single" w:color="auto" w:sz="4" w:space="0"/>
        <w:left w:val="single" w:color="auto" w:sz="4" w:space="0"/>
        <w:right w:val="single" w:color="auto" w:sz="4" w:space="0"/>
      </w:pBdr>
      <w:shd w:val="clear" w:color="000000" w:fill="8DB4E3"/>
      <w:spacing w:before="100" w:beforeAutospacing="1" w:after="100" w:afterAutospacing="1" w:line="240" w:lineRule="auto"/>
      <w:ind w:firstLine="0"/>
      <w:jc w:val="center"/>
    </w:pPr>
    <w:rPr>
      <w:b/>
      <w:bCs/>
      <w:sz w:val="18"/>
      <w:szCs w:val="18"/>
    </w:rPr>
  </w:style>
  <w:style w:type="paragraph" w:customStyle="1" w:styleId="1705">
    <w:name w:val="xl29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pPr>
    <w:rPr>
      <w:color w:val="FF0000"/>
      <w:sz w:val="16"/>
      <w:szCs w:val="16"/>
    </w:rPr>
  </w:style>
  <w:style w:type="paragraph" w:customStyle="1" w:styleId="1706">
    <w:name w:val="xl30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 w:val="12"/>
      <w:szCs w:val="12"/>
    </w:rPr>
  </w:style>
  <w:style w:type="paragraph" w:customStyle="1" w:styleId="1707">
    <w:name w:val="xl301"/>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pPr>
    <w:rPr>
      <w:sz w:val="12"/>
      <w:szCs w:val="12"/>
    </w:rPr>
  </w:style>
  <w:style w:type="paragraph" w:customStyle="1" w:styleId="1708">
    <w:name w:val="xl30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709">
    <w:name w:val="xl303"/>
    <w:basedOn w:val="1"/>
    <w:qFormat/>
    <w:uiPriority w:val="0"/>
    <w:pPr>
      <w:pBdr>
        <w:top w:val="single" w:color="auto" w:sz="8" w:space="0"/>
        <w:right w:val="single" w:color="auto" w:sz="4" w:space="0"/>
      </w:pBdr>
      <w:spacing w:before="100" w:beforeAutospacing="1" w:after="100" w:afterAutospacing="1" w:line="240" w:lineRule="auto"/>
      <w:ind w:firstLine="0"/>
      <w:jc w:val="center"/>
    </w:pPr>
    <w:rPr>
      <w:sz w:val="18"/>
      <w:szCs w:val="18"/>
    </w:rPr>
  </w:style>
  <w:style w:type="paragraph" w:customStyle="1" w:styleId="1710">
    <w:name w:val="xl304"/>
    <w:basedOn w:val="1"/>
    <w:qFormat/>
    <w:uiPriority w:val="0"/>
    <w:pPr>
      <w:pBdr>
        <w:bottom w:val="single" w:color="auto" w:sz="4" w:space="0"/>
        <w:right w:val="single" w:color="auto" w:sz="4" w:space="0"/>
      </w:pBdr>
      <w:spacing w:before="100" w:beforeAutospacing="1" w:after="100" w:afterAutospacing="1" w:line="240" w:lineRule="auto"/>
      <w:ind w:firstLine="0"/>
      <w:jc w:val="center"/>
    </w:pPr>
    <w:rPr>
      <w:sz w:val="18"/>
      <w:szCs w:val="18"/>
    </w:rPr>
  </w:style>
  <w:style w:type="paragraph" w:customStyle="1" w:styleId="1711">
    <w:name w:val="xl305"/>
    <w:basedOn w:val="1"/>
    <w:qFormat/>
    <w:uiPriority w:val="0"/>
    <w:pPr>
      <w:pBdr>
        <w:top w:val="single" w:color="auto" w:sz="8" w:space="0"/>
        <w:left w:val="single" w:color="auto" w:sz="4" w:space="0"/>
        <w:right w:val="single" w:color="auto" w:sz="4" w:space="0"/>
      </w:pBdr>
      <w:spacing w:before="100" w:beforeAutospacing="1" w:after="100" w:afterAutospacing="1" w:line="240" w:lineRule="auto"/>
      <w:ind w:firstLine="0"/>
    </w:pPr>
    <w:rPr>
      <w:b/>
      <w:bCs/>
      <w:sz w:val="18"/>
      <w:szCs w:val="18"/>
    </w:rPr>
  </w:style>
  <w:style w:type="paragraph" w:customStyle="1" w:styleId="1712">
    <w:name w:val="xl30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pPr>
    <w:rPr>
      <w:b/>
      <w:bCs/>
      <w:sz w:val="18"/>
      <w:szCs w:val="18"/>
    </w:rPr>
  </w:style>
  <w:style w:type="paragraph" w:customStyle="1" w:styleId="1713">
    <w:name w:val="xl3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714">
    <w:name w:val="xl308"/>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15">
    <w:name w:val="xl309"/>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16">
    <w:name w:val="xl31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717">
    <w:name w:val="xl311"/>
    <w:basedOn w:val="1"/>
    <w:qFormat/>
    <w:uiPriority w:val="0"/>
    <w:pPr>
      <w:pBdr>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718">
    <w:name w:val="xl31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719">
    <w:name w:val="xl313"/>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1720">
    <w:name w:val="xl31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1721">
    <w:name w:val="xl315"/>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722">
    <w:name w:val="xl316"/>
    <w:basedOn w:val="1"/>
    <w:qFormat/>
    <w:uiPriority w:val="0"/>
    <w:pPr>
      <w:pBdr>
        <w:left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723">
    <w:name w:val="xl31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textAlignment w:val="center"/>
    </w:pPr>
    <w:rPr>
      <w:sz w:val="16"/>
      <w:szCs w:val="16"/>
    </w:rPr>
  </w:style>
  <w:style w:type="paragraph" w:customStyle="1" w:styleId="1724">
    <w:name w:val="xl318"/>
    <w:basedOn w:val="1"/>
    <w:qFormat/>
    <w:uiPriority w:val="0"/>
    <w:pPr>
      <w:pBdr>
        <w:left w:val="single" w:color="auto" w:sz="4" w:space="0"/>
        <w:right w:val="single" w:color="auto" w:sz="4" w:space="0"/>
      </w:pBdr>
      <w:spacing w:before="100" w:beforeAutospacing="1" w:after="100" w:afterAutospacing="1" w:line="240" w:lineRule="auto"/>
      <w:ind w:firstLine="0"/>
      <w:textAlignment w:val="center"/>
    </w:pPr>
    <w:rPr>
      <w:sz w:val="16"/>
      <w:szCs w:val="16"/>
    </w:rPr>
  </w:style>
  <w:style w:type="paragraph" w:customStyle="1" w:styleId="1725">
    <w:name w:val="xl319"/>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textAlignment w:val="center"/>
    </w:pPr>
    <w:rPr>
      <w:sz w:val="16"/>
      <w:szCs w:val="16"/>
    </w:rPr>
  </w:style>
  <w:style w:type="paragraph" w:customStyle="1" w:styleId="1726">
    <w:name w:val="xl32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727">
    <w:name w:val="xl321"/>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728">
    <w:name w:val="xl32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729">
    <w:name w:val="xl323"/>
    <w:basedOn w:val="1"/>
    <w:qFormat/>
    <w:uiPriority w:val="0"/>
    <w:pPr>
      <w:pBdr>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730">
    <w:name w:val="xl324"/>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31">
    <w:name w:val="xl325"/>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732">
    <w:name w:val="xl326"/>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733">
    <w:name w:val="xl327"/>
    <w:basedOn w:val="1"/>
    <w:qFormat/>
    <w:uiPriority w:val="0"/>
    <w:pPr>
      <w:pBdr>
        <w:left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734">
    <w:name w:val="xl328"/>
    <w:basedOn w:val="1"/>
    <w:qFormat/>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pPr>
    <w:rPr>
      <w:b/>
      <w:bCs/>
      <w:sz w:val="16"/>
      <w:szCs w:val="16"/>
    </w:rPr>
  </w:style>
  <w:style w:type="paragraph" w:customStyle="1" w:styleId="1735">
    <w:name w:val="xl32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36">
    <w:name w:val="xl330"/>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37">
    <w:name w:val="xl33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38">
    <w:name w:val="xl33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pPr>
    <w:rPr>
      <w:b/>
      <w:bCs/>
      <w:sz w:val="20"/>
      <w:szCs w:val="20"/>
    </w:rPr>
  </w:style>
  <w:style w:type="paragraph" w:customStyle="1" w:styleId="1739">
    <w:name w:val="xl333"/>
    <w:basedOn w:val="1"/>
    <w:qFormat/>
    <w:uiPriority w:val="0"/>
    <w:pPr>
      <w:pBdr>
        <w:top w:val="single" w:color="auto" w:sz="4" w:space="0"/>
        <w:left w:val="single" w:color="auto" w:sz="4" w:space="0"/>
        <w:bottom w:val="single" w:color="auto" w:sz="4" w:space="0"/>
      </w:pBdr>
      <w:spacing w:before="100" w:beforeAutospacing="1" w:after="100" w:afterAutospacing="1" w:line="240" w:lineRule="auto"/>
      <w:ind w:firstLine="0"/>
    </w:pPr>
    <w:rPr>
      <w:b/>
      <w:bCs/>
      <w:sz w:val="20"/>
      <w:szCs w:val="20"/>
    </w:rPr>
  </w:style>
  <w:style w:type="paragraph" w:customStyle="1" w:styleId="1740">
    <w:name w:val="xl334"/>
    <w:basedOn w:val="1"/>
    <w:qFormat/>
    <w:uiPriority w:val="0"/>
    <w:pPr>
      <w:pBdr>
        <w:top w:val="single" w:color="auto" w:sz="4" w:space="0"/>
        <w:bottom w:val="single" w:color="auto" w:sz="4" w:space="0"/>
      </w:pBdr>
      <w:spacing w:before="100" w:beforeAutospacing="1" w:after="100" w:afterAutospacing="1" w:line="240" w:lineRule="auto"/>
      <w:ind w:firstLine="0"/>
    </w:pPr>
    <w:rPr>
      <w:b/>
      <w:bCs/>
      <w:sz w:val="20"/>
      <w:szCs w:val="20"/>
    </w:rPr>
  </w:style>
  <w:style w:type="paragraph" w:customStyle="1" w:styleId="1741">
    <w:name w:val="xl335"/>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pPr>
    <w:rPr>
      <w:b/>
      <w:bCs/>
      <w:sz w:val="20"/>
      <w:szCs w:val="20"/>
    </w:rPr>
  </w:style>
  <w:style w:type="paragraph" w:customStyle="1" w:styleId="1742">
    <w:name w:val="xl33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43">
    <w:name w:val="xl33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744">
    <w:name w:val="xl338"/>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textAlignment w:val="center"/>
    </w:pPr>
    <w:rPr>
      <w:sz w:val="16"/>
      <w:szCs w:val="16"/>
    </w:rPr>
  </w:style>
  <w:style w:type="paragraph" w:customStyle="1" w:styleId="1745">
    <w:name w:val="xl339"/>
    <w:basedOn w:val="1"/>
    <w:qFormat/>
    <w:uiPriority w:val="0"/>
    <w:pPr>
      <w:pBdr>
        <w:left w:val="single" w:color="auto" w:sz="4" w:space="0"/>
        <w:right w:val="single" w:color="auto" w:sz="4" w:space="0"/>
      </w:pBdr>
      <w:spacing w:before="100" w:beforeAutospacing="1" w:after="100" w:afterAutospacing="1" w:line="240" w:lineRule="auto"/>
      <w:ind w:firstLine="0"/>
      <w:textAlignment w:val="center"/>
    </w:pPr>
    <w:rPr>
      <w:sz w:val="16"/>
      <w:szCs w:val="16"/>
    </w:rPr>
  </w:style>
  <w:style w:type="paragraph" w:customStyle="1" w:styleId="1746">
    <w:name w:val="xl34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textAlignment w:val="center"/>
    </w:pPr>
    <w:rPr>
      <w:sz w:val="16"/>
      <w:szCs w:val="16"/>
    </w:rPr>
  </w:style>
  <w:style w:type="paragraph" w:customStyle="1" w:styleId="1747">
    <w:name w:val="xl341"/>
    <w:basedOn w:val="1"/>
    <w:qFormat/>
    <w:uiPriority w:val="0"/>
    <w:pPr>
      <w:spacing w:before="100" w:beforeAutospacing="1" w:after="100" w:afterAutospacing="1" w:line="240" w:lineRule="auto"/>
      <w:ind w:firstLine="0"/>
    </w:pPr>
    <w:rPr>
      <w:sz w:val="20"/>
      <w:szCs w:val="20"/>
    </w:rPr>
  </w:style>
  <w:style w:type="paragraph" w:customStyle="1" w:styleId="1748">
    <w:name w:val="xl342"/>
    <w:basedOn w:val="1"/>
    <w:qFormat/>
    <w:uiPriority w:val="0"/>
    <w:pPr>
      <w:pBdr>
        <w:top w:val="single" w:color="auto" w:sz="4" w:space="0"/>
        <w:left w:val="single" w:color="auto" w:sz="4" w:space="0"/>
        <w:bottom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749">
    <w:name w:val="xl343"/>
    <w:basedOn w:val="1"/>
    <w:qFormat/>
    <w:uiPriority w:val="0"/>
    <w:pPr>
      <w:pBdr>
        <w:top w:val="single" w:color="auto" w:sz="4" w:space="0"/>
        <w:bottom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750">
    <w:name w:val="xl344"/>
    <w:basedOn w:val="1"/>
    <w:qFormat/>
    <w:uiPriority w:val="0"/>
    <w:pPr>
      <w:pBdr>
        <w:top w:val="single" w:color="auto" w:sz="4" w:space="0"/>
        <w:bottom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751">
    <w:name w:val="xl34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752">
    <w:name w:val="xl346"/>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753">
    <w:name w:val="xl34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754">
    <w:name w:val="xl348"/>
    <w:basedOn w:val="1"/>
    <w:qFormat/>
    <w:uiPriority w:val="0"/>
    <w:pPr>
      <w:pBdr>
        <w:bottom w:val="single" w:color="auto" w:sz="4" w:space="0"/>
      </w:pBdr>
      <w:spacing w:before="100" w:beforeAutospacing="1" w:after="100" w:afterAutospacing="1" w:line="240" w:lineRule="auto"/>
      <w:ind w:firstLine="0"/>
    </w:pPr>
    <w:rPr>
      <w:b/>
      <w:bCs/>
      <w:sz w:val="20"/>
      <w:szCs w:val="20"/>
    </w:rPr>
  </w:style>
  <w:style w:type="paragraph" w:customStyle="1" w:styleId="1755">
    <w:name w:val="xl349"/>
    <w:basedOn w:val="1"/>
    <w:qFormat/>
    <w:uiPriority w:val="0"/>
    <w:pPr>
      <w:pBdr>
        <w:top w:val="single" w:color="auto" w:sz="4" w:space="0"/>
        <w:left w:val="single" w:color="auto" w:sz="4" w:space="0"/>
      </w:pBdr>
      <w:spacing w:before="100" w:beforeAutospacing="1" w:after="100" w:afterAutospacing="1" w:line="240" w:lineRule="auto"/>
      <w:ind w:firstLine="0"/>
      <w:jc w:val="center"/>
    </w:pPr>
    <w:rPr>
      <w:b/>
      <w:bCs/>
      <w:sz w:val="18"/>
      <w:szCs w:val="18"/>
    </w:rPr>
  </w:style>
  <w:style w:type="paragraph" w:customStyle="1" w:styleId="1756">
    <w:name w:val="xl350"/>
    <w:basedOn w:val="1"/>
    <w:qFormat/>
    <w:uiPriority w:val="0"/>
    <w:pPr>
      <w:pBdr>
        <w:top w:val="single" w:color="auto" w:sz="4"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757">
    <w:name w:val="xl351"/>
    <w:basedOn w:val="1"/>
    <w:qFormat/>
    <w:uiPriority w:val="0"/>
    <w:pPr>
      <w:pBdr>
        <w:top w:val="single" w:color="auto" w:sz="4" w:space="0"/>
        <w:left w:val="single" w:color="auto" w:sz="4" w:space="0"/>
      </w:pBdr>
      <w:spacing w:before="100" w:beforeAutospacing="1" w:after="100" w:afterAutospacing="1" w:line="240" w:lineRule="auto"/>
      <w:ind w:firstLine="0"/>
      <w:jc w:val="center"/>
    </w:pPr>
    <w:rPr>
      <w:b/>
      <w:bCs/>
      <w:sz w:val="18"/>
      <w:szCs w:val="18"/>
    </w:rPr>
  </w:style>
  <w:style w:type="paragraph" w:customStyle="1" w:styleId="1758">
    <w:name w:val="xl352"/>
    <w:basedOn w:val="1"/>
    <w:qFormat/>
    <w:uiPriority w:val="0"/>
    <w:pPr>
      <w:pBdr>
        <w:top w:val="single" w:color="auto" w:sz="4"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759">
    <w:name w:val="xl353"/>
    <w:basedOn w:val="1"/>
    <w:qFormat/>
    <w:uiPriority w:val="0"/>
    <w:pPr>
      <w:spacing w:before="100" w:beforeAutospacing="1" w:after="100" w:afterAutospacing="1" w:line="240" w:lineRule="auto"/>
      <w:ind w:firstLine="0"/>
      <w:jc w:val="center"/>
      <w:textAlignment w:val="center"/>
    </w:pPr>
    <w:rPr>
      <w:b/>
      <w:bCs/>
      <w:sz w:val="24"/>
      <w:szCs w:val="24"/>
    </w:rPr>
  </w:style>
  <w:style w:type="paragraph" w:customStyle="1" w:styleId="1760">
    <w:name w:val="xl3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textAlignment w:val="center"/>
    </w:pPr>
    <w:rPr>
      <w:sz w:val="14"/>
      <w:szCs w:val="14"/>
    </w:rPr>
  </w:style>
  <w:style w:type="paragraph" w:customStyle="1" w:styleId="1761">
    <w:name w:val="xl355"/>
    <w:basedOn w:val="1"/>
    <w:qFormat/>
    <w:uiPriority w:val="0"/>
    <w:pPr>
      <w:pBdr>
        <w:top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62">
    <w:name w:val="xl356"/>
    <w:basedOn w:val="1"/>
    <w:qFormat/>
    <w:uiPriority w:val="0"/>
    <w:pPr>
      <w:pBdr>
        <w:right w:val="single" w:color="auto" w:sz="4" w:space="0"/>
      </w:pBdr>
      <w:spacing w:before="100" w:beforeAutospacing="1" w:after="100" w:afterAutospacing="1" w:line="240" w:lineRule="auto"/>
      <w:ind w:firstLine="0"/>
      <w:jc w:val="center"/>
    </w:pPr>
    <w:rPr>
      <w:sz w:val="16"/>
      <w:szCs w:val="16"/>
    </w:rPr>
  </w:style>
  <w:style w:type="paragraph" w:customStyle="1" w:styleId="1763">
    <w:name w:val="xl357"/>
    <w:basedOn w:val="1"/>
    <w:qFormat/>
    <w:uiPriority w:val="0"/>
    <w:pPr>
      <w:pBdr>
        <w:bottom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64">
    <w:name w:val="xl358"/>
    <w:basedOn w:val="1"/>
    <w:qFormat/>
    <w:uiPriority w:val="0"/>
    <w:pPr>
      <w:pBdr>
        <w:top w:val="single" w:color="auto" w:sz="4" w:space="0"/>
        <w:left w:val="single" w:color="auto" w:sz="4" w:space="0"/>
      </w:pBdr>
      <w:shd w:val="clear" w:color="000000" w:fill="8DB4E3"/>
      <w:spacing w:before="100" w:beforeAutospacing="1" w:after="100" w:afterAutospacing="1" w:line="240" w:lineRule="auto"/>
      <w:ind w:firstLine="0"/>
      <w:jc w:val="right"/>
    </w:pPr>
    <w:rPr>
      <w:b/>
      <w:bCs/>
      <w:sz w:val="18"/>
      <w:szCs w:val="18"/>
    </w:rPr>
  </w:style>
  <w:style w:type="paragraph" w:customStyle="1" w:styleId="1765">
    <w:name w:val="xl359"/>
    <w:basedOn w:val="1"/>
    <w:qFormat/>
    <w:uiPriority w:val="0"/>
    <w:pPr>
      <w:pBdr>
        <w:top w:val="single" w:color="auto" w:sz="4" w:space="0"/>
      </w:pBdr>
      <w:shd w:val="clear" w:color="000000" w:fill="8DB4E3"/>
      <w:spacing w:before="100" w:beforeAutospacing="1" w:after="100" w:afterAutospacing="1" w:line="240" w:lineRule="auto"/>
      <w:ind w:firstLine="0"/>
      <w:jc w:val="right"/>
    </w:pPr>
    <w:rPr>
      <w:b/>
      <w:bCs/>
      <w:sz w:val="18"/>
      <w:szCs w:val="18"/>
    </w:rPr>
  </w:style>
  <w:style w:type="paragraph" w:customStyle="1" w:styleId="1766">
    <w:name w:val="xl360"/>
    <w:basedOn w:val="1"/>
    <w:qFormat/>
    <w:uiPriority w:val="0"/>
    <w:pPr>
      <w:pBdr>
        <w:top w:val="single" w:color="auto" w:sz="4" w:space="0"/>
        <w:right w:val="single" w:color="auto" w:sz="4" w:space="0"/>
      </w:pBdr>
      <w:shd w:val="clear" w:color="000000" w:fill="8DB4E3"/>
      <w:spacing w:before="100" w:beforeAutospacing="1" w:after="100" w:afterAutospacing="1" w:line="240" w:lineRule="auto"/>
      <w:ind w:firstLine="0"/>
      <w:jc w:val="right"/>
    </w:pPr>
    <w:rPr>
      <w:b/>
      <w:bCs/>
      <w:sz w:val="18"/>
      <w:szCs w:val="18"/>
    </w:rPr>
  </w:style>
  <w:style w:type="paragraph" w:customStyle="1" w:styleId="1767">
    <w:name w:val="xl361"/>
    <w:basedOn w:val="1"/>
    <w:qFormat/>
    <w:uiPriority w:val="0"/>
    <w:pPr>
      <w:pBdr>
        <w:top w:val="single" w:color="auto" w:sz="4" w:space="0"/>
        <w:left w:val="single" w:color="auto" w:sz="4" w:space="0"/>
        <w:right w:val="single" w:color="auto" w:sz="4" w:space="0"/>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1768">
    <w:name w:val="xl362"/>
    <w:basedOn w:val="1"/>
    <w:qFormat/>
    <w:uiPriority w:val="0"/>
    <w:pPr>
      <w:pBdr>
        <w:left w:val="single" w:color="auto" w:sz="4" w:space="0"/>
        <w:right w:val="single" w:color="auto" w:sz="4" w:space="0"/>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1769">
    <w:name w:val="xl363"/>
    <w:basedOn w:val="1"/>
    <w:qFormat/>
    <w:uiPriority w:val="0"/>
    <w:pPr>
      <w:pBdr>
        <w:top w:val="single" w:color="auto" w:sz="4" w:space="0"/>
        <w:left w:val="single" w:color="auto" w:sz="4" w:space="0"/>
        <w:right w:val="single" w:color="auto" w:sz="4" w:space="0"/>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1770">
    <w:name w:val="xl364"/>
    <w:basedOn w:val="1"/>
    <w:qFormat/>
    <w:uiPriority w:val="0"/>
    <w:pPr>
      <w:pBdr>
        <w:left w:val="single" w:color="auto" w:sz="4" w:space="0"/>
        <w:right w:val="single" w:color="auto" w:sz="4" w:space="0"/>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1771">
    <w:name w:val="xl365"/>
    <w:basedOn w:val="1"/>
    <w:qFormat/>
    <w:uiPriority w:val="0"/>
    <w:pPr>
      <w:pBdr>
        <w:top w:val="single" w:color="auto" w:sz="4" w:space="0"/>
        <w:left w:val="single" w:color="auto" w:sz="4" w:space="0"/>
      </w:pBdr>
      <w:shd w:val="clear" w:color="000000" w:fill="C5D9F1"/>
      <w:spacing w:before="100" w:beforeAutospacing="1" w:after="100" w:afterAutospacing="1" w:line="240" w:lineRule="auto"/>
      <w:ind w:firstLine="0"/>
      <w:jc w:val="center"/>
    </w:pPr>
    <w:rPr>
      <w:b/>
      <w:bCs/>
      <w:sz w:val="18"/>
      <w:szCs w:val="18"/>
    </w:rPr>
  </w:style>
  <w:style w:type="paragraph" w:customStyle="1" w:styleId="1772">
    <w:name w:val="xl366"/>
    <w:basedOn w:val="1"/>
    <w:qFormat/>
    <w:uiPriority w:val="0"/>
    <w:pPr>
      <w:pBdr>
        <w:top w:val="single" w:color="auto" w:sz="4" w:space="0"/>
        <w:right w:val="single" w:color="auto" w:sz="4" w:space="0"/>
      </w:pBdr>
      <w:shd w:val="clear" w:color="000000" w:fill="C5D9F1"/>
      <w:spacing w:before="100" w:beforeAutospacing="1" w:after="100" w:afterAutospacing="1" w:line="240" w:lineRule="auto"/>
      <w:ind w:firstLine="0"/>
      <w:jc w:val="center"/>
    </w:pPr>
    <w:rPr>
      <w:b/>
      <w:bCs/>
      <w:sz w:val="18"/>
      <w:szCs w:val="18"/>
    </w:rPr>
  </w:style>
  <w:style w:type="paragraph" w:customStyle="1" w:styleId="1773">
    <w:name w:val="xl367"/>
    <w:basedOn w:val="1"/>
    <w:qFormat/>
    <w:uiPriority w:val="0"/>
    <w:pPr>
      <w:pBdr>
        <w:top w:val="single" w:color="auto" w:sz="4" w:space="0"/>
        <w:left w:val="single" w:color="auto" w:sz="4" w:space="0"/>
        <w:bottom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774">
    <w:name w:val="xl368"/>
    <w:basedOn w:val="1"/>
    <w:qFormat/>
    <w:uiPriority w:val="0"/>
    <w:pPr>
      <w:pBdr>
        <w:top w:val="single" w:color="auto" w:sz="4" w:space="0"/>
        <w:bottom w:val="single" w:color="auto" w:sz="4" w:space="0"/>
        <w:right w:val="single" w:color="auto" w:sz="4" w:space="0"/>
      </w:pBdr>
      <w:shd w:val="clear" w:color="000000" w:fill="FDE9D9"/>
      <w:spacing w:before="100" w:beforeAutospacing="1" w:after="100" w:afterAutospacing="1" w:line="240" w:lineRule="auto"/>
      <w:ind w:firstLine="0"/>
      <w:jc w:val="center"/>
    </w:pPr>
    <w:rPr>
      <w:b/>
      <w:bCs/>
      <w:sz w:val="16"/>
      <w:szCs w:val="16"/>
    </w:rPr>
  </w:style>
  <w:style w:type="paragraph" w:customStyle="1" w:styleId="1775">
    <w:name w:val="xl369"/>
    <w:basedOn w:val="1"/>
    <w:qFormat/>
    <w:uiPriority w:val="0"/>
    <w:pPr>
      <w:spacing w:before="100" w:beforeAutospacing="1" w:after="100" w:afterAutospacing="1" w:line="240" w:lineRule="auto"/>
      <w:ind w:firstLine="0"/>
    </w:pPr>
    <w:rPr>
      <w:sz w:val="20"/>
      <w:szCs w:val="20"/>
    </w:rPr>
  </w:style>
  <w:style w:type="paragraph" w:customStyle="1" w:styleId="1776">
    <w:name w:val="xl370"/>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777">
    <w:name w:val="xl371"/>
    <w:basedOn w:val="1"/>
    <w:qFormat/>
    <w:uiPriority w:val="0"/>
    <w:pPr>
      <w:pBdr>
        <w:left w:val="single" w:color="auto" w:sz="4"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778">
    <w:name w:val="xl37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8"/>
      <w:szCs w:val="18"/>
    </w:rPr>
  </w:style>
  <w:style w:type="paragraph" w:customStyle="1" w:styleId="1779">
    <w:name w:val="xl373"/>
    <w:basedOn w:val="1"/>
    <w:qFormat/>
    <w:uiPriority w:val="0"/>
    <w:pPr>
      <w:pBdr>
        <w:top w:val="single" w:color="auto" w:sz="8" w:space="0"/>
        <w:left w:val="single" w:color="auto" w:sz="8" w:space="0"/>
        <w:bottom w:val="single" w:color="auto" w:sz="8" w:space="0"/>
        <w:right w:val="single" w:color="auto" w:sz="4" w:space="0"/>
      </w:pBdr>
      <w:spacing w:before="100" w:beforeAutospacing="1" w:after="100" w:afterAutospacing="1" w:line="240" w:lineRule="auto"/>
      <w:ind w:firstLine="0"/>
    </w:pPr>
    <w:rPr>
      <w:b/>
      <w:bCs/>
      <w:sz w:val="20"/>
      <w:szCs w:val="20"/>
    </w:rPr>
  </w:style>
  <w:style w:type="paragraph" w:customStyle="1" w:styleId="1780">
    <w:name w:val="xl374"/>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line="240" w:lineRule="auto"/>
      <w:ind w:firstLine="0"/>
    </w:pPr>
    <w:rPr>
      <w:b/>
      <w:bCs/>
      <w:sz w:val="20"/>
      <w:szCs w:val="20"/>
    </w:rPr>
  </w:style>
  <w:style w:type="paragraph" w:customStyle="1" w:styleId="1781">
    <w:name w:val="xl375"/>
    <w:basedOn w:val="1"/>
    <w:qFormat/>
    <w:uiPriority w:val="0"/>
    <w:pPr>
      <w:pBdr>
        <w:top w:val="single" w:color="auto" w:sz="8" w:space="0"/>
        <w:left w:val="single" w:color="auto" w:sz="4" w:space="0"/>
        <w:bottom w:val="single" w:color="auto" w:sz="8" w:space="0"/>
        <w:right w:val="single" w:color="auto" w:sz="8" w:space="0"/>
      </w:pBdr>
      <w:spacing w:before="100" w:beforeAutospacing="1" w:after="100" w:afterAutospacing="1" w:line="240" w:lineRule="auto"/>
      <w:ind w:firstLine="0"/>
    </w:pPr>
    <w:rPr>
      <w:b/>
      <w:bCs/>
      <w:sz w:val="20"/>
      <w:szCs w:val="20"/>
    </w:rPr>
  </w:style>
  <w:style w:type="paragraph" w:customStyle="1" w:styleId="1782">
    <w:name w:val="xl376"/>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1783">
    <w:name w:val="xl377"/>
    <w:basedOn w:val="1"/>
    <w:qFormat/>
    <w:uiPriority w:val="0"/>
    <w:pPr>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1784">
    <w:name w:val="xl378"/>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b/>
      <w:bCs/>
      <w:sz w:val="24"/>
      <w:szCs w:val="24"/>
    </w:rPr>
  </w:style>
  <w:style w:type="paragraph" w:customStyle="1" w:styleId="1785">
    <w:name w:val="xl379"/>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24"/>
      <w:szCs w:val="24"/>
    </w:rPr>
  </w:style>
  <w:style w:type="paragraph" w:customStyle="1" w:styleId="1786">
    <w:name w:val="xl380"/>
    <w:basedOn w:val="1"/>
    <w:qFormat/>
    <w:uiPriority w:val="0"/>
    <w:pPr>
      <w:pBdr>
        <w:top w:val="single" w:color="auto" w:sz="4" w:space="0"/>
        <w:left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87">
    <w:name w:val="xl381"/>
    <w:basedOn w:val="1"/>
    <w:qFormat/>
    <w:uiPriority w:val="0"/>
    <w:pPr>
      <w:pBdr>
        <w:left w:val="single" w:color="auto" w:sz="4" w:space="0"/>
        <w:right w:val="single" w:color="auto" w:sz="4" w:space="0"/>
      </w:pBdr>
      <w:spacing w:before="100" w:beforeAutospacing="1" w:after="100" w:afterAutospacing="1" w:line="240" w:lineRule="auto"/>
      <w:ind w:firstLine="0"/>
    </w:pPr>
    <w:rPr>
      <w:sz w:val="14"/>
      <w:szCs w:val="14"/>
    </w:rPr>
  </w:style>
  <w:style w:type="paragraph" w:customStyle="1" w:styleId="1788">
    <w:name w:val="xl38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pPr>
    <w:rPr>
      <w:sz w:val="14"/>
      <w:szCs w:val="14"/>
    </w:rPr>
  </w:style>
  <w:style w:type="paragraph" w:customStyle="1" w:styleId="1789">
    <w:name w:val="xl383"/>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 w:val="14"/>
      <w:szCs w:val="14"/>
    </w:rPr>
  </w:style>
  <w:style w:type="paragraph" w:customStyle="1" w:styleId="1790">
    <w:name w:val="xl384"/>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 w:val="14"/>
      <w:szCs w:val="14"/>
    </w:rPr>
  </w:style>
  <w:style w:type="paragraph" w:customStyle="1" w:styleId="1791">
    <w:name w:val="xl385"/>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 w:val="14"/>
      <w:szCs w:val="14"/>
    </w:rPr>
  </w:style>
  <w:style w:type="paragraph" w:customStyle="1" w:styleId="1792">
    <w:name w:val="xl386"/>
    <w:basedOn w:val="1"/>
    <w:qFormat/>
    <w:uiPriority w:val="0"/>
    <w:pPr>
      <w:pBdr>
        <w:top w:val="single" w:color="auto" w:sz="4" w:space="0"/>
        <w:bottom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93">
    <w:name w:val="xl387"/>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94">
    <w:name w:val="xl388"/>
    <w:basedOn w:val="1"/>
    <w:qFormat/>
    <w:uiPriority w:val="0"/>
    <w:pPr>
      <w:pBdr>
        <w:top w:val="single" w:color="auto" w:sz="4" w:space="0"/>
        <w:left w:val="single" w:color="auto" w:sz="4" w:space="0"/>
        <w:bottom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95">
    <w:name w:val="xl389"/>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96">
    <w:name w:val="xl390"/>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 w:val="16"/>
      <w:szCs w:val="16"/>
    </w:rPr>
  </w:style>
  <w:style w:type="paragraph" w:customStyle="1" w:styleId="1797">
    <w:name w:val="xl391"/>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98">
    <w:name w:val="xl392"/>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799">
    <w:name w:val="xl39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4"/>
      <w:szCs w:val="14"/>
    </w:rPr>
  </w:style>
  <w:style w:type="paragraph" w:customStyle="1" w:styleId="1800">
    <w:name w:val="xl394"/>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801">
    <w:name w:val="xl395"/>
    <w:basedOn w:val="1"/>
    <w:qFormat/>
    <w:uiPriority w:val="0"/>
    <w:pPr>
      <w:pBdr>
        <w:left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802">
    <w:name w:val="xl39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803">
    <w:name w:val="xl397"/>
    <w:basedOn w:val="1"/>
    <w:qFormat/>
    <w:uiPriority w:val="0"/>
    <w:pPr>
      <w:pBdr>
        <w:left w:val="single" w:color="auto" w:sz="4" w:space="0"/>
      </w:pBdr>
      <w:spacing w:before="100" w:beforeAutospacing="1" w:after="100" w:afterAutospacing="1" w:line="240" w:lineRule="auto"/>
      <w:ind w:firstLine="0"/>
    </w:pPr>
    <w:rPr>
      <w:sz w:val="14"/>
      <w:szCs w:val="14"/>
    </w:rPr>
  </w:style>
  <w:style w:type="paragraph" w:customStyle="1" w:styleId="1804">
    <w:name w:val="xl398"/>
    <w:basedOn w:val="1"/>
    <w:qFormat/>
    <w:uiPriority w:val="0"/>
    <w:pPr>
      <w:pBdr>
        <w:left w:val="single" w:color="auto" w:sz="4" w:space="0"/>
        <w:bottom w:val="single" w:color="auto" w:sz="4" w:space="0"/>
      </w:pBdr>
      <w:spacing w:before="100" w:beforeAutospacing="1" w:after="100" w:afterAutospacing="1" w:line="240" w:lineRule="auto"/>
      <w:ind w:firstLine="0"/>
    </w:pPr>
    <w:rPr>
      <w:sz w:val="14"/>
      <w:szCs w:val="14"/>
    </w:rPr>
  </w:style>
  <w:style w:type="paragraph" w:customStyle="1" w:styleId="1805">
    <w:name w:val="xl399"/>
    <w:basedOn w:val="1"/>
    <w:qFormat/>
    <w:uiPriority w:val="0"/>
    <w:pPr>
      <w:pBdr>
        <w:top w:val="single" w:color="auto" w:sz="4" w:space="0"/>
        <w:bottom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806">
    <w:name w:val="xl400"/>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pPr>
    <w:rPr>
      <w:sz w:val="14"/>
      <w:szCs w:val="14"/>
    </w:rPr>
  </w:style>
  <w:style w:type="paragraph" w:customStyle="1" w:styleId="1807">
    <w:name w:val="xl4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16"/>
      <w:szCs w:val="16"/>
    </w:rPr>
  </w:style>
  <w:style w:type="paragraph" w:customStyle="1" w:styleId="1808">
    <w:name w:val="xl40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809">
    <w:name w:val="xl403"/>
    <w:basedOn w:val="1"/>
    <w:qFormat/>
    <w:uiPriority w:val="0"/>
    <w:pPr>
      <w:pBdr>
        <w:left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810">
    <w:name w:val="xl40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811">
    <w:name w:val="xl4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16"/>
      <w:szCs w:val="16"/>
    </w:rPr>
  </w:style>
  <w:style w:type="paragraph" w:customStyle="1" w:styleId="1812">
    <w:name w:val="xl406"/>
    <w:basedOn w:val="1"/>
    <w:qFormat/>
    <w:uiPriority w:val="0"/>
    <w:pPr>
      <w:pBdr>
        <w:top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813">
    <w:name w:val="xl407"/>
    <w:basedOn w:val="1"/>
    <w:qFormat/>
    <w:uiPriority w:val="0"/>
    <w:pPr>
      <w:pBdr>
        <w:right w:val="single" w:color="auto" w:sz="4" w:space="0"/>
      </w:pBdr>
      <w:spacing w:before="100" w:beforeAutospacing="1" w:after="100" w:afterAutospacing="1" w:line="240" w:lineRule="auto"/>
      <w:ind w:firstLine="0"/>
      <w:jc w:val="center"/>
    </w:pPr>
    <w:rPr>
      <w:b/>
      <w:bCs/>
      <w:sz w:val="16"/>
      <w:szCs w:val="16"/>
    </w:rPr>
  </w:style>
  <w:style w:type="paragraph" w:customStyle="1" w:styleId="1814">
    <w:name w:val="xl408"/>
    <w:basedOn w:val="1"/>
    <w:qFormat/>
    <w:uiPriority w:val="0"/>
    <w:pPr>
      <w:pBdr>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815">
    <w:name w:val="xl4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16"/>
      <w:szCs w:val="16"/>
    </w:rPr>
  </w:style>
  <w:style w:type="paragraph" w:customStyle="1" w:styleId="1816">
    <w:name w:val="xl410"/>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1817">
    <w:name w:val="xl411"/>
    <w:basedOn w:val="1"/>
    <w:qFormat/>
    <w:uiPriority w:val="0"/>
    <w:pPr>
      <w:pBdr>
        <w:left w:val="single" w:color="auto" w:sz="4" w:space="0"/>
        <w:right w:val="single" w:color="auto" w:sz="4" w:space="0"/>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1818">
    <w:name w:val="xl412"/>
    <w:basedOn w:val="1"/>
    <w:qFormat/>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1819">
    <w:name w:val="xl413"/>
    <w:basedOn w:val="1"/>
    <w:qFormat/>
    <w:uiPriority w:val="0"/>
    <w:pPr>
      <w:pBdr>
        <w:top w:val="single" w:color="auto" w:sz="4" w:space="0"/>
      </w:pBdr>
      <w:spacing w:before="100" w:beforeAutospacing="1" w:after="100" w:afterAutospacing="1" w:line="240" w:lineRule="auto"/>
      <w:ind w:firstLine="0"/>
      <w:jc w:val="center"/>
    </w:pPr>
    <w:rPr>
      <w:b/>
      <w:bCs/>
      <w:sz w:val="20"/>
      <w:szCs w:val="20"/>
    </w:rPr>
  </w:style>
  <w:style w:type="paragraph" w:customStyle="1" w:styleId="1820">
    <w:name w:val="xl414"/>
    <w:basedOn w:val="1"/>
    <w:qFormat/>
    <w:uiPriority w:val="0"/>
    <w:pPr>
      <w:pBdr>
        <w:bottom w:val="single" w:color="auto" w:sz="4" w:space="0"/>
      </w:pBdr>
      <w:spacing w:before="100" w:beforeAutospacing="1" w:after="100" w:afterAutospacing="1" w:line="240" w:lineRule="auto"/>
      <w:ind w:firstLine="0"/>
      <w:jc w:val="center"/>
    </w:pPr>
    <w:rPr>
      <w:b/>
      <w:bCs/>
      <w:sz w:val="20"/>
      <w:szCs w:val="20"/>
    </w:rPr>
  </w:style>
  <w:style w:type="paragraph" w:customStyle="1" w:styleId="1821">
    <w:name w:val="xl415"/>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jc w:val="center"/>
    </w:pPr>
    <w:rPr>
      <w:b/>
      <w:bCs/>
      <w:sz w:val="20"/>
      <w:szCs w:val="20"/>
    </w:rPr>
  </w:style>
  <w:style w:type="paragraph" w:customStyle="1" w:styleId="1822">
    <w:name w:val="xl416"/>
    <w:basedOn w:val="1"/>
    <w:qFormat/>
    <w:uiPriority w:val="0"/>
    <w:pPr>
      <w:pBdr>
        <w:left w:val="single" w:color="auto" w:sz="4" w:space="0"/>
        <w:right w:val="single" w:color="auto" w:sz="4" w:space="0"/>
      </w:pBdr>
      <w:shd w:val="clear" w:color="000000" w:fill="FFFF00"/>
      <w:spacing w:before="100" w:beforeAutospacing="1" w:after="100" w:afterAutospacing="1" w:line="240" w:lineRule="auto"/>
      <w:ind w:firstLine="0"/>
      <w:jc w:val="center"/>
    </w:pPr>
    <w:rPr>
      <w:b/>
      <w:bCs/>
      <w:sz w:val="20"/>
      <w:szCs w:val="20"/>
    </w:rPr>
  </w:style>
  <w:style w:type="paragraph" w:customStyle="1" w:styleId="1823">
    <w:name w:val="xl417"/>
    <w:basedOn w:val="1"/>
    <w:qFormat/>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pPr>
    <w:rPr>
      <w:b/>
      <w:bCs/>
      <w:sz w:val="20"/>
      <w:szCs w:val="20"/>
    </w:rPr>
  </w:style>
  <w:style w:type="paragraph" w:customStyle="1" w:styleId="1824">
    <w:name w:val="xl418"/>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jc w:val="center"/>
    </w:pPr>
    <w:rPr>
      <w:sz w:val="16"/>
      <w:szCs w:val="16"/>
    </w:rPr>
  </w:style>
  <w:style w:type="paragraph" w:customStyle="1" w:styleId="1825">
    <w:name w:val="xl419"/>
    <w:basedOn w:val="1"/>
    <w:qFormat/>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jc w:val="center"/>
    </w:pPr>
    <w:rPr>
      <w:sz w:val="16"/>
      <w:szCs w:val="16"/>
    </w:rPr>
  </w:style>
  <w:style w:type="table" w:customStyle="1" w:styleId="1826">
    <w:name w:val="Сетка таблицы40"/>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7">
    <w:name w:val="Сетка таблицы50"/>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8">
    <w:name w:val="Сетка таблицы37"/>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Table Normal50"/>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0">
    <w:name w:val="Table Normal57"/>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1">
    <w:name w:val="Table Normal58"/>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2">
    <w:name w:val="Table Normal59"/>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3">
    <w:name w:val="Table Normal60"/>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4">
    <w:name w:val="Table Normal67"/>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5">
    <w:name w:val="Table Normal68"/>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6">
    <w:name w:val="Table Normal69"/>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7">
    <w:name w:val="Table Normal70"/>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38">
    <w:name w:val="Сетка таблицы38"/>
    <w:basedOn w:val="12"/>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39">
    <w:name w:val="Текст в таблице"/>
    <w:basedOn w:val="1"/>
    <w:link w:val="1840"/>
    <w:qFormat/>
    <w:uiPriority w:val="0"/>
    <w:pPr>
      <w:spacing w:after="0" w:line="240" w:lineRule="auto"/>
      <w:ind w:firstLine="0"/>
      <w:jc w:val="center"/>
    </w:pPr>
    <w:rPr>
      <w:rFonts w:eastAsia="Calibri"/>
      <w:sz w:val="24"/>
      <w:lang w:eastAsia="en-US"/>
    </w:rPr>
  </w:style>
  <w:style w:type="character" w:customStyle="1" w:styleId="1840">
    <w:name w:val="Текст в таблице Знак"/>
    <w:basedOn w:val="11"/>
    <w:link w:val="1839"/>
    <w:uiPriority w:val="0"/>
    <w:rPr>
      <w:rFonts w:ascii="Times New Roman" w:hAnsi="Times New Roman" w:eastAsia="Calibri" w:cs="Times New Roman"/>
      <w:sz w:val="24"/>
    </w:rPr>
  </w:style>
  <w:style w:type="paragraph" w:customStyle="1" w:styleId="1841">
    <w:name w:val="Заголовок вне структуры"/>
    <w:basedOn w:val="58"/>
    <w:next w:val="58"/>
    <w:qFormat/>
    <w:uiPriority w:val="0"/>
    <w:pPr>
      <w:keepNext/>
      <w:spacing w:after="0"/>
      <w:ind w:firstLine="567"/>
      <w:contextualSpacing/>
    </w:pPr>
    <w:rPr>
      <w:rFonts w:eastAsia="Calibri"/>
      <w:b/>
      <w:sz w:val="24"/>
      <w:szCs w:val="22"/>
      <w:lang w:val="ru-RU" w:eastAsia="en-US"/>
    </w:rPr>
  </w:style>
  <w:style w:type="paragraph" w:customStyle="1" w:styleId="1842">
    <w:name w:val="Формула"/>
    <w:basedOn w:val="1"/>
    <w:next w:val="58"/>
    <w:link w:val="1843"/>
    <w:qFormat/>
    <w:uiPriority w:val="0"/>
    <w:pPr>
      <w:spacing w:before="120" w:after="120" w:line="276" w:lineRule="auto"/>
      <w:ind w:firstLine="0"/>
      <w:jc w:val="center"/>
    </w:pPr>
    <w:rPr>
      <w:rFonts w:ascii="Cambria Math" w:hAnsi="Cambria Math" w:eastAsia="Calibri"/>
      <w:sz w:val="24"/>
      <w:lang w:eastAsia="en-US"/>
    </w:rPr>
  </w:style>
  <w:style w:type="character" w:customStyle="1" w:styleId="1843">
    <w:name w:val="Формула Знак"/>
    <w:basedOn w:val="11"/>
    <w:link w:val="1842"/>
    <w:uiPriority w:val="0"/>
    <w:rPr>
      <w:rFonts w:ascii="Cambria Math" w:hAnsi="Cambria Math" w:eastAsia="Calibri" w:cs="Times New Roman"/>
      <w:sz w:val="24"/>
    </w:rPr>
  </w:style>
  <w:style w:type="character" w:customStyle="1" w:styleId="1844">
    <w:name w:val="Рисунок Знак"/>
    <w:basedOn w:val="11"/>
    <w:link w:val="1065"/>
    <w:uiPriority w:val="0"/>
    <w:rPr>
      <w:rFonts w:ascii="Arial" w:hAnsi="Arial" w:eastAsia="Times New Roman" w:cs="Arial"/>
      <w:spacing w:val="-5"/>
      <w:sz w:val="20"/>
      <w:szCs w:val="20"/>
    </w:rPr>
  </w:style>
  <w:style w:type="table" w:customStyle="1" w:styleId="1845">
    <w:name w:val="Сетка таблицы410"/>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46">
    <w:name w:val="Жирное выделение"/>
    <w:basedOn w:val="11"/>
    <w:qFormat/>
    <w:uiPriority w:val="1"/>
    <w:rPr>
      <w:b/>
    </w:rPr>
  </w:style>
  <w:style w:type="paragraph" w:customStyle="1" w:styleId="1847">
    <w:name w:val="Цитата 21"/>
    <w:basedOn w:val="1"/>
    <w:next w:val="1"/>
    <w:qFormat/>
    <w:uiPriority w:val="0"/>
    <w:pPr>
      <w:spacing w:before="200" w:after="160" w:line="240" w:lineRule="auto"/>
      <w:ind w:left="864" w:right="864" w:firstLine="0"/>
      <w:jc w:val="center"/>
    </w:pPr>
    <w:rPr>
      <w:rFonts w:eastAsia="Calibri"/>
      <w:i/>
      <w:iCs/>
      <w:color w:val="404040"/>
      <w:sz w:val="24"/>
      <w:lang w:eastAsia="en-US"/>
    </w:rPr>
  </w:style>
  <w:style w:type="character" w:customStyle="1" w:styleId="1848">
    <w:name w:val="Цитата 2 Знак"/>
    <w:basedOn w:val="11"/>
    <w:link w:val="1849"/>
    <w:uiPriority w:val="29"/>
    <w:rPr>
      <w:rFonts w:cs="Times New Roman"/>
      <w:bCs/>
      <w:i/>
      <w:iCs/>
      <w:color w:val="404040"/>
      <w:szCs w:val="22"/>
    </w:rPr>
  </w:style>
  <w:style w:type="paragraph" w:styleId="1849">
    <w:name w:val="Quote"/>
    <w:basedOn w:val="1"/>
    <w:next w:val="1"/>
    <w:link w:val="1848"/>
    <w:qFormat/>
    <w:uiPriority w:val="29"/>
    <w:pPr>
      <w:spacing w:before="200" w:after="160"/>
      <w:ind w:left="864" w:right="864"/>
      <w:jc w:val="center"/>
    </w:pPr>
    <w:rPr>
      <w:rFonts w:asciiTheme="minorHAnsi" w:hAnsiTheme="minorHAnsi" w:eastAsiaTheme="minorHAnsi"/>
      <w:bCs/>
      <w:i/>
      <w:iCs/>
      <w:color w:val="404040"/>
      <w:sz w:val="22"/>
      <w:lang w:eastAsia="en-US"/>
    </w:rPr>
  </w:style>
  <w:style w:type="paragraph" w:customStyle="1" w:styleId="1850">
    <w:name w:val="Выделенная цитата1"/>
    <w:basedOn w:val="1"/>
    <w:next w:val="1"/>
    <w:qFormat/>
    <w:uiPriority w:val="0"/>
    <w:pPr>
      <w:pBdr>
        <w:top w:val="single" w:color="4F81BD" w:sz="4" w:space="10"/>
        <w:bottom w:val="single" w:color="4F81BD" w:sz="4" w:space="10"/>
      </w:pBdr>
      <w:spacing w:before="360" w:after="360" w:line="240" w:lineRule="auto"/>
      <w:ind w:left="864" w:right="864" w:firstLine="0"/>
      <w:jc w:val="center"/>
    </w:pPr>
    <w:rPr>
      <w:rFonts w:eastAsia="Calibri"/>
      <w:i/>
      <w:iCs/>
      <w:color w:val="4F81BD"/>
      <w:sz w:val="24"/>
      <w:lang w:eastAsia="en-US"/>
    </w:rPr>
  </w:style>
  <w:style w:type="character" w:customStyle="1" w:styleId="1851">
    <w:name w:val="Выделенная цитата Знак"/>
    <w:basedOn w:val="11"/>
    <w:link w:val="1852"/>
    <w:uiPriority w:val="30"/>
    <w:rPr>
      <w:rFonts w:cs="Times New Roman"/>
      <w:bCs/>
      <w:i/>
      <w:iCs/>
      <w:color w:val="4F81BD"/>
      <w:szCs w:val="22"/>
    </w:rPr>
  </w:style>
  <w:style w:type="paragraph" w:styleId="1852">
    <w:name w:val="Intense Quote"/>
    <w:basedOn w:val="1"/>
    <w:next w:val="1"/>
    <w:link w:val="1851"/>
    <w:qFormat/>
    <w:uiPriority w:val="30"/>
    <w:pPr>
      <w:pBdr>
        <w:top w:val="single" w:color="4472C4" w:themeColor="accent1" w:sz="4" w:space="10"/>
        <w:bottom w:val="single" w:color="4472C4" w:themeColor="accent1" w:sz="4" w:space="10"/>
      </w:pBdr>
      <w:spacing w:before="360" w:after="360"/>
      <w:ind w:left="864" w:right="864"/>
      <w:jc w:val="center"/>
    </w:pPr>
    <w:rPr>
      <w:rFonts w:asciiTheme="minorHAnsi" w:hAnsiTheme="minorHAnsi" w:eastAsiaTheme="minorHAnsi"/>
      <w:bCs/>
      <w:i/>
      <w:iCs/>
      <w:color w:val="4F81BD"/>
      <w:sz w:val="22"/>
      <w:lang w:eastAsia="en-US"/>
    </w:rPr>
  </w:style>
  <w:style w:type="character" w:customStyle="1" w:styleId="1853">
    <w:name w:val="Слабое выделение1"/>
    <w:basedOn w:val="11"/>
    <w:qFormat/>
    <w:uiPriority w:val="0"/>
    <w:rPr>
      <w:i/>
      <w:iCs/>
      <w:color w:val="404040"/>
    </w:rPr>
  </w:style>
  <w:style w:type="character" w:customStyle="1" w:styleId="1854">
    <w:name w:val="Сильное выделение1"/>
    <w:basedOn w:val="11"/>
    <w:uiPriority w:val="0"/>
    <w:rPr>
      <w:i/>
      <w:iCs/>
      <w:color w:val="4F81BD"/>
    </w:rPr>
  </w:style>
  <w:style w:type="character" w:customStyle="1" w:styleId="1855">
    <w:name w:val="Слабая ссылка1"/>
    <w:basedOn w:val="11"/>
    <w:qFormat/>
    <w:uiPriority w:val="0"/>
    <w:rPr>
      <w:smallCaps/>
      <w:color w:val="5A5A5A"/>
    </w:rPr>
  </w:style>
  <w:style w:type="character" w:customStyle="1" w:styleId="1856">
    <w:name w:val="Сильная ссылка1"/>
    <w:basedOn w:val="11"/>
    <w:qFormat/>
    <w:uiPriority w:val="0"/>
    <w:rPr>
      <w:b/>
      <w:smallCaps/>
      <w:color w:val="4F81BD"/>
      <w:spacing w:val="5"/>
    </w:rPr>
  </w:style>
  <w:style w:type="character" w:customStyle="1" w:styleId="1857">
    <w:name w:val="Book Title"/>
    <w:basedOn w:val="11"/>
    <w:qFormat/>
    <w:uiPriority w:val="33"/>
    <w:rPr>
      <w:b/>
      <w:i/>
      <w:iCs/>
      <w:spacing w:val="5"/>
    </w:rPr>
  </w:style>
  <w:style w:type="paragraph" w:customStyle="1" w:styleId="1858">
    <w:name w:val="Рецензия1"/>
    <w:next w:val="1859"/>
    <w:hidden/>
    <w:semiHidden/>
    <w:qFormat/>
    <w:uiPriority w:val="0"/>
    <w:pPr>
      <w:spacing w:after="0" w:line="240" w:lineRule="auto"/>
    </w:pPr>
    <w:rPr>
      <w:rFonts w:ascii="Times New Roman" w:hAnsi="Times New Roman" w:eastAsiaTheme="minorHAnsi" w:cstheme="minorBidi"/>
      <w:sz w:val="24"/>
      <w:szCs w:val="22"/>
      <w:lang w:val="ru-RU" w:eastAsia="en-US" w:bidi="ar-SA"/>
    </w:rPr>
  </w:style>
  <w:style w:type="paragraph" w:customStyle="1" w:styleId="1859">
    <w:name w:val="Revision"/>
    <w:hidden/>
    <w:semiHidden/>
    <w:uiPriority w:val="99"/>
    <w:pPr>
      <w:spacing w:after="0" w:line="240" w:lineRule="auto"/>
    </w:pPr>
    <w:rPr>
      <w:rFonts w:ascii="Times New Roman" w:hAnsi="Times New Roman" w:eastAsia="Times New Roman" w:cs="Times New Roman"/>
      <w:sz w:val="28"/>
      <w:szCs w:val="22"/>
      <w:lang w:val="ru-RU" w:eastAsia="ru-RU" w:bidi="ar-SA"/>
    </w:rPr>
  </w:style>
  <w:style w:type="paragraph" w:customStyle="1" w:styleId="1860">
    <w:name w:val="Заголовок_приложение"/>
    <w:basedOn w:val="58"/>
    <w:qFormat/>
    <w:uiPriority w:val="0"/>
    <w:pPr>
      <w:numPr>
        <w:ilvl w:val="0"/>
        <w:numId w:val="23"/>
      </w:numPr>
      <w:spacing w:after="0"/>
      <w:ind w:left="432" w:hanging="432"/>
      <w:contextualSpacing/>
      <w:outlineLvl w:val="0"/>
    </w:pPr>
    <w:rPr>
      <w:rFonts w:eastAsia="Calibri"/>
      <w:b/>
      <w:caps/>
      <w:sz w:val="28"/>
      <w:szCs w:val="22"/>
      <w:lang w:val="ru-RU" w:eastAsia="en-US"/>
    </w:rPr>
  </w:style>
  <w:style w:type="paragraph" w:customStyle="1" w:styleId="1861">
    <w:name w:val="Название рисунка приложение"/>
    <w:basedOn w:val="232"/>
    <w:next w:val="58"/>
    <w:qFormat/>
    <w:uiPriority w:val="0"/>
    <w:pPr>
      <w:keepLines/>
      <w:numPr>
        <w:ilvl w:val="4"/>
        <w:numId w:val="23"/>
      </w:numPr>
      <w:suppressAutoHyphens/>
      <w:spacing w:after="0"/>
      <w:ind w:left="1008" w:hanging="1008"/>
      <w:contextualSpacing/>
    </w:pPr>
    <w:rPr>
      <w:b w:val="0"/>
      <w:bCs w:val="0"/>
      <w:szCs w:val="22"/>
    </w:rPr>
  </w:style>
  <w:style w:type="paragraph" w:customStyle="1" w:styleId="1862">
    <w:name w:val="Название таблицы приложение"/>
    <w:basedOn w:val="231"/>
    <w:qFormat/>
    <w:uiPriority w:val="0"/>
    <w:pPr>
      <w:keepNext/>
      <w:numPr>
        <w:ilvl w:val="5"/>
        <w:numId w:val="23"/>
      </w:numPr>
      <w:spacing w:before="120" w:after="0" w:line="360" w:lineRule="auto"/>
      <w:ind w:left="1152" w:hanging="1152"/>
    </w:pPr>
    <w:rPr>
      <w:rFonts w:ascii="Times New Roman" w:hAnsi="Times New Roman"/>
      <w:b w:val="0"/>
      <w:bCs w:val="0"/>
      <w:szCs w:val="22"/>
    </w:rPr>
  </w:style>
  <w:style w:type="paragraph" w:customStyle="1" w:styleId="1863">
    <w:name w:val="Заголовок жирный без номера"/>
    <w:basedOn w:val="58"/>
    <w:next w:val="58"/>
    <w:qFormat/>
    <w:uiPriority w:val="0"/>
    <w:pPr>
      <w:spacing w:after="0"/>
      <w:ind w:firstLine="567"/>
      <w:contextualSpacing/>
      <w:jc w:val="left"/>
      <w:outlineLvl w:val="0"/>
    </w:pPr>
    <w:rPr>
      <w:rFonts w:eastAsia="Calibri"/>
      <w:b/>
      <w:caps/>
      <w:sz w:val="32"/>
      <w:szCs w:val="22"/>
      <w:lang w:val="ru-RU" w:eastAsia="en-US"/>
    </w:rPr>
  </w:style>
  <w:style w:type="paragraph" w:customStyle="1" w:styleId="1864">
    <w:name w:val="Указатель1"/>
    <w:basedOn w:val="1"/>
    <w:next w:val="45"/>
    <w:unhideWhenUsed/>
    <w:qFormat/>
    <w:uiPriority w:val="99"/>
    <w:pPr>
      <w:spacing w:after="0" w:line="240" w:lineRule="auto"/>
      <w:ind w:firstLine="0"/>
    </w:pPr>
    <w:rPr>
      <w:rFonts w:ascii="Cambria" w:hAnsi="Cambria"/>
      <w:b/>
      <w:bCs/>
      <w:sz w:val="24"/>
      <w:lang w:eastAsia="en-US"/>
    </w:rPr>
  </w:style>
  <w:style w:type="paragraph" w:customStyle="1" w:styleId="1865">
    <w:name w:val="Заголовок таблицы ссылок1"/>
    <w:basedOn w:val="1"/>
    <w:next w:val="1"/>
    <w:semiHidden/>
    <w:qFormat/>
    <w:uiPriority w:val="99"/>
    <w:pPr>
      <w:spacing w:before="120" w:after="0" w:line="240" w:lineRule="auto"/>
      <w:ind w:firstLine="0"/>
    </w:pPr>
    <w:rPr>
      <w:rFonts w:ascii="Cambria" w:hAnsi="Cambria"/>
      <w:b/>
      <w:bCs/>
      <w:sz w:val="24"/>
      <w:szCs w:val="24"/>
      <w:lang w:eastAsia="en-US"/>
    </w:rPr>
  </w:style>
  <w:style w:type="table" w:customStyle="1" w:styleId="1866">
    <w:name w:val="Стандартная таблица8"/>
    <w:basedOn w:val="12"/>
    <w:uiPriority w:val="0"/>
    <w:pPr>
      <w:spacing w:after="0" w:line="240" w:lineRule="auto"/>
      <w:ind w:firstLine="567"/>
      <w:jc w:val="both"/>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867">
    <w:name w:val="Сетка таблицы 11"/>
    <w:basedOn w:val="12"/>
    <w:unhideWhenUsed/>
    <w:uiPriority w:val="0"/>
    <w:pPr>
      <w:spacing w:after="0" w:line="24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1868">
    <w:name w:val="Веб-таблица 11"/>
    <w:basedOn w:val="12"/>
    <w:unhideWhenUsed/>
    <w:uiPriority w:val="0"/>
    <w:pPr>
      <w:spacing w:after="0" w:line="240"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character" w:customStyle="1" w:styleId="1869">
    <w:name w:val="Неразрешенное упоминание11"/>
    <w:basedOn w:val="11"/>
    <w:semiHidden/>
    <w:unhideWhenUsed/>
    <w:uiPriority w:val="99"/>
    <w:rPr>
      <w:color w:val="808080"/>
      <w:shd w:val="clear" w:color="auto" w:fill="E6E6E6"/>
    </w:rPr>
  </w:style>
  <w:style w:type="character" w:customStyle="1" w:styleId="1870">
    <w:name w:val="Цитата 2 Знак1"/>
    <w:basedOn w:val="11"/>
    <w:uiPriority w:val="29"/>
    <w:rPr>
      <w:rFonts w:ascii="Times New Roman" w:hAnsi="Times New Roman" w:eastAsia="Times New Roman" w:cs="Times New Roman"/>
      <w:i/>
      <w:iCs/>
      <w:color w:val="3F3F3F" w:themeColor="text1" w:themeTint="BF"/>
      <w:sz w:val="28"/>
      <w:lang w:eastAsia="ru-RU"/>
    </w:rPr>
  </w:style>
  <w:style w:type="character" w:customStyle="1" w:styleId="1871">
    <w:name w:val="Выделенная цитата Знак1"/>
    <w:basedOn w:val="11"/>
    <w:uiPriority w:val="30"/>
    <w:rPr>
      <w:rFonts w:ascii="Times New Roman" w:hAnsi="Times New Roman" w:eastAsia="Times New Roman" w:cs="Times New Roman"/>
      <w:i/>
      <w:iCs/>
      <w:color w:val="4472C4" w:themeColor="accent1"/>
      <w:sz w:val="28"/>
      <w:lang w:eastAsia="ru-RU"/>
    </w:rPr>
  </w:style>
  <w:style w:type="character" w:customStyle="1" w:styleId="1872">
    <w:name w:val="Subtle Emphasis"/>
    <w:basedOn w:val="11"/>
    <w:qFormat/>
    <w:uiPriority w:val="19"/>
    <w:rPr>
      <w:i/>
      <w:iCs/>
      <w:color w:val="3F3F3F" w:themeColor="text1" w:themeTint="BF"/>
    </w:rPr>
  </w:style>
  <w:style w:type="character" w:customStyle="1" w:styleId="1873">
    <w:name w:val="Intense Emphasis"/>
    <w:basedOn w:val="11"/>
    <w:qFormat/>
    <w:uiPriority w:val="21"/>
    <w:rPr>
      <w:i/>
      <w:iCs/>
      <w:color w:val="4472C4" w:themeColor="accent1"/>
    </w:rPr>
  </w:style>
  <w:style w:type="character" w:customStyle="1" w:styleId="1874">
    <w:name w:val="Subtle Reference"/>
    <w:basedOn w:val="11"/>
    <w:qFormat/>
    <w:uiPriority w:val="31"/>
    <w:rPr>
      <w:smallCaps/>
      <w:color w:val="595959" w:themeColor="text1" w:themeTint="A5"/>
    </w:rPr>
  </w:style>
  <w:style w:type="character" w:customStyle="1" w:styleId="1875">
    <w:name w:val="Intense Reference"/>
    <w:basedOn w:val="11"/>
    <w:qFormat/>
    <w:uiPriority w:val="32"/>
    <w:rPr>
      <w:b/>
      <w:bCs/>
      <w:smallCaps/>
      <w:color w:val="4472C4" w:themeColor="accent1"/>
      <w:spacing w:val="5"/>
    </w:rPr>
  </w:style>
  <w:style w:type="table" w:customStyle="1" w:styleId="1876">
    <w:name w:val="Table Normal77"/>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877">
    <w:name w:val="Table Normal78"/>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878">
    <w:name w:val="MainTXT"/>
    <w:basedOn w:val="1"/>
    <w:qFormat/>
    <w:uiPriority w:val="0"/>
    <w:pPr>
      <w:spacing w:after="0" w:line="276" w:lineRule="auto"/>
      <w:ind w:left="142"/>
      <w:jc w:val="both"/>
    </w:pPr>
    <w:rPr>
      <w:sz w:val="24"/>
      <w:szCs w:val="20"/>
    </w:rPr>
  </w:style>
  <w:style w:type="paragraph" w:customStyle="1" w:styleId="1879">
    <w:name w:val="List1"/>
    <w:basedOn w:val="1"/>
    <w:qFormat/>
    <w:uiPriority w:val="0"/>
    <w:pPr>
      <w:tabs>
        <w:tab w:val="left" w:pos="786"/>
      </w:tabs>
      <w:spacing w:after="0" w:line="276" w:lineRule="auto"/>
      <w:ind w:left="737" w:hanging="311"/>
      <w:jc w:val="both"/>
    </w:pPr>
    <w:rPr>
      <w:sz w:val="24"/>
      <w:szCs w:val="20"/>
    </w:rPr>
  </w:style>
  <w:style w:type="paragraph" w:customStyle="1" w:styleId="1880">
    <w:name w:val="List2"/>
    <w:basedOn w:val="1"/>
    <w:qFormat/>
    <w:uiPriority w:val="0"/>
    <w:pPr>
      <w:tabs>
        <w:tab w:val="left" w:pos="1267"/>
        <w:tab w:val="left" w:pos="1701"/>
      </w:tabs>
      <w:spacing w:after="0" w:line="276" w:lineRule="auto"/>
      <w:ind w:left="1191" w:hanging="284"/>
      <w:jc w:val="both"/>
    </w:pPr>
    <w:rPr>
      <w:sz w:val="24"/>
      <w:szCs w:val="20"/>
    </w:rPr>
  </w:style>
  <w:style w:type="paragraph" w:customStyle="1" w:styleId="1881">
    <w:name w:val="PamkaSmall"/>
    <w:basedOn w:val="1"/>
    <w:qFormat/>
    <w:uiPriority w:val="0"/>
    <w:pPr>
      <w:spacing w:after="0" w:line="240" w:lineRule="auto"/>
      <w:jc w:val="both"/>
    </w:pPr>
    <w:rPr>
      <w:i/>
      <w:sz w:val="16"/>
      <w:szCs w:val="20"/>
    </w:rPr>
  </w:style>
  <w:style w:type="paragraph" w:customStyle="1" w:styleId="1882">
    <w:name w:val="TitleProject"/>
    <w:basedOn w:val="1"/>
    <w:qFormat/>
    <w:uiPriority w:val="0"/>
    <w:pPr>
      <w:spacing w:after="0" w:line="240" w:lineRule="auto"/>
      <w:ind w:left="142"/>
      <w:jc w:val="center"/>
    </w:pPr>
    <w:rPr>
      <w:b/>
      <w:sz w:val="32"/>
      <w:szCs w:val="20"/>
    </w:rPr>
  </w:style>
  <w:style w:type="paragraph" w:customStyle="1" w:styleId="1883">
    <w:name w:val="PamkaNum"/>
    <w:basedOn w:val="1"/>
    <w:qFormat/>
    <w:uiPriority w:val="0"/>
    <w:pPr>
      <w:spacing w:after="0" w:line="240" w:lineRule="auto"/>
      <w:jc w:val="center"/>
    </w:pPr>
    <w:rPr>
      <w:i/>
      <w:sz w:val="20"/>
      <w:szCs w:val="20"/>
    </w:rPr>
  </w:style>
  <w:style w:type="paragraph" w:customStyle="1" w:styleId="1884">
    <w:name w:val="PamkaStad"/>
    <w:basedOn w:val="1"/>
    <w:qFormat/>
    <w:uiPriority w:val="0"/>
    <w:pPr>
      <w:spacing w:after="0" w:line="240" w:lineRule="auto"/>
      <w:jc w:val="center"/>
    </w:pPr>
    <w:rPr>
      <w:sz w:val="24"/>
      <w:szCs w:val="20"/>
    </w:rPr>
  </w:style>
  <w:style w:type="paragraph" w:customStyle="1" w:styleId="1885">
    <w:name w:val="PamkaGraf"/>
    <w:basedOn w:val="1"/>
    <w:qFormat/>
    <w:uiPriority w:val="0"/>
    <w:pPr>
      <w:spacing w:after="0" w:line="240" w:lineRule="auto"/>
      <w:jc w:val="both"/>
    </w:pPr>
    <w:rPr>
      <w:i/>
      <w:sz w:val="8"/>
      <w:szCs w:val="20"/>
    </w:rPr>
  </w:style>
  <w:style w:type="paragraph" w:customStyle="1" w:styleId="1886">
    <w:name w:val="Stadia"/>
    <w:basedOn w:val="1"/>
    <w:qFormat/>
    <w:uiPriority w:val="0"/>
    <w:pPr>
      <w:pBdr>
        <w:top w:val="single" w:color="auto" w:sz="24" w:space="9"/>
      </w:pBdr>
      <w:spacing w:after="0" w:line="240" w:lineRule="auto"/>
      <w:ind w:left="142"/>
      <w:jc w:val="center"/>
    </w:pPr>
    <w:rPr>
      <w:b/>
      <w:sz w:val="44"/>
      <w:szCs w:val="20"/>
    </w:rPr>
  </w:style>
  <w:style w:type="paragraph" w:customStyle="1" w:styleId="1887">
    <w:name w:val="PamkaNaim"/>
    <w:basedOn w:val="1"/>
    <w:qFormat/>
    <w:uiPriority w:val="0"/>
    <w:pPr>
      <w:spacing w:after="0" w:line="240" w:lineRule="auto"/>
      <w:jc w:val="center"/>
    </w:pPr>
    <w:rPr>
      <w:i/>
      <w:sz w:val="24"/>
      <w:szCs w:val="20"/>
    </w:rPr>
  </w:style>
  <w:style w:type="paragraph" w:customStyle="1" w:styleId="1888">
    <w:name w:val="TitleDoc"/>
    <w:basedOn w:val="1"/>
    <w:qFormat/>
    <w:uiPriority w:val="0"/>
    <w:pPr>
      <w:spacing w:after="0" w:line="276" w:lineRule="auto"/>
      <w:ind w:left="142"/>
      <w:jc w:val="center"/>
    </w:pPr>
    <w:rPr>
      <w:szCs w:val="20"/>
      <w:lang w:val="en-US"/>
    </w:rPr>
  </w:style>
  <w:style w:type="character" w:customStyle="1" w:styleId="1889">
    <w:name w:val="CODE"/>
    <w:uiPriority w:val="0"/>
    <w:rPr>
      <w:rFonts w:ascii="Courier New" w:hAnsi="Courier New" w:cs="Times New Roman"/>
      <w:color w:val="auto"/>
      <w:u w:val="none"/>
      <w:vertAlign w:val="baseline"/>
    </w:rPr>
  </w:style>
  <w:style w:type="character" w:customStyle="1" w:styleId="1890">
    <w:name w:val="Название объекта Знак3"/>
    <w:locked/>
    <w:uiPriority w:val="0"/>
    <w:rPr>
      <w:b/>
      <w:sz w:val="24"/>
      <w:lang w:val="ru-RU" w:eastAsia="ru-RU" w:bidi="ar-SA"/>
    </w:rPr>
  </w:style>
  <w:style w:type="paragraph" w:customStyle="1" w:styleId="1891">
    <w:name w:val="FMainTXT"/>
    <w:basedOn w:val="1878"/>
    <w:qFormat/>
    <w:uiPriority w:val="0"/>
    <w:pPr>
      <w:spacing w:before="120"/>
    </w:pPr>
  </w:style>
  <w:style w:type="paragraph" w:customStyle="1" w:styleId="1892">
    <w:name w:val="IfMainTXT"/>
    <w:basedOn w:val="1878"/>
    <w:qFormat/>
    <w:uiPriority w:val="0"/>
    <w:pPr>
      <w:spacing w:before="120"/>
    </w:pPr>
    <w:rPr>
      <w:i/>
      <w:u w:val="single"/>
    </w:rPr>
  </w:style>
  <w:style w:type="paragraph" w:customStyle="1" w:styleId="1893">
    <w:name w:val="indMainTXT"/>
    <w:basedOn w:val="1"/>
    <w:qFormat/>
    <w:uiPriority w:val="0"/>
    <w:pPr>
      <w:spacing w:after="0" w:line="276" w:lineRule="auto"/>
      <w:ind w:left="1134"/>
      <w:jc w:val="both"/>
    </w:pPr>
    <w:rPr>
      <w:sz w:val="24"/>
      <w:szCs w:val="20"/>
    </w:rPr>
  </w:style>
  <w:style w:type="paragraph" w:customStyle="1" w:styleId="1894">
    <w:name w:val="NormalIndent"/>
    <w:basedOn w:val="1"/>
    <w:qFormat/>
    <w:uiPriority w:val="0"/>
    <w:pPr>
      <w:spacing w:after="0" w:line="276" w:lineRule="auto"/>
      <w:ind w:left="1134" w:firstLine="720"/>
      <w:jc w:val="both"/>
    </w:pPr>
    <w:rPr>
      <w:sz w:val="24"/>
      <w:szCs w:val="20"/>
    </w:rPr>
  </w:style>
  <w:style w:type="paragraph" w:customStyle="1" w:styleId="1895">
    <w:name w:val="TableTXT"/>
    <w:basedOn w:val="1"/>
    <w:qFormat/>
    <w:uiPriority w:val="0"/>
    <w:pPr>
      <w:spacing w:after="0" w:line="240" w:lineRule="auto"/>
      <w:jc w:val="center"/>
    </w:pPr>
    <w:rPr>
      <w:sz w:val="24"/>
      <w:szCs w:val="20"/>
      <w:lang w:eastAsia="en-US"/>
    </w:rPr>
  </w:style>
  <w:style w:type="paragraph" w:customStyle="1" w:styleId="1896">
    <w:name w:val="RamkaTXT(12)"/>
    <w:basedOn w:val="1"/>
    <w:qFormat/>
    <w:uiPriority w:val="0"/>
    <w:pPr>
      <w:spacing w:after="0" w:line="276" w:lineRule="auto"/>
      <w:jc w:val="both"/>
    </w:pPr>
    <w:rPr>
      <w:sz w:val="24"/>
      <w:szCs w:val="20"/>
    </w:rPr>
  </w:style>
  <w:style w:type="paragraph" w:customStyle="1" w:styleId="1897">
    <w:name w:val="RamkaTXT(10)"/>
    <w:basedOn w:val="1"/>
    <w:qFormat/>
    <w:uiPriority w:val="0"/>
    <w:pPr>
      <w:spacing w:after="0" w:line="276" w:lineRule="auto"/>
      <w:jc w:val="both"/>
    </w:pPr>
    <w:rPr>
      <w:sz w:val="20"/>
      <w:szCs w:val="20"/>
    </w:rPr>
  </w:style>
  <w:style w:type="paragraph" w:customStyle="1" w:styleId="1898">
    <w:name w:val="Style4"/>
    <w:basedOn w:val="1"/>
    <w:qFormat/>
    <w:uiPriority w:val="0"/>
    <w:pPr>
      <w:widowControl w:val="0"/>
      <w:autoSpaceDE w:val="0"/>
      <w:autoSpaceDN w:val="0"/>
      <w:adjustRightInd w:val="0"/>
      <w:spacing w:after="0" w:line="320" w:lineRule="exact"/>
      <w:jc w:val="center"/>
    </w:pPr>
    <w:rPr>
      <w:sz w:val="24"/>
      <w:szCs w:val="24"/>
    </w:rPr>
  </w:style>
  <w:style w:type="character" w:customStyle="1" w:styleId="1899">
    <w:name w:val="Font Style15"/>
    <w:uiPriority w:val="0"/>
    <w:rPr>
      <w:rFonts w:ascii="Times New Roman" w:hAnsi="Times New Roman"/>
      <w:b/>
      <w:sz w:val="26"/>
    </w:rPr>
  </w:style>
  <w:style w:type="paragraph" w:customStyle="1" w:styleId="1900">
    <w:name w:val="Style5"/>
    <w:basedOn w:val="1"/>
    <w:qFormat/>
    <w:uiPriority w:val="0"/>
    <w:pPr>
      <w:widowControl w:val="0"/>
      <w:autoSpaceDE w:val="0"/>
      <w:autoSpaceDN w:val="0"/>
      <w:adjustRightInd w:val="0"/>
      <w:spacing w:after="0" w:line="240" w:lineRule="auto"/>
      <w:jc w:val="both"/>
    </w:pPr>
    <w:rPr>
      <w:sz w:val="24"/>
      <w:szCs w:val="24"/>
    </w:rPr>
  </w:style>
  <w:style w:type="paragraph" w:customStyle="1" w:styleId="1901">
    <w:name w:val="Style6"/>
    <w:basedOn w:val="1"/>
    <w:qFormat/>
    <w:uiPriority w:val="0"/>
    <w:pPr>
      <w:widowControl w:val="0"/>
      <w:autoSpaceDE w:val="0"/>
      <w:autoSpaceDN w:val="0"/>
      <w:adjustRightInd w:val="0"/>
      <w:spacing w:after="0" w:line="240" w:lineRule="auto"/>
      <w:jc w:val="both"/>
    </w:pPr>
    <w:rPr>
      <w:sz w:val="24"/>
      <w:szCs w:val="24"/>
    </w:rPr>
  </w:style>
  <w:style w:type="paragraph" w:customStyle="1" w:styleId="1902">
    <w:name w:val="Style7"/>
    <w:basedOn w:val="1"/>
    <w:qFormat/>
    <w:uiPriority w:val="0"/>
    <w:pPr>
      <w:widowControl w:val="0"/>
      <w:autoSpaceDE w:val="0"/>
      <w:autoSpaceDN w:val="0"/>
      <w:adjustRightInd w:val="0"/>
      <w:spacing w:after="0" w:line="240" w:lineRule="auto"/>
      <w:jc w:val="both"/>
    </w:pPr>
    <w:rPr>
      <w:sz w:val="24"/>
      <w:szCs w:val="24"/>
    </w:rPr>
  </w:style>
  <w:style w:type="character" w:customStyle="1" w:styleId="1903">
    <w:name w:val="Font Style16"/>
    <w:uiPriority w:val="0"/>
    <w:rPr>
      <w:rFonts w:ascii="Times New Roman" w:hAnsi="Times New Roman"/>
      <w:b/>
      <w:i/>
      <w:sz w:val="26"/>
    </w:rPr>
  </w:style>
  <w:style w:type="paragraph" w:customStyle="1" w:styleId="1904">
    <w:name w:val="Абзац списка3"/>
    <w:basedOn w:val="1"/>
    <w:qFormat/>
    <w:uiPriority w:val="0"/>
    <w:pPr>
      <w:spacing w:after="0" w:line="276" w:lineRule="auto"/>
      <w:ind w:left="720"/>
      <w:contextualSpacing/>
      <w:jc w:val="both"/>
    </w:pPr>
    <w:rPr>
      <w:sz w:val="24"/>
      <w:szCs w:val="20"/>
    </w:rPr>
  </w:style>
  <w:style w:type="paragraph" w:customStyle="1" w:styleId="1905">
    <w:name w:val="ДЛЯ ТАБЛИЦ"/>
    <w:basedOn w:val="1"/>
    <w:qFormat/>
    <w:uiPriority w:val="0"/>
    <w:pPr>
      <w:spacing w:after="0" w:line="240" w:lineRule="auto"/>
      <w:ind w:firstLine="0"/>
      <w:jc w:val="center"/>
    </w:pPr>
    <w:rPr>
      <w:sz w:val="20"/>
      <w:szCs w:val="20"/>
    </w:rPr>
  </w:style>
  <w:style w:type="paragraph" w:customStyle="1" w:styleId="1906">
    <w:name w:val="КАТ_маркированный"/>
    <w:basedOn w:val="76"/>
    <w:next w:val="1"/>
    <w:qFormat/>
    <w:uiPriority w:val="0"/>
    <w:pPr>
      <w:numPr>
        <w:numId w:val="0"/>
      </w:numPr>
      <w:spacing w:line="276" w:lineRule="auto"/>
      <w:ind w:left="1066" w:hanging="357"/>
      <w:contextualSpacing/>
      <w:jc w:val="both"/>
    </w:pPr>
    <w:rPr>
      <w:szCs w:val="20"/>
    </w:rPr>
  </w:style>
  <w:style w:type="paragraph" w:customStyle="1" w:styleId="1907">
    <w:name w:val="КАТ_обычный"/>
    <w:basedOn w:val="1"/>
    <w:qFormat/>
    <w:uiPriority w:val="0"/>
    <w:pPr>
      <w:spacing w:after="0" w:line="276" w:lineRule="auto"/>
      <w:jc w:val="both"/>
    </w:pPr>
    <w:rPr>
      <w:sz w:val="24"/>
    </w:rPr>
  </w:style>
  <w:style w:type="paragraph" w:customStyle="1" w:styleId="1908">
    <w:name w:val="Кат_маркированный"/>
    <w:basedOn w:val="76"/>
    <w:next w:val="1907"/>
    <w:qFormat/>
    <w:uiPriority w:val="0"/>
    <w:pPr>
      <w:numPr>
        <w:numId w:val="0"/>
      </w:numPr>
      <w:spacing w:line="276" w:lineRule="auto"/>
      <w:ind w:left="432" w:hanging="432"/>
      <w:contextualSpacing/>
    </w:pPr>
    <w:rPr>
      <w:szCs w:val="20"/>
    </w:rPr>
  </w:style>
  <w:style w:type="paragraph" w:customStyle="1" w:styleId="1909">
    <w:name w:val="КАТ_нумерованный"/>
    <w:basedOn w:val="36"/>
    <w:next w:val="1907"/>
    <w:qFormat/>
    <w:uiPriority w:val="0"/>
    <w:pPr>
      <w:tabs>
        <w:tab w:val="left" w:pos="993"/>
        <w:tab w:val="clear" w:pos="926"/>
      </w:tabs>
      <w:spacing w:line="276" w:lineRule="auto"/>
      <w:ind w:left="1708" w:hanging="1140"/>
      <w:contextualSpacing/>
      <w:jc w:val="both"/>
    </w:pPr>
    <w:rPr>
      <w:lang w:eastAsia="en-US"/>
    </w:rPr>
  </w:style>
  <w:style w:type="character" w:customStyle="1" w:styleId="1910">
    <w:name w:val="Название книги1"/>
    <w:uiPriority w:val="0"/>
    <w:rPr>
      <w:rFonts w:cs="Times New Roman"/>
      <w:b/>
      <w:bCs/>
      <w:smallCaps/>
      <w:spacing w:val="5"/>
    </w:rPr>
  </w:style>
  <w:style w:type="character" w:customStyle="1" w:styleId="1911">
    <w:name w:val="Основной текст + Полужирный"/>
    <w:uiPriority w:val="99"/>
    <w:rPr>
      <w:b/>
      <w:bCs/>
      <w:i/>
      <w:iCs/>
      <w:color w:val="000000"/>
      <w:spacing w:val="0"/>
      <w:w w:val="100"/>
      <w:position w:val="0"/>
      <w:sz w:val="22"/>
      <w:szCs w:val="22"/>
      <w:shd w:val="clear" w:color="auto" w:fill="FFFFFF"/>
      <w:lang w:val="ru-RU" w:bidi="ar-SA"/>
    </w:rPr>
  </w:style>
  <w:style w:type="character" w:customStyle="1" w:styleId="1912">
    <w:name w:val="Основной текст + Не курсив"/>
    <w:uiPriority w:val="0"/>
    <w:rPr>
      <w:i/>
      <w:iCs/>
      <w:color w:val="000000"/>
      <w:spacing w:val="0"/>
      <w:w w:val="100"/>
      <w:position w:val="0"/>
      <w:sz w:val="22"/>
      <w:szCs w:val="22"/>
      <w:shd w:val="clear" w:color="auto" w:fill="FFFFFF"/>
      <w:lang w:val="ru-RU" w:bidi="ar-SA"/>
    </w:rPr>
  </w:style>
  <w:style w:type="paragraph" w:customStyle="1" w:styleId="1913">
    <w:name w:val="Без интервала1"/>
    <w:link w:val="1914"/>
    <w:qFormat/>
    <w:uiPriority w:val="0"/>
    <w:pPr>
      <w:spacing w:after="0" w:line="240" w:lineRule="auto"/>
    </w:pPr>
    <w:rPr>
      <w:rFonts w:ascii="Arial" w:hAnsi="Arial" w:eastAsia="Times New Roman" w:cs="Times New Roman"/>
      <w:sz w:val="24"/>
      <w:szCs w:val="20"/>
      <w:lang w:val="ru-RU" w:eastAsia="ru-RU" w:bidi="ar-SA"/>
    </w:rPr>
  </w:style>
  <w:style w:type="character" w:customStyle="1" w:styleId="1914">
    <w:name w:val="No Spacing Char"/>
    <w:link w:val="1913"/>
    <w:locked/>
    <w:uiPriority w:val="0"/>
    <w:rPr>
      <w:rFonts w:ascii="Arial" w:hAnsi="Arial" w:eastAsia="Times New Roman" w:cs="Times New Roman"/>
      <w:sz w:val="24"/>
      <w:szCs w:val="20"/>
      <w:lang w:eastAsia="ru-RU"/>
    </w:rPr>
  </w:style>
  <w:style w:type="paragraph" w:customStyle="1" w:styleId="1915">
    <w:name w:val="Руслан"/>
    <w:basedOn w:val="1"/>
    <w:autoRedefine/>
    <w:qFormat/>
    <w:uiPriority w:val="0"/>
    <w:pPr>
      <w:numPr>
        <w:ilvl w:val="0"/>
        <w:numId w:val="24"/>
      </w:numPr>
      <w:tabs>
        <w:tab w:val="left" w:pos="993"/>
      </w:tabs>
      <w:spacing w:after="0" w:line="240" w:lineRule="auto"/>
      <w:jc w:val="both"/>
    </w:pPr>
    <w:rPr>
      <w:sz w:val="24"/>
      <w:szCs w:val="24"/>
    </w:rPr>
  </w:style>
  <w:style w:type="paragraph" w:customStyle="1" w:styleId="1916">
    <w:name w:val="Табличный_центр"/>
    <w:basedOn w:val="1"/>
    <w:qFormat/>
    <w:uiPriority w:val="0"/>
    <w:pPr>
      <w:spacing w:after="0" w:line="240" w:lineRule="auto"/>
      <w:ind w:firstLine="0"/>
      <w:jc w:val="center"/>
    </w:pPr>
    <w:rPr>
      <w:sz w:val="22"/>
    </w:rPr>
  </w:style>
  <w:style w:type="paragraph" w:customStyle="1" w:styleId="1917">
    <w:name w:val="xl2358"/>
    <w:basedOn w:val="1"/>
    <w:qFormat/>
    <w:uiPriority w:val="0"/>
    <w:pPr>
      <w:spacing w:before="100" w:beforeAutospacing="1" w:after="100" w:afterAutospacing="1" w:line="240" w:lineRule="auto"/>
      <w:ind w:firstLine="0"/>
      <w:textAlignment w:val="center"/>
    </w:pPr>
    <w:rPr>
      <w:sz w:val="24"/>
      <w:szCs w:val="24"/>
    </w:rPr>
  </w:style>
  <w:style w:type="paragraph" w:customStyle="1" w:styleId="1918">
    <w:name w:val="xl2359"/>
    <w:basedOn w:val="1"/>
    <w:qFormat/>
    <w:uiPriority w:val="0"/>
    <w:pPr>
      <w:spacing w:before="100" w:beforeAutospacing="1" w:after="100" w:afterAutospacing="1" w:line="240" w:lineRule="auto"/>
      <w:ind w:firstLine="0"/>
      <w:textAlignment w:val="center"/>
    </w:pPr>
    <w:rPr>
      <w:sz w:val="20"/>
      <w:szCs w:val="20"/>
    </w:rPr>
  </w:style>
  <w:style w:type="paragraph" w:customStyle="1" w:styleId="1919">
    <w:name w:val="xl23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sz w:val="20"/>
      <w:szCs w:val="20"/>
    </w:rPr>
  </w:style>
  <w:style w:type="paragraph" w:customStyle="1" w:styleId="1920">
    <w:name w:val="xl23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18"/>
      <w:szCs w:val="18"/>
    </w:rPr>
  </w:style>
  <w:style w:type="paragraph" w:customStyle="1" w:styleId="1921">
    <w:name w:val="xl23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b/>
      <w:bCs/>
      <w:sz w:val="20"/>
      <w:szCs w:val="20"/>
    </w:rPr>
  </w:style>
  <w:style w:type="paragraph" w:customStyle="1" w:styleId="1922">
    <w:name w:val="xl23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textAlignment w:val="center"/>
    </w:pPr>
    <w:rPr>
      <w:sz w:val="20"/>
      <w:szCs w:val="20"/>
    </w:rPr>
  </w:style>
  <w:style w:type="paragraph" w:customStyle="1" w:styleId="1923">
    <w:name w:val="xl23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both"/>
      <w:textAlignment w:val="center"/>
    </w:pPr>
    <w:rPr>
      <w:sz w:val="20"/>
      <w:szCs w:val="20"/>
    </w:rPr>
  </w:style>
  <w:style w:type="character" w:customStyle="1" w:styleId="1924">
    <w:name w:val="Неразрешенное упоминание2"/>
    <w:basedOn w:val="11"/>
    <w:semiHidden/>
    <w:unhideWhenUsed/>
    <w:uiPriority w:val="99"/>
    <w:rPr>
      <w:color w:val="605E5C"/>
      <w:shd w:val="clear" w:color="auto" w:fill="E1DFDD"/>
    </w:rPr>
  </w:style>
  <w:style w:type="character" w:customStyle="1" w:styleId="1925">
    <w:name w:val="Текст макроса Знак"/>
    <w:basedOn w:val="11"/>
    <w:link w:val="62"/>
    <w:uiPriority w:val="0"/>
    <w:rPr>
      <w:rFonts w:ascii="Courier New" w:hAnsi="Courier New" w:eastAsia="Times New Roman" w:cs="Times New Roman"/>
      <w:sz w:val="20"/>
      <w:szCs w:val="20"/>
      <w:lang w:eastAsia="ru-RU"/>
    </w:rPr>
  </w:style>
  <w:style w:type="table" w:customStyle="1" w:styleId="1926">
    <w:name w:val="Сетка таблицы39"/>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27">
    <w:name w:val="Без интервала Знак"/>
    <w:link w:val="156"/>
    <w:uiPriority w:val="0"/>
    <w:rPr>
      <w:rFonts w:ascii="Times New Roman" w:hAnsi="Times New Roman" w:eastAsia="Times New Roman" w:cs="Times New Roman"/>
      <w:b/>
      <w:sz w:val="28"/>
      <w:lang w:eastAsia="ru-RU"/>
    </w:rPr>
  </w:style>
  <w:style w:type="paragraph" w:customStyle="1" w:styleId="1928">
    <w:name w:val="Табличный_заголовки"/>
    <w:basedOn w:val="1"/>
    <w:qFormat/>
    <w:uiPriority w:val="0"/>
    <w:pPr>
      <w:keepNext/>
      <w:keepLines/>
      <w:spacing w:after="0" w:line="240" w:lineRule="auto"/>
      <w:ind w:firstLine="0"/>
      <w:jc w:val="center"/>
    </w:pPr>
    <w:rPr>
      <w:b/>
      <w:sz w:val="20"/>
      <w:szCs w:val="20"/>
    </w:rPr>
  </w:style>
  <w:style w:type="paragraph" w:customStyle="1" w:styleId="1929">
    <w:name w:val="Табличный_слева"/>
    <w:basedOn w:val="1"/>
    <w:qFormat/>
    <w:uiPriority w:val="0"/>
    <w:pPr>
      <w:spacing w:after="0" w:line="240" w:lineRule="auto"/>
      <w:ind w:firstLine="0"/>
    </w:pPr>
    <w:rPr>
      <w:sz w:val="22"/>
    </w:rPr>
  </w:style>
  <w:style w:type="paragraph" w:customStyle="1" w:styleId="1930">
    <w:name w:val="для отчета текст"/>
    <w:basedOn w:val="1"/>
    <w:qFormat/>
    <w:uiPriority w:val="0"/>
    <w:pPr>
      <w:widowControl w:val="0"/>
      <w:snapToGrid w:val="0"/>
      <w:spacing w:after="0" w:line="240" w:lineRule="auto"/>
      <w:ind w:firstLine="567"/>
      <w:jc w:val="both"/>
    </w:pPr>
    <w:rPr>
      <w:szCs w:val="28"/>
    </w:rPr>
  </w:style>
  <w:style w:type="character" w:customStyle="1" w:styleId="1931">
    <w:name w:val="Список Знак"/>
    <w:link w:val="32"/>
    <w:locked/>
    <w:uiPriority w:val="0"/>
    <w:rPr>
      <w:rFonts w:ascii="Times New Roman" w:hAnsi="Times New Roman" w:eastAsia="Times New Roman" w:cs="Times New Roman"/>
      <w:sz w:val="24"/>
      <w:szCs w:val="20"/>
      <w:lang w:eastAsia="ru-RU"/>
    </w:rPr>
  </w:style>
  <w:style w:type="table" w:customStyle="1" w:styleId="1932">
    <w:name w:val="Сетка таблицы217"/>
    <w:basedOn w:val="12"/>
    <w:uiPriority w:val="3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33">
    <w:name w:val="Сетка таблицы311"/>
    <w:basedOn w:val="12"/>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934">
    <w:name w:val="Содержание моё"/>
    <w:basedOn w:val="67"/>
    <w:qFormat/>
    <w:uiPriority w:val="99"/>
    <w:pPr>
      <w:spacing w:after="100" w:line="276" w:lineRule="auto"/>
      <w:ind w:left="840" w:firstLine="0"/>
    </w:pPr>
    <w:rPr>
      <w:rFonts w:ascii="Times New Roman" w:hAnsi="Times New Roman" w:cs="Times New Roman"/>
      <w:bCs/>
      <w:sz w:val="24"/>
      <w:szCs w:val="28"/>
    </w:rPr>
  </w:style>
  <w:style w:type="paragraph" w:customStyle="1" w:styleId="1935">
    <w:name w:val="Style1"/>
    <w:basedOn w:val="1"/>
    <w:qFormat/>
    <w:uiPriority w:val="0"/>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936">
    <w:name w:val="Стиль Слева:  1.27 см Первая строка:  0 см"/>
    <w:basedOn w:val="1"/>
    <w:autoRedefine/>
    <w:qFormat/>
    <w:uiPriority w:val="99"/>
    <w:pPr>
      <w:tabs>
        <w:tab w:val="left" w:pos="510"/>
      </w:tabs>
      <w:spacing w:after="0" w:line="240" w:lineRule="auto"/>
      <w:ind w:firstLine="0"/>
      <w:jc w:val="both"/>
    </w:pPr>
    <w:rPr>
      <w:bCs/>
      <w:szCs w:val="20"/>
    </w:rPr>
  </w:style>
  <w:style w:type="paragraph" w:customStyle="1" w:styleId="1937">
    <w:name w:val="Чертежный"/>
    <w:qFormat/>
    <w:uiPriority w:val="99"/>
    <w:pPr>
      <w:spacing w:after="0" w:line="240" w:lineRule="auto"/>
      <w:jc w:val="both"/>
    </w:pPr>
    <w:rPr>
      <w:rFonts w:ascii="ISOCPEUR" w:hAnsi="ISOCPEUR" w:eastAsia="Times New Roman" w:cs="Times New Roman"/>
      <w:i/>
      <w:sz w:val="28"/>
      <w:szCs w:val="20"/>
      <w:lang w:val="uk-UA" w:eastAsia="ru-RU" w:bidi="ar-SA"/>
    </w:rPr>
  </w:style>
  <w:style w:type="character" w:customStyle="1" w:styleId="1938">
    <w:name w:val="Стиль таблицы Знак"/>
    <w:basedOn w:val="11"/>
    <w:link w:val="1939"/>
    <w:locked/>
    <w:uiPriority w:val="0"/>
    <w:rPr>
      <w:bCs/>
      <w:color w:val="000000"/>
      <w:sz w:val="24"/>
    </w:rPr>
  </w:style>
  <w:style w:type="paragraph" w:customStyle="1" w:styleId="1939">
    <w:name w:val="Стиль таблицы"/>
    <w:basedOn w:val="1"/>
    <w:link w:val="1938"/>
    <w:autoRedefine/>
    <w:qFormat/>
    <w:uiPriority w:val="0"/>
    <w:pPr>
      <w:spacing w:after="0" w:line="240" w:lineRule="auto"/>
      <w:ind w:firstLine="0"/>
      <w:contextualSpacing/>
      <w:jc w:val="center"/>
    </w:pPr>
    <w:rPr>
      <w:rFonts w:asciiTheme="minorHAnsi" w:hAnsiTheme="minorHAnsi" w:eastAsiaTheme="minorHAnsi" w:cstheme="minorBidi"/>
      <w:bCs/>
      <w:color w:val="000000"/>
      <w:sz w:val="24"/>
      <w:lang w:eastAsia="en-US"/>
    </w:rPr>
  </w:style>
  <w:style w:type="character" w:customStyle="1" w:styleId="1940">
    <w:name w:val="14 Знак"/>
    <w:basedOn w:val="11"/>
    <w:link w:val="1941"/>
    <w:locked/>
    <w:uiPriority w:val="0"/>
    <w:rPr>
      <w:sz w:val="28"/>
      <w:szCs w:val="28"/>
    </w:rPr>
  </w:style>
  <w:style w:type="paragraph" w:customStyle="1" w:styleId="1941">
    <w:name w:val="14"/>
    <w:basedOn w:val="1"/>
    <w:link w:val="1940"/>
    <w:qFormat/>
    <w:uiPriority w:val="0"/>
    <w:pPr>
      <w:spacing w:after="0"/>
      <w:jc w:val="both"/>
    </w:pPr>
    <w:rPr>
      <w:rFonts w:asciiTheme="minorHAnsi" w:hAnsiTheme="minorHAnsi" w:eastAsiaTheme="minorHAnsi" w:cstheme="minorBidi"/>
      <w:szCs w:val="28"/>
      <w:lang w:eastAsia="en-US"/>
    </w:rPr>
  </w:style>
  <w:style w:type="paragraph" w:customStyle="1" w:styleId="1942">
    <w:name w:val="xl228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43">
    <w:name w:val="xl228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44">
    <w:name w:val="xl2290"/>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 w:val="20"/>
      <w:szCs w:val="20"/>
    </w:rPr>
  </w:style>
  <w:style w:type="paragraph" w:customStyle="1" w:styleId="1945">
    <w:name w:val="xl229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000000"/>
      <w:sz w:val="24"/>
      <w:szCs w:val="24"/>
    </w:rPr>
  </w:style>
  <w:style w:type="paragraph" w:customStyle="1" w:styleId="1946">
    <w:name w:val="xl2292"/>
    <w:basedOn w:val="1"/>
    <w:qFormat/>
    <w:uiPriority w:val="99"/>
    <w:pPr>
      <w:pBdr>
        <w:top w:val="single" w:color="auto" w:sz="4" w:space="0"/>
        <w:left w:val="single" w:color="auto" w:sz="4" w:space="0"/>
        <w:right w:val="single" w:color="auto" w:sz="4" w:space="0"/>
      </w:pBdr>
      <w:spacing w:before="100" w:beforeAutospacing="1" w:after="100" w:afterAutospacing="1" w:line="240" w:lineRule="auto"/>
      <w:ind w:firstLine="0"/>
    </w:pPr>
    <w:rPr>
      <w:b/>
      <w:bCs/>
      <w:color w:val="000000"/>
      <w:sz w:val="20"/>
      <w:szCs w:val="20"/>
    </w:rPr>
  </w:style>
  <w:style w:type="paragraph" w:customStyle="1" w:styleId="1947">
    <w:name w:val="xl2293"/>
    <w:basedOn w:val="1"/>
    <w:qFormat/>
    <w:uiPriority w:val="99"/>
    <w:pPr>
      <w:spacing w:before="100" w:beforeAutospacing="1" w:after="100" w:afterAutospacing="1" w:line="240" w:lineRule="auto"/>
      <w:ind w:firstLine="0"/>
    </w:pPr>
    <w:rPr>
      <w:sz w:val="24"/>
      <w:szCs w:val="24"/>
    </w:rPr>
  </w:style>
  <w:style w:type="paragraph" w:customStyle="1" w:styleId="1948">
    <w:name w:val="xl2294"/>
    <w:basedOn w:val="1"/>
    <w:qFormat/>
    <w:uiPriority w:val="99"/>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color w:val="000000"/>
      <w:sz w:val="20"/>
      <w:szCs w:val="20"/>
    </w:rPr>
  </w:style>
  <w:style w:type="paragraph" w:customStyle="1" w:styleId="1949">
    <w:name w:val="xl2295"/>
    <w:basedOn w:val="1"/>
    <w:qFormat/>
    <w:uiPriority w:val="99"/>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color w:val="000000"/>
      <w:sz w:val="20"/>
      <w:szCs w:val="20"/>
    </w:rPr>
  </w:style>
  <w:style w:type="paragraph" w:customStyle="1" w:styleId="1950">
    <w:name w:val="xl2296"/>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51">
    <w:name w:val="xl2297"/>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52">
    <w:name w:val="xl2298"/>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53">
    <w:name w:val="xl2299"/>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54">
    <w:name w:val="xl2300"/>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55">
    <w:name w:val="xl2301"/>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pPr>
    <w:rPr>
      <w:sz w:val="20"/>
      <w:szCs w:val="20"/>
    </w:rPr>
  </w:style>
  <w:style w:type="paragraph" w:customStyle="1" w:styleId="1956">
    <w:name w:val="xl2302"/>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jc w:val="center"/>
    </w:pPr>
    <w:rPr>
      <w:color w:val="000000"/>
      <w:sz w:val="24"/>
      <w:szCs w:val="24"/>
    </w:rPr>
  </w:style>
  <w:style w:type="paragraph" w:customStyle="1" w:styleId="1957">
    <w:name w:val="xl2303"/>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000000"/>
      <w:sz w:val="24"/>
      <w:szCs w:val="24"/>
    </w:rPr>
  </w:style>
  <w:style w:type="paragraph" w:customStyle="1" w:styleId="1958">
    <w:name w:val="xl2304"/>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jc w:val="center"/>
    </w:pPr>
    <w:rPr>
      <w:color w:val="000000"/>
      <w:sz w:val="24"/>
      <w:szCs w:val="24"/>
    </w:rPr>
  </w:style>
  <w:style w:type="paragraph" w:customStyle="1" w:styleId="1959">
    <w:name w:val="xl2305"/>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jc w:val="center"/>
    </w:pPr>
    <w:rPr>
      <w:color w:val="000000"/>
      <w:sz w:val="24"/>
      <w:szCs w:val="24"/>
    </w:rPr>
  </w:style>
  <w:style w:type="paragraph" w:customStyle="1" w:styleId="1960">
    <w:name w:val="xl230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center"/>
    </w:pPr>
    <w:rPr>
      <w:color w:val="000000"/>
      <w:sz w:val="24"/>
      <w:szCs w:val="24"/>
    </w:rPr>
  </w:style>
  <w:style w:type="paragraph" w:customStyle="1" w:styleId="1961">
    <w:name w:val="xl2307"/>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62">
    <w:name w:val="xl2308"/>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center"/>
    </w:pPr>
    <w:rPr>
      <w:color w:val="000000"/>
      <w:sz w:val="20"/>
      <w:szCs w:val="20"/>
    </w:rPr>
  </w:style>
  <w:style w:type="paragraph" w:customStyle="1" w:styleId="1963">
    <w:name w:val="xl230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1964">
    <w:name w:val="xl2310"/>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1965">
    <w:name w:val="xl2311"/>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jc w:val="center"/>
    </w:pPr>
    <w:rPr>
      <w:sz w:val="24"/>
      <w:szCs w:val="24"/>
    </w:rPr>
  </w:style>
  <w:style w:type="paragraph" w:customStyle="1" w:styleId="1966">
    <w:name w:val="xl2312"/>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pPr>
    <w:rPr>
      <w:color w:val="000000"/>
      <w:sz w:val="20"/>
      <w:szCs w:val="20"/>
    </w:rPr>
  </w:style>
  <w:style w:type="paragraph" w:customStyle="1" w:styleId="1967">
    <w:name w:val="xl231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color w:val="000000"/>
      <w:sz w:val="20"/>
      <w:szCs w:val="20"/>
    </w:rPr>
  </w:style>
  <w:style w:type="paragraph" w:customStyle="1" w:styleId="1968">
    <w:name w:val="xl2314"/>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pPr>
    <w:rPr>
      <w:color w:val="000000"/>
      <w:sz w:val="20"/>
      <w:szCs w:val="20"/>
    </w:rPr>
  </w:style>
  <w:style w:type="paragraph" w:customStyle="1" w:styleId="1969">
    <w:name w:val="xl2315"/>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1970">
    <w:name w:val="xl2316"/>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1971">
    <w:name w:val="xl2317"/>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center"/>
    </w:pPr>
    <w:rPr>
      <w:sz w:val="24"/>
      <w:szCs w:val="24"/>
    </w:rPr>
  </w:style>
  <w:style w:type="paragraph" w:customStyle="1" w:styleId="1972">
    <w:name w:val="xl2318"/>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pPr>
    <w:rPr>
      <w:sz w:val="20"/>
      <w:szCs w:val="20"/>
    </w:rPr>
  </w:style>
  <w:style w:type="paragraph" w:customStyle="1" w:styleId="1973">
    <w:name w:val="xl2319"/>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pPr>
    <w:rPr>
      <w:sz w:val="20"/>
      <w:szCs w:val="20"/>
    </w:rPr>
  </w:style>
  <w:style w:type="paragraph" w:customStyle="1" w:styleId="1974">
    <w:name w:val="xl2320"/>
    <w:basedOn w:val="1"/>
    <w:qFormat/>
    <w:uiPriority w:val="99"/>
    <w:pPr>
      <w:pBdr>
        <w:top w:val="single" w:color="auto" w:sz="8" w:space="0"/>
        <w:left w:val="single" w:color="auto" w:sz="4" w:space="0"/>
        <w:right w:val="single" w:color="auto" w:sz="8" w:space="0"/>
      </w:pBdr>
      <w:spacing w:before="100" w:beforeAutospacing="1" w:after="100" w:afterAutospacing="1" w:line="240" w:lineRule="auto"/>
      <w:ind w:firstLine="0"/>
      <w:jc w:val="center"/>
    </w:pPr>
    <w:rPr>
      <w:color w:val="000000"/>
      <w:sz w:val="20"/>
      <w:szCs w:val="20"/>
    </w:rPr>
  </w:style>
  <w:style w:type="paragraph" w:customStyle="1" w:styleId="1975">
    <w:name w:val="xl2321"/>
    <w:basedOn w:val="1"/>
    <w:qFormat/>
    <w:uiPriority w:val="99"/>
    <w:pPr>
      <w:pBdr>
        <w:left w:val="single" w:color="auto" w:sz="4" w:space="0"/>
        <w:right w:val="single" w:color="auto" w:sz="8" w:space="0"/>
      </w:pBdr>
      <w:spacing w:before="100" w:beforeAutospacing="1" w:after="100" w:afterAutospacing="1" w:line="240" w:lineRule="auto"/>
      <w:ind w:firstLine="0"/>
      <w:jc w:val="center"/>
    </w:pPr>
    <w:rPr>
      <w:color w:val="000000"/>
      <w:sz w:val="20"/>
      <w:szCs w:val="20"/>
    </w:rPr>
  </w:style>
  <w:style w:type="paragraph" w:customStyle="1" w:styleId="1976">
    <w:name w:val="xl2322"/>
    <w:basedOn w:val="1"/>
    <w:qFormat/>
    <w:uiPriority w:val="99"/>
    <w:pPr>
      <w:pBdr>
        <w:left w:val="single" w:color="auto" w:sz="4" w:space="0"/>
        <w:bottom w:val="single" w:color="auto" w:sz="8" w:space="0"/>
        <w:right w:val="single" w:color="auto" w:sz="8" w:space="0"/>
      </w:pBdr>
      <w:spacing w:before="100" w:beforeAutospacing="1" w:after="100" w:afterAutospacing="1" w:line="240" w:lineRule="auto"/>
      <w:ind w:firstLine="0"/>
      <w:jc w:val="center"/>
    </w:pPr>
    <w:rPr>
      <w:color w:val="000000"/>
      <w:sz w:val="20"/>
      <w:szCs w:val="20"/>
    </w:rPr>
  </w:style>
  <w:style w:type="paragraph" w:customStyle="1" w:styleId="1977">
    <w:name w:val="xl2323"/>
    <w:basedOn w:val="1"/>
    <w:qFormat/>
    <w:uiPriority w:val="99"/>
    <w:pPr>
      <w:pBdr>
        <w:top w:val="single" w:color="auto" w:sz="8" w:space="0"/>
        <w:left w:val="single" w:color="auto" w:sz="4" w:space="0"/>
        <w:right w:val="single" w:color="auto" w:sz="8" w:space="0"/>
      </w:pBdr>
      <w:spacing w:before="100" w:beforeAutospacing="1" w:after="100" w:afterAutospacing="1" w:line="240" w:lineRule="auto"/>
      <w:ind w:firstLine="0"/>
      <w:jc w:val="center"/>
    </w:pPr>
    <w:rPr>
      <w:color w:val="000000"/>
      <w:sz w:val="20"/>
      <w:szCs w:val="20"/>
    </w:rPr>
  </w:style>
  <w:style w:type="paragraph" w:customStyle="1" w:styleId="1978">
    <w:name w:val="xl2324"/>
    <w:basedOn w:val="1"/>
    <w:qFormat/>
    <w:uiPriority w:val="99"/>
    <w:pPr>
      <w:pBdr>
        <w:left w:val="single" w:color="auto" w:sz="4" w:space="0"/>
        <w:right w:val="single" w:color="auto" w:sz="8" w:space="0"/>
      </w:pBdr>
      <w:spacing w:before="100" w:beforeAutospacing="1" w:after="100" w:afterAutospacing="1" w:line="240" w:lineRule="auto"/>
      <w:ind w:firstLine="0"/>
      <w:jc w:val="center"/>
    </w:pPr>
    <w:rPr>
      <w:color w:val="000000"/>
      <w:sz w:val="20"/>
      <w:szCs w:val="20"/>
    </w:rPr>
  </w:style>
  <w:style w:type="paragraph" w:customStyle="1" w:styleId="1979">
    <w:name w:val="xl2325"/>
    <w:basedOn w:val="1"/>
    <w:qFormat/>
    <w:uiPriority w:val="99"/>
    <w:pPr>
      <w:pBdr>
        <w:left w:val="single" w:color="auto" w:sz="4" w:space="0"/>
        <w:bottom w:val="single" w:color="auto" w:sz="8" w:space="0"/>
        <w:right w:val="single" w:color="auto" w:sz="8" w:space="0"/>
      </w:pBdr>
      <w:spacing w:before="100" w:beforeAutospacing="1" w:after="100" w:afterAutospacing="1" w:line="240" w:lineRule="auto"/>
      <w:ind w:firstLine="0"/>
      <w:jc w:val="center"/>
    </w:pPr>
    <w:rPr>
      <w:color w:val="000000"/>
      <w:sz w:val="20"/>
      <w:szCs w:val="20"/>
    </w:rPr>
  </w:style>
  <w:style w:type="paragraph" w:customStyle="1" w:styleId="1980">
    <w:name w:val="xl2326"/>
    <w:basedOn w:val="1"/>
    <w:qFormat/>
    <w:uiPriority w:val="99"/>
    <w:pPr>
      <w:pBdr>
        <w:top w:val="single" w:color="auto" w:sz="8" w:space="0"/>
        <w:left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1981">
    <w:name w:val="xl2327"/>
    <w:basedOn w:val="1"/>
    <w:qFormat/>
    <w:uiPriority w:val="99"/>
    <w:pPr>
      <w:pBdr>
        <w:left w:val="single" w:color="auto" w:sz="4" w:space="0"/>
        <w:bottom w:val="single" w:color="auto" w:sz="8" w:space="0"/>
        <w:right w:val="single" w:color="auto" w:sz="8" w:space="0"/>
      </w:pBdr>
      <w:spacing w:before="100" w:beforeAutospacing="1" w:after="100" w:afterAutospacing="1" w:line="240" w:lineRule="auto"/>
      <w:ind w:firstLine="0"/>
      <w:jc w:val="center"/>
    </w:pPr>
    <w:rPr>
      <w:sz w:val="24"/>
      <w:szCs w:val="24"/>
    </w:rPr>
  </w:style>
  <w:style w:type="paragraph" w:customStyle="1" w:styleId="1982">
    <w:name w:val="xl2328"/>
    <w:basedOn w:val="1"/>
    <w:qFormat/>
    <w:uiPriority w:val="99"/>
    <w:pPr>
      <w:pBdr>
        <w:left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1983">
    <w:name w:val="xl2329"/>
    <w:basedOn w:val="1"/>
    <w:qFormat/>
    <w:uiPriority w:val="99"/>
    <w:pPr>
      <w:spacing w:before="100" w:beforeAutospacing="1" w:after="100" w:afterAutospacing="1" w:line="240" w:lineRule="auto"/>
      <w:ind w:firstLine="0"/>
    </w:pPr>
    <w:rPr>
      <w:sz w:val="24"/>
      <w:szCs w:val="24"/>
    </w:rPr>
  </w:style>
  <w:style w:type="paragraph" w:customStyle="1" w:styleId="1984">
    <w:name w:val="xl233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pPr>
    <w:rPr>
      <w:color w:val="000000"/>
      <w:sz w:val="20"/>
      <w:szCs w:val="20"/>
    </w:rPr>
  </w:style>
  <w:style w:type="paragraph" w:customStyle="1" w:styleId="1985">
    <w:name w:val="xl233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color w:val="000000"/>
      <w:sz w:val="20"/>
      <w:szCs w:val="20"/>
    </w:rPr>
  </w:style>
  <w:style w:type="paragraph" w:customStyle="1" w:styleId="1986">
    <w:name w:val="xl2332"/>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pPr>
    <w:rPr>
      <w:color w:val="000000"/>
      <w:sz w:val="20"/>
      <w:szCs w:val="20"/>
    </w:rPr>
  </w:style>
  <w:style w:type="paragraph" w:customStyle="1" w:styleId="1987">
    <w:name w:val="xl233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b/>
      <w:bCs/>
      <w:color w:val="000000"/>
      <w:sz w:val="20"/>
      <w:szCs w:val="20"/>
    </w:rPr>
  </w:style>
  <w:style w:type="paragraph" w:customStyle="1" w:styleId="1988">
    <w:name w:val="xl2334"/>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pPr>
    <w:rPr>
      <w:color w:val="000000"/>
      <w:sz w:val="24"/>
      <w:szCs w:val="24"/>
    </w:rPr>
  </w:style>
  <w:style w:type="paragraph" w:customStyle="1" w:styleId="1989">
    <w:name w:val="xl2335"/>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color w:val="000000"/>
      <w:sz w:val="24"/>
      <w:szCs w:val="24"/>
    </w:rPr>
  </w:style>
  <w:style w:type="paragraph" w:customStyle="1" w:styleId="1990">
    <w:name w:val="xl233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pPr>
    <w:rPr>
      <w:color w:val="000000"/>
      <w:sz w:val="24"/>
      <w:szCs w:val="24"/>
    </w:rPr>
  </w:style>
  <w:style w:type="character" w:customStyle="1" w:styleId="1991">
    <w:name w:val="Таблица Знак"/>
    <w:basedOn w:val="11"/>
    <w:link w:val="522"/>
    <w:locked/>
    <w:uiPriority w:val="1"/>
    <w:rPr>
      <w:rFonts w:ascii="Times New Roman" w:hAnsi="Times New Roman" w:eastAsia="Times New Roman" w:cs="Times New Roman"/>
      <w:sz w:val="20"/>
      <w:szCs w:val="20"/>
      <w:lang w:eastAsia="ru-RU"/>
    </w:rPr>
  </w:style>
  <w:style w:type="paragraph" w:customStyle="1" w:styleId="1992">
    <w:name w:val="Таблицы (моноширинный)"/>
    <w:basedOn w:val="1"/>
    <w:next w:val="1"/>
    <w:qFormat/>
    <w:uiPriority w:val="0"/>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1993">
    <w:name w:val="xl747"/>
    <w:basedOn w:val="1"/>
    <w:qFormat/>
    <w:uiPriority w:val="0"/>
    <w:pPr>
      <w:spacing w:before="100" w:beforeAutospacing="1" w:after="100" w:afterAutospacing="1" w:line="240" w:lineRule="auto"/>
      <w:ind w:firstLine="0"/>
    </w:pPr>
    <w:rPr>
      <w:b/>
      <w:bCs/>
      <w:sz w:val="24"/>
      <w:szCs w:val="24"/>
    </w:rPr>
  </w:style>
  <w:style w:type="paragraph" w:customStyle="1" w:styleId="1994">
    <w:name w:val="xl7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1995">
    <w:name w:val="xl7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Cs w:val="28"/>
    </w:rPr>
  </w:style>
  <w:style w:type="paragraph" w:customStyle="1" w:styleId="1996">
    <w:name w:val="xl7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szCs w:val="28"/>
    </w:rPr>
  </w:style>
  <w:style w:type="paragraph" w:customStyle="1" w:styleId="1997">
    <w:name w:val="xl7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1998">
    <w:name w:val="xl7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24"/>
      <w:szCs w:val="24"/>
    </w:rPr>
  </w:style>
  <w:style w:type="paragraph" w:customStyle="1" w:styleId="1999">
    <w:name w:val="xl7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24"/>
      <w:szCs w:val="24"/>
    </w:rPr>
  </w:style>
  <w:style w:type="paragraph" w:customStyle="1" w:styleId="2000">
    <w:name w:val="xl7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pPr>
    <w:rPr>
      <w:b/>
      <w:bCs/>
      <w:szCs w:val="28"/>
    </w:rPr>
  </w:style>
  <w:style w:type="paragraph" w:customStyle="1" w:styleId="2001">
    <w:name w:val="xl7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Cs w:val="28"/>
    </w:rPr>
  </w:style>
  <w:style w:type="paragraph" w:customStyle="1" w:styleId="2002">
    <w:name w:val="xl756"/>
    <w:basedOn w:val="1"/>
    <w:qFormat/>
    <w:uiPriority w:val="0"/>
    <w:pPr>
      <w:pBdr>
        <w:top w:val="single" w:color="auto" w:sz="4" w:space="0"/>
        <w:bottom w:val="single" w:color="auto" w:sz="4" w:space="0"/>
      </w:pBdr>
      <w:spacing w:before="100" w:beforeAutospacing="1" w:after="100" w:afterAutospacing="1" w:line="240" w:lineRule="auto"/>
      <w:ind w:firstLine="0"/>
    </w:pPr>
    <w:rPr>
      <w:szCs w:val="28"/>
    </w:rPr>
  </w:style>
  <w:style w:type="paragraph" w:customStyle="1" w:styleId="2003">
    <w:name w:val="xl757"/>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pPr>
    <w:rPr>
      <w:szCs w:val="28"/>
    </w:rPr>
  </w:style>
  <w:style w:type="paragraph" w:customStyle="1" w:styleId="2004">
    <w:name w:val="xl758"/>
    <w:basedOn w:val="1"/>
    <w:qFormat/>
    <w:uiPriority w:val="0"/>
    <w:pPr>
      <w:pBdr>
        <w:top w:val="single" w:color="auto" w:sz="4" w:space="0"/>
        <w:left w:val="single" w:color="auto" w:sz="4" w:space="0"/>
        <w:bottom w:val="single" w:color="auto" w:sz="4" w:space="0"/>
      </w:pBdr>
      <w:shd w:val="clear" w:color="auto" w:fill="FDE9D9"/>
      <w:spacing w:before="100" w:beforeAutospacing="1" w:after="100" w:afterAutospacing="1" w:line="240" w:lineRule="auto"/>
      <w:ind w:firstLine="0"/>
    </w:pPr>
    <w:rPr>
      <w:b/>
      <w:bCs/>
      <w:szCs w:val="28"/>
    </w:rPr>
  </w:style>
  <w:style w:type="paragraph" w:customStyle="1" w:styleId="2005">
    <w:name w:val="xl759"/>
    <w:basedOn w:val="1"/>
    <w:qFormat/>
    <w:uiPriority w:val="0"/>
    <w:pPr>
      <w:pBdr>
        <w:top w:val="single" w:color="auto" w:sz="4" w:space="0"/>
        <w:bottom w:val="single" w:color="auto" w:sz="4" w:space="0"/>
      </w:pBdr>
      <w:shd w:val="clear" w:color="auto" w:fill="FDE9D9"/>
      <w:spacing w:before="100" w:beforeAutospacing="1" w:after="100" w:afterAutospacing="1" w:line="240" w:lineRule="auto"/>
      <w:ind w:firstLine="0"/>
    </w:pPr>
    <w:rPr>
      <w:b/>
      <w:bCs/>
      <w:szCs w:val="28"/>
    </w:rPr>
  </w:style>
  <w:style w:type="paragraph" w:customStyle="1" w:styleId="2006">
    <w:name w:val="xl760"/>
    <w:basedOn w:val="1"/>
    <w:qFormat/>
    <w:uiPriority w:val="0"/>
    <w:pPr>
      <w:pBdr>
        <w:top w:val="single" w:color="auto" w:sz="4" w:space="0"/>
        <w:bottom w:val="single" w:color="auto" w:sz="4" w:space="0"/>
        <w:right w:val="single" w:color="auto" w:sz="4" w:space="0"/>
      </w:pBdr>
      <w:shd w:val="clear" w:color="auto" w:fill="FDE9D9"/>
      <w:spacing w:before="100" w:beforeAutospacing="1" w:after="100" w:afterAutospacing="1" w:line="240" w:lineRule="auto"/>
      <w:ind w:firstLine="0"/>
    </w:pPr>
    <w:rPr>
      <w:b/>
      <w:bCs/>
      <w:szCs w:val="28"/>
    </w:rPr>
  </w:style>
  <w:style w:type="paragraph" w:customStyle="1" w:styleId="2007">
    <w:name w:val="xl761"/>
    <w:basedOn w:val="1"/>
    <w:qFormat/>
    <w:uiPriority w:val="0"/>
    <w:pPr>
      <w:pBdr>
        <w:top w:val="single" w:color="auto" w:sz="4" w:space="0"/>
        <w:left w:val="single" w:color="auto" w:sz="4" w:space="0"/>
        <w:bottom w:val="single" w:color="auto" w:sz="4" w:space="0"/>
      </w:pBdr>
      <w:spacing w:before="100" w:beforeAutospacing="1" w:after="100" w:afterAutospacing="1" w:line="240" w:lineRule="auto"/>
      <w:ind w:firstLine="0"/>
    </w:pPr>
    <w:rPr>
      <w:b/>
      <w:bCs/>
      <w:szCs w:val="28"/>
    </w:rPr>
  </w:style>
  <w:style w:type="paragraph" w:customStyle="1" w:styleId="2008">
    <w:name w:val="xl7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09">
    <w:name w:val="xl7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0">
    <w:name w:val="xl7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1">
    <w:name w:val="xl7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2">
    <w:name w:val="xl7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3">
    <w:name w:val="xl7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4">
    <w:name w:val="xl7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5">
    <w:name w:val="xl769"/>
    <w:basedOn w:val="1"/>
    <w:qFormat/>
    <w:uiPriority w:val="0"/>
    <w:pPr>
      <w:pBdr>
        <w:top w:val="single" w:color="auto" w:sz="4" w:space="0"/>
        <w:bottom w:val="single" w:color="auto" w:sz="4" w:space="0"/>
      </w:pBdr>
      <w:spacing w:before="100" w:beforeAutospacing="1" w:after="100" w:afterAutospacing="1" w:line="240" w:lineRule="auto"/>
      <w:ind w:firstLine="0"/>
    </w:pPr>
    <w:rPr>
      <w:szCs w:val="28"/>
    </w:rPr>
  </w:style>
  <w:style w:type="paragraph" w:customStyle="1" w:styleId="2016">
    <w:name w:val="xl7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Cs w:val="28"/>
    </w:rPr>
  </w:style>
  <w:style w:type="paragraph" w:customStyle="1" w:styleId="2017">
    <w:name w:val="xl7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b/>
      <w:bCs/>
      <w:szCs w:val="28"/>
    </w:rPr>
  </w:style>
  <w:style w:type="paragraph" w:customStyle="1" w:styleId="2018">
    <w:name w:val="xl77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19">
    <w:name w:val="xl77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20">
    <w:name w:val="xl774"/>
    <w:basedOn w:val="1"/>
    <w:qFormat/>
    <w:uiPriority w:val="0"/>
    <w:pPr>
      <w:pBdr>
        <w:top w:val="single" w:color="auto" w:sz="4" w:space="0"/>
        <w:left w:val="single" w:color="auto" w:sz="4" w:space="0"/>
        <w:bottom w:val="single" w:color="auto" w:sz="4" w:space="0"/>
      </w:pBdr>
      <w:spacing w:before="100" w:beforeAutospacing="1" w:after="100" w:afterAutospacing="1" w:line="240" w:lineRule="auto"/>
      <w:ind w:firstLine="0"/>
      <w:jc w:val="center"/>
    </w:pPr>
    <w:rPr>
      <w:szCs w:val="28"/>
    </w:rPr>
  </w:style>
  <w:style w:type="paragraph" w:customStyle="1" w:styleId="2021">
    <w:name w:val="xl775"/>
    <w:basedOn w:val="1"/>
    <w:qFormat/>
    <w:uiPriority w:val="0"/>
    <w:pPr>
      <w:pBdr>
        <w:top w:val="single" w:color="auto" w:sz="4" w:space="0"/>
        <w:bottom w:val="single" w:color="auto" w:sz="4" w:space="0"/>
      </w:pBdr>
      <w:spacing w:before="100" w:beforeAutospacing="1" w:after="100" w:afterAutospacing="1" w:line="240" w:lineRule="auto"/>
      <w:ind w:firstLine="0"/>
      <w:jc w:val="center"/>
    </w:pPr>
    <w:rPr>
      <w:szCs w:val="28"/>
    </w:rPr>
  </w:style>
  <w:style w:type="paragraph" w:customStyle="1" w:styleId="2022">
    <w:name w:val="xl776"/>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23">
    <w:name w:val="xl77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b/>
      <w:bCs/>
      <w:sz w:val="24"/>
      <w:szCs w:val="24"/>
    </w:rPr>
  </w:style>
  <w:style w:type="paragraph" w:customStyle="1" w:styleId="2024">
    <w:name w:val="xl778"/>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b/>
      <w:bCs/>
      <w:sz w:val="24"/>
      <w:szCs w:val="24"/>
    </w:rPr>
  </w:style>
  <w:style w:type="paragraph" w:customStyle="1" w:styleId="2025">
    <w:name w:val="xl77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26">
    <w:name w:val="xl780"/>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27">
    <w:name w:val="xl78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28">
    <w:name w:val="xl7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29">
    <w:name w:val="xl783"/>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30">
    <w:name w:val="xl784"/>
    <w:basedOn w:val="1"/>
    <w:qFormat/>
    <w:uiPriority w:val="0"/>
    <w:pPr>
      <w:pBdr>
        <w:left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31">
    <w:name w:val="xl785"/>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32">
    <w:name w:val="xl7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Cs w:val="28"/>
    </w:rPr>
  </w:style>
  <w:style w:type="paragraph" w:customStyle="1" w:styleId="2033">
    <w:name w:val="Ñòèëü1"/>
    <w:basedOn w:val="1"/>
    <w:qFormat/>
    <w:uiPriority w:val="0"/>
    <w:pPr>
      <w:spacing w:after="120"/>
      <w:jc w:val="both"/>
    </w:pPr>
    <w:rPr>
      <w:sz w:val="24"/>
      <w:szCs w:val="20"/>
    </w:rPr>
  </w:style>
  <w:style w:type="paragraph" w:customStyle="1" w:styleId="2034">
    <w:name w:val="xl787"/>
    <w:basedOn w:val="1"/>
    <w:qFormat/>
    <w:uiPriority w:val="0"/>
    <w:pPr>
      <w:pBdr>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035">
    <w:name w:val="xl788"/>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pPr>
    <w:rPr>
      <w:b/>
      <w:bCs/>
      <w:sz w:val="24"/>
      <w:szCs w:val="24"/>
    </w:rPr>
  </w:style>
  <w:style w:type="paragraph" w:customStyle="1" w:styleId="2036">
    <w:name w:val="xl789"/>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pPr>
    <w:rPr>
      <w:b/>
      <w:bCs/>
      <w:sz w:val="24"/>
      <w:szCs w:val="24"/>
    </w:rPr>
  </w:style>
  <w:style w:type="paragraph" w:customStyle="1" w:styleId="2037">
    <w:name w:val="xl790"/>
    <w:basedOn w:val="1"/>
    <w:qFormat/>
    <w:uiPriority w:val="0"/>
    <w:pPr>
      <w:pBdr>
        <w:top w:val="single" w:color="auto" w:sz="8" w:space="0"/>
        <w:left w:val="single" w:color="auto" w:sz="8" w:space="0"/>
        <w:bottom w:val="single" w:color="auto" w:sz="4" w:space="0"/>
      </w:pBdr>
      <w:spacing w:before="100" w:beforeAutospacing="1" w:after="100" w:afterAutospacing="1" w:line="240" w:lineRule="auto"/>
      <w:ind w:firstLine="0"/>
      <w:jc w:val="center"/>
    </w:pPr>
    <w:rPr>
      <w:color w:val="FF0000"/>
      <w:sz w:val="24"/>
      <w:szCs w:val="24"/>
    </w:rPr>
  </w:style>
  <w:style w:type="paragraph" w:customStyle="1" w:styleId="2038">
    <w:name w:val="xl791"/>
    <w:basedOn w:val="1"/>
    <w:qFormat/>
    <w:uiPriority w:val="0"/>
    <w:pPr>
      <w:pBdr>
        <w:left w:val="single" w:color="auto" w:sz="8" w:space="0"/>
        <w:bottom w:val="single" w:color="auto" w:sz="4" w:space="0"/>
        <w:right w:val="single" w:color="auto" w:sz="8" w:space="0"/>
      </w:pBdr>
      <w:spacing w:before="100" w:beforeAutospacing="1" w:after="100" w:afterAutospacing="1" w:line="240" w:lineRule="auto"/>
      <w:ind w:firstLine="0"/>
    </w:pPr>
    <w:rPr>
      <w:b/>
      <w:bCs/>
      <w:sz w:val="24"/>
      <w:szCs w:val="24"/>
    </w:rPr>
  </w:style>
  <w:style w:type="paragraph" w:customStyle="1" w:styleId="2039">
    <w:name w:val="xl792"/>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b/>
      <w:bCs/>
      <w:sz w:val="24"/>
      <w:szCs w:val="24"/>
    </w:rPr>
  </w:style>
  <w:style w:type="paragraph" w:customStyle="1" w:styleId="2040">
    <w:name w:val="xl793"/>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color w:val="FF0000"/>
      <w:sz w:val="24"/>
      <w:szCs w:val="24"/>
    </w:rPr>
  </w:style>
  <w:style w:type="paragraph" w:customStyle="1" w:styleId="2041">
    <w:name w:val="xl794"/>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042">
    <w:name w:val="xl795"/>
    <w:basedOn w:val="1"/>
    <w:qFormat/>
    <w:uiPriority w:val="0"/>
    <w:pPr>
      <w:pBdr>
        <w:top w:val="single" w:color="auto" w:sz="4" w:space="0"/>
        <w:left w:val="single" w:color="auto" w:sz="8" w:space="11"/>
        <w:bottom w:val="single" w:color="auto" w:sz="4" w:space="0"/>
        <w:right w:val="single" w:color="auto" w:sz="8" w:space="0"/>
      </w:pBdr>
      <w:spacing w:before="100" w:beforeAutospacing="1" w:after="100" w:afterAutospacing="1" w:line="240" w:lineRule="auto"/>
      <w:ind w:firstLine="100" w:firstLineChars="100"/>
    </w:pPr>
    <w:rPr>
      <w:sz w:val="24"/>
      <w:szCs w:val="24"/>
    </w:rPr>
  </w:style>
  <w:style w:type="paragraph" w:customStyle="1" w:styleId="2043">
    <w:name w:val="xl796"/>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sz w:val="24"/>
      <w:szCs w:val="24"/>
    </w:rPr>
  </w:style>
  <w:style w:type="paragraph" w:customStyle="1" w:styleId="2044">
    <w:name w:val="xl797"/>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sz w:val="24"/>
      <w:szCs w:val="24"/>
    </w:rPr>
  </w:style>
  <w:style w:type="paragraph" w:customStyle="1" w:styleId="2045">
    <w:name w:val="xl798"/>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b/>
      <w:bCs/>
      <w:sz w:val="24"/>
      <w:szCs w:val="24"/>
    </w:rPr>
  </w:style>
  <w:style w:type="paragraph" w:customStyle="1" w:styleId="2046">
    <w:name w:val="xl799"/>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047">
    <w:name w:val="xl800"/>
    <w:basedOn w:val="1"/>
    <w:qFormat/>
    <w:uiPriority w:val="0"/>
    <w:pPr>
      <w:shd w:val="clear" w:color="auto" w:fill="FFFFFF"/>
      <w:spacing w:before="100" w:beforeAutospacing="1" w:after="100" w:afterAutospacing="1" w:line="240" w:lineRule="auto"/>
      <w:ind w:firstLine="0"/>
    </w:pPr>
    <w:rPr>
      <w:b/>
      <w:bCs/>
      <w:sz w:val="24"/>
      <w:szCs w:val="24"/>
    </w:rPr>
  </w:style>
  <w:style w:type="paragraph" w:customStyle="1" w:styleId="2048">
    <w:name w:val="xl801"/>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line="240" w:lineRule="auto"/>
      <w:ind w:firstLine="0"/>
      <w:jc w:val="center"/>
    </w:pPr>
    <w:rPr>
      <w:b/>
      <w:bCs/>
      <w:sz w:val="24"/>
      <w:szCs w:val="24"/>
    </w:rPr>
  </w:style>
  <w:style w:type="paragraph" w:customStyle="1" w:styleId="2049">
    <w:name w:val="xl802"/>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2050">
    <w:name w:val="xl803"/>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pPr>
    <w:rPr>
      <w:b/>
      <w:bCs/>
      <w:sz w:val="24"/>
      <w:szCs w:val="24"/>
    </w:rPr>
  </w:style>
  <w:style w:type="paragraph" w:customStyle="1" w:styleId="2051">
    <w:name w:val="xl804"/>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052">
    <w:name w:val="xl805"/>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053">
    <w:name w:val="xl806"/>
    <w:basedOn w:val="1"/>
    <w:qFormat/>
    <w:uiPriority w:val="0"/>
    <w:pPr>
      <w:pBdr>
        <w:top w:val="single" w:color="auto" w:sz="8" w:space="0"/>
        <w:left w:val="single" w:color="auto" w:sz="8" w:space="0"/>
        <w:bottom w:val="single" w:color="auto" w:sz="8" w:space="0"/>
      </w:pBdr>
      <w:shd w:val="clear" w:color="auto" w:fill="CCFFCC"/>
      <w:spacing w:before="100" w:beforeAutospacing="1" w:after="100" w:afterAutospacing="1" w:line="240" w:lineRule="auto"/>
      <w:ind w:firstLine="0"/>
    </w:pPr>
    <w:rPr>
      <w:b/>
      <w:bCs/>
      <w:szCs w:val="28"/>
    </w:rPr>
  </w:style>
  <w:style w:type="paragraph" w:customStyle="1" w:styleId="2054">
    <w:name w:val="xl807"/>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pPr>
    <w:rPr>
      <w:sz w:val="24"/>
      <w:szCs w:val="24"/>
    </w:rPr>
  </w:style>
  <w:style w:type="paragraph" w:customStyle="1" w:styleId="2055">
    <w:name w:val="xl808"/>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pPr>
    <w:rPr>
      <w:b/>
      <w:bCs/>
      <w:sz w:val="22"/>
    </w:rPr>
  </w:style>
  <w:style w:type="paragraph" w:customStyle="1" w:styleId="2056">
    <w:name w:val="xl809"/>
    <w:basedOn w:val="1"/>
    <w:qFormat/>
    <w:uiPriority w:val="0"/>
    <w:pPr>
      <w:pBdr>
        <w:top w:val="single" w:color="auto" w:sz="4" w:space="0"/>
        <w:bottom w:val="single" w:color="auto" w:sz="8" w:space="0"/>
      </w:pBdr>
      <w:shd w:val="clear" w:color="auto" w:fill="C0C0C0"/>
      <w:spacing w:before="100" w:beforeAutospacing="1" w:after="100" w:afterAutospacing="1" w:line="240" w:lineRule="auto"/>
      <w:ind w:firstLine="0"/>
      <w:jc w:val="center"/>
    </w:pPr>
    <w:rPr>
      <w:sz w:val="24"/>
      <w:szCs w:val="24"/>
    </w:rPr>
  </w:style>
  <w:style w:type="paragraph" w:customStyle="1" w:styleId="2057">
    <w:name w:val="xl810"/>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jc w:val="center"/>
    </w:pPr>
    <w:rPr>
      <w:sz w:val="24"/>
      <w:szCs w:val="24"/>
    </w:rPr>
  </w:style>
  <w:style w:type="paragraph" w:customStyle="1" w:styleId="2058">
    <w:name w:val="xl811"/>
    <w:basedOn w:val="1"/>
    <w:qFormat/>
    <w:uiPriority w:val="0"/>
    <w:pPr>
      <w:shd w:val="clear" w:color="auto" w:fill="FFFFFF"/>
      <w:spacing w:before="100" w:beforeAutospacing="1" w:after="100" w:afterAutospacing="1" w:line="240" w:lineRule="auto"/>
      <w:ind w:firstLine="0"/>
    </w:pPr>
    <w:rPr>
      <w:b/>
      <w:bCs/>
      <w:sz w:val="24"/>
      <w:szCs w:val="24"/>
    </w:rPr>
  </w:style>
  <w:style w:type="paragraph" w:customStyle="1" w:styleId="2059">
    <w:name w:val="xl812"/>
    <w:basedOn w:val="1"/>
    <w:qFormat/>
    <w:uiPriority w:val="0"/>
    <w:pPr>
      <w:shd w:val="clear" w:color="auto" w:fill="FFFFFF"/>
      <w:spacing w:before="100" w:beforeAutospacing="1" w:after="100" w:afterAutospacing="1" w:line="240" w:lineRule="auto"/>
      <w:ind w:firstLine="0"/>
    </w:pPr>
    <w:rPr>
      <w:b/>
      <w:bCs/>
      <w:sz w:val="24"/>
      <w:szCs w:val="24"/>
    </w:rPr>
  </w:style>
  <w:style w:type="paragraph" w:customStyle="1" w:styleId="2060">
    <w:name w:val="xl813"/>
    <w:basedOn w:val="1"/>
    <w:qFormat/>
    <w:uiPriority w:val="0"/>
    <w:pPr>
      <w:shd w:val="clear" w:color="auto" w:fill="FFFFFF"/>
      <w:spacing w:before="100" w:beforeAutospacing="1" w:after="100" w:afterAutospacing="1" w:line="240" w:lineRule="auto"/>
      <w:ind w:firstLine="0"/>
      <w:jc w:val="center"/>
    </w:pPr>
    <w:rPr>
      <w:b/>
      <w:bCs/>
      <w:sz w:val="24"/>
      <w:szCs w:val="24"/>
    </w:rPr>
  </w:style>
  <w:style w:type="paragraph" w:customStyle="1" w:styleId="2061">
    <w:name w:val="xl814"/>
    <w:basedOn w:val="1"/>
    <w:qFormat/>
    <w:uiPriority w:val="0"/>
    <w:pPr>
      <w:shd w:val="clear" w:color="auto" w:fill="FFFFFF"/>
      <w:spacing w:before="100" w:beforeAutospacing="1" w:after="100" w:afterAutospacing="1" w:line="240" w:lineRule="auto"/>
      <w:ind w:firstLine="0"/>
      <w:jc w:val="center"/>
    </w:pPr>
    <w:rPr>
      <w:sz w:val="24"/>
      <w:szCs w:val="24"/>
    </w:rPr>
  </w:style>
  <w:style w:type="paragraph" w:customStyle="1" w:styleId="2062">
    <w:name w:val="xl815"/>
    <w:basedOn w:val="1"/>
    <w:qFormat/>
    <w:uiPriority w:val="0"/>
    <w:pPr>
      <w:shd w:val="clear" w:color="auto" w:fill="FFFFFF"/>
      <w:spacing w:before="100" w:beforeAutospacing="1" w:after="100" w:afterAutospacing="1" w:line="240" w:lineRule="auto"/>
      <w:ind w:firstLine="0"/>
      <w:jc w:val="center"/>
    </w:pPr>
    <w:rPr>
      <w:b/>
      <w:bCs/>
      <w:sz w:val="24"/>
      <w:szCs w:val="24"/>
    </w:rPr>
  </w:style>
  <w:style w:type="paragraph" w:customStyle="1" w:styleId="2063">
    <w:name w:val="xl816"/>
    <w:basedOn w:val="1"/>
    <w:qFormat/>
    <w:uiPriority w:val="0"/>
    <w:pPr>
      <w:pBdr>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64">
    <w:name w:val="xl817"/>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pPr>
    <w:rPr>
      <w:b/>
      <w:bCs/>
      <w:sz w:val="24"/>
      <w:szCs w:val="24"/>
    </w:rPr>
  </w:style>
  <w:style w:type="paragraph" w:customStyle="1" w:styleId="2065">
    <w:name w:val="xl818"/>
    <w:basedOn w:val="1"/>
    <w:qFormat/>
    <w:uiPriority w:val="0"/>
    <w:pPr>
      <w:pBdr>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66">
    <w:name w:val="xl819"/>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67">
    <w:name w:val="xl820"/>
    <w:basedOn w:val="1"/>
    <w:qFormat/>
    <w:uiPriority w:val="0"/>
    <w:pPr>
      <w:pBdr>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068">
    <w:name w:val="xl821"/>
    <w:basedOn w:val="1"/>
    <w:qFormat/>
    <w:uiPriority w:val="0"/>
    <w:pPr>
      <w:pBdr>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069">
    <w:name w:val="xl822"/>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070">
    <w:name w:val="xl823"/>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071">
    <w:name w:val="xl824"/>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72">
    <w:name w:val="xl825"/>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line="240" w:lineRule="auto"/>
      <w:ind w:firstLine="0"/>
    </w:pPr>
    <w:rPr>
      <w:sz w:val="24"/>
      <w:szCs w:val="24"/>
    </w:rPr>
  </w:style>
  <w:style w:type="paragraph" w:customStyle="1" w:styleId="2073">
    <w:name w:val="xl826"/>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74">
    <w:name w:val="xl827"/>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075">
    <w:name w:val="xl828"/>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76">
    <w:name w:val="xl829"/>
    <w:basedOn w:val="1"/>
    <w:qFormat/>
    <w:uiPriority w:val="0"/>
    <w:pPr>
      <w:pBdr>
        <w:top w:val="single" w:color="auto" w:sz="4" w:space="0"/>
        <w:left w:val="single" w:color="auto" w:sz="8" w:space="0"/>
      </w:pBdr>
      <w:spacing w:before="100" w:beforeAutospacing="1" w:after="100" w:afterAutospacing="1" w:line="240" w:lineRule="auto"/>
      <w:ind w:firstLine="0"/>
      <w:jc w:val="center"/>
    </w:pPr>
    <w:rPr>
      <w:b/>
      <w:bCs/>
      <w:sz w:val="24"/>
      <w:szCs w:val="24"/>
    </w:rPr>
  </w:style>
  <w:style w:type="paragraph" w:customStyle="1" w:styleId="2077">
    <w:name w:val="xl830"/>
    <w:basedOn w:val="1"/>
    <w:qFormat/>
    <w:uiPriority w:val="0"/>
    <w:pPr>
      <w:pBdr>
        <w:top w:val="single" w:color="auto" w:sz="4" w:space="0"/>
        <w:left w:val="single" w:color="auto" w:sz="8" w:space="11"/>
      </w:pBdr>
      <w:spacing w:before="100" w:beforeAutospacing="1" w:after="100" w:afterAutospacing="1" w:line="240" w:lineRule="auto"/>
      <w:ind w:firstLine="100" w:firstLineChars="100"/>
    </w:pPr>
    <w:rPr>
      <w:i/>
      <w:iCs/>
      <w:sz w:val="24"/>
      <w:szCs w:val="24"/>
    </w:rPr>
  </w:style>
  <w:style w:type="paragraph" w:customStyle="1" w:styleId="2078">
    <w:name w:val="xl831"/>
    <w:basedOn w:val="1"/>
    <w:qFormat/>
    <w:uiPriority w:val="0"/>
    <w:pPr>
      <w:pBdr>
        <w:top w:val="single" w:color="auto" w:sz="4" w:space="0"/>
        <w:left w:val="single" w:color="auto" w:sz="8" w:space="0"/>
      </w:pBdr>
      <w:spacing w:before="100" w:beforeAutospacing="1" w:after="100" w:afterAutospacing="1" w:line="240" w:lineRule="auto"/>
      <w:ind w:firstLine="0"/>
      <w:jc w:val="center"/>
    </w:pPr>
    <w:rPr>
      <w:i/>
      <w:iCs/>
      <w:sz w:val="24"/>
      <w:szCs w:val="24"/>
    </w:rPr>
  </w:style>
  <w:style w:type="paragraph" w:customStyle="1" w:styleId="2079">
    <w:name w:val="xl832"/>
    <w:basedOn w:val="1"/>
    <w:qFormat/>
    <w:uiPriority w:val="0"/>
    <w:pPr>
      <w:pBdr>
        <w:top w:val="single" w:color="auto" w:sz="4" w:space="0"/>
        <w:left w:val="single" w:color="auto" w:sz="8" w:space="0"/>
      </w:pBdr>
      <w:spacing w:before="100" w:beforeAutospacing="1" w:after="100" w:afterAutospacing="1" w:line="240" w:lineRule="auto"/>
      <w:ind w:firstLine="0"/>
      <w:jc w:val="center"/>
    </w:pPr>
    <w:rPr>
      <w:i/>
      <w:iCs/>
      <w:sz w:val="24"/>
      <w:szCs w:val="24"/>
    </w:rPr>
  </w:style>
  <w:style w:type="paragraph" w:customStyle="1" w:styleId="2080">
    <w:name w:val="xl833"/>
    <w:basedOn w:val="1"/>
    <w:qFormat/>
    <w:uiPriority w:val="0"/>
    <w:pPr>
      <w:pBdr>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081">
    <w:name w:val="xl834"/>
    <w:basedOn w:val="1"/>
    <w:qFormat/>
    <w:uiPriority w:val="0"/>
    <w:pPr>
      <w:pBdr>
        <w:left w:val="single" w:color="auto" w:sz="8" w:space="0"/>
        <w:bottom w:val="single" w:color="auto" w:sz="4" w:space="0"/>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2082">
    <w:name w:val="xl835"/>
    <w:basedOn w:val="1"/>
    <w:qFormat/>
    <w:uiPriority w:val="0"/>
    <w:pPr>
      <w:pBdr>
        <w:top w:val="single" w:color="auto" w:sz="4" w:space="0"/>
        <w:left w:val="single" w:color="auto" w:sz="8" w:space="0"/>
        <w:bottom w:val="single" w:color="auto" w:sz="4" w:space="0"/>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2083">
    <w:name w:val="xl836"/>
    <w:basedOn w:val="1"/>
    <w:qFormat/>
    <w:uiPriority w:val="0"/>
    <w:pPr>
      <w:pBdr>
        <w:top w:val="single" w:color="auto" w:sz="4" w:space="0"/>
        <w:left w:val="single" w:color="auto" w:sz="8" w:space="0"/>
        <w:bottom w:val="single" w:color="auto" w:sz="4" w:space="0"/>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2084">
    <w:name w:val="xl837"/>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085">
    <w:name w:val="xl838"/>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086">
    <w:name w:val="xl839"/>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087">
    <w:name w:val="xl840"/>
    <w:basedOn w:val="1"/>
    <w:qFormat/>
    <w:uiPriority w:val="0"/>
    <w:pPr>
      <w:pBdr>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088">
    <w:name w:val="xl841"/>
    <w:basedOn w:val="1"/>
    <w:qFormat/>
    <w:uiPriority w:val="0"/>
    <w:pPr>
      <w:pBdr>
        <w:top w:val="single" w:color="auto" w:sz="8" w:space="0"/>
        <w:left w:val="single" w:color="auto" w:sz="8" w:space="0"/>
      </w:pBdr>
      <w:shd w:val="clear" w:color="auto" w:fill="CCFFCC"/>
      <w:spacing w:before="100" w:beforeAutospacing="1" w:after="100" w:afterAutospacing="1" w:line="240" w:lineRule="auto"/>
      <w:ind w:firstLine="0"/>
    </w:pPr>
    <w:rPr>
      <w:b/>
      <w:bCs/>
      <w:szCs w:val="28"/>
    </w:rPr>
  </w:style>
  <w:style w:type="paragraph" w:customStyle="1" w:styleId="2089">
    <w:name w:val="xl842"/>
    <w:basedOn w:val="1"/>
    <w:qFormat/>
    <w:uiPriority w:val="0"/>
    <w:pPr>
      <w:pBdr>
        <w:top w:val="single" w:color="auto" w:sz="8" w:space="0"/>
        <w:left w:val="single" w:color="auto" w:sz="4" w:space="0"/>
        <w:bottom w:val="single" w:color="auto" w:sz="8" w:space="0"/>
        <w:right w:val="single" w:color="auto" w:sz="4" w:space="0"/>
      </w:pBdr>
      <w:shd w:val="clear" w:color="auto" w:fill="CCFFFF"/>
      <w:spacing w:before="100" w:beforeAutospacing="1" w:after="100" w:afterAutospacing="1" w:line="240" w:lineRule="auto"/>
      <w:ind w:firstLine="0"/>
    </w:pPr>
    <w:rPr>
      <w:b/>
      <w:bCs/>
      <w:sz w:val="24"/>
      <w:szCs w:val="24"/>
    </w:rPr>
  </w:style>
  <w:style w:type="paragraph" w:customStyle="1" w:styleId="2090">
    <w:name w:val="xl843"/>
    <w:basedOn w:val="1"/>
    <w:qFormat/>
    <w:uiPriority w:val="0"/>
    <w:pPr>
      <w:pBdr>
        <w:top w:val="single" w:color="auto" w:sz="8" w:space="0"/>
        <w:left w:val="single" w:color="auto" w:sz="8" w:space="0"/>
        <w:bottom w:val="single" w:color="auto" w:sz="8" w:space="0"/>
        <w:right w:val="single" w:color="auto" w:sz="4" w:space="0"/>
      </w:pBdr>
      <w:shd w:val="clear" w:color="auto" w:fill="CCFFFF"/>
      <w:spacing w:before="100" w:beforeAutospacing="1" w:after="100" w:afterAutospacing="1" w:line="240" w:lineRule="auto"/>
      <w:ind w:firstLine="0"/>
    </w:pPr>
    <w:rPr>
      <w:b/>
      <w:bCs/>
      <w:sz w:val="24"/>
      <w:szCs w:val="24"/>
    </w:rPr>
  </w:style>
  <w:style w:type="paragraph" w:customStyle="1" w:styleId="2091">
    <w:name w:val="xl844"/>
    <w:basedOn w:val="1"/>
    <w:qFormat/>
    <w:uiPriority w:val="0"/>
    <w:pPr>
      <w:pBdr>
        <w:top w:val="single" w:color="auto" w:sz="8" w:space="0"/>
        <w:left w:val="single" w:color="auto" w:sz="4" w:space="0"/>
        <w:bottom w:val="single" w:color="auto" w:sz="8" w:space="0"/>
        <w:right w:val="single" w:color="auto" w:sz="4" w:space="0"/>
      </w:pBdr>
      <w:shd w:val="clear" w:color="auto" w:fill="CCFFFF"/>
      <w:spacing w:before="100" w:beforeAutospacing="1" w:after="100" w:afterAutospacing="1" w:line="240" w:lineRule="auto"/>
      <w:ind w:firstLine="0"/>
      <w:jc w:val="center"/>
    </w:pPr>
    <w:rPr>
      <w:b/>
      <w:bCs/>
      <w:sz w:val="24"/>
      <w:szCs w:val="24"/>
    </w:rPr>
  </w:style>
  <w:style w:type="paragraph" w:customStyle="1" w:styleId="2092">
    <w:name w:val="xl845"/>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pPr>
    <w:rPr>
      <w:b/>
      <w:bCs/>
      <w:sz w:val="24"/>
      <w:szCs w:val="24"/>
    </w:rPr>
  </w:style>
  <w:style w:type="paragraph" w:customStyle="1" w:styleId="2093">
    <w:name w:val="xl846"/>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pPr>
    <w:rPr>
      <w:b/>
      <w:bCs/>
      <w:sz w:val="24"/>
      <w:szCs w:val="24"/>
    </w:rPr>
  </w:style>
  <w:style w:type="paragraph" w:customStyle="1" w:styleId="2094">
    <w:name w:val="xl847"/>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pPr>
    <w:rPr>
      <w:b/>
      <w:bCs/>
      <w:sz w:val="24"/>
      <w:szCs w:val="24"/>
    </w:rPr>
  </w:style>
  <w:style w:type="paragraph" w:customStyle="1" w:styleId="2095">
    <w:name w:val="xl848"/>
    <w:basedOn w:val="1"/>
    <w:qFormat/>
    <w:uiPriority w:val="0"/>
    <w:pPr>
      <w:pBdr>
        <w:left w:val="single" w:color="auto" w:sz="8" w:space="0"/>
        <w:bottom w:val="single" w:color="auto" w:sz="4" w:space="0"/>
      </w:pBdr>
      <w:shd w:val="clear" w:color="auto" w:fill="CCFFFF"/>
      <w:spacing w:before="100" w:beforeAutospacing="1" w:after="100" w:afterAutospacing="1" w:line="240" w:lineRule="auto"/>
      <w:ind w:firstLine="0"/>
      <w:jc w:val="center"/>
    </w:pPr>
    <w:rPr>
      <w:b/>
      <w:bCs/>
      <w:sz w:val="24"/>
      <w:szCs w:val="24"/>
    </w:rPr>
  </w:style>
  <w:style w:type="paragraph" w:customStyle="1" w:styleId="2096">
    <w:name w:val="xl849"/>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pPr>
    <w:rPr>
      <w:sz w:val="24"/>
      <w:szCs w:val="24"/>
    </w:rPr>
  </w:style>
  <w:style w:type="paragraph" w:customStyle="1" w:styleId="2097">
    <w:name w:val="xl850"/>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098">
    <w:name w:val="xl851"/>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pPr>
    <w:rPr>
      <w:sz w:val="24"/>
      <w:szCs w:val="24"/>
    </w:rPr>
  </w:style>
  <w:style w:type="paragraph" w:customStyle="1" w:styleId="2099">
    <w:name w:val="xl852"/>
    <w:basedOn w:val="1"/>
    <w:qFormat/>
    <w:uiPriority w:val="0"/>
    <w:pPr>
      <w:pBdr>
        <w:left w:val="single" w:color="auto" w:sz="8" w:space="0"/>
        <w:bottom w:val="single" w:color="auto" w:sz="4" w:space="0"/>
      </w:pBdr>
      <w:shd w:val="clear" w:color="auto" w:fill="C0C0C0"/>
      <w:spacing w:before="100" w:beforeAutospacing="1" w:after="100" w:afterAutospacing="1" w:line="240" w:lineRule="auto"/>
      <w:ind w:firstLine="0"/>
      <w:jc w:val="center"/>
    </w:pPr>
    <w:rPr>
      <w:b/>
      <w:bCs/>
      <w:sz w:val="24"/>
      <w:szCs w:val="24"/>
    </w:rPr>
  </w:style>
  <w:style w:type="paragraph" w:customStyle="1" w:styleId="2100">
    <w:name w:val="xl853"/>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pPr>
    <w:rPr>
      <w:sz w:val="24"/>
      <w:szCs w:val="24"/>
    </w:rPr>
  </w:style>
  <w:style w:type="paragraph" w:customStyle="1" w:styleId="2101">
    <w:name w:val="xl854"/>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102">
    <w:name w:val="xl855"/>
    <w:basedOn w:val="1"/>
    <w:qFormat/>
    <w:uiPriority w:val="0"/>
    <w:pPr>
      <w:shd w:val="clear" w:color="auto" w:fill="FFFFFF"/>
      <w:spacing w:before="100" w:beforeAutospacing="1" w:after="100" w:afterAutospacing="1" w:line="240" w:lineRule="auto"/>
      <w:ind w:firstLine="0"/>
    </w:pPr>
    <w:rPr>
      <w:b/>
      <w:bCs/>
      <w:i/>
      <w:iCs/>
      <w:sz w:val="40"/>
      <w:szCs w:val="40"/>
      <w:u w:val="single"/>
    </w:rPr>
  </w:style>
  <w:style w:type="paragraph" w:customStyle="1" w:styleId="2103">
    <w:name w:val="xl856"/>
    <w:basedOn w:val="1"/>
    <w:qFormat/>
    <w:uiPriority w:val="0"/>
    <w:pPr>
      <w:pBdr>
        <w:top w:val="single" w:color="auto" w:sz="4" w:space="0"/>
        <w:left w:val="single" w:color="auto" w:sz="8" w:space="11"/>
        <w:bottom w:val="single" w:color="auto" w:sz="4" w:space="0"/>
      </w:pBdr>
      <w:spacing w:before="100" w:beforeAutospacing="1" w:after="100" w:afterAutospacing="1" w:line="240" w:lineRule="auto"/>
      <w:ind w:firstLine="100" w:firstLineChars="100"/>
    </w:pPr>
    <w:rPr>
      <w:sz w:val="24"/>
      <w:szCs w:val="24"/>
    </w:rPr>
  </w:style>
  <w:style w:type="paragraph" w:customStyle="1" w:styleId="2104">
    <w:name w:val="xl857"/>
    <w:basedOn w:val="1"/>
    <w:qFormat/>
    <w:uiPriority w:val="0"/>
    <w:pPr>
      <w:pBdr>
        <w:top w:val="single" w:color="auto" w:sz="4" w:space="0"/>
        <w:left w:val="single" w:color="auto" w:sz="8" w:space="0"/>
        <w:bottom w:val="single" w:color="auto" w:sz="8" w:space="0"/>
      </w:pBdr>
      <w:spacing w:before="100" w:beforeAutospacing="1" w:after="100" w:afterAutospacing="1" w:line="240" w:lineRule="auto"/>
      <w:ind w:firstLine="0"/>
      <w:jc w:val="center"/>
    </w:pPr>
    <w:rPr>
      <w:sz w:val="24"/>
      <w:szCs w:val="24"/>
    </w:rPr>
  </w:style>
  <w:style w:type="paragraph" w:customStyle="1" w:styleId="2105">
    <w:name w:val="xl858"/>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106">
    <w:name w:val="xl859"/>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107">
    <w:name w:val="xl860"/>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color w:val="FF0000"/>
      <w:sz w:val="24"/>
      <w:szCs w:val="24"/>
    </w:rPr>
  </w:style>
  <w:style w:type="paragraph" w:customStyle="1" w:styleId="2108">
    <w:name w:val="xl861"/>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09">
    <w:name w:val="xl862"/>
    <w:basedOn w:val="1"/>
    <w:qFormat/>
    <w:uiPriority w:val="0"/>
    <w:pPr>
      <w:pBdr>
        <w:top w:val="single" w:color="auto" w:sz="8" w:space="0"/>
        <w:left w:val="single" w:color="auto" w:sz="4" w:space="0"/>
        <w:bottom w:val="single" w:color="auto" w:sz="8" w:space="0"/>
        <w:right w:val="single" w:color="auto" w:sz="4" w:space="0"/>
      </w:pBdr>
      <w:shd w:val="clear" w:color="auto" w:fill="CCFFFF"/>
      <w:spacing w:before="100" w:beforeAutospacing="1" w:after="100" w:afterAutospacing="1" w:line="240" w:lineRule="auto"/>
      <w:ind w:firstLine="0"/>
      <w:jc w:val="center"/>
    </w:pPr>
    <w:rPr>
      <w:b/>
      <w:bCs/>
      <w:sz w:val="24"/>
      <w:szCs w:val="24"/>
    </w:rPr>
  </w:style>
  <w:style w:type="paragraph" w:customStyle="1" w:styleId="2110">
    <w:name w:val="xl863"/>
    <w:basedOn w:val="1"/>
    <w:qFormat/>
    <w:uiPriority w:val="0"/>
    <w:pPr>
      <w:pBdr>
        <w:bottom w:val="single" w:color="auto" w:sz="8" w:space="0"/>
      </w:pBdr>
      <w:shd w:val="clear" w:color="auto" w:fill="CCFFCC"/>
      <w:spacing w:before="100" w:beforeAutospacing="1" w:after="100" w:afterAutospacing="1" w:line="240" w:lineRule="auto"/>
      <w:ind w:firstLine="0"/>
    </w:pPr>
    <w:rPr>
      <w:b/>
      <w:bCs/>
      <w:sz w:val="24"/>
      <w:szCs w:val="24"/>
    </w:rPr>
  </w:style>
  <w:style w:type="paragraph" w:customStyle="1" w:styleId="2111">
    <w:name w:val="xl864"/>
    <w:basedOn w:val="1"/>
    <w:qFormat/>
    <w:uiPriority w:val="0"/>
    <w:pPr>
      <w:pBdr>
        <w:bottom w:val="single" w:color="auto" w:sz="8" w:space="0"/>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2112">
    <w:name w:val="xl865"/>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13">
    <w:name w:val="xl866"/>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114">
    <w:name w:val="xl867"/>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115">
    <w:name w:val="xl868"/>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sz w:val="24"/>
      <w:szCs w:val="24"/>
    </w:rPr>
  </w:style>
  <w:style w:type="paragraph" w:customStyle="1" w:styleId="2116">
    <w:name w:val="xl869"/>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117">
    <w:name w:val="xl870"/>
    <w:basedOn w:val="1"/>
    <w:qFormat/>
    <w:uiPriority w:val="0"/>
    <w:pPr>
      <w:pBdr>
        <w:top w:val="single" w:color="auto" w:sz="4" w:space="0"/>
        <w:left w:val="single" w:color="auto" w:sz="8" w:space="0"/>
      </w:pBdr>
      <w:spacing w:before="100" w:beforeAutospacing="1" w:after="100" w:afterAutospacing="1" w:line="240" w:lineRule="auto"/>
      <w:ind w:firstLine="0"/>
      <w:jc w:val="center"/>
    </w:pPr>
    <w:rPr>
      <w:i/>
      <w:iCs/>
      <w:sz w:val="24"/>
      <w:szCs w:val="24"/>
    </w:rPr>
  </w:style>
  <w:style w:type="paragraph" w:customStyle="1" w:styleId="2118">
    <w:name w:val="xl871"/>
    <w:basedOn w:val="1"/>
    <w:qFormat/>
    <w:uiPriority w:val="0"/>
    <w:pPr>
      <w:pBdr>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119">
    <w:name w:val="xl872"/>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120">
    <w:name w:val="xl873"/>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121">
    <w:name w:val="xl874"/>
    <w:basedOn w:val="1"/>
    <w:qFormat/>
    <w:uiPriority w:val="0"/>
    <w:pPr>
      <w:pBdr>
        <w:top w:val="single" w:color="auto" w:sz="8" w:space="0"/>
        <w:bottom w:val="single" w:color="auto" w:sz="8" w:space="0"/>
      </w:pBdr>
      <w:shd w:val="clear" w:color="auto" w:fill="CCFFCC"/>
      <w:spacing w:before="100" w:beforeAutospacing="1" w:after="100" w:afterAutospacing="1" w:line="240" w:lineRule="auto"/>
      <w:ind w:firstLine="0"/>
    </w:pPr>
    <w:rPr>
      <w:b/>
      <w:bCs/>
      <w:sz w:val="24"/>
      <w:szCs w:val="24"/>
    </w:rPr>
  </w:style>
  <w:style w:type="paragraph" w:customStyle="1" w:styleId="2122">
    <w:name w:val="xl875"/>
    <w:basedOn w:val="1"/>
    <w:qFormat/>
    <w:uiPriority w:val="0"/>
    <w:pPr>
      <w:pBdr>
        <w:top w:val="single" w:color="auto" w:sz="8" w:space="0"/>
        <w:bottom w:val="single" w:color="auto" w:sz="8" w:space="0"/>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2123">
    <w:name w:val="xl876"/>
    <w:basedOn w:val="1"/>
    <w:qFormat/>
    <w:uiPriority w:val="0"/>
    <w:pPr>
      <w:pBdr>
        <w:top w:val="single" w:color="auto" w:sz="4" w:space="0"/>
        <w:left w:val="single" w:color="auto" w:sz="8" w:space="0"/>
        <w:bottom w:val="single" w:color="auto" w:sz="4" w:space="0"/>
      </w:pBdr>
      <w:shd w:val="clear" w:color="auto" w:fill="CCFFFF"/>
      <w:spacing w:before="100" w:beforeAutospacing="1" w:after="100" w:afterAutospacing="1" w:line="240" w:lineRule="auto"/>
      <w:ind w:firstLine="0"/>
      <w:jc w:val="center"/>
    </w:pPr>
    <w:rPr>
      <w:b/>
      <w:bCs/>
      <w:sz w:val="24"/>
      <w:szCs w:val="24"/>
    </w:rPr>
  </w:style>
  <w:style w:type="paragraph" w:customStyle="1" w:styleId="2124">
    <w:name w:val="xl877"/>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125">
    <w:name w:val="xl878"/>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sz w:val="24"/>
      <w:szCs w:val="24"/>
    </w:rPr>
  </w:style>
  <w:style w:type="paragraph" w:customStyle="1" w:styleId="2126">
    <w:name w:val="xl879"/>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sz w:val="24"/>
      <w:szCs w:val="24"/>
    </w:rPr>
  </w:style>
  <w:style w:type="paragraph" w:customStyle="1" w:styleId="2127">
    <w:name w:val="xl880"/>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2128">
    <w:name w:val="xl881"/>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color w:val="FF0000"/>
      <w:sz w:val="24"/>
      <w:szCs w:val="24"/>
    </w:rPr>
  </w:style>
  <w:style w:type="paragraph" w:customStyle="1" w:styleId="2129">
    <w:name w:val="xl882"/>
    <w:basedOn w:val="1"/>
    <w:qFormat/>
    <w:uiPriority w:val="0"/>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2130">
    <w:name w:val="xl883"/>
    <w:basedOn w:val="1"/>
    <w:qFormat/>
    <w:uiPriority w:val="0"/>
    <w:pPr>
      <w:shd w:val="clear" w:color="auto" w:fill="FFFFFF"/>
      <w:spacing w:before="100" w:beforeAutospacing="1" w:after="100" w:afterAutospacing="1" w:line="240" w:lineRule="auto"/>
      <w:ind w:firstLine="0"/>
    </w:pPr>
    <w:rPr>
      <w:b/>
      <w:bCs/>
      <w:i/>
      <w:iCs/>
      <w:color w:val="FF0000"/>
      <w:sz w:val="24"/>
      <w:szCs w:val="24"/>
    </w:rPr>
  </w:style>
  <w:style w:type="paragraph" w:customStyle="1" w:styleId="2131">
    <w:name w:val="xl884"/>
    <w:basedOn w:val="1"/>
    <w:qFormat/>
    <w:uiPriority w:val="0"/>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2132">
    <w:name w:val="xl885"/>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133">
    <w:name w:val="xl886"/>
    <w:basedOn w:val="1"/>
    <w:qFormat/>
    <w:uiPriority w:val="0"/>
    <w:pPr>
      <w:pBdr>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pPr>
    <w:rPr>
      <w:b/>
      <w:bCs/>
      <w:sz w:val="24"/>
      <w:szCs w:val="24"/>
    </w:rPr>
  </w:style>
  <w:style w:type="paragraph" w:customStyle="1" w:styleId="2134">
    <w:name w:val="xl887"/>
    <w:basedOn w:val="1"/>
    <w:qFormat/>
    <w:uiPriority w:val="0"/>
    <w:pPr>
      <w:pBdr>
        <w:top w:val="single" w:color="auto" w:sz="4" w:space="0"/>
        <w:left w:val="single" w:color="auto" w:sz="8" w:space="0"/>
        <w:bottom w:val="single" w:color="auto" w:sz="8" w:space="0"/>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2135">
    <w:name w:val="xl888"/>
    <w:basedOn w:val="1"/>
    <w:qFormat/>
    <w:uiPriority w:val="0"/>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2136">
    <w:name w:val="xl889"/>
    <w:basedOn w:val="1"/>
    <w:qFormat/>
    <w:uiPriority w:val="0"/>
    <w:pPr>
      <w:shd w:val="clear" w:color="auto" w:fill="FFFFFF"/>
      <w:spacing w:before="100" w:beforeAutospacing="1" w:after="100" w:afterAutospacing="1" w:line="240" w:lineRule="auto"/>
      <w:ind w:firstLine="0"/>
    </w:pPr>
    <w:rPr>
      <w:sz w:val="24"/>
      <w:szCs w:val="24"/>
    </w:rPr>
  </w:style>
  <w:style w:type="paragraph" w:customStyle="1" w:styleId="2137">
    <w:name w:val="xl890"/>
    <w:basedOn w:val="1"/>
    <w:qFormat/>
    <w:uiPriority w:val="0"/>
    <w:pPr>
      <w:shd w:val="clear" w:color="auto" w:fill="FFFFFF"/>
      <w:spacing w:before="100" w:beforeAutospacing="1" w:after="100" w:afterAutospacing="1" w:line="240" w:lineRule="auto"/>
      <w:ind w:firstLine="0"/>
      <w:jc w:val="center"/>
    </w:pPr>
    <w:rPr>
      <w:sz w:val="24"/>
      <w:szCs w:val="24"/>
    </w:rPr>
  </w:style>
  <w:style w:type="paragraph" w:customStyle="1" w:styleId="2138">
    <w:name w:val="xl891"/>
    <w:basedOn w:val="1"/>
    <w:qFormat/>
    <w:uiPriority w:val="0"/>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2139">
    <w:name w:val="xl892"/>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line="240" w:lineRule="auto"/>
      <w:ind w:firstLine="0"/>
    </w:pPr>
    <w:rPr>
      <w:sz w:val="24"/>
      <w:szCs w:val="24"/>
    </w:rPr>
  </w:style>
  <w:style w:type="paragraph" w:customStyle="1" w:styleId="2140">
    <w:name w:val="xl893"/>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line="240" w:lineRule="auto"/>
      <w:ind w:firstLine="0"/>
    </w:pPr>
    <w:rPr>
      <w:sz w:val="24"/>
      <w:szCs w:val="24"/>
    </w:rPr>
  </w:style>
  <w:style w:type="paragraph" w:customStyle="1" w:styleId="2141">
    <w:name w:val="xl894"/>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line="240" w:lineRule="auto"/>
      <w:ind w:firstLine="0"/>
      <w:jc w:val="center"/>
    </w:pPr>
    <w:rPr>
      <w:rFonts w:ascii="Arial" w:hAnsi="Arial" w:cs="Arial"/>
      <w:b/>
      <w:bCs/>
      <w:sz w:val="24"/>
      <w:szCs w:val="24"/>
    </w:rPr>
  </w:style>
  <w:style w:type="paragraph" w:customStyle="1" w:styleId="2142">
    <w:name w:val="xl895"/>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2143">
    <w:name w:val="xl896"/>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2144">
    <w:name w:val="xl897"/>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145">
    <w:name w:val="xl898"/>
    <w:basedOn w:val="1"/>
    <w:qFormat/>
    <w:uiPriority w:val="0"/>
    <w:pPr>
      <w:pBdr>
        <w:left w:val="single" w:color="auto" w:sz="8" w:space="0"/>
        <w:bottom w:val="single" w:color="auto" w:sz="4" w:space="0"/>
      </w:pBdr>
      <w:spacing w:before="100" w:beforeAutospacing="1" w:after="100" w:afterAutospacing="1" w:line="240" w:lineRule="auto"/>
      <w:ind w:firstLine="0"/>
      <w:jc w:val="center"/>
    </w:pPr>
    <w:rPr>
      <w:sz w:val="24"/>
      <w:szCs w:val="24"/>
    </w:rPr>
  </w:style>
  <w:style w:type="paragraph" w:customStyle="1" w:styleId="2146">
    <w:name w:val="xl899"/>
    <w:basedOn w:val="1"/>
    <w:qFormat/>
    <w:uiPriority w:val="0"/>
    <w:pPr>
      <w:pBdr>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147">
    <w:name w:val="xl900"/>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2148">
    <w:name w:val="xl901"/>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2149">
    <w:name w:val="xl902"/>
    <w:basedOn w:val="1"/>
    <w:qFormat/>
    <w:uiPriority w:val="0"/>
    <w:pPr>
      <w:shd w:val="clear" w:color="auto" w:fill="FFFFFF"/>
      <w:spacing w:before="100" w:beforeAutospacing="1" w:after="100" w:afterAutospacing="1" w:line="240" w:lineRule="auto"/>
      <w:ind w:firstLine="0"/>
      <w:jc w:val="center"/>
    </w:pPr>
    <w:rPr>
      <w:b/>
      <w:bCs/>
      <w:sz w:val="24"/>
      <w:szCs w:val="24"/>
    </w:rPr>
  </w:style>
  <w:style w:type="paragraph" w:customStyle="1" w:styleId="2150">
    <w:name w:val="xl903"/>
    <w:basedOn w:val="1"/>
    <w:qFormat/>
    <w:uiPriority w:val="0"/>
    <w:pPr>
      <w:pBdr>
        <w:left w:val="single" w:color="auto" w:sz="8" w:space="0"/>
        <w:bottom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151">
    <w:name w:val="xl904"/>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pPr>
    <w:rPr>
      <w:sz w:val="24"/>
      <w:szCs w:val="24"/>
    </w:rPr>
  </w:style>
  <w:style w:type="paragraph" w:customStyle="1" w:styleId="2152">
    <w:name w:val="xl905"/>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53">
    <w:name w:val="xl906"/>
    <w:basedOn w:val="1"/>
    <w:qFormat/>
    <w:uiPriority w:val="0"/>
    <w:pPr>
      <w:pBdr>
        <w:left w:val="single" w:color="auto" w:sz="8" w:space="0"/>
        <w:right w:val="single" w:color="auto" w:sz="8" w:space="0"/>
      </w:pBdr>
      <w:spacing w:before="100" w:beforeAutospacing="1" w:after="100" w:afterAutospacing="1" w:line="240" w:lineRule="auto"/>
      <w:ind w:firstLine="0"/>
    </w:pPr>
    <w:rPr>
      <w:sz w:val="24"/>
      <w:szCs w:val="24"/>
    </w:rPr>
  </w:style>
  <w:style w:type="paragraph" w:customStyle="1" w:styleId="2154">
    <w:name w:val="xl907"/>
    <w:basedOn w:val="1"/>
    <w:qFormat/>
    <w:uiPriority w:val="0"/>
    <w:pPr>
      <w:pBdr>
        <w:left w:val="single" w:color="auto" w:sz="8" w:space="0"/>
        <w:right w:val="single" w:color="auto" w:sz="8" w:space="0"/>
      </w:pBdr>
      <w:spacing w:before="100" w:beforeAutospacing="1" w:after="100" w:afterAutospacing="1" w:line="240" w:lineRule="auto"/>
      <w:ind w:firstLine="0"/>
    </w:pPr>
    <w:rPr>
      <w:sz w:val="24"/>
      <w:szCs w:val="24"/>
    </w:rPr>
  </w:style>
  <w:style w:type="paragraph" w:customStyle="1" w:styleId="2155">
    <w:name w:val="xl908"/>
    <w:basedOn w:val="1"/>
    <w:qFormat/>
    <w:uiPriority w:val="0"/>
    <w:pPr>
      <w:pBdr>
        <w:left w:val="single" w:color="auto" w:sz="8" w:space="0"/>
      </w:pBdr>
      <w:spacing w:before="100" w:beforeAutospacing="1" w:after="100" w:afterAutospacing="1" w:line="240" w:lineRule="auto"/>
      <w:ind w:firstLine="0"/>
      <w:jc w:val="center"/>
    </w:pPr>
    <w:rPr>
      <w:sz w:val="24"/>
      <w:szCs w:val="24"/>
    </w:rPr>
  </w:style>
  <w:style w:type="paragraph" w:customStyle="1" w:styleId="2156">
    <w:name w:val="xl909"/>
    <w:basedOn w:val="1"/>
    <w:qFormat/>
    <w:uiPriority w:val="0"/>
    <w:pPr>
      <w:pBdr>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57">
    <w:name w:val="xl910"/>
    <w:basedOn w:val="1"/>
    <w:qFormat/>
    <w:uiPriority w:val="0"/>
    <w:pPr>
      <w:pBdr>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158">
    <w:name w:val="xl911"/>
    <w:basedOn w:val="1"/>
    <w:qFormat/>
    <w:uiPriority w:val="0"/>
    <w:pPr>
      <w:pBdr>
        <w:top w:val="single" w:color="auto" w:sz="8" w:space="0"/>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159">
    <w:name w:val="xl912"/>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160">
    <w:name w:val="xl913"/>
    <w:basedOn w:val="1"/>
    <w:qFormat/>
    <w:uiPriority w:val="0"/>
    <w:pPr>
      <w:pBdr>
        <w:top w:val="single" w:color="auto" w:sz="4" w:space="0"/>
        <w:left w:val="single" w:color="auto" w:sz="8" w:space="0"/>
      </w:pBdr>
      <w:spacing w:before="100" w:beforeAutospacing="1" w:after="100" w:afterAutospacing="1" w:line="240" w:lineRule="auto"/>
      <w:ind w:firstLine="0"/>
      <w:jc w:val="center"/>
    </w:pPr>
    <w:rPr>
      <w:b/>
      <w:bCs/>
      <w:sz w:val="24"/>
      <w:szCs w:val="24"/>
    </w:rPr>
  </w:style>
  <w:style w:type="paragraph" w:customStyle="1" w:styleId="2161">
    <w:name w:val="xl914"/>
    <w:basedOn w:val="1"/>
    <w:qFormat/>
    <w:uiPriority w:val="0"/>
    <w:pPr>
      <w:pBdr>
        <w:top w:val="single" w:color="auto" w:sz="4" w:space="0"/>
        <w:left w:val="single" w:color="auto" w:sz="8" w:space="0"/>
        <w:bottom w:val="single" w:color="auto" w:sz="8" w:space="0"/>
      </w:pBdr>
      <w:spacing w:before="100" w:beforeAutospacing="1" w:after="100" w:afterAutospacing="1" w:line="240" w:lineRule="auto"/>
      <w:ind w:firstLine="0"/>
      <w:jc w:val="center"/>
    </w:pPr>
    <w:rPr>
      <w:rFonts w:ascii="Arial" w:hAnsi="Arial" w:cs="Arial"/>
      <w:b/>
      <w:bCs/>
      <w:sz w:val="24"/>
      <w:szCs w:val="24"/>
    </w:rPr>
  </w:style>
  <w:style w:type="paragraph" w:customStyle="1" w:styleId="2162">
    <w:name w:val="xl915"/>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63">
    <w:name w:val="xl916"/>
    <w:basedOn w:val="1"/>
    <w:qFormat/>
    <w:uiPriority w:val="0"/>
    <w:pPr>
      <w:pBdr>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64">
    <w:name w:val="xl917"/>
    <w:basedOn w:val="1"/>
    <w:qFormat/>
    <w:uiPriority w:val="0"/>
    <w:pPr>
      <w:pBdr>
        <w:left w:val="single" w:color="auto" w:sz="8"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65">
    <w:name w:val="xl918"/>
    <w:basedOn w:val="1"/>
    <w:qFormat/>
    <w:uiPriority w:val="0"/>
    <w:pPr>
      <w:pBdr>
        <w:bottom w:val="single" w:color="auto" w:sz="4" w:space="0"/>
      </w:pBdr>
      <w:spacing w:before="100" w:beforeAutospacing="1" w:after="100" w:afterAutospacing="1" w:line="240" w:lineRule="auto"/>
      <w:ind w:firstLine="0"/>
      <w:jc w:val="center"/>
    </w:pPr>
    <w:rPr>
      <w:sz w:val="24"/>
      <w:szCs w:val="24"/>
    </w:rPr>
  </w:style>
  <w:style w:type="paragraph" w:customStyle="1" w:styleId="2166">
    <w:name w:val="xl919"/>
    <w:basedOn w:val="1"/>
    <w:qFormat/>
    <w:uiPriority w:val="0"/>
    <w:pPr>
      <w:pBdr>
        <w:top w:val="single" w:color="auto" w:sz="4" w:space="0"/>
        <w:bottom w:val="single" w:color="auto" w:sz="4" w:space="0"/>
      </w:pBdr>
      <w:spacing w:before="100" w:beforeAutospacing="1" w:after="100" w:afterAutospacing="1" w:line="240" w:lineRule="auto"/>
      <w:ind w:firstLine="0"/>
      <w:jc w:val="center"/>
    </w:pPr>
    <w:rPr>
      <w:sz w:val="24"/>
      <w:szCs w:val="24"/>
    </w:rPr>
  </w:style>
  <w:style w:type="paragraph" w:customStyle="1" w:styleId="2167">
    <w:name w:val="xl920"/>
    <w:basedOn w:val="1"/>
    <w:qFormat/>
    <w:uiPriority w:val="0"/>
    <w:pPr>
      <w:pBdr>
        <w:top w:val="single" w:color="auto" w:sz="4" w:space="0"/>
        <w:bottom w:val="single" w:color="auto" w:sz="4" w:space="0"/>
      </w:pBdr>
      <w:spacing w:before="100" w:beforeAutospacing="1" w:after="100" w:afterAutospacing="1" w:line="240" w:lineRule="auto"/>
      <w:ind w:firstLine="0"/>
      <w:jc w:val="center"/>
    </w:pPr>
    <w:rPr>
      <w:sz w:val="24"/>
      <w:szCs w:val="24"/>
    </w:rPr>
  </w:style>
  <w:style w:type="paragraph" w:customStyle="1" w:styleId="2168">
    <w:name w:val="xl921"/>
    <w:basedOn w:val="1"/>
    <w:qFormat/>
    <w:uiPriority w:val="0"/>
    <w:pPr>
      <w:pBdr>
        <w:top w:val="single" w:color="auto" w:sz="4" w:space="0"/>
        <w:bottom w:val="single" w:color="auto" w:sz="4" w:space="0"/>
      </w:pBdr>
      <w:spacing w:before="100" w:beforeAutospacing="1" w:after="100" w:afterAutospacing="1" w:line="240" w:lineRule="auto"/>
      <w:ind w:firstLine="0"/>
      <w:jc w:val="center"/>
    </w:pPr>
    <w:rPr>
      <w:b/>
      <w:bCs/>
      <w:color w:val="FF0000"/>
      <w:sz w:val="24"/>
      <w:szCs w:val="24"/>
    </w:rPr>
  </w:style>
  <w:style w:type="paragraph" w:customStyle="1" w:styleId="2169">
    <w:name w:val="xl922"/>
    <w:basedOn w:val="1"/>
    <w:qFormat/>
    <w:uiPriority w:val="0"/>
    <w:pPr>
      <w:pBdr>
        <w:top w:val="single" w:color="auto" w:sz="4" w:space="0"/>
        <w:bottom w:val="single" w:color="auto" w:sz="4" w:space="0"/>
      </w:pBdr>
      <w:spacing w:before="100" w:beforeAutospacing="1" w:after="100" w:afterAutospacing="1" w:line="240" w:lineRule="auto"/>
      <w:ind w:firstLine="0"/>
      <w:jc w:val="center"/>
    </w:pPr>
    <w:rPr>
      <w:b/>
      <w:bCs/>
      <w:sz w:val="24"/>
      <w:szCs w:val="24"/>
    </w:rPr>
  </w:style>
  <w:style w:type="paragraph" w:customStyle="1" w:styleId="2170">
    <w:name w:val="xl923"/>
    <w:basedOn w:val="1"/>
    <w:qFormat/>
    <w:uiPriority w:val="0"/>
    <w:pPr>
      <w:pBdr>
        <w:lef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2171">
    <w:name w:val="xl924"/>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0"/>
    </w:pPr>
    <w:rPr>
      <w:sz w:val="24"/>
      <w:szCs w:val="24"/>
    </w:rPr>
  </w:style>
  <w:style w:type="paragraph" w:customStyle="1" w:styleId="2172">
    <w:name w:val="xl925"/>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200" w:firstLineChars="200"/>
    </w:pPr>
    <w:rPr>
      <w:sz w:val="24"/>
      <w:szCs w:val="24"/>
    </w:rPr>
  </w:style>
  <w:style w:type="paragraph" w:customStyle="1" w:styleId="2173">
    <w:name w:val="xl926"/>
    <w:basedOn w:val="1"/>
    <w:qFormat/>
    <w:uiPriority w:val="0"/>
    <w:pPr>
      <w:pBdr>
        <w:top w:val="single" w:color="auto" w:sz="4" w:space="0"/>
        <w:bottom w:val="single" w:color="auto" w:sz="4" w:space="0"/>
        <w:right w:val="single" w:color="auto" w:sz="4" w:space="0"/>
      </w:pBdr>
      <w:spacing w:before="100" w:beforeAutospacing="1" w:after="100" w:afterAutospacing="1" w:line="240" w:lineRule="auto"/>
      <w:ind w:firstLine="100" w:firstLineChars="100"/>
    </w:pPr>
    <w:rPr>
      <w:sz w:val="24"/>
      <w:szCs w:val="24"/>
    </w:rPr>
  </w:style>
  <w:style w:type="paragraph" w:customStyle="1" w:styleId="2174">
    <w:name w:val="xl927"/>
    <w:basedOn w:val="1"/>
    <w:qFormat/>
    <w:uiPriority w:val="0"/>
    <w:pPr>
      <w:pBdr>
        <w:top w:val="single" w:color="auto" w:sz="4" w:space="0"/>
        <w:bottom w:val="single" w:color="auto" w:sz="4" w:space="0"/>
      </w:pBdr>
      <w:spacing w:before="100" w:beforeAutospacing="1" w:after="100" w:afterAutospacing="1" w:line="240" w:lineRule="auto"/>
      <w:ind w:firstLine="0"/>
    </w:pPr>
    <w:rPr>
      <w:b/>
      <w:bCs/>
      <w:i/>
      <w:iCs/>
      <w:color w:val="FF0000"/>
      <w:sz w:val="24"/>
      <w:szCs w:val="24"/>
    </w:rPr>
  </w:style>
  <w:style w:type="paragraph" w:customStyle="1" w:styleId="2175">
    <w:name w:val="xl928"/>
    <w:basedOn w:val="1"/>
    <w:qFormat/>
    <w:uiPriority w:val="0"/>
    <w:pPr>
      <w:pBdr>
        <w:top w:val="single" w:color="auto" w:sz="4" w:space="0"/>
        <w:bottom w:val="single" w:color="auto" w:sz="4" w:space="0"/>
      </w:pBdr>
      <w:spacing w:before="100" w:beforeAutospacing="1" w:after="100" w:afterAutospacing="1" w:line="240" w:lineRule="auto"/>
      <w:ind w:firstLine="0"/>
    </w:pPr>
    <w:rPr>
      <w:b/>
      <w:bCs/>
      <w:i/>
      <w:iCs/>
      <w:sz w:val="24"/>
      <w:szCs w:val="24"/>
    </w:rPr>
  </w:style>
  <w:style w:type="paragraph" w:customStyle="1" w:styleId="2176">
    <w:name w:val="xl929"/>
    <w:basedOn w:val="1"/>
    <w:qFormat/>
    <w:uiPriority w:val="0"/>
    <w:pPr>
      <w:pBdr>
        <w:top w:val="single" w:color="auto" w:sz="4" w:space="0"/>
        <w:bottom w:val="single" w:color="auto" w:sz="4" w:space="0"/>
      </w:pBdr>
      <w:spacing w:before="100" w:beforeAutospacing="1" w:after="100" w:afterAutospacing="1" w:line="240" w:lineRule="auto"/>
      <w:ind w:firstLine="100" w:firstLineChars="100"/>
    </w:pPr>
    <w:rPr>
      <w:sz w:val="24"/>
      <w:szCs w:val="24"/>
    </w:rPr>
  </w:style>
  <w:style w:type="paragraph" w:customStyle="1" w:styleId="2177">
    <w:name w:val="xl930"/>
    <w:basedOn w:val="1"/>
    <w:qFormat/>
    <w:uiPriority w:val="0"/>
    <w:pPr>
      <w:pBdr>
        <w:top w:val="single" w:color="auto" w:sz="4" w:space="0"/>
        <w:bottom w:val="single" w:color="auto" w:sz="4" w:space="0"/>
      </w:pBdr>
      <w:spacing w:before="100" w:beforeAutospacing="1" w:after="100" w:afterAutospacing="1" w:line="240" w:lineRule="auto"/>
      <w:ind w:firstLine="0"/>
    </w:pPr>
    <w:rPr>
      <w:b/>
      <w:bCs/>
      <w:sz w:val="24"/>
      <w:szCs w:val="24"/>
    </w:rPr>
  </w:style>
  <w:style w:type="paragraph" w:customStyle="1" w:styleId="2178">
    <w:name w:val="xl931"/>
    <w:basedOn w:val="1"/>
    <w:qFormat/>
    <w:uiPriority w:val="0"/>
    <w:pPr>
      <w:pBdr>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179">
    <w:name w:val="xl932"/>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180">
    <w:name w:val="xl933"/>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b/>
      <w:bCs/>
      <w:sz w:val="24"/>
      <w:szCs w:val="24"/>
    </w:rPr>
  </w:style>
  <w:style w:type="paragraph" w:customStyle="1" w:styleId="2181">
    <w:name w:val="xl934"/>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182">
    <w:name w:val="xl935"/>
    <w:basedOn w:val="1"/>
    <w:qFormat/>
    <w:uiPriority w:val="0"/>
    <w:pPr>
      <w:shd w:val="clear" w:color="auto" w:fill="FFFFFF"/>
      <w:spacing w:before="100" w:beforeAutospacing="1" w:after="100" w:afterAutospacing="1" w:line="240" w:lineRule="auto"/>
      <w:ind w:firstLine="0"/>
    </w:pPr>
    <w:rPr>
      <w:b/>
      <w:bCs/>
      <w:color w:val="FF0000"/>
      <w:sz w:val="24"/>
      <w:szCs w:val="24"/>
    </w:rPr>
  </w:style>
  <w:style w:type="paragraph" w:customStyle="1" w:styleId="2183">
    <w:name w:val="xl936"/>
    <w:basedOn w:val="1"/>
    <w:qFormat/>
    <w:uiPriority w:val="0"/>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2184">
    <w:name w:val="xl937"/>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color w:val="FF0000"/>
      <w:sz w:val="24"/>
      <w:szCs w:val="24"/>
    </w:rPr>
  </w:style>
  <w:style w:type="paragraph" w:customStyle="1" w:styleId="2185">
    <w:name w:val="xl938"/>
    <w:basedOn w:val="1"/>
    <w:qFormat/>
    <w:uiPriority w:val="0"/>
    <w:pPr>
      <w:pBdr>
        <w:left w:val="single" w:color="auto" w:sz="8" w:space="0"/>
        <w:right w:val="single" w:color="auto" w:sz="8" w:space="0"/>
      </w:pBdr>
      <w:spacing w:before="100" w:beforeAutospacing="1" w:after="100" w:afterAutospacing="1" w:line="240" w:lineRule="auto"/>
      <w:ind w:firstLine="0"/>
    </w:pPr>
    <w:rPr>
      <w:b/>
      <w:bCs/>
      <w:sz w:val="24"/>
      <w:szCs w:val="24"/>
    </w:rPr>
  </w:style>
  <w:style w:type="paragraph" w:customStyle="1" w:styleId="2186">
    <w:name w:val="xl939"/>
    <w:basedOn w:val="1"/>
    <w:qFormat/>
    <w:uiPriority w:val="0"/>
    <w:pPr>
      <w:pBdr>
        <w:top w:val="single" w:color="auto" w:sz="4" w:space="0"/>
        <w:left w:val="single" w:color="auto" w:sz="8" w:space="0"/>
      </w:pBdr>
      <w:spacing w:before="100" w:beforeAutospacing="1" w:after="100" w:afterAutospacing="1" w:line="240" w:lineRule="auto"/>
      <w:ind w:firstLine="0"/>
    </w:pPr>
    <w:rPr>
      <w:b/>
      <w:bCs/>
      <w:sz w:val="24"/>
      <w:szCs w:val="24"/>
    </w:rPr>
  </w:style>
  <w:style w:type="paragraph" w:customStyle="1" w:styleId="2187">
    <w:name w:val="xl940"/>
    <w:basedOn w:val="1"/>
    <w:qFormat/>
    <w:uiPriority w:val="0"/>
    <w:pPr>
      <w:pBdr>
        <w:top w:val="single" w:color="auto" w:sz="4" w:space="0"/>
        <w:left w:val="single" w:color="auto" w:sz="8" w:space="0"/>
      </w:pBdr>
      <w:spacing w:before="100" w:beforeAutospacing="1" w:after="100" w:afterAutospacing="1" w:line="240" w:lineRule="auto"/>
      <w:ind w:firstLine="0"/>
      <w:jc w:val="center"/>
    </w:pPr>
    <w:rPr>
      <w:sz w:val="24"/>
      <w:szCs w:val="24"/>
    </w:rPr>
  </w:style>
  <w:style w:type="paragraph" w:customStyle="1" w:styleId="2188">
    <w:name w:val="xl941"/>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189">
    <w:name w:val="xl942"/>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2190">
    <w:name w:val="xl943"/>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color w:val="FF0000"/>
      <w:sz w:val="24"/>
      <w:szCs w:val="24"/>
    </w:rPr>
  </w:style>
  <w:style w:type="paragraph" w:customStyle="1" w:styleId="2191">
    <w:name w:val="xl944"/>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i/>
      <w:iCs/>
      <w:sz w:val="24"/>
      <w:szCs w:val="24"/>
    </w:rPr>
  </w:style>
  <w:style w:type="paragraph" w:customStyle="1" w:styleId="2192">
    <w:name w:val="xl945"/>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pPr>
    <w:rPr>
      <w:i/>
      <w:iCs/>
      <w:sz w:val="24"/>
      <w:szCs w:val="24"/>
    </w:rPr>
  </w:style>
  <w:style w:type="paragraph" w:customStyle="1" w:styleId="2193">
    <w:name w:val="xl946"/>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i/>
      <w:iCs/>
      <w:sz w:val="24"/>
      <w:szCs w:val="24"/>
    </w:rPr>
  </w:style>
  <w:style w:type="paragraph" w:customStyle="1" w:styleId="2194">
    <w:name w:val="xl947"/>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i/>
      <w:iCs/>
      <w:sz w:val="24"/>
      <w:szCs w:val="24"/>
    </w:rPr>
  </w:style>
  <w:style w:type="paragraph" w:customStyle="1" w:styleId="2195">
    <w:name w:val="xl948"/>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i/>
      <w:iCs/>
      <w:sz w:val="24"/>
      <w:szCs w:val="24"/>
    </w:rPr>
  </w:style>
  <w:style w:type="paragraph" w:customStyle="1" w:styleId="2196">
    <w:name w:val="xl949"/>
    <w:basedOn w:val="1"/>
    <w:qFormat/>
    <w:uiPriority w:val="0"/>
    <w:pPr>
      <w:spacing w:before="100" w:beforeAutospacing="1" w:after="100" w:afterAutospacing="1" w:line="240" w:lineRule="auto"/>
      <w:ind w:firstLine="0"/>
    </w:pPr>
    <w:rPr>
      <w:b/>
      <w:bCs/>
      <w:i/>
      <w:iCs/>
      <w:sz w:val="24"/>
      <w:szCs w:val="24"/>
    </w:rPr>
  </w:style>
  <w:style w:type="paragraph" w:customStyle="1" w:styleId="2197">
    <w:name w:val="xl950"/>
    <w:basedOn w:val="1"/>
    <w:qFormat/>
    <w:uiPriority w:val="0"/>
    <w:pPr>
      <w:pBdr>
        <w:top w:val="single" w:color="auto" w:sz="8" w:space="0"/>
        <w:lef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198">
    <w:name w:val="xl951"/>
    <w:basedOn w:val="1"/>
    <w:qFormat/>
    <w:uiPriority w:val="0"/>
    <w:pPr>
      <w:pBdr>
        <w:top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199">
    <w:name w:val="xl952"/>
    <w:basedOn w:val="1"/>
    <w:qFormat/>
    <w:uiPriority w:val="0"/>
    <w:pPr>
      <w:pBdr>
        <w:top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0">
    <w:name w:val="xl953"/>
    <w:basedOn w:val="1"/>
    <w:qFormat/>
    <w:uiPriority w:val="0"/>
    <w:pPr>
      <w:pBdr>
        <w:top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1">
    <w:name w:val="xl954"/>
    <w:basedOn w:val="1"/>
    <w:qFormat/>
    <w:uiPriority w:val="0"/>
    <w:pPr>
      <w:pBdr>
        <w:lef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2">
    <w:name w:val="xl955"/>
    <w:basedOn w:val="1"/>
    <w:qFormat/>
    <w:uiPriority w:val="0"/>
    <w:pPr>
      <w:shd w:val="clear" w:color="auto" w:fill="FFFFFF"/>
      <w:spacing w:before="100" w:beforeAutospacing="1" w:after="100" w:afterAutospacing="1" w:line="240" w:lineRule="auto"/>
      <w:ind w:firstLine="0"/>
    </w:pPr>
    <w:rPr>
      <w:sz w:val="24"/>
      <w:szCs w:val="24"/>
    </w:rPr>
  </w:style>
  <w:style w:type="paragraph" w:customStyle="1" w:styleId="2203">
    <w:name w:val="xl956"/>
    <w:basedOn w:val="1"/>
    <w:qFormat/>
    <w:uiPriority w:val="0"/>
    <w:pPr>
      <w:pBdr>
        <w:left w:val="single" w:color="auto" w:sz="8" w:space="0"/>
        <w:bottom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4">
    <w:name w:val="xl957"/>
    <w:basedOn w:val="1"/>
    <w:qFormat/>
    <w:uiPriority w:val="0"/>
    <w:pPr>
      <w:pBdr>
        <w:bottom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205">
    <w:name w:val="xl958"/>
    <w:basedOn w:val="1"/>
    <w:qFormat/>
    <w:uiPriority w:val="0"/>
    <w:pPr>
      <w:pBdr>
        <w:bottom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6">
    <w:name w:val="xl959"/>
    <w:basedOn w:val="1"/>
    <w:qFormat/>
    <w:uiPriority w:val="0"/>
    <w:pPr>
      <w:pBdr>
        <w:bottom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7">
    <w:name w:val="xl960"/>
    <w:basedOn w:val="1"/>
    <w:qFormat/>
    <w:uiPriority w:val="0"/>
    <w:pPr>
      <w:pBdr>
        <w:top w:val="single" w:color="auto" w:sz="8" w:space="0"/>
        <w:bottom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08">
    <w:name w:val="xl961"/>
    <w:basedOn w:val="1"/>
    <w:qFormat/>
    <w:uiPriority w:val="0"/>
    <w:pPr>
      <w:pBdr>
        <w:top w:val="single" w:color="auto" w:sz="8" w:space="0"/>
        <w:bottom w:val="single" w:color="auto" w:sz="8" w:space="0"/>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2209">
    <w:name w:val="xl962"/>
    <w:basedOn w:val="1"/>
    <w:qFormat/>
    <w:uiPriority w:val="0"/>
    <w:pPr>
      <w:pBdr>
        <w:top w:val="single" w:color="auto" w:sz="8" w:space="0"/>
        <w:left w:val="single" w:color="auto" w:sz="4" w:space="0"/>
        <w:bottom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210">
    <w:name w:val="xl963"/>
    <w:basedOn w:val="1"/>
    <w:qFormat/>
    <w:uiPriority w:val="0"/>
    <w:pPr>
      <w:pBdr>
        <w:top w:val="single" w:color="auto" w:sz="8" w:space="0"/>
        <w:left w:val="single" w:color="auto" w:sz="4" w:space="0"/>
        <w:bottom w:val="single" w:color="auto" w:sz="8" w:space="0"/>
        <w:right w:val="single" w:color="auto" w:sz="4" w:space="0"/>
      </w:pBdr>
      <w:shd w:val="clear" w:color="auto" w:fill="CCFFFF"/>
      <w:spacing w:before="100" w:beforeAutospacing="1" w:after="100" w:afterAutospacing="1" w:line="240" w:lineRule="auto"/>
      <w:ind w:firstLine="0"/>
      <w:jc w:val="center"/>
    </w:pPr>
    <w:rPr>
      <w:b/>
      <w:bCs/>
      <w:sz w:val="24"/>
      <w:szCs w:val="24"/>
    </w:rPr>
  </w:style>
  <w:style w:type="paragraph" w:customStyle="1" w:styleId="2211">
    <w:name w:val="xl964"/>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12">
    <w:name w:val="xl965"/>
    <w:basedOn w:val="1"/>
    <w:qFormat/>
    <w:uiPriority w:val="0"/>
    <w:pPr>
      <w:pBdr>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213">
    <w:name w:val="xl966"/>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214">
    <w:name w:val="xl967"/>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215">
    <w:name w:val="xl968"/>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216">
    <w:name w:val="xl969"/>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217">
    <w:name w:val="xl970"/>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218">
    <w:name w:val="xl971"/>
    <w:basedOn w:val="1"/>
    <w:qFormat/>
    <w:uiPriority w:val="0"/>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2219">
    <w:name w:val="xl972"/>
    <w:basedOn w:val="1"/>
    <w:qFormat/>
    <w:uiPriority w:val="0"/>
    <w:pPr>
      <w:pBdr>
        <w:top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20">
    <w:name w:val="xl973"/>
    <w:basedOn w:val="1"/>
    <w:qFormat/>
    <w:uiPriority w:val="0"/>
    <w:pPr>
      <w:shd w:val="clear" w:color="auto" w:fill="FFFFFF"/>
      <w:spacing w:before="100" w:beforeAutospacing="1" w:after="100" w:afterAutospacing="1" w:line="240" w:lineRule="auto"/>
      <w:ind w:firstLine="0"/>
    </w:pPr>
    <w:rPr>
      <w:sz w:val="24"/>
      <w:szCs w:val="24"/>
    </w:rPr>
  </w:style>
  <w:style w:type="paragraph" w:customStyle="1" w:styleId="2221">
    <w:name w:val="xl974"/>
    <w:basedOn w:val="1"/>
    <w:qFormat/>
    <w:uiPriority w:val="0"/>
    <w:pPr>
      <w:pBdr>
        <w:bottom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22">
    <w:name w:val="xl975"/>
    <w:basedOn w:val="1"/>
    <w:qFormat/>
    <w:uiPriority w:val="0"/>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2223">
    <w:name w:val="xl976"/>
    <w:basedOn w:val="1"/>
    <w:qFormat/>
    <w:uiPriority w:val="0"/>
    <w:pPr>
      <w:pBdr>
        <w:top w:val="single" w:color="auto" w:sz="8" w:space="0"/>
        <w:righ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24">
    <w:name w:val="xl977"/>
    <w:basedOn w:val="1"/>
    <w:qFormat/>
    <w:uiPriority w:val="0"/>
    <w:pPr>
      <w:pBdr>
        <w:righ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25">
    <w:name w:val="xl978"/>
    <w:basedOn w:val="1"/>
    <w:qFormat/>
    <w:uiPriority w:val="0"/>
    <w:pPr>
      <w:pBdr>
        <w:bottom w:val="single" w:color="auto" w:sz="8" w:space="0"/>
        <w:righ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26">
    <w:name w:val="xl979"/>
    <w:basedOn w:val="1"/>
    <w:qFormat/>
    <w:uiPriority w:val="0"/>
    <w:pPr>
      <w:pBdr>
        <w:top w:val="single" w:color="auto" w:sz="8" w:space="0"/>
        <w:bottom w:val="single" w:color="auto" w:sz="8" w:space="0"/>
        <w:right w:val="single" w:color="auto" w:sz="8" w:space="0"/>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2227">
    <w:name w:val="xl980"/>
    <w:basedOn w:val="1"/>
    <w:qFormat/>
    <w:uiPriority w:val="0"/>
    <w:pPr>
      <w:pBdr>
        <w:top w:val="single" w:color="auto" w:sz="8" w:space="0"/>
        <w:bottom w:val="single" w:color="auto" w:sz="8" w:space="0"/>
        <w:right w:val="single" w:color="auto" w:sz="8" w:space="0"/>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2228">
    <w:name w:val="xl981"/>
    <w:basedOn w:val="1"/>
    <w:qFormat/>
    <w:uiPriority w:val="0"/>
    <w:pPr>
      <w:pBdr>
        <w:top w:val="single" w:color="auto" w:sz="8" w:space="0"/>
        <w:right w:val="single" w:color="auto" w:sz="8" w:space="0"/>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2229">
    <w:name w:val="xl982"/>
    <w:basedOn w:val="1"/>
    <w:qFormat/>
    <w:uiPriority w:val="0"/>
    <w:pPr>
      <w:pBdr>
        <w:bottom w:val="single" w:color="auto" w:sz="8" w:space="0"/>
        <w:right w:val="single" w:color="auto" w:sz="8" w:space="0"/>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2230">
    <w:name w:val="xl983"/>
    <w:basedOn w:val="1"/>
    <w:qFormat/>
    <w:uiPriority w:val="0"/>
    <w:pPr>
      <w:pBdr>
        <w:top w:val="single" w:color="auto" w:sz="8" w:space="0"/>
        <w:bottom w:val="single" w:color="auto" w:sz="8" w:space="0"/>
        <w:right w:val="single" w:color="auto" w:sz="8" w:space="0"/>
      </w:pBdr>
      <w:shd w:val="clear" w:color="auto" w:fill="CCFFCC"/>
      <w:spacing w:before="100" w:beforeAutospacing="1" w:after="100" w:afterAutospacing="1" w:line="240" w:lineRule="auto"/>
      <w:ind w:firstLine="1500" w:firstLineChars="1500"/>
    </w:pPr>
    <w:rPr>
      <w:rFonts w:ascii="Arial" w:hAnsi="Arial" w:cs="Arial"/>
      <w:sz w:val="24"/>
      <w:szCs w:val="24"/>
    </w:rPr>
  </w:style>
  <w:style w:type="paragraph" w:customStyle="1" w:styleId="2231">
    <w:name w:val="xl984"/>
    <w:basedOn w:val="1"/>
    <w:qFormat/>
    <w:uiPriority w:val="0"/>
    <w:pPr>
      <w:pBdr>
        <w:top w:val="single" w:color="auto" w:sz="8" w:space="0"/>
        <w:bottom w:val="single" w:color="auto" w:sz="8" w:space="0"/>
      </w:pBdr>
      <w:shd w:val="clear" w:color="auto" w:fill="CCFFCC"/>
      <w:spacing w:before="100" w:beforeAutospacing="1" w:after="100" w:afterAutospacing="1" w:line="240" w:lineRule="auto"/>
      <w:ind w:firstLine="0"/>
    </w:pPr>
    <w:rPr>
      <w:b/>
      <w:bCs/>
      <w:sz w:val="24"/>
      <w:szCs w:val="24"/>
    </w:rPr>
  </w:style>
  <w:style w:type="paragraph" w:customStyle="1" w:styleId="2232">
    <w:name w:val="xl985"/>
    <w:basedOn w:val="1"/>
    <w:qFormat/>
    <w:uiPriority w:val="0"/>
    <w:pPr>
      <w:shd w:val="clear" w:color="auto" w:fill="FFFFFF"/>
      <w:spacing w:before="100" w:beforeAutospacing="1" w:after="100" w:afterAutospacing="1" w:line="240" w:lineRule="auto"/>
      <w:ind w:firstLine="0"/>
    </w:pPr>
    <w:rPr>
      <w:sz w:val="24"/>
      <w:szCs w:val="24"/>
    </w:rPr>
  </w:style>
  <w:style w:type="paragraph" w:customStyle="1" w:styleId="2233">
    <w:name w:val="xl986"/>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234">
    <w:name w:val="xl987"/>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i/>
      <w:iCs/>
      <w:color w:val="FF0000"/>
      <w:sz w:val="24"/>
      <w:szCs w:val="24"/>
    </w:rPr>
  </w:style>
  <w:style w:type="paragraph" w:customStyle="1" w:styleId="2235">
    <w:name w:val="xl988"/>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color w:val="FF0000"/>
      <w:sz w:val="24"/>
      <w:szCs w:val="24"/>
    </w:rPr>
  </w:style>
  <w:style w:type="paragraph" w:customStyle="1" w:styleId="2236">
    <w:name w:val="xl989"/>
    <w:basedOn w:val="1"/>
    <w:qFormat/>
    <w:uiPriority w:val="0"/>
    <w:pPr>
      <w:pBdr>
        <w:top w:val="single" w:color="auto" w:sz="4" w:space="0"/>
        <w:bottom w:val="single" w:color="auto" w:sz="4" w:space="0"/>
      </w:pBdr>
      <w:spacing w:before="100" w:beforeAutospacing="1" w:after="100" w:afterAutospacing="1" w:line="240" w:lineRule="auto"/>
      <w:ind w:firstLine="100" w:firstLineChars="100"/>
    </w:pPr>
    <w:rPr>
      <w:sz w:val="24"/>
      <w:szCs w:val="24"/>
    </w:rPr>
  </w:style>
  <w:style w:type="paragraph" w:customStyle="1" w:styleId="2237">
    <w:name w:val="xl990"/>
    <w:basedOn w:val="1"/>
    <w:qFormat/>
    <w:uiPriority w:val="0"/>
    <w:pPr>
      <w:pBdr>
        <w:top w:val="single" w:color="auto" w:sz="4" w:space="0"/>
        <w:bottom w:val="single" w:color="auto" w:sz="4" w:space="0"/>
      </w:pBdr>
      <w:spacing w:before="100" w:beforeAutospacing="1" w:after="100" w:afterAutospacing="1" w:line="240" w:lineRule="auto"/>
      <w:ind w:firstLine="100" w:firstLineChars="100"/>
    </w:pPr>
    <w:rPr>
      <w:b/>
      <w:bCs/>
      <w:color w:val="FF0000"/>
      <w:sz w:val="24"/>
      <w:szCs w:val="24"/>
    </w:rPr>
  </w:style>
  <w:style w:type="paragraph" w:customStyle="1" w:styleId="2238">
    <w:name w:val="xl991"/>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239">
    <w:name w:val="xl992"/>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40">
    <w:name w:val="xl993"/>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pPr>
    <w:rPr>
      <w:b/>
      <w:bCs/>
      <w:color w:val="FF0000"/>
      <w:sz w:val="24"/>
      <w:szCs w:val="24"/>
    </w:rPr>
  </w:style>
  <w:style w:type="paragraph" w:customStyle="1" w:styleId="2241">
    <w:name w:val="xl994"/>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color w:val="FF0000"/>
      <w:sz w:val="24"/>
      <w:szCs w:val="24"/>
    </w:rPr>
  </w:style>
  <w:style w:type="paragraph" w:customStyle="1" w:styleId="2242">
    <w:name w:val="xl995"/>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color w:val="FF0000"/>
      <w:sz w:val="24"/>
      <w:szCs w:val="24"/>
    </w:rPr>
  </w:style>
  <w:style w:type="paragraph" w:customStyle="1" w:styleId="2243">
    <w:name w:val="xl996"/>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color w:val="FF0000"/>
      <w:sz w:val="24"/>
      <w:szCs w:val="24"/>
    </w:rPr>
  </w:style>
  <w:style w:type="paragraph" w:customStyle="1" w:styleId="2244">
    <w:name w:val="xl997"/>
    <w:basedOn w:val="1"/>
    <w:qFormat/>
    <w:uiPriority w:val="0"/>
    <w:pPr>
      <w:pBdr>
        <w:top w:val="single" w:color="auto" w:sz="4" w:space="0"/>
        <w:bottom w:val="single" w:color="auto" w:sz="4" w:space="0"/>
      </w:pBdr>
      <w:spacing w:before="100" w:beforeAutospacing="1" w:after="100" w:afterAutospacing="1" w:line="240" w:lineRule="auto"/>
      <w:ind w:firstLine="0"/>
      <w:jc w:val="center"/>
    </w:pPr>
    <w:rPr>
      <w:b/>
      <w:bCs/>
      <w:color w:val="FF0000"/>
      <w:sz w:val="24"/>
      <w:szCs w:val="24"/>
    </w:rPr>
  </w:style>
  <w:style w:type="paragraph" w:customStyle="1" w:styleId="2245">
    <w:name w:val="xl998"/>
    <w:basedOn w:val="1"/>
    <w:qFormat/>
    <w:uiPriority w:val="0"/>
    <w:pPr>
      <w:spacing w:before="100" w:beforeAutospacing="1" w:after="100" w:afterAutospacing="1" w:line="240" w:lineRule="auto"/>
      <w:ind w:firstLine="0"/>
    </w:pPr>
    <w:rPr>
      <w:b/>
      <w:bCs/>
      <w:color w:val="FF0000"/>
      <w:sz w:val="24"/>
      <w:szCs w:val="24"/>
    </w:rPr>
  </w:style>
  <w:style w:type="paragraph" w:customStyle="1" w:styleId="2246">
    <w:name w:val="xl999"/>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center"/>
    </w:pPr>
    <w:rPr>
      <w:sz w:val="24"/>
      <w:szCs w:val="24"/>
    </w:rPr>
  </w:style>
  <w:style w:type="paragraph" w:customStyle="1" w:styleId="2247">
    <w:name w:val="xl1000"/>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line="240" w:lineRule="auto"/>
      <w:ind w:firstLine="0"/>
      <w:jc w:val="center"/>
    </w:pPr>
    <w:rPr>
      <w:sz w:val="24"/>
      <w:szCs w:val="24"/>
    </w:rPr>
  </w:style>
  <w:style w:type="paragraph" w:customStyle="1" w:styleId="2248">
    <w:name w:val="xl1001"/>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b/>
      <w:bCs/>
      <w:color w:val="FF0000"/>
      <w:sz w:val="24"/>
      <w:szCs w:val="24"/>
    </w:rPr>
  </w:style>
  <w:style w:type="paragraph" w:customStyle="1" w:styleId="2249">
    <w:name w:val="xl1002"/>
    <w:basedOn w:val="1"/>
    <w:qFormat/>
    <w:uiPriority w:val="0"/>
    <w:pPr>
      <w:shd w:val="clear" w:color="auto" w:fill="FFFFFF"/>
      <w:spacing w:before="100" w:beforeAutospacing="1" w:after="100" w:afterAutospacing="1" w:line="240" w:lineRule="auto"/>
      <w:ind w:firstLine="0"/>
    </w:pPr>
    <w:rPr>
      <w:b/>
      <w:bCs/>
      <w:color w:val="FF0000"/>
      <w:sz w:val="24"/>
      <w:szCs w:val="24"/>
    </w:rPr>
  </w:style>
  <w:style w:type="paragraph" w:customStyle="1" w:styleId="2250">
    <w:name w:val="xl1003"/>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color w:val="FF0000"/>
      <w:sz w:val="24"/>
      <w:szCs w:val="24"/>
    </w:rPr>
  </w:style>
  <w:style w:type="paragraph" w:customStyle="1" w:styleId="2251">
    <w:name w:val="xl1004"/>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52">
    <w:name w:val="xl1005"/>
    <w:basedOn w:val="1"/>
    <w:qFormat/>
    <w:uiPriority w:val="0"/>
    <w:pPr>
      <w:shd w:val="clear" w:color="auto" w:fill="FFFFFF"/>
      <w:spacing w:before="100" w:beforeAutospacing="1" w:after="100" w:afterAutospacing="1" w:line="240" w:lineRule="auto"/>
      <w:ind w:firstLine="0"/>
    </w:pPr>
    <w:rPr>
      <w:b/>
      <w:bCs/>
      <w:sz w:val="24"/>
      <w:szCs w:val="24"/>
    </w:rPr>
  </w:style>
  <w:style w:type="paragraph" w:customStyle="1" w:styleId="2253">
    <w:name w:val="xl1006"/>
    <w:basedOn w:val="1"/>
    <w:qFormat/>
    <w:uiPriority w:val="0"/>
    <w:pPr>
      <w:shd w:val="clear" w:color="auto" w:fill="FFFFFF"/>
      <w:spacing w:before="100" w:beforeAutospacing="1" w:after="100" w:afterAutospacing="1" w:line="240" w:lineRule="auto"/>
      <w:ind w:firstLine="0"/>
    </w:pPr>
    <w:rPr>
      <w:b/>
      <w:bCs/>
      <w:sz w:val="24"/>
      <w:szCs w:val="24"/>
    </w:rPr>
  </w:style>
  <w:style w:type="paragraph" w:customStyle="1" w:styleId="2254">
    <w:name w:val="xl1007"/>
    <w:basedOn w:val="1"/>
    <w:qFormat/>
    <w:uiPriority w:val="0"/>
    <w:pPr>
      <w:shd w:val="clear" w:color="auto" w:fill="FFFFFF"/>
      <w:spacing w:before="100" w:beforeAutospacing="1" w:after="100" w:afterAutospacing="1" w:line="240" w:lineRule="auto"/>
      <w:ind w:firstLine="0"/>
    </w:pPr>
    <w:rPr>
      <w:b/>
      <w:bCs/>
      <w:sz w:val="24"/>
      <w:szCs w:val="24"/>
    </w:rPr>
  </w:style>
  <w:style w:type="paragraph" w:customStyle="1" w:styleId="2255">
    <w:name w:val="xl1008"/>
    <w:basedOn w:val="1"/>
    <w:qFormat/>
    <w:uiPriority w:val="0"/>
    <w:pPr>
      <w:shd w:val="clear" w:color="auto" w:fill="FFFFFF"/>
      <w:spacing w:before="100" w:beforeAutospacing="1" w:after="100" w:afterAutospacing="1" w:line="240" w:lineRule="auto"/>
      <w:ind w:firstLine="0"/>
      <w:jc w:val="center"/>
    </w:pPr>
    <w:rPr>
      <w:b/>
      <w:bCs/>
      <w:sz w:val="24"/>
      <w:szCs w:val="24"/>
    </w:rPr>
  </w:style>
  <w:style w:type="paragraph" w:customStyle="1" w:styleId="2256">
    <w:name w:val="xl1009"/>
    <w:basedOn w:val="1"/>
    <w:qFormat/>
    <w:uiPriority w:val="0"/>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2257">
    <w:name w:val="xl1010"/>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pPr>
    <w:rPr>
      <w:sz w:val="24"/>
      <w:szCs w:val="24"/>
    </w:rPr>
  </w:style>
  <w:style w:type="paragraph" w:customStyle="1" w:styleId="2258">
    <w:name w:val="xl1011"/>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259">
    <w:name w:val="xl1012"/>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60">
    <w:name w:val="xl1013"/>
    <w:basedOn w:val="1"/>
    <w:qFormat/>
    <w:uiPriority w:val="0"/>
    <w:pPr>
      <w:pBdr>
        <w:top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61">
    <w:name w:val="xl1014"/>
    <w:basedOn w:val="1"/>
    <w:qFormat/>
    <w:uiPriority w:val="0"/>
    <w:pPr>
      <w:shd w:val="clear" w:color="auto" w:fill="FFFFFF"/>
      <w:spacing w:before="100" w:beforeAutospacing="1" w:after="100" w:afterAutospacing="1" w:line="240" w:lineRule="auto"/>
      <w:ind w:firstLine="0"/>
    </w:pPr>
    <w:rPr>
      <w:sz w:val="24"/>
      <w:szCs w:val="24"/>
    </w:rPr>
  </w:style>
  <w:style w:type="paragraph" w:customStyle="1" w:styleId="2262">
    <w:name w:val="xl101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63">
    <w:name w:val="xl1016"/>
    <w:basedOn w:val="1"/>
    <w:qFormat/>
    <w:uiPriority w:val="0"/>
    <w:pPr>
      <w:pBdr>
        <w:left w:val="single" w:color="auto" w:sz="8" w:space="0"/>
        <w:bottom w:val="single" w:color="auto" w:sz="8" w:space="0"/>
      </w:pBdr>
      <w:spacing w:before="100" w:beforeAutospacing="1" w:after="100" w:afterAutospacing="1" w:line="240" w:lineRule="auto"/>
      <w:ind w:firstLine="0"/>
      <w:jc w:val="center"/>
    </w:pPr>
    <w:rPr>
      <w:b/>
      <w:bCs/>
      <w:sz w:val="24"/>
      <w:szCs w:val="24"/>
    </w:rPr>
  </w:style>
  <w:style w:type="paragraph" w:customStyle="1" w:styleId="2264">
    <w:name w:val="xl1017"/>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265">
    <w:name w:val="xl1018"/>
    <w:basedOn w:val="1"/>
    <w:qFormat/>
    <w:uiPriority w:val="0"/>
    <w:pPr>
      <w:pBdr>
        <w:top w:val="single" w:color="auto" w:sz="8"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266">
    <w:name w:val="xl1019"/>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267">
    <w:name w:val="xl1020"/>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2268">
    <w:name w:val="xl1021"/>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i/>
      <w:iCs/>
      <w:sz w:val="24"/>
      <w:szCs w:val="24"/>
    </w:rPr>
  </w:style>
  <w:style w:type="paragraph" w:customStyle="1" w:styleId="2269">
    <w:name w:val="xl1022"/>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2270">
    <w:name w:val="xl1023"/>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2271">
    <w:name w:val="xl1024"/>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i/>
      <w:iCs/>
      <w:sz w:val="24"/>
      <w:szCs w:val="24"/>
    </w:rPr>
  </w:style>
  <w:style w:type="paragraph" w:customStyle="1" w:styleId="2272">
    <w:name w:val="xl1025"/>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color w:val="FFFFFF"/>
      <w:sz w:val="24"/>
      <w:szCs w:val="24"/>
    </w:rPr>
  </w:style>
  <w:style w:type="paragraph" w:customStyle="1" w:styleId="2273">
    <w:name w:val="xl1026"/>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color w:val="FFFFFF"/>
      <w:sz w:val="24"/>
      <w:szCs w:val="24"/>
    </w:rPr>
  </w:style>
  <w:style w:type="paragraph" w:customStyle="1" w:styleId="2274">
    <w:name w:val="xl1027"/>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2275">
    <w:name w:val="xl1028"/>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276">
    <w:name w:val="xl1029"/>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277">
    <w:name w:val="xl1030"/>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line="240" w:lineRule="auto"/>
      <w:ind w:firstLine="0"/>
      <w:jc w:val="center"/>
    </w:pPr>
    <w:rPr>
      <w:color w:val="FF0000"/>
      <w:sz w:val="24"/>
      <w:szCs w:val="24"/>
    </w:rPr>
  </w:style>
  <w:style w:type="paragraph" w:customStyle="1" w:styleId="2278">
    <w:name w:val="xl1031"/>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color w:val="FF0000"/>
      <w:sz w:val="24"/>
      <w:szCs w:val="24"/>
    </w:rPr>
  </w:style>
  <w:style w:type="paragraph" w:customStyle="1" w:styleId="2279">
    <w:name w:val="xl1032"/>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color w:val="FF0000"/>
      <w:sz w:val="24"/>
      <w:szCs w:val="24"/>
    </w:rPr>
  </w:style>
  <w:style w:type="paragraph" w:customStyle="1" w:styleId="2280">
    <w:name w:val="xl1033"/>
    <w:basedOn w:val="1"/>
    <w:qFormat/>
    <w:uiPriority w:val="0"/>
    <w:pPr>
      <w:pBdr>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281">
    <w:name w:val="xl1034"/>
    <w:basedOn w:val="1"/>
    <w:qFormat/>
    <w:uiPriority w:val="0"/>
    <w:pPr>
      <w:pBdr>
        <w:top w:val="single" w:color="auto" w:sz="4" w:space="0"/>
        <w:bottom w:val="single" w:color="auto" w:sz="4" w:space="0"/>
      </w:pBdr>
      <w:spacing w:before="100" w:beforeAutospacing="1" w:after="100" w:afterAutospacing="1" w:line="240" w:lineRule="auto"/>
      <w:ind w:firstLine="0"/>
      <w:jc w:val="center"/>
    </w:pPr>
    <w:rPr>
      <w:sz w:val="24"/>
      <w:szCs w:val="24"/>
    </w:rPr>
  </w:style>
  <w:style w:type="paragraph" w:customStyle="1" w:styleId="2282">
    <w:name w:val="xl1035"/>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283">
    <w:name w:val="xl1036"/>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sz w:val="24"/>
      <w:szCs w:val="24"/>
    </w:rPr>
  </w:style>
  <w:style w:type="paragraph" w:customStyle="1" w:styleId="2284">
    <w:name w:val="xl1037"/>
    <w:basedOn w:val="1"/>
    <w:qFormat/>
    <w:uiPriority w:val="0"/>
    <w:pPr>
      <w:pBdr>
        <w:top w:val="single" w:color="auto" w:sz="4" w:space="0"/>
        <w:bottom w:val="single" w:color="auto" w:sz="4" w:space="0"/>
      </w:pBdr>
      <w:spacing w:before="100" w:beforeAutospacing="1" w:after="100" w:afterAutospacing="1" w:line="240" w:lineRule="auto"/>
      <w:ind w:firstLine="0"/>
      <w:jc w:val="center"/>
    </w:pPr>
    <w:rPr>
      <w:sz w:val="24"/>
      <w:szCs w:val="24"/>
    </w:rPr>
  </w:style>
  <w:style w:type="paragraph" w:customStyle="1" w:styleId="2285">
    <w:name w:val="xl1038"/>
    <w:basedOn w:val="1"/>
    <w:qFormat/>
    <w:uiPriority w:val="0"/>
    <w:pPr>
      <w:pBdr>
        <w:top w:val="single" w:color="auto" w:sz="4" w:space="0"/>
        <w:bottom w:val="single" w:color="auto" w:sz="4" w:space="0"/>
      </w:pBdr>
      <w:spacing w:before="100" w:beforeAutospacing="1" w:after="100" w:afterAutospacing="1" w:line="240" w:lineRule="auto"/>
      <w:ind w:firstLine="0"/>
      <w:jc w:val="center"/>
    </w:pPr>
    <w:rPr>
      <w:b/>
      <w:bCs/>
      <w:color w:val="FF0000"/>
      <w:sz w:val="24"/>
      <w:szCs w:val="24"/>
    </w:rPr>
  </w:style>
  <w:style w:type="paragraph" w:customStyle="1" w:styleId="2286">
    <w:name w:val="xl1039"/>
    <w:basedOn w:val="1"/>
    <w:qFormat/>
    <w:uiPriority w:val="0"/>
    <w:pPr>
      <w:pBdr>
        <w:top w:val="single" w:color="auto" w:sz="4" w:space="0"/>
        <w:left w:val="single" w:color="auto" w:sz="8" w:space="0"/>
      </w:pBdr>
      <w:spacing w:before="100" w:beforeAutospacing="1" w:after="100" w:afterAutospacing="1" w:line="240" w:lineRule="auto"/>
      <w:ind w:firstLine="0"/>
    </w:pPr>
    <w:rPr>
      <w:sz w:val="24"/>
      <w:szCs w:val="24"/>
    </w:rPr>
  </w:style>
  <w:style w:type="paragraph" w:customStyle="1" w:styleId="2287">
    <w:name w:val="xl1040"/>
    <w:basedOn w:val="1"/>
    <w:qFormat/>
    <w:uiPriority w:val="0"/>
    <w:pPr>
      <w:pBdr>
        <w:top w:val="single" w:color="auto" w:sz="4" w:space="0"/>
      </w:pBdr>
      <w:spacing w:before="100" w:beforeAutospacing="1" w:after="100" w:afterAutospacing="1" w:line="240" w:lineRule="auto"/>
      <w:ind w:firstLine="0"/>
      <w:jc w:val="center"/>
    </w:pPr>
    <w:rPr>
      <w:sz w:val="24"/>
      <w:szCs w:val="24"/>
    </w:rPr>
  </w:style>
  <w:style w:type="paragraph" w:customStyle="1" w:styleId="2288">
    <w:name w:val="xl1041"/>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center"/>
    </w:pPr>
    <w:rPr>
      <w:sz w:val="24"/>
      <w:szCs w:val="24"/>
    </w:rPr>
  </w:style>
  <w:style w:type="paragraph" w:customStyle="1" w:styleId="2289">
    <w:name w:val="xl1042"/>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color w:val="FFFFFF"/>
      <w:sz w:val="24"/>
      <w:szCs w:val="24"/>
    </w:rPr>
  </w:style>
  <w:style w:type="paragraph" w:customStyle="1" w:styleId="2290">
    <w:name w:val="xl1043"/>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center"/>
    </w:pPr>
    <w:rPr>
      <w:i/>
      <w:iCs/>
      <w:sz w:val="24"/>
      <w:szCs w:val="24"/>
    </w:rPr>
  </w:style>
  <w:style w:type="paragraph" w:customStyle="1" w:styleId="2291">
    <w:name w:val="xl1044"/>
    <w:basedOn w:val="1"/>
    <w:qFormat/>
    <w:uiPriority w:val="0"/>
    <w:pPr>
      <w:pBdr>
        <w:top w:val="single" w:color="auto" w:sz="8" w:space="0"/>
        <w:left w:val="single" w:color="auto" w:sz="4" w:space="0"/>
        <w:bottom w:val="single" w:color="auto" w:sz="8"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292">
    <w:name w:val="xl1045"/>
    <w:basedOn w:val="1"/>
    <w:qFormat/>
    <w:uiPriority w:val="0"/>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2293">
    <w:name w:val="xl1046"/>
    <w:basedOn w:val="1"/>
    <w:qFormat/>
    <w:uiPriority w:val="0"/>
    <w:pPr>
      <w:pBdr>
        <w:top w:val="single" w:color="auto" w:sz="4" w:space="0"/>
        <w:left w:val="single" w:color="auto" w:sz="8" w:space="0"/>
        <w:bottom w:val="single" w:color="auto" w:sz="4" w:space="0"/>
      </w:pBdr>
      <w:spacing w:before="100" w:beforeAutospacing="1" w:after="100" w:afterAutospacing="1" w:line="240" w:lineRule="auto"/>
      <w:ind w:firstLine="0"/>
      <w:jc w:val="center"/>
    </w:pPr>
    <w:rPr>
      <w:sz w:val="24"/>
      <w:szCs w:val="24"/>
    </w:rPr>
  </w:style>
  <w:style w:type="paragraph" w:customStyle="1" w:styleId="2294">
    <w:name w:val="xl1047"/>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color w:val="FF0000"/>
      <w:sz w:val="24"/>
      <w:szCs w:val="24"/>
    </w:rPr>
  </w:style>
  <w:style w:type="paragraph" w:customStyle="1" w:styleId="2295">
    <w:name w:val="xl1048"/>
    <w:basedOn w:val="1"/>
    <w:qFormat/>
    <w:uiPriority w:val="0"/>
    <w:pPr>
      <w:pBdr>
        <w:bottom w:val="single" w:color="auto" w:sz="8"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296">
    <w:name w:val="xl1049"/>
    <w:basedOn w:val="1"/>
    <w:qFormat/>
    <w:uiPriority w:val="0"/>
    <w:pPr>
      <w:pBdr>
        <w:top w:val="single" w:color="auto" w:sz="8" w:space="0"/>
        <w:left w:val="single" w:color="auto" w:sz="8" w:space="0"/>
        <w:right w:val="single" w:color="auto" w:sz="8" w:space="0"/>
      </w:pBdr>
      <w:shd w:val="clear" w:color="auto" w:fill="99CCFF"/>
      <w:spacing w:before="100" w:beforeAutospacing="1" w:after="100" w:afterAutospacing="1" w:line="240" w:lineRule="auto"/>
      <w:ind w:firstLine="0"/>
      <w:jc w:val="center"/>
    </w:pPr>
    <w:rPr>
      <w:b/>
      <w:bCs/>
      <w:sz w:val="24"/>
      <w:szCs w:val="24"/>
    </w:rPr>
  </w:style>
  <w:style w:type="paragraph" w:customStyle="1" w:styleId="2297">
    <w:name w:val="xl1050"/>
    <w:basedOn w:val="1"/>
    <w:qFormat/>
    <w:uiPriority w:val="0"/>
    <w:pPr>
      <w:pBdr>
        <w:left w:val="single" w:color="auto" w:sz="8" w:space="0"/>
        <w:right w:val="single" w:color="auto" w:sz="8" w:space="0"/>
      </w:pBdr>
      <w:shd w:val="clear" w:color="auto" w:fill="99CCFF"/>
      <w:spacing w:before="100" w:beforeAutospacing="1" w:after="100" w:afterAutospacing="1" w:line="240" w:lineRule="auto"/>
      <w:ind w:firstLine="0"/>
      <w:jc w:val="center"/>
    </w:pPr>
    <w:rPr>
      <w:b/>
      <w:bCs/>
      <w:sz w:val="24"/>
      <w:szCs w:val="24"/>
    </w:rPr>
  </w:style>
  <w:style w:type="paragraph" w:customStyle="1" w:styleId="2298">
    <w:name w:val="xl1051"/>
    <w:basedOn w:val="1"/>
    <w:qFormat/>
    <w:uiPriority w:val="0"/>
    <w:pPr>
      <w:pBdr>
        <w:left w:val="single" w:color="auto" w:sz="8" w:space="0"/>
        <w:bottom w:val="single" w:color="auto" w:sz="8" w:space="0"/>
        <w:right w:val="single" w:color="auto" w:sz="8" w:space="0"/>
      </w:pBdr>
      <w:shd w:val="clear" w:color="auto" w:fill="99CCFF"/>
      <w:spacing w:before="100" w:beforeAutospacing="1" w:after="100" w:afterAutospacing="1" w:line="240" w:lineRule="auto"/>
      <w:ind w:firstLine="0"/>
      <w:jc w:val="center"/>
    </w:pPr>
    <w:rPr>
      <w:b/>
      <w:bCs/>
      <w:sz w:val="24"/>
      <w:szCs w:val="24"/>
    </w:rPr>
  </w:style>
  <w:style w:type="paragraph" w:customStyle="1" w:styleId="2299">
    <w:name w:val="xl1052"/>
    <w:basedOn w:val="1"/>
    <w:qFormat/>
    <w:uiPriority w:val="0"/>
    <w:pPr>
      <w:pBdr>
        <w:left w:val="single" w:color="auto" w:sz="8" w:space="0"/>
        <w:bottom w:val="single" w:color="auto" w:sz="8" w:space="0"/>
        <w:right w:val="single" w:color="auto" w:sz="8" w:space="0"/>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2300">
    <w:name w:val="xl1053"/>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301">
    <w:name w:val="xl1054"/>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02">
    <w:name w:val="xl1055"/>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303">
    <w:name w:val="xl1056"/>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304">
    <w:name w:val="xl1057"/>
    <w:basedOn w:val="1"/>
    <w:qFormat/>
    <w:uiPriority w:val="0"/>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2305">
    <w:name w:val="xl1058"/>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06">
    <w:name w:val="xl1059"/>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307">
    <w:name w:val="xl1060"/>
    <w:basedOn w:val="1"/>
    <w:qFormat/>
    <w:uiPriority w:val="0"/>
    <w:pPr>
      <w:spacing w:before="100" w:beforeAutospacing="1" w:after="100" w:afterAutospacing="1" w:line="240" w:lineRule="auto"/>
      <w:ind w:firstLine="0"/>
      <w:jc w:val="center"/>
    </w:pPr>
    <w:rPr>
      <w:sz w:val="24"/>
      <w:szCs w:val="24"/>
    </w:rPr>
  </w:style>
  <w:style w:type="paragraph" w:customStyle="1" w:styleId="2308">
    <w:name w:val="xl1061"/>
    <w:basedOn w:val="1"/>
    <w:qFormat/>
    <w:uiPriority w:val="0"/>
    <w:pPr>
      <w:pBdr>
        <w:top w:val="single" w:color="auto" w:sz="8" w:space="0"/>
        <w:left w:val="single" w:color="auto" w:sz="4" w:space="0"/>
        <w:bottom w:val="single" w:color="auto" w:sz="8" w:space="0"/>
        <w:right w:val="single" w:color="auto" w:sz="4" w:space="0"/>
      </w:pBdr>
      <w:shd w:val="clear" w:color="auto" w:fill="CCFFFF"/>
      <w:spacing w:before="100" w:beforeAutospacing="1" w:after="100" w:afterAutospacing="1" w:line="240" w:lineRule="auto"/>
      <w:ind w:firstLine="0"/>
      <w:jc w:val="right"/>
    </w:pPr>
    <w:rPr>
      <w:b/>
      <w:bCs/>
      <w:sz w:val="24"/>
      <w:szCs w:val="24"/>
    </w:rPr>
  </w:style>
  <w:style w:type="paragraph" w:customStyle="1" w:styleId="2309">
    <w:name w:val="xl1062"/>
    <w:basedOn w:val="1"/>
    <w:qFormat/>
    <w:uiPriority w:val="0"/>
    <w:pPr>
      <w:pBdr>
        <w:top w:val="single" w:color="auto" w:sz="8" w:space="0"/>
        <w:left w:val="single" w:color="auto" w:sz="4" w:space="0"/>
        <w:bottom w:val="single" w:color="auto" w:sz="8" w:space="0"/>
      </w:pBdr>
      <w:shd w:val="clear" w:color="auto" w:fill="CCFFFF"/>
      <w:spacing w:before="100" w:beforeAutospacing="1" w:after="100" w:afterAutospacing="1" w:line="240" w:lineRule="auto"/>
      <w:ind w:firstLine="0"/>
      <w:jc w:val="right"/>
    </w:pPr>
    <w:rPr>
      <w:b/>
      <w:bCs/>
      <w:sz w:val="24"/>
      <w:szCs w:val="24"/>
    </w:rPr>
  </w:style>
  <w:style w:type="paragraph" w:customStyle="1" w:styleId="2310">
    <w:name w:val="xl1063"/>
    <w:basedOn w:val="1"/>
    <w:qFormat/>
    <w:uiPriority w:val="0"/>
    <w:pPr>
      <w:pBdr>
        <w:top w:val="single" w:color="auto" w:sz="8" w:space="0"/>
        <w:left w:val="single" w:color="auto" w:sz="4" w:space="0"/>
        <w:bottom w:val="single" w:color="auto" w:sz="8" w:space="0"/>
        <w:right w:val="single" w:color="auto" w:sz="8" w:space="0"/>
      </w:pBdr>
      <w:shd w:val="clear" w:color="auto" w:fill="CCFFFF"/>
      <w:spacing w:before="100" w:beforeAutospacing="1" w:after="100" w:afterAutospacing="1" w:line="240" w:lineRule="auto"/>
      <w:ind w:firstLine="0"/>
      <w:jc w:val="right"/>
    </w:pPr>
    <w:rPr>
      <w:b/>
      <w:bCs/>
      <w:sz w:val="24"/>
      <w:szCs w:val="24"/>
    </w:rPr>
  </w:style>
  <w:style w:type="paragraph" w:customStyle="1" w:styleId="2311">
    <w:name w:val="xl1064"/>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312">
    <w:name w:val="xl1065"/>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center"/>
    </w:pPr>
    <w:rPr>
      <w:b/>
      <w:bCs/>
      <w:sz w:val="24"/>
      <w:szCs w:val="24"/>
    </w:rPr>
  </w:style>
  <w:style w:type="paragraph" w:customStyle="1" w:styleId="2313">
    <w:name w:val="xl1066"/>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14">
    <w:name w:val="xl1067"/>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15">
    <w:name w:val="xl1068"/>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316">
    <w:name w:val="xl1069"/>
    <w:basedOn w:val="1"/>
    <w:qFormat/>
    <w:uiPriority w:val="0"/>
    <w:pPr>
      <w:pBdr>
        <w:top w:val="single" w:color="auto" w:sz="4" w:space="0"/>
        <w:left w:val="single" w:color="auto" w:sz="8" w:space="0"/>
        <w:bottom w:val="single" w:color="auto" w:sz="4" w:space="0"/>
        <w:right w:val="single" w:color="auto" w:sz="8" w:space="0"/>
      </w:pBdr>
      <w:shd w:val="clear" w:color="auto" w:fill="FFFFFF"/>
      <w:spacing w:before="100" w:beforeAutospacing="1" w:after="100" w:afterAutospacing="1" w:line="240" w:lineRule="auto"/>
      <w:ind w:firstLine="0"/>
      <w:jc w:val="center"/>
    </w:pPr>
    <w:rPr>
      <w:sz w:val="24"/>
      <w:szCs w:val="24"/>
    </w:rPr>
  </w:style>
  <w:style w:type="paragraph" w:customStyle="1" w:styleId="2317">
    <w:name w:val="xl1070"/>
    <w:basedOn w:val="1"/>
    <w:qFormat/>
    <w:uiPriority w:val="0"/>
    <w:pPr>
      <w:pBdr>
        <w:top w:val="single" w:color="auto" w:sz="4" w:space="0"/>
        <w:left w:val="single" w:color="auto" w:sz="8" w:space="0"/>
        <w:bottom w:val="single" w:color="auto" w:sz="4" w:space="0"/>
        <w:right w:val="single" w:color="auto" w:sz="8" w:space="0"/>
      </w:pBdr>
      <w:spacing w:before="100" w:beforeAutospacing="1" w:after="100" w:afterAutospacing="1" w:line="240" w:lineRule="auto"/>
      <w:ind w:firstLine="0"/>
      <w:jc w:val="center"/>
    </w:pPr>
    <w:rPr>
      <w:b/>
      <w:bCs/>
      <w:sz w:val="24"/>
      <w:szCs w:val="24"/>
    </w:rPr>
  </w:style>
  <w:style w:type="paragraph" w:customStyle="1" w:styleId="2318">
    <w:name w:val="xl1071"/>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right"/>
    </w:pPr>
    <w:rPr>
      <w:b/>
      <w:bCs/>
      <w:sz w:val="24"/>
      <w:szCs w:val="24"/>
    </w:rPr>
  </w:style>
  <w:style w:type="paragraph" w:customStyle="1" w:styleId="2319">
    <w:name w:val="xl1072"/>
    <w:basedOn w:val="1"/>
    <w:qFormat/>
    <w:uiPriority w:val="0"/>
    <w:pPr>
      <w:pBdr>
        <w:top w:val="single" w:color="auto" w:sz="4" w:space="0"/>
        <w:left w:val="single" w:color="auto" w:sz="8" w:space="0"/>
        <w:bottom w:val="single" w:color="auto" w:sz="4" w:space="0"/>
        <w:right w:val="single" w:color="auto" w:sz="8" w:space="0"/>
      </w:pBdr>
      <w:shd w:val="clear" w:color="auto" w:fill="C0C0C0"/>
      <w:spacing w:before="100" w:beforeAutospacing="1" w:after="100" w:afterAutospacing="1" w:line="240" w:lineRule="auto"/>
      <w:ind w:firstLine="0"/>
      <w:jc w:val="right"/>
    </w:pPr>
    <w:rPr>
      <w:b/>
      <w:bCs/>
      <w:sz w:val="24"/>
      <w:szCs w:val="24"/>
    </w:rPr>
  </w:style>
  <w:style w:type="paragraph" w:customStyle="1" w:styleId="2320">
    <w:name w:val="xl1073"/>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right"/>
    </w:pPr>
    <w:rPr>
      <w:b/>
      <w:bCs/>
      <w:sz w:val="24"/>
      <w:szCs w:val="24"/>
    </w:rPr>
  </w:style>
  <w:style w:type="paragraph" w:customStyle="1" w:styleId="2321">
    <w:name w:val="xl1074"/>
    <w:basedOn w:val="1"/>
    <w:qFormat/>
    <w:uiPriority w:val="0"/>
    <w:pPr>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right"/>
    </w:pPr>
    <w:rPr>
      <w:b/>
      <w:bCs/>
      <w:sz w:val="24"/>
      <w:szCs w:val="24"/>
    </w:rPr>
  </w:style>
  <w:style w:type="paragraph" w:customStyle="1" w:styleId="2322">
    <w:name w:val="xl1075"/>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right"/>
    </w:pPr>
    <w:rPr>
      <w:sz w:val="24"/>
      <w:szCs w:val="24"/>
    </w:rPr>
  </w:style>
  <w:style w:type="paragraph" w:customStyle="1" w:styleId="2323">
    <w:name w:val="xl1076"/>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right"/>
    </w:pPr>
    <w:rPr>
      <w:sz w:val="24"/>
      <w:szCs w:val="24"/>
    </w:rPr>
  </w:style>
  <w:style w:type="paragraph" w:customStyle="1" w:styleId="2324">
    <w:name w:val="xl1077"/>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right"/>
    </w:pPr>
    <w:rPr>
      <w:sz w:val="24"/>
      <w:szCs w:val="24"/>
    </w:rPr>
  </w:style>
  <w:style w:type="paragraph" w:customStyle="1" w:styleId="2325">
    <w:name w:val="xl1078"/>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right"/>
    </w:pPr>
    <w:rPr>
      <w:sz w:val="24"/>
      <w:szCs w:val="24"/>
    </w:rPr>
  </w:style>
  <w:style w:type="paragraph" w:customStyle="1" w:styleId="2326">
    <w:name w:val="xl1079"/>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27">
    <w:name w:val="xl1080"/>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28">
    <w:name w:val="xl1081"/>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right"/>
    </w:pPr>
    <w:rPr>
      <w:sz w:val="24"/>
      <w:szCs w:val="24"/>
    </w:rPr>
  </w:style>
  <w:style w:type="paragraph" w:customStyle="1" w:styleId="2329">
    <w:name w:val="xl1082"/>
    <w:basedOn w:val="1"/>
    <w:qFormat/>
    <w:uiPriority w:val="0"/>
    <w:pPr>
      <w:pBdr>
        <w:top w:val="single" w:color="auto" w:sz="4" w:space="0"/>
        <w:left w:val="single" w:color="auto" w:sz="8" w:space="0"/>
        <w:right w:val="single" w:color="auto" w:sz="8" w:space="0"/>
      </w:pBdr>
      <w:spacing w:before="100" w:beforeAutospacing="1" w:after="100" w:afterAutospacing="1" w:line="240" w:lineRule="auto"/>
      <w:ind w:firstLine="0"/>
      <w:jc w:val="right"/>
    </w:pPr>
    <w:rPr>
      <w:sz w:val="24"/>
      <w:szCs w:val="24"/>
    </w:rPr>
  </w:style>
  <w:style w:type="paragraph" w:customStyle="1" w:styleId="2330">
    <w:name w:val="xl1083"/>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right"/>
    </w:pPr>
    <w:rPr>
      <w:sz w:val="24"/>
      <w:szCs w:val="24"/>
    </w:rPr>
  </w:style>
  <w:style w:type="paragraph" w:customStyle="1" w:styleId="2331">
    <w:name w:val="xl1084"/>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right"/>
    </w:pPr>
    <w:rPr>
      <w:sz w:val="24"/>
      <w:szCs w:val="24"/>
    </w:rPr>
  </w:style>
  <w:style w:type="paragraph" w:customStyle="1" w:styleId="2332">
    <w:name w:val="xl1085"/>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33">
    <w:name w:val="xl1086"/>
    <w:basedOn w:val="1"/>
    <w:qFormat/>
    <w:uiPriority w:val="0"/>
    <w:pPr>
      <w:pBdr>
        <w:top w:val="single" w:color="auto" w:sz="8" w:space="0"/>
        <w:left w:val="single" w:color="auto" w:sz="8" w:space="0"/>
        <w:bottom w:val="single" w:color="auto" w:sz="4" w:space="0"/>
        <w:right w:val="single" w:color="auto" w:sz="8" w:space="0"/>
      </w:pBdr>
      <w:shd w:val="clear" w:color="auto" w:fill="CCFFFF"/>
      <w:spacing w:before="100" w:beforeAutospacing="1" w:after="100" w:afterAutospacing="1" w:line="240" w:lineRule="auto"/>
      <w:ind w:firstLine="0"/>
      <w:jc w:val="center"/>
    </w:pPr>
    <w:rPr>
      <w:b/>
      <w:bCs/>
      <w:sz w:val="24"/>
      <w:szCs w:val="24"/>
    </w:rPr>
  </w:style>
  <w:style w:type="paragraph" w:customStyle="1" w:styleId="2334">
    <w:name w:val="xl1087"/>
    <w:basedOn w:val="1"/>
    <w:qFormat/>
    <w:uiPriority w:val="0"/>
    <w:pPr>
      <w:pBdr>
        <w:top w:val="single" w:color="auto" w:sz="4" w:space="0"/>
        <w:left w:val="single" w:color="auto" w:sz="8" w:space="0"/>
        <w:bottom w:val="single" w:color="auto" w:sz="8" w:space="0"/>
        <w:right w:val="single" w:color="auto" w:sz="8" w:space="0"/>
      </w:pBdr>
      <w:shd w:val="clear" w:color="auto" w:fill="C0C0C0"/>
      <w:spacing w:before="100" w:beforeAutospacing="1" w:after="100" w:afterAutospacing="1" w:line="240" w:lineRule="auto"/>
      <w:ind w:firstLine="0"/>
      <w:jc w:val="center"/>
    </w:pPr>
    <w:rPr>
      <w:sz w:val="24"/>
      <w:szCs w:val="24"/>
    </w:rPr>
  </w:style>
  <w:style w:type="paragraph" w:customStyle="1" w:styleId="2335">
    <w:name w:val="xl1088"/>
    <w:basedOn w:val="1"/>
    <w:qFormat/>
    <w:uiPriority w:val="0"/>
    <w:pPr>
      <w:pBdr>
        <w:left w:val="single" w:color="auto" w:sz="8" w:space="0"/>
        <w:right w:val="single" w:color="auto" w:sz="8" w:space="0"/>
      </w:pBdr>
      <w:shd w:val="clear" w:color="auto" w:fill="FFFFFF"/>
      <w:spacing w:before="100" w:beforeAutospacing="1" w:after="100" w:afterAutospacing="1" w:line="240" w:lineRule="auto"/>
      <w:ind w:firstLine="0"/>
      <w:jc w:val="center"/>
    </w:pPr>
    <w:rPr>
      <w:b/>
      <w:bCs/>
      <w:sz w:val="24"/>
      <w:szCs w:val="24"/>
    </w:rPr>
  </w:style>
  <w:style w:type="paragraph" w:customStyle="1" w:styleId="2336">
    <w:name w:val="xl1089"/>
    <w:basedOn w:val="1"/>
    <w:qFormat/>
    <w:uiPriority w:val="0"/>
    <w:pPr>
      <w:pBdr>
        <w:top w:val="single" w:color="auto" w:sz="8" w:space="0"/>
        <w:left w:val="single" w:color="auto" w:sz="4" w:space="0"/>
        <w:bottom w:val="single" w:color="auto" w:sz="8" w:space="0"/>
        <w:right w:val="single" w:color="auto" w:sz="4" w:space="0"/>
      </w:pBdr>
      <w:shd w:val="clear" w:color="auto" w:fill="CCFFFF"/>
      <w:spacing w:before="100" w:beforeAutospacing="1" w:after="100" w:afterAutospacing="1" w:line="240" w:lineRule="auto"/>
      <w:ind w:firstLine="0"/>
    </w:pPr>
    <w:rPr>
      <w:b/>
      <w:bCs/>
      <w:sz w:val="24"/>
      <w:szCs w:val="24"/>
    </w:rPr>
  </w:style>
  <w:style w:type="paragraph" w:customStyle="1" w:styleId="2337">
    <w:name w:val="xl1090"/>
    <w:basedOn w:val="1"/>
    <w:qFormat/>
    <w:uiPriority w:val="0"/>
    <w:pPr>
      <w:pBdr>
        <w:top w:val="single" w:color="auto" w:sz="8" w:space="0"/>
        <w:left w:val="single" w:color="auto" w:sz="8" w:space="0"/>
        <w:bottom w:val="single" w:color="auto" w:sz="8" w:space="0"/>
        <w:right w:val="single" w:color="auto" w:sz="4" w:space="0"/>
      </w:pBdr>
      <w:shd w:val="clear" w:color="auto" w:fill="CCFFFF"/>
      <w:spacing w:before="100" w:beforeAutospacing="1" w:after="100" w:afterAutospacing="1" w:line="240" w:lineRule="auto"/>
      <w:ind w:firstLine="0"/>
      <w:jc w:val="center"/>
    </w:pPr>
    <w:rPr>
      <w:b/>
      <w:bCs/>
      <w:sz w:val="24"/>
      <w:szCs w:val="24"/>
    </w:rPr>
  </w:style>
  <w:style w:type="paragraph" w:customStyle="1" w:styleId="2338">
    <w:name w:val="xl1091"/>
    <w:basedOn w:val="1"/>
    <w:qFormat/>
    <w:uiPriority w:val="0"/>
    <w:pPr>
      <w:pBdr>
        <w:top w:val="single" w:color="auto" w:sz="8" w:space="0"/>
        <w:lef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339">
    <w:name w:val="xl1092"/>
    <w:basedOn w:val="1"/>
    <w:qFormat/>
    <w:uiPriority w:val="0"/>
    <w:pPr>
      <w:pBdr>
        <w:left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340">
    <w:name w:val="xl1093"/>
    <w:basedOn w:val="1"/>
    <w:qFormat/>
    <w:uiPriority w:val="0"/>
    <w:pPr>
      <w:pBdr>
        <w:left w:val="single" w:color="auto" w:sz="8" w:space="0"/>
        <w:bottom w:val="single" w:color="auto" w:sz="8" w:space="0"/>
      </w:pBdr>
      <w:shd w:val="clear" w:color="auto" w:fill="FFFFFF"/>
      <w:spacing w:before="100" w:beforeAutospacing="1" w:after="100" w:afterAutospacing="1" w:line="240" w:lineRule="auto"/>
      <w:ind w:firstLine="0"/>
    </w:pPr>
    <w:rPr>
      <w:sz w:val="24"/>
      <w:szCs w:val="24"/>
    </w:rPr>
  </w:style>
  <w:style w:type="paragraph" w:customStyle="1" w:styleId="2341">
    <w:name w:val="xl109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pPr>
    <w:rPr>
      <w:sz w:val="24"/>
      <w:szCs w:val="24"/>
    </w:rPr>
  </w:style>
  <w:style w:type="paragraph" w:customStyle="1" w:styleId="2342">
    <w:name w:val="xl10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pPr>
    <w:rPr>
      <w:sz w:val="24"/>
      <w:szCs w:val="24"/>
    </w:rPr>
  </w:style>
  <w:style w:type="paragraph" w:customStyle="1" w:styleId="2343">
    <w:name w:val="xl109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pPr>
    <w:rPr>
      <w:sz w:val="24"/>
      <w:szCs w:val="24"/>
    </w:rPr>
  </w:style>
  <w:style w:type="paragraph" w:customStyle="1" w:styleId="2344">
    <w:name w:val="xl109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pPr>
    <w:rPr>
      <w:sz w:val="24"/>
      <w:szCs w:val="24"/>
    </w:rPr>
  </w:style>
  <w:style w:type="paragraph" w:customStyle="1" w:styleId="2345">
    <w:name w:val="xl109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2346">
    <w:name w:val="xl109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pPr>
    <w:rPr>
      <w:sz w:val="24"/>
      <w:szCs w:val="24"/>
    </w:rPr>
  </w:style>
  <w:style w:type="paragraph" w:customStyle="1" w:styleId="2347">
    <w:name w:val="xl110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pPr>
    <w:rPr>
      <w:sz w:val="24"/>
      <w:szCs w:val="24"/>
    </w:rPr>
  </w:style>
  <w:style w:type="paragraph" w:customStyle="1" w:styleId="2348">
    <w:name w:val="xl110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2349">
    <w:name w:val="xl110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center"/>
    </w:pPr>
    <w:rPr>
      <w:sz w:val="24"/>
      <w:szCs w:val="24"/>
    </w:rPr>
  </w:style>
  <w:style w:type="paragraph" w:customStyle="1" w:styleId="2350">
    <w:name w:val="xl1103"/>
    <w:basedOn w:val="1"/>
    <w:qFormat/>
    <w:uiPriority w:val="99"/>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pPr>
    <w:rPr>
      <w:sz w:val="24"/>
      <w:szCs w:val="24"/>
    </w:rPr>
  </w:style>
  <w:style w:type="character" w:customStyle="1" w:styleId="2351">
    <w:name w:val="Текст макроса Знак1"/>
    <w:basedOn w:val="11"/>
    <w:semiHidden/>
    <w:uiPriority w:val="99"/>
    <w:rPr>
      <w:rFonts w:ascii="Consolas" w:hAnsi="Consolas" w:cs="Consolas"/>
    </w:rPr>
  </w:style>
  <w:style w:type="character" w:customStyle="1" w:styleId="2352">
    <w:name w:val="Font Style12"/>
    <w:basedOn w:val="11"/>
    <w:uiPriority w:val="0"/>
    <w:rPr>
      <w:rFonts w:hint="default" w:ascii="Tahoma" w:hAnsi="Tahoma" w:cs="Tahoma"/>
      <w:sz w:val="18"/>
      <w:szCs w:val="18"/>
    </w:rPr>
  </w:style>
  <w:style w:type="character" w:customStyle="1" w:styleId="2353">
    <w:name w:val="Цветовое выделение"/>
    <w:uiPriority w:val="99"/>
    <w:rPr>
      <w:b/>
      <w:bCs/>
      <w:color w:val="26282F"/>
      <w:sz w:val="26"/>
      <w:szCs w:val="26"/>
    </w:rPr>
  </w:style>
  <w:style w:type="character" w:customStyle="1" w:styleId="2354">
    <w:name w:val="menu2"/>
    <w:basedOn w:val="11"/>
    <w:uiPriority w:val="0"/>
  </w:style>
  <w:style w:type="character" w:customStyle="1" w:styleId="2355">
    <w:name w:val="r"/>
    <w:basedOn w:val="11"/>
    <w:uiPriority w:val="0"/>
  </w:style>
  <w:style w:type="character" w:customStyle="1" w:styleId="2356">
    <w:name w:val="st"/>
    <w:basedOn w:val="11"/>
    <w:uiPriority w:val="0"/>
  </w:style>
  <w:style w:type="table" w:customStyle="1" w:styleId="2357">
    <w:name w:val="Сетка таблицы119"/>
    <w:basedOn w:val="12"/>
    <w:qFormat/>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58">
    <w:name w:val="Сетка таблицы210"/>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59">
    <w:name w:val="Сетка таблицы310"/>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60">
    <w:name w:val="Сетка таблицы411"/>
    <w:basedOn w:val="12"/>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1">
    <w:name w:val="Сетка таблицы57"/>
    <w:basedOn w:val="12"/>
    <w:uiPriority w:val="3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2">
    <w:name w:val="Сетка таблицы22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63">
    <w:name w:val="Сетка таблицы321"/>
    <w:basedOn w:val="12"/>
    <w:qFormat/>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64">
    <w:name w:val="Сетка таблицы1110"/>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65">
    <w:name w:val="bodytext"/>
    <w:basedOn w:val="1"/>
    <w:qFormat/>
    <w:uiPriority w:val="0"/>
    <w:pPr>
      <w:spacing w:before="100" w:beforeAutospacing="1" w:after="100" w:afterAutospacing="1" w:line="240" w:lineRule="auto"/>
      <w:ind w:firstLine="0"/>
    </w:pPr>
    <w:rPr>
      <w:sz w:val="24"/>
      <w:szCs w:val="24"/>
    </w:rPr>
  </w:style>
  <w:style w:type="character" w:customStyle="1" w:styleId="2366">
    <w:name w:val="Основной текст8"/>
    <w:basedOn w:val="208"/>
    <w:uiPriority w:val="0"/>
    <w:rPr>
      <w:rFonts w:ascii="Times New Roman" w:hAnsi="Times New Roman" w:eastAsia="Times New Roman" w:cs="Times New Roman"/>
      <w:sz w:val="20"/>
      <w:szCs w:val="20"/>
      <w:shd w:val="clear" w:color="auto" w:fill="FFFFFF"/>
    </w:rPr>
  </w:style>
  <w:style w:type="paragraph" w:customStyle="1" w:styleId="2367">
    <w:name w:val="Основной текст10"/>
    <w:basedOn w:val="1"/>
    <w:qFormat/>
    <w:uiPriority w:val="0"/>
    <w:pPr>
      <w:shd w:val="clear" w:color="auto" w:fill="FFFFFF"/>
      <w:spacing w:after="0" w:line="0" w:lineRule="atLeast"/>
      <w:ind w:firstLine="0"/>
    </w:pPr>
    <w:rPr>
      <w:sz w:val="20"/>
      <w:szCs w:val="20"/>
    </w:rPr>
  </w:style>
  <w:style w:type="character" w:customStyle="1" w:styleId="2368">
    <w:name w:val="Основной текст5"/>
    <w:basedOn w:val="208"/>
    <w:uiPriority w:val="0"/>
    <w:rPr>
      <w:rFonts w:ascii="Times New Roman" w:hAnsi="Times New Roman" w:eastAsia="Times New Roman" w:cs="Times New Roman"/>
      <w:sz w:val="20"/>
      <w:szCs w:val="20"/>
      <w:shd w:val="clear" w:color="auto" w:fill="FFFFFF"/>
    </w:rPr>
  </w:style>
  <w:style w:type="paragraph" w:customStyle="1" w:styleId="2369">
    <w:name w:val="# ОСНОВНОЙ ТЕКСТ"/>
    <w:basedOn w:val="1"/>
    <w:qFormat/>
    <w:uiPriority w:val="0"/>
    <w:pPr>
      <w:widowControl w:val="0"/>
      <w:spacing w:before="60" w:after="60" w:afterAutospacing="1" w:line="288" w:lineRule="auto"/>
      <w:jc w:val="both"/>
      <w:textAlignment w:val="baseline"/>
    </w:pPr>
    <w:rPr>
      <w:rFonts w:cs="Arial"/>
      <w:sz w:val="24"/>
      <w:szCs w:val="20"/>
      <w:lang w:eastAsia="zh-CN"/>
    </w:rPr>
  </w:style>
  <w:style w:type="paragraph" w:customStyle="1" w:styleId="2370">
    <w:name w:val="ДЛЯ ТАБЛ"/>
    <w:basedOn w:val="1"/>
    <w:qFormat/>
    <w:uiPriority w:val="99"/>
    <w:pPr>
      <w:spacing w:after="0" w:line="240" w:lineRule="auto"/>
      <w:ind w:firstLine="0"/>
      <w:jc w:val="center"/>
    </w:pPr>
    <w:rPr>
      <w:sz w:val="20"/>
      <w:szCs w:val="20"/>
    </w:rPr>
  </w:style>
  <w:style w:type="table" w:customStyle="1" w:styleId="2371">
    <w:name w:val="Сетка таблицы67"/>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372">
    <w:name w:val="bodytext4"/>
    <w:basedOn w:val="1"/>
    <w:qFormat/>
    <w:uiPriority w:val="99"/>
    <w:pPr>
      <w:spacing w:before="100" w:beforeAutospacing="1" w:after="150" w:line="240" w:lineRule="auto"/>
      <w:ind w:firstLine="0"/>
    </w:pPr>
    <w:rPr>
      <w:color w:val="949494"/>
      <w:sz w:val="24"/>
      <w:szCs w:val="24"/>
    </w:rPr>
  </w:style>
  <w:style w:type="paragraph" w:customStyle="1" w:styleId="2373">
    <w:name w:val="Верхний колонтитул1"/>
    <w:basedOn w:val="1"/>
    <w:next w:val="54"/>
    <w:qFormat/>
    <w:uiPriority w:val="99"/>
    <w:pPr>
      <w:tabs>
        <w:tab w:val="center" w:pos="4677"/>
        <w:tab w:val="right" w:pos="9355"/>
      </w:tabs>
      <w:spacing w:after="0" w:line="240" w:lineRule="auto"/>
      <w:ind w:firstLine="0"/>
    </w:pPr>
    <w:rPr>
      <w:rFonts w:ascii="Calibri" w:hAnsi="Calibri"/>
      <w:sz w:val="22"/>
    </w:rPr>
  </w:style>
  <w:style w:type="paragraph" w:customStyle="1" w:styleId="2374">
    <w:name w:val="Нижний колонтитул1"/>
    <w:basedOn w:val="1"/>
    <w:next w:val="80"/>
    <w:qFormat/>
    <w:uiPriority w:val="99"/>
    <w:pPr>
      <w:tabs>
        <w:tab w:val="center" w:pos="4677"/>
        <w:tab w:val="right" w:pos="9355"/>
      </w:tabs>
      <w:spacing w:after="0" w:line="240" w:lineRule="auto"/>
      <w:ind w:firstLine="0"/>
    </w:pPr>
    <w:rPr>
      <w:rFonts w:ascii="Calibri" w:hAnsi="Calibri"/>
      <w:sz w:val="22"/>
    </w:rPr>
  </w:style>
  <w:style w:type="table" w:styleId="2375">
    <w:name w:val="Light Shading Accent 5"/>
    <w:basedOn w:val="12"/>
    <w:uiPriority w:val="99"/>
    <w:pPr>
      <w:spacing w:after="0" w:line="240" w:lineRule="auto"/>
    </w:pPr>
    <w:rPr>
      <w:rFonts w:ascii="Calibri" w:hAnsi="Calibri" w:eastAsia="Times New Roman" w:cs="Times New Roman"/>
      <w:color w:val="31849B"/>
      <w:sz w:val="20"/>
      <w:szCs w:val="20"/>
      <w:lang w:eastAsia="ru-RU"/>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la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2EAF1"/>
      </w:tcPr>
    </w:tblStylePr>
    <w:tblStylePr w:type="band1Horz">
      <w:rPr>
        <w:rFonts w:cs="Times New Roman"/>
      </w:rPr>
      <w:tcPr>
        <w:tcBorders>
          <w:left w:val="nil"/>
          <w:right w:val="nil"/>
          <w:insideH w:val="nil"/>
          <w:insideV w:val="nil"/>
        </w:tcBorders>
        <w:shd w:val="clear" w:color="auto" w:fill="D2EAF1"/>
      </w:tcPr>
    </w:tblStylePr>
  </w:style>
  <w:style w:type="table" w:customStyle="1" w:styleId="2376">
    <w:name w:val="Сетка таблицы127"/>
    <w:basedOn w:val="12"/>
    <w:qFormat/>
    <w:uiPriority w:val="3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377">
    <w:name w:val="Схема документа1"/>
    <w:basedOn w:val="1"/>
    <w:next w:val="47"/>
    <w:semiHidden/>
    <w:unhideWhenUsed/>
    <w:qFormat/>
    <w:uiPriority w:val="99"/>
    <w:pPr>
      <w:spacing w:after="0" w:line="240" w:lineRule="auto"/>
      <w:ind w:firstLine="0"/>
    </w:pPr>
    <w:rPr>
      <w:rFonts w:ascii="Tahoma" w:hAnsi="Tahoma" w:cs="Tahoma"/>
      <w:sz w:val="16"/>
      <w:szCs w:val="16"/>
    </w:rPr>
  </w:style>
  <w:style w:type="paragraph" w:customStyle="1" w:styleId="2378">
    <w:name w:val="Заголовок оглавления1"/>
    <w:basedOn w:val="2"/>
    <w:next w:val="1"/>
    <w:unhideWhenUsed/>
    <w:qFormat/>
    <w:uiPriority w:val="0"/>
    <w:pPr>
      <w:keepNext/>
      <w:tabs>
        <w:tab w:val="left" w:pos="1100"/>
      </w:tabs>
      <w:suppressAutoHyphens/>
      <w:spacing w:before="480" w:line="276" w:lineRule="auto"/>
      <w:outlineLvl w:val="9"/>
    </w:pPr>
    <w:rPr>
      <w:rFonts w:ascii="Cambria" w:hAnsi="Cambria" w:eastAsia="Times New Roman" w:cs="Times New Roman"/>
      <w:bCs/>
      <w:color w:val="365F91"/>
      <w:szCs w:val="28"/>
      <w:lang w:eastAsia="en-US"/>
    </w:rPr>
  </w:style>
  <w:style w:type="paragraph" w:customStyle="1" w:styleId="2379">
    <w:name w:val="Оглавление 41"/>
    <w:basedOn w:val="1"/>
    <w:next w:val="1"/>
    <w:autoRedefine/>
    <w:unhideWhenUsed/>
    <w:qFormat/>
    <w:uiPriority w:val="39"/>
    <w:pPr>
      <w:spacing w:after="100" w:line="276" w:lineRule="auto"/>
      <w:ind w:left="660" w:firstLine="0"/>
    </w:pPr>
    <w:rPr>
      <w:rFonts w:ascii="Calibri" w:hAnsi="Calibri"/>
      <w:sz w:val="22"/>
    </w:rPr>
  </w:style>
  <w:style w:type="paragraph" w:customStyle="1" w:styleId="2380">
    <w:name w:val="Оглавление 51"/>
    <w:basedOn w:val="1"/>
    <w:next w:val="1"/>
    <w:autoRedefine/>
    <w:unhideWhenUsed/>
    <w:qFormat/>
    <w:uiPriority w:val="39"/>
    <w:pPr>
      <w:spacing w:after="100" w:line="276" w:lineRule="auto"/>
      <w:ind w:left="880" w:firstLine="0"/>
    </w:pPr>
    <w:rPr>
      <w:rFonts w:ascii="Calibri" w:hAnsi="Calibri"/>
      <w:sz w:val="22"/>
    </w:rPr>
  </w:style>
  <w:style w:type="paragraph" w:customStyle="1" w:styleId="2381">
    <w:name w:val="Оглавление 61"/>
    <w:basedOn w:val="1"/>
    <w:next w:val="1"/>
    <w:autoRedefine/>
    <w:unhideWhenUsed/>
    <w:qFormat/>
    <w:uiPriority w:val="39"/>
    <w:pPr>
      <w:spacing w:after="100" w:line="276" w:lineRule="auto"/>
      <w:ind w:left="1100" w:firstLine="0"/>
    </w:pPr>
    <w:rPr>
      <w:rFonts w:ascii="Calibri" w:hAnsi="Calibri"/>
      <w:sz w:val="22"/>
    </w:rPr>
  </w:style>
  <w:style w:type="paragraph" w:customStyle="1" w:styleId="2382">
    <w:name w:val="Оглавление 71"/>
    <w:basedOn w:val="1"/>
    <w:next w:val="1"/>
    <w:autoRedefine/>
    <w:unhideWhenUsed/>
    <w:qFormat/>
    <w:uiPriority w:val="39"/>
    <w:pPr>
      <w:spacing w:after="100" w:line="276" w:lineRule="auto"/>
      <w:ind w:left="1320" w:firstLine="0"/>
    </w:pPr>
    <w:rPr>
      <w:rFonts w:ascii="Calibri" w:hAnsi="Calibri"/>
      <w:sz w:val="22"/>
    </w:rPr>
  </w:style>
  <w:style w:type="paragraph" w:customStyle="1" w:styleId="2383">
    <w:name w:val="Оглавление 81"/>
    <w:basedOn w:val="1"/>
    <w:next w:val="1"/>
    <w:autoRedefine/>
    <w:unhideWhenUsed/>
    <w:qFormat/>
    <w:uiPriority w:val="39"/>
    <w:pPr>
      <w:spacing w:after="100" w:line="276" w:lineRule="auto"/>
      <w:ind w:left="1540" w:firstLine="0"/>
    </w:pPr>
    <w:rPr>
      <w:rFonts w:ascii="Calibri" w:hAnsi="Calibri"/>
      <w:sz w:val="22"/>
    </w:rPr>
  </w:style>
  <w:style w:type="paragraph" w:customStyle="1" w:styleId="2384">
    <w:name w:val="Оглавление 91"/>
    <w:basedOn w:val="1"/>
    <w:next w:val="1"/>
    <w:autoRedefine/>
    <w:unhideWhenUsed/>
    <w:qFormat/>
    <w:uiPriority w:val="39"/>
    <w:pPr>
      <w:spacing w:after="100" w:line="276" w:lineRule="auto"/>
      <w:ind w:left="1760" w:firstLine="0"/>
    </w:pPr>
    <w:rPr>
      <w:rFonts w:ascii="Calibri" w:hAnsi="Calibri"/>
      <w:sz w:val="22"/>
    </w:rPr>
  </w:style>
  <w:style w:type="character" w:customStyle="1" w:styleId="2385">
    <w:name w:val="Верхний колонтитул Знак2"/>
    <w:basedOn w:val="11"/>
    <w:semiHidden/>
    <w:uiPriority w:val="99"/>
  </w:style>
  <w:style w:type="character" w:customStyle="1" w:styleId="2386">
    <w:name w:val="Нижний колонтитул Знак2"/>
    <w:basedOn w:val="11"/>
    <w:semiHidden/>
    <w:uiPriority w:val="99"/>
  </w:style>
  <w:style w:type="table" w:customStyle="1" w:styleId="2387">
    <w:name w:val="Сетка таблицы77"/>
    <w:basedOn w:val="12"/>
    <w:uiPriority w:val="3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88">
    <w:name w:val="Светлая заливка - Акцент 51"/>
    <w:basedOn w:val="12"/>
    <w:uiPriority w:val="99"/>
    <w:pPr>
      <w:spacing w:after="0" w:line="240" w:lineRule="auto"/>
    </w:pPr>
    <w:rPr>
      <w:rFonts w:ascii="Calibri" w:hAnsi="Calibri" w:eastAsia="Times New Roman" w:cs="Times New Roman"/>
      <w:color w:val="31849B"/>
      <w:sz w:val="20"/>
      <w:szCs w:val="20"/>
      <w:lang w:eastAsia="ru-RU"/>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la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2EAF1"/>
      </w:tcPr>
    </w:tblStylePr>
    <w:tblStylePr w:type="band1Horz">
      <w:rPr>
        <w:rFonts w:cs="Times New Roman"/>
      </w:rPr>
      <w:tcPr>
        <w:tcBorders>
          <w:left w:val="nil"/>
          <w:right w:val="nil"/>
          <w:insideH w:val="nil"/>
          <w:insideV w:val="nil"/>
        </w:tcBorders>
        <w:shd w:val="clear" w:color="auto" w:fill="D2EAF1"/>
      </w:tcPr>
    </w:tblStylePr>
  </w:style>
  <w:style w:type="character" w:customStyle="1" w:styleId="2389">
    <w:name w:val="mw-headline"/>
    <w:basedOn w:val="11"/>
    <w:uiPriority w:val="0"/>
  </w:style>
  <w:style w:type="paragraph" w:customStyle="1" w:styleId="2390">
    <w:name w:val="Стандартный"/>
    <w:basedOn w:val="1"/>
    <w:qFormat/>
    <w:uiPriority w:val="0"/>
    <w:pPr>
      <w:suppressAutoHyphens/>
      <w:spacing w:after="0" w:line="240" w:lineRule="auto"/>
      <w:ind w:firstLine="851"/>
      <w:jc w:val="both"/>
    </w:pPr>
    <w:rPr>
      <w:sz w:val="26"/>
      <w:szCs w:val="24"/>
      <w:lang w:eastAsia="ar-SA"/>
    </w:rPr>
  </w:style>
  <w:style w:type="paragraph" w:customStyle="1" w:styleId="2391">
    <w:name w:val="заголовок 1"/>
    <w:basedOn w:val="1"/>
    <w:next w:val="1"/>
    <w:qFormat/>
    <w:uiPriority w:val="0"/>
    <w:pPr>
      <w:keepNext/>
      <w:suppressAutoHyphens/>
      <w:spacing w:after="0" w:line="240" w:lineRule="auto"/>
      <w:ind w:firstLine="0"/>
      <w:jc w:val="both"/>
    </w:pPr>
    <w:rPr>
      <w:sz w:val="24"/>
      <w:szCs w:val="20"/>
      <w:lang w:eastAsia="ar-SA"/>
    </w:rPr>
  </w:style>
  <w:style w:type="character" w:customStyle="1" w:styleId="2392">
    <w:name w:val="WW8Num2z1"/>
    <w:uiPriority w:val="0"/>
    <w:rPr>
      <w:rFonts w:ascii="OpenSymbol" w:hAnsi="OpenSymbol" w:cs="OpenSymbol"/>
    </w:rPr>
  </w:style>
  <w:style w:type="table" w:customStyle="1" w:styleId="2393">
    <w:name w:val="Сетка таблицы23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94">
    <w:name w:val="Сетка таблицы33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395">
    <w:name w:val="Основной текст + 8 pt;Полужирный"/>
    <w:uiPriority w:val="0"/>
    <w:rPr>
      <w:rFonts w:ascii="Arial" w:hAnsi="Arial" w:eastAsia="Arial" w:cs="Arial"/>
      <w:b/>
      <w:bCs/>
      <w:color w:val="000000"/>
      <w:spacing w:val="0"/>
      <w:w w:val="100"/>
      <w:position w:val="0"/>
      <w:sz w:val="16"/>
      <w:szCs w:val="16"/>
      <w:u w:val="none"/>
      <w:shd w:val="clear" w:color="auto" w:fill="FFFFFF"/>
      <w:lang w:val="ru-RU" w:eastAsia="ru-RU" w:bidi="ru-RU"/>
    </w:rPr>
  </w:style>
  <w:style w:type="paragraph" w:customStyle="1" w:styleId="2396">
    <w:name w:val="Абзац списка21"/>
    <w:basedOn w:val="1"/>
    <w:qFormat/>
    <w:uiPriority w:val="0"/>
    <w:pPr>
      <w:widowControl w:val="0"/>
      <w:adjustRightInd w:val="0"/>
      <w:spacing w:before="120" w:after="120" w:line="240" w:lineRule="auto"/>
      <w:ind w:firstLine="0"/>
      <w:jc w:val="both"/>
      <w:textAlignment w:val="baseline"/>
    </w:pPr>
    <w:rPr>
      <w:spacing w:val="-5"/>
    </w:rPr>
  </w:style>
  <w:style w:type="paragraph" w:customStyle="1" w:styleId="2397">
    <w:name w:val="Абзац списка4"/>
    <w:basedOn w:val="1"/>
    <w:qFormat/>
    <w:uiPriority w:val="0"/>
    <w:pPr>
      <w:widowControl w:val="0"/>
      <w:adjustRightInd w:val="0"/>
      <w:spacing w:before="120" w:after="120" w:line="240" w:lineRule="auto"/>
      <w:ind w:firstLine="0"/>
      <w:jc w:val="both"/>
      <w:textAlignment w:val="baseline"/>
    </w:pPr>
    <w:rPr>
      <w:spacing w:val="-5"/>
    </w:rPr>
  </w:style>
  <w:style w:type="paragraph" w:customStyle="1" w:styleId="2398">
    <w:name w:val="Абзац списка5"/>
    <w:basedOn w:val="1"/>
    <w:qFormat/>
    <w:uiPriority w:val="0"/>
    <w:pPr>
      <w:widowControl w:val="0"/>
      <w:adjustRightInd w:val="0"/>
      <w:spacing w:before="120" w:after="120" w:line="240" w:lineRule="auto"/>
      <w:ind w:firstLine="0"/>
      <w:jc w:val="both"/>
    </w:pPr>
    <w:rPr>
      <w:spacing w:val="-5"/>
    </w:rPr>
  </w:style>
  <w:style w:type="character" w:customStyle="1" w:styleId="2399">
    <w:name w:val="Основной текст (3) + Интервал 0 pt"/>
    <w:uiPriority w:val="99"/>
    <w:rPr>
      <w:rFonts w:ascii="Times New Roman" w:hAnsi="Times New Roman" w:cs="Times New Roman"/>
      <w:spacing w:val="0"/>
      <w:sz w:val="25"/>
      <w:szCs w:val="25"/>
      <w:shd w:val="clear" w:color="auto" w:fill="FFFFFF"/>
    </w:rPr>
  </w:style>
  <w:style w:type="character" w:customStyle="1" w:styleId="2400">
    <w:name w:val="Заголовок №5_"/>
    <w:link w:val="2401"/>
    <w:uiPriority w:val="99"/>
    <w:rPr>
      <w:b/>
      <w:bCs/>
      <w:sz w:val="27"/>
      <w:szCs w:val="27"/>
      <w:shd w:val="clear" w:color="auto" w:fill="FFFFFF"/>
    </w:rPr>
  </w:style>
  <w:style w:type="paragraph" w:customStyle="1" w:styleId="2401">
    <w:name w:val="Заголовок №5"/>
    <w:basedOn w:val="1"/>
    <w:link w:val="2400"/>
    <w:qFormat/>
    <w:uiPriority w:val="99"/>
    <w:pPr>
      <w:shd w:val="clear" w:color="auto" w:fill="FFFFFF"/>
      <w:spacing w:before="660" w:after="240" w:line="326" w:lineRule="exact"/>
      <w:ind w:firstLine="0"/>
      <w:jc w:val="center"/>
      <w:outlineLvl w:val="4"/>
    </w:pPr>
    <w:rPr>
      <w:rFonts w:asciiTheme="minorHAnsi" w:hAnsiTheme="minorHAnsi" w:eastAsiaTheme="minorHAnsi" w:cstheme="minorBidi"/>
      <w:b/>
      <w:bCs/>
      <w:sz w:val="27"/>
      <w:szCs w:val="27"/>
      <w:lang w:eastAsia="en-US"/>
    </w:rPr>
  </w:style>
  <w:style w:type="character" w:customStyle="1" w:styleId="2402">
    <w:name w:val="Основной текст (4) + Интервал 2 pt"/>
    <w:uiPriority w:val="99"/>
    <w:rPr>
      <w:rFonts w:ascii="Times New Roman" w:hAnsi="Times New Roman" w:cs="Times New Roman"/>
      <w:spacing w:val="50"/>
      <w:sz w:val="27"/>
      <w:szCs w:val="27"/>
      <w:shd w:val="clear" w:color="auto" w:fill="FFFFFF"/>
    </w:rPr>
  </w:style>
  <w:style w:type="character" w:customStyle="1" w:styleId="2403">
    <w:name w:val="Колонтитул + 11 pt"/>
    <w:uiPriority w:val="99"/>
    <w:rPr>
      <w:rFonts w:ascii="Times New Roman" w:hAnsi="Times New Roman" w:cs="Times New Roman"/>
      <w:spacing w:val="0"/>
      <w:sz w:val="22"/>
      <w:szCs w:val="22"/>
      <w:shd w:val="clear" w:color="auto" w:fill="FFFFFF"/>
    </w:rPr>
  </w:style>
  <w:style w:type="character" w:customStyle="1" w:styleId="2404">
    <w:name w:val="Основной текст (9)_"/>
    <w:uiPriority w:val="99"/>
    <w:rPr>
      <w:b/>
      <w:bCs/>
      <w:sz w:val="19"/>
      <w:szCs w:val="19"/>
      <w:shd w:val="clear" w:color="auto" w:fill="FFFFFF"/>
    </w:rPr>
  </w:style>
  <w:style w:type="character" w:customStyle="1" w:styleId="2405">
    <w:name w:val="Подпись к таблице (2) + 9 pt"/>
    <w:uiPriority w:val="99"/>
    <w:rPr>
      <w:rFonts w:ascii="Times New Roman" w:hAnsi="Times New Roman" w:cs="Times New Roman"/>
      <w:i/>
      <w:iCs/>
      <w:sz w:val="18"/>
      <w:szCs w:val="18"/>
      <w:shd w:val="clear" w:color="auto" w:fill="FFFFFF"/>
    </w:rPr>
  </w:style>
  <w:style w:type="character" w:customStyle="1" w:styleId="2406">
    <w:name w:val="Основной текст (6)_"/>
    <w:uiPriority w:val="99"/>
    <w:rPr>
      <w:b/>
      <w:bCs/>
      <w:sz w:val="17"/>
      <w:szCs w:val="17"/>
      <w:shd w:val="clear" w:color="auto" w:fill="FFFFFF"/>
    </w:rPr>
  </w:style>
  <w:style w:type="character" w:customStyle="1" w:styleId="2407">
    <w:name w:val="Основной текст (8)_"/>
    <w:uiPriority w:val="99"/>
    <w:rPr>
      <w:shd w:val="clear" w:color="auto" w:fill="FFFFFF"/>
    </w:rPr>
  </w:style>
  <w:style w:type="character" w:customStyle="1" w:styleId="2408">
    <w:name w:val="Основной текст (11)_"/>
    <w:uiPriority w:val="99"/>
    <w:rPr>
      <w:b/>
      <w:bCs/>
      <w:i/>
      <w:iCs/>
      <w:sz w:val="16"/>
      <w:szCs w:val="16"/>
      <w:shd w:val="clear" w:color="auto" w:fill="FFFFFF"/>
    </w:rPr>
  </w:style>
  <w:style w:type="character" w:customStyle="1" w:styleId="2409">
    <w:name w:val="Основной текст (10)_"/>
    <w:uiPriority w:val="99"/>
    <w:rPr>
      <w:b/>
      <w:bCs/>
      <w:sz w:val="16"/>
      <w:szCs w:val="16"/>
      <w:shd w:val="clear" w:color="auto" w:fill="FFFFFF"/>
    </w:rPr>
  </w:style>
  <w:style w:type="character" w:customStyle="1" w:styleId="2410">
    <w:name w:val="Основной текст (12) + 12"/>
    <w:uiPriority w:val="99"/>
    <w:rPr>
      <w:rFonts w:ascii="Times New Roman" w:hAnsi="Times New Roman" w:cs="Times New Roman"/>
      <w:smallCaps/>
      <w:spacing w:val="0"/>
      <w:sz w:val="25"/>
      <w:szCs w:val="25"/>
      <w:shd w:val="clear" w:color="auto" w:fill="FFFFFF"/>
      <w:lang w:val="en-US"/>
    </w:rPr>
  </w:style>
  <w:style w:type="character" w:customStyle="1" w:styleId="2411">
    <w:name w:val="Основной текст (12) + 11"/>
    <w:uiPriority w:val="99"/>
    <w:rPr>
      <w:rFonts w:ascii="Times New Roman" w:hAnsi="Times New Roman" w:cs="Times New Roman"/>
      <w:i/>
      <w:iCs/>
      <w:spacing w:val="0"/>
      <w:sz w:val="23"/>
      <w:szCs w:val="23"/>
      <w:shd w:val="clear" w:color="auto" w:fill="FFFFFF"/>
      <w:lang w:val="en-US"/>
    </w:rPr>
  </w:style>
  <w:style w:type="character" w:customStyle="1" w:styleId="2412">
    <w:name w:val="Основной текст (13) + 5 pt"/>
    <w:uiPriority w:val="99"/>
    <w:rPr>
      <w:rFonts w:ascii="Times New Roman" w:hAnsi="Times New Roman" w:cs="Times New Roman"/>
      <w:i/>
      <w:iCs/>
      <w:sz w:val="10"/>
      <w:szCs w:val="10"/>
      <w:shd w:val="clear" w:color="auto" w:fill="FFFFFF"/>
    </w:rPr>
  </w:style>
  <w:style w:type="character" w:customStyle="1" w:styleId="2413">
    <w:name w:val="Основной текст + Arial"/>
    <w:uiPriority w:val="99"/>
    <w:rPr>
      <w:rFonts w:ascii="Arial" w:hAnsi="Arial" w:cs="Arial"/>
      <w:i/>
      <w:iCs/>
      <w:sz w:val="15"/>
      <w:szCs w:val="15"/>
      <w:shd w:val="clear" w:color="auto" w:fill="FFFFFF"/>
      <w:lang w:val="en-US" w:eastAsia="en-US"/>
    </w:rPr>
  </w:style>
  <w:style w:type="character" w:customStyle="1" w:styleId="2414">
    <w:name w:val="Основной текст + Arial4"/>
    <w:uiPriority w:val="99"/>
    <w:rPr>
      <w:rFonts w:ascii="Arial" w:hAnsi="Arial" w:cs="Arial"/>
      <w:i/>
      <w:iCs/>
      <w:sz w:val="15"/>
      <w:szCs w:val="15"/>
      <w:shd w:val="clear" w:color="auto" w:fill="FFFFFF"/>
      <w:lang w:val="en-US" w:eastAsia="en-US"/>
    </w:rPr>
  </w:style>
  <w:style w:type="character" w:customStyle="1" w:styleId="2415">
    <w:name w:val="Основной текст + Интервал 1 pt"/>
    <w:uiPriority w:val="99"/>
    <w:rPr>
      <w:rFonts w:ascii="Times New Roman" w:hAnsi="Times New Roman" w:cs="Times New Roman"/>
      <w:spacing w:val="20"/>
      <w:sz w:val="23"/>
      <w:szCs w:val="23"/>
      <w:shd w:val="clear" w:color="auto" w:fill="FFFFFF"/>
      <w:lang w:val="en-US" w:eastAsia="en-US"/>
    </w:rPr>
  </w:style>
  <w:style w:type="character" w:customStyle="1" w:styleId="2416">
    <w:name w:val="Основной текст (16)_"/>
    <w:uiPriority w:val="99"/>
    <w:rPr>
      <w:sz w:val="13"/>
      <w:szCs w:val="13"/>
      <w:shd w:val="clear" w:color="auto" w:fill="FFFFFF"/>
    </w:rPr>
  </w:style>
  <w:style w:type="character" w:customStyle="1" w:styleId="2417">
    <w:name w:val="Основной текст (15)_"/>
    <w:link w:val="2418"/>
    <w:uiPriority w:val="99"/>
    <w:rPr>
      <w:i/>
      <w:iCs/>
      <w:sz w:val="12"/>
      <w:szCs w:val="12"/>
      <w:shd w:val="clear" w:color="auto" w:fill="FFFFFF"/>
    </w:rPr>
  </w:style>
  <w:style w:type="paragraph" w:customStyle="1" w:styleId="2418">
    <w:name w:val="Основной текст (15)1"/>
    <w:basedOn w:val="1"/>
    <w:link w:val="2417"/>
    <w:qFormat/>
    <w:uiPriority w:val="99"/>
    <w:pPr>
      <w:shd w:val="clear" w:color="auto" w:fill="FFFFFF"/>
      <w:spacing w:after="0" w:line="240" w:lineRule="atLeast"/>
      <w:ind w:hanging="1180"/>
    </w:pPr>
    <w:rPr>
      <w:rFonts w:asciiTheme="minorHAnsi" w:hAnsiTheme="minorHAnsi" w:eastAsiaTheme="minorHAnsi" w:cstheme="minorBidi"/>
      <w:i/>
      <w:iCs/>
      <w:sz w:val="12"/>
      <w:szCs w:val="12"/>
      <w:lang w:eastAsia="en-US"/>
    </w:rPr>
  </w:style>
  <w:style w:type="character" w:customStyle="1" w:styleId="2419">
    <w:name w:val="Основной текст (17)_"/>
    <w:uiPriority w:val="99"/>
    <w:rPr>
      <w:rFonts w:ascii="Sylfaen" w:hAnsi="Sylfaen" w:cs="Sylfaen"/>
      <w:sz w:val="26"/>
      <w:szCs w:val="26"/>
      <w:shd w:val="clear" w:color="auto" w:fill="FFFFFF"/>
      <w:lang w:val="en-US"/>
    </w:rPr>
  </w:style>
  <w:style w:type="character" w:customStyle="1" w:styleId="2420">
    <w:name w:val="Основной текст (14)_"/>
    <w:uiPriority w:val="99"/>
    <w:rPr>
      <w:rFonts w:ascii="Sylfaen" w:hAnsi="Sylfaen" w:cs="Sylfaen"/>
      <w:spacing w:val="50"/>
      <w:sz w:val="26"/>
      <w:szCs w:val="26"/>
      <w:shd w:val="clear" w:color="auto" w:fill="FFFFFF"/>
    </w:rPr>
  </w:style>
  <w:style w:type="character" w:customStyle="1" w:styleId="2421">
    <w:name w:val="Основной текст (14) + Интервал 0 pt"/>
    <w:uiPriority w:val="99"/>
    <w:rPr>
      <w:rFonts w:ascii="Sylfaen" w:hAnsi="Sylfaen" w:cs="Sylfaen"/>
      <w:spacing w:val="0"/>
      <w:sz w:val="26"/>
      <w:szCs w:val="26"/>
      <w:shd w:val="clear" w:color="auto" w:fill="FFFFFF"/>
    </w:rPr>
  </w:style>
  <w:style w:type="character" w:customStyle="1" w:styleId="2422">
    <w:name w:val="Основной текст (14) + Times New Roman"/>
    <w:uiPriority w:val="99"/>
    <w:rPr>
      <w:rFonts w:ascii="Times New Roman" w:hAnsi="Times New Roman" w:cs="Times New Roman"/>
      <w:i/>
      <w:iCs/>
      <w:spacing w:val="-20"/>
      <w:sz w:val="25"/>
      <w:szCs w:val="25"/>
      <w:shd w:val="clear" w:color="auto" w:fill="FFFFFF"/>
    </w:rPr>
  </w:style>
  <w:style w:type="character" w:customStyle="1" w:styleId="2423">
    <w:name w:val="Основной текст (15)"/>
    <w:uiPriority w:val="99"/>
    <w:rPr>
      <w:rFonts w:ascii="Times New Roman" w:hAnsi="Times New Roman" w:cs="Times New Roman"/>
      <w:sz w:val="12"/>
      <w:szCs w:val="12"/>
      <w:u w:val="single"/>
      <w:shd w:val="clear" w:color="auto" w:fill="FFFFFF"/>
    </w:rPr>
  </w:style>
  <w:style w:type="character" w:customStyle="1" w:styleId="2424">
    <w:name w:val="Основной текст (15) + 5"/>
    <w:uiPriority w:val="99"/>
    <w:rPr>
      <w:rFonts w:ascii="Times New Roman" w:hAnsi="Times New Roman" w:cs="Times New Roman"/>
      <w:sz w:val="11"/>
      <w:szCs w:val="11"/>
      <w:u w:val="single"/>
      <w:shd w:val="clear" w:color="auto" w:fill="FFFFFF"/>
    </w:rPr>
  </w:style>
  <w:style w:type="character" w:customStyle="1" w:styleId="2425">
    <w:name w:val="Основной текст (15) + 51"/>
    <w:uiPriority w:val="99"/>
    <w:rPr>
      <w:rFonts w:ascii="Times New Roman" w:hAnsi="Times New Roman" w:cs="Times New Roman"/>
      <w:sz w:val="11"/>
      <w:szCs w:val="11"/>
      <w:shd w:val="clear" w:color="auto" w:fill="FFFFFF"/>
      <w:lang w:val="en-US" w:eastAsia="en-US"/>
    </w:rPr>
  </w:style>
  <w:style w:type="character" w:customStyle="1" w:styleId="2426">
    <w:name w:val="Основной текст (18)_"/>
    <w:uiPriority w:val="99"/>
    <w:rPr>
      <w:i/>
      <w:iCs/>
      <w:sz w:val="12"/>
      <w:szCs w:val="12"/>
      <w:shd w:val="clear" w:color="auto" w:fill="FFFFFF"/>
    </w:rPr>
  </w:style>
  <w:style w:type="character" w:customStyle="1" w:styleId="2427">
    <w:name w:val="Основной текст (20)_"/>
    <w:uiPriority w:val="99"/>
    <w:rPr>
      <w:i/>
      <w:iCs/>
      <w:spacing w:val="-20"/>
      <w:sz w:val="26"/>
      <w:szCs w:val="26"/>
      <w:shd w:val="clear" w:color="auto" w:fill="FFFFFF"/>
      <w:lang w:val="en-US"/>
    </w:rPr>
  </w:style>
  <w:style w:type="character" w:customStyle="1" w:styleId="2428">
    <w:name w:val="Основной текст (20) + 21 pt"/>
    <w:uiPriority w:val="99"/>
    <w:rPr>
      <w:rFonts w:ascii="Times New Roman" w:hAnsi="Times New Roman" w:cs="Times New Roman"/>
      <w:spacing w:val="0"/>
      <w:sz w:val="42"/>
      <w:szCs w:val="42"/>
      <w:shd w:val="clear" w:color="auto" w:fill="FFFFFF"/>
      <w:lang w:val="en-US"/>
    </w:rPr>
  </w:style>
  <w:style w:type="character" w:customStyle="1" w:styleId="2429">
    <w:name w:val="Основной текст (20) + 6 pt"/>
    <w:uiPriority w:val="99"/>
    <w:rPr>
      <w:rFonts w:ascii="Times New Roman" w:hAnsi="Times New Roman" w:cs="Times New Roman"/>
      <w:spacing w:val="0"/>
      <w:sz w:val="12"/>
      <w:szCs w:val="12"/>
      <w:shd w:val="clear" w:color="auto" w:fill="FFFFFF"/>
      <w:lang w:val="en-US"/>
    </w:rPr>
  </w:style>
  <w:style w:type="character" w:customStyle="1" w:styleId="2430">
    <w:name w:val="Основной текст (21)_"/>
    <w:uiPriority w:val="99"/>
    <w:rPr>
      <w:b/>
      <w:bCs/>
      <w:sz w:val="10"/>
      <w:szCs w:val="10"/>
      <w:shd w:val="clear" w:color="auto" w:fill="FFFFFF"/>
    </w:rPr>
  </w:style>
  <w:style w:type="character" w:customStyle="1" w:styleId="2431">
    <w:name w:val="Основной текст (21) + 6 pt"/>
    <w:uiPriority w:val="99"/>
    <w:rPr>
      <w:rFonts w:ascii="Times New Roman" w:hAnsi="Times New Roman" w:cs="Times New Roman"/>
      <w:b/>
      <w:bCs/>
      <w:i/>
      <w:iCs/>
      <w:sz w:val="12"/>
      <w:szCs w:val="12"/>
      <w:shd w:val="clear" w:color="auto" w:fill="FFFFFF"/>
    </w:rPr>
  </w:style>
  <w:style w:type="character" w:customStyle="1" w:styleId="2432">
    <w:name w:val="Основной текст (22)_"/>
    <w:uiPriority w:val="99"/>
    <w:rPr>
      <w:spacing w:val="-20"/>
      <w:sz w:val="29"/>
      <w:szCs w:val="29"/>
      <w:shd w:val="clear" w:color="auto" w:fill="FFFFFF"/>
    </w:rPr>
  </w:style>
  <w:style w:type="character" w:customStyle="1" w:styleId="2433">
    <w:name w:val="Основной текст (22) + 21 pt"/>
    <w:uiPriority w:val="99"/>
    <w:rPr>
      <w:rFonts w:ascii="Times New Roman" w:hAnsi="Times New Roman" w:cs="Times New Roman"/>
      <w:spacing w:val="0"/>
      <w:sz w:val="42"/>
      <w:szCs w:val="42"/>
      <w:shd w:val="clear" w:color="auto" w:fill="FFFFFF"/>
    </w:rPr>
  </w:style>
  <w:style w:type="character" w:customStyle="1" w:styleId="2434">
    <w:name w:val="Основной текст (23)_"/>
    <w:uiPriority w:val="99"/>
    <w:rPr>
      <w:sz w:val="11"/>
      <w:szCs w:val="11"/>
      <w:shd w:val="clear" w:color="auto" w:fill="FFFFFF"/>
    </w:rPr>
  </w:style>
  <w:style w:type="character" w:customStyle="1" w:styleId="2435">
    <w:name w:val="Основной текст (19)_"/>
    <w:uiPriority w:val="99"/>
    <w:rPr>
      <w:rFonts w:ascii="David" w:cs="David"/>
      <w:i/>
      <w:iCs/>
      <w:smallCaps/>
      <w:sz w:val="17"/>
      <w:szCs w:val="17"/>
      <w:shd w:val="clear" w:color="auto" w:fill="FFFFFF"/>
      <w:lang w:val="en-US"/>
    </w:rPr>
  </w:style>
  <w:style w:type="character" w:customStyle="1" w:styleId="2436">
    <w:name w:val="Основной текст (24)_"/>
    <w:uiPriority w:val="99"/>
    <w:rPr>
      <w:i/>
      <w:iCs/>
      <w:spacing w:val="-20"/>
      <w:sz w:val="23"/>
      <w:szCs w:val="23"/>
      <w:shd w:val="clear" w:color="auto" w:fill="FFFFFF"/>
      <w:lang w:val="en-US"/>
    </w:rPr>
  </w:style>
  <w:style w:type="character" w:customStyle="1" w:styleId="2437">
    <w:name w:val="Основной текст (24) + 6 pt"/>
    <w:uiPriority w:val="99"/>
    <w:rPr>
      <w:rFonts w:ascii="Times New Roman" w:hAnsi="Times New Roman" w:cs="Times New Roman"/>
      <w:b/>
      <w:bCs/>
      <w:spacing w:val="0"/>
      <w:sz w:val="12"/>
      <w:szCs w:val="12"/>
      <w:shd w:val="clear" w:color="auto" w:fill="FFFFFF"/>
      <w:lang w:val="en-US"/>
    </w:rPr>
  </w:style>
  <w:style w:type="character" w:customStyle="1" w:styleId="2438">
    <w:name w:val="Основной текст (25)_"/>
    <w:uiPriority w:val="99"/>
    <w:rPr>
      <w:sz w:val="10"/>
      <w:szCs w:val="10"/>
      <w:shd w:val="clear" w:color="auto" w:fill="FFFFFF"/>
    </w:rPr>
  </w:style>
  <w:style w:type="character" w:customStyle="1" w:styleId="2439">
    <w:name w:val="Заголовок №4_"/>
    <w:link w:val="2440"/>
    <w:uiPriority w:val="99"/>
    <w:rPr>
      <w:i/>
      <w:iCs/>
      <w:sz w:val="23"/>
      <w:szCs w:val="23"/>
      <w:shd w:val="clear" w:color="auto" w:fill="FFFFFF"/>
      <w:lang w:val="en-US"/>
    </w:rPr>
  </w:style>
  <w:style w:type="paragraph" w:customStyle="1" w:styleId="2440">
    <w:name w:val="Заголовок №4"/>
    <w:basedOn w:val="1"/>
    <w:link w:val="2439"/>
    <w:qFormat/>
    <w:uiPriority w:val="99"/>
    <w:pPr>
      <w:shd w:val="clear" w:color="auto" w:fill="FFFFFF"/>
      <w:spacing w:after="0" w:line="240" w:lineRule="atLeast"/>
      <w:ind w:firstLine="0"/>
      <w:jc w:val="both"/>
      <w:outlineLvl w:val="3"/>
    </w:pPr>
    <w:rPr>
      <w:rFonts w:asciiTheme="minorHAnsi" w:hAnsiTheme="minorHAnsi" w:eastAsiaTheme="minorHAnsi" w:cstheme="minorBidi"/>
      <w:i/>
      <w:iCs/>
      <w:sz w:val="23"/>
      <w:szCs w:val="23"/>
      <w:lang w:val="en-US" w:eastAsia="en-US"/>
    </w:rPr>
  </w:style>
  <w:style w:type="character" w:customStyle="1" w:styleId="2441">
    <w:name w:val="Заголовок №4 + Интервал 2 pt"/>
    <w:uiPriority w:val="99"/>
    <w:rPr>
      <w:rFonts w:ascii="Times New Roman" w:hAnsi="Times New Roman" w:cs="Times New Roman"/>
      <w:spacing w:val="50"/>
      <w:sz w:val="23"/>
      <w:szCs w:val="23"/>
      <w:shd w:val="clear" w:color="auto" w:fill="FFFFFF"/>
      <w:lang w:val="en-US"/>
    </w:rPr>
  </w:style>
  <w:style w:type="character" w:customStyle="1" w:styleId="2442">
    <w:name w:val="Колонтитул + 4"/>
    <w:uiPriority w:val="99"/>
    <w:rPr>
      <w:rFonts w:ascii="Times New Roman" w:hAnsi="Times New Roman" w:cs="Times New Roman"/>
      <w:i/>
      <w:iCs/>
      <w:sz w:val="9"/>
      <w:szCs w:val="9"/>
      <w:u w:val="single"/>
      <w:shd w:val="clear" w:color="auto" w:fill="FFFFFF"/>
    </w:rPr>
  </w:style>
  <w:style w:type="character" w:customStyle="1" w:styleId="2443">
    <w:name w:val="Колонтитул + 9"/>
    <w:uiPriority w:val="99"/>
    <w:rPr>
      <w:rFonts w:ascii="Times New Roman" w:hAnsi="Times New Roman" w:cs="Times New Roman"/>
      <w:spacing w:val="0"/>
      <w:sz w:val="19"/>
      <w:szCs w:val="19"/>
      <w:shd w:val="clear" w:color="auto" w:fill="FFFFFF"/>
    </w:rPr>
  </w:style>
  <w:style w:type="character" w:customStyle="1" w:styleId="2444">
    <w:name w:val="Основной текст (15)2"/>
    <w:uiPriority w:val="99"/>
    <w:rPr>
      <w:rFonts w:ascii="Times New Roman" w:hAnsi="Times New Roman" w:cs="Times New Roman"/>
      <w:sz w:val="12"/>
      <w:szCs w:val="12"/>
      <w:u w:val="single"/>
      <w:shd w:val="clear" w:color="auto" w:fill="FFFFFF"/>
    </w:rPr>
  </w:style>
  <w:style w:type="character" w:customStyle="1" w:styleId="2445">
    <w:name w:val="Основной текст (15) + 7 pt"/>
    <w:uiPriority w:val="99"/>
    <w:rPr>
      <w:rFonts w:ascii="Times New Roman" w:hAnsi="Times New Roman" w:cs="Times New Roman"/>
      <w:i/>
      <w:iCs/>
      <w:sz w:val="14"/>
      <w:szCs w:val="14"/>
      <w:shd w:val="clear" w:color="auto" w:fill="FFFFFF"/>
      <w:lang w:val="en-US" w:eastAsia="en-US"/>
    </w:rPr>
  </w:style>
  <w:style w:type="character" w:customStyle="1" w:styleId="2446">
    <w:name w:val="Основной текст + Arial3"/>
    <w:uiPriority w:val="99"/>
    <w:rPr>
      <w:rFonts w:ascii="Arial" w:hAnsi="Arial" w:cs="Arial"/>
      <w:sz w:val="17"/>
      <w:szCs w:val="17"/>
      <w:shd w:val="clear" w:color="auto" w:fill="FFFFFF"/>
    </w:rPr>
  </w:style>
  <w:style w:type="character" w:customStyle="1" w:styleId="2447">
    <w:name w:val="Основной текст + 6 pt"/>
    <w:uiPriority w:val="99"/>
    <w:rPr>
      <w:rFonts w:ascii="Times New Roman" w:hAnsi="Times New Roman" w:cs="Times New Roman"/>
      <w:i/>
      <w:iCs/>
      <w:sz w:val="12"/>
      <w:szCs w:val="12"/>
      <w:shd w:val="clear" w:color="auto" w:fill="FFFFFF"/>
    </w:rPr>
  </w:style>
  <w:style w:type="character" w:customStyle="1" w:styleId="2448">
    <w:name w:val="Основной текст (26)_"/>
    <w:link w:val="2449"/>
    <w:uiPriority w:val="99"/>
    <w:rPr>
      <w:i/>
      <w:iCs/>
      <w:sz w:val="23"/>
      <w:szCs w:val="23"/>
      <w:shd w:val="clear" w:color="auto" w:fill="FFFFFF"/>
    </w:rPr>
  </w:style>
  <w:style w:type="paragraph" w:customStyle="1" w:styleId="2449">
    <w:name w:val="Основной текст (26)1"/>
    <w:basedOn w:val="1"/>
    <w:link w:val="2448"/>
    <w:qFormat/>
    <w:uiPriority w:val="99"/>
    <w:pPr>
      <w:shd w:val="clear" w:color="auto" w:fill="FFFFFF"/>
      <w:spacing w:before="120" w:after="0" w:line="240" w:lineRule="atLeast"/>
      <w:ind w:firstLine="0"/>
    </w:pPr>
    <w:rPr>
      <w:rFonts w:asciiTheme="minorHAnsi" w:hAnsiTheme="minorHAnsi" w:eastAsiaTheme="minorHAnsi" w:cstheme="minorBidi"/>
      <w:i/>
      <w:iCs/>
      <w:sz w:val="23"/>
      <w:szCs w:val="23"/>
      <w:lang w:eastAsia="en-US"/>
    </w:rPr>
  </w:style>
  <w:style w:type="character" w:customStyle="1" w:styleId="2450">
    <w:name w:val="Основной текст (28)_"/>
    <w:uiPriority w:val="99"/>
    <w:rPr>
      <w:sz w:val="21"/>
      <w:szCs w:val="21"/>
      <w:shd w:val="clear" w:color="auto" w:fill="FFFFFF"/>
    </w:rPr>
  </w:style>
  <w:style w:type="character" w:customStyle="1" w:styleId="2451">
    <w:name w:val="Основной текст (27)_"/>
    <w:uiPriority w:val="99"/>
    <w:rPr>
      <w:i/>
      <w:iCs/>
      <w:sz w:val="17"/>
      <w:szCs w:val="17"/>
      <w:shd w:val="clear" w:color="auto" w:fill="FFFFFF"/>
    </w:rPr>
  </w:style>
  <w:style w:type="character" w:customStyle="1" w:styleId="2452">
    <w:name w:val="Основной текст + Arial2"/>
    <w:uiPriority w:val="99"/>
    <w:rPr>
      <w:rFonts w:ascii="Arial" w:hAnsi="Arial" w:cs="Arial"/>
      <w:i/>
      <w:iCs/>
      <w:sz w:val="15"/>
      <w:szCs w:val="15"/>
      <w:shd w:val="clear" w:color="auto" w:fill="FFFFFF"/>
      <w:lang w:val="en-US" w:eastAsia="en-US"/>
    </w:rPr>
  </w:style>
  <w:style w:type="character" w:customStyle="1" w:styleId="2453">
    <w:name w:val="Основной текст + 10 pt1"/>
    <w:uiPriority w:val="99"/>
    <w:rPr>
      <w:rFonts w:ascii="Times New Roman" w:hAnsi="Times New Roman" w:cs="Times New Roman"/>
      <w:i/>
      <w:iCs/>
      <w:spacing w:val="20"/>
      <w:sz w:val="20"/>
      <w:szCs w:val="20"/>
      <w:shd w:val="clear" w:color="auto" w:fill="FFFFFF"/>
      <w:lang w:val="en-US" w:eastAsia="en-US"/>
    </w:rPr>
  </w:style>
  <w:style w:type="character" w:customStyle="1" w:styleId="2454">
    <w:name w:val="Основной текст (12) + 6 pt"/>
    <w:uiPriority w:val="99"/>
    <w:rPr>
      <w:rFonts w:ascii="Times New Roman" w:hAnsi="Times New Roman" w:cs="Times New Roman"/>
      <w:spacing w:val="0"/>
      <w:sz w:val="12"/>
      <w:szCs w:val="12"/>
      <w:shd w:val="clear" w:color="auto" w:fill="FFFFFF"/>
      <w:lang w:val="en-US"/>
    </w:rPr>
  </w:style>
  <w:style w:type="character" w:customStyle="1" w:styleId="2455">
    <w:name w:val="Основной текст (15) + 10 pt"/>
    <w:uiPriority w:val="99"/>
    <w:rPr>
      <w:rFonts w:ascii="Times New Roman" w:hAnsi="Times New Roman" w:cs="Times New Roman"/>
      <w:spacing w:val="20"/>
      <w:sz w:val="20"/>
      <w:szCs w:val="20"/>
      <w:shd w:val="clear" w:color="auto" w:fill="FFFFFF"/>
      <w:lang w:val="en-US" w:eastAsia="en-US"/>
    </w:rPr>
  </w:style>
  <w:style w:type="character" w:customStyle="1" w:styleId="2456">
    <w:name w:val="Основной текст + Курсив"/>
    <w:uiPriority w:val="99"/>
    <w:rPr>
      <w:rFonts w:ascii="Times New Roman" w:hAnsi="Times New Roman" w:cs="Times New Roman"/>
      <w:i/>
      <w:iCs/>
      <w:sz w:val="23"/>
      <w:szCs w:val="23"/>
      <w:shd w:val="clear" w:color="auto" w:fill="FFFFFF"/>
    </w:rPr>
  </w:style>
  <w:style w:type="character" w:customStyle="1" w:styleId="2457">
    <w:name w:val="Колонтитул + Arial"/>
    <w:uiPriority w:val="99"/>
    <w:rPr>
      <w:rFonts w:ascii="Arial" w:hAnsi="Arial" w:cs="Arial"/>
      <w:sz w:val="12"/>
      <w:szCs w:val="12"/>
      <w:shd w:val="clear" w:color="auto" w:fill="FFFFFF"/>
    </w:rPr>
  </w:style>
  <w:style w:type="character" w:customStyle="1" w:styleId="2458">
    <w:name w:val="Основной текст (30) + 11"/>
    <w:uiPriority w:val="99"/>
    <w:rPr>
      <w:rFonts w:ascii="Times New Roman" w:hAnsi="Times New Roman" w:cs="Times New Roman"/>
      <w:i/>
      <w:iCs/>
      <w:sz w:val="23"/>
      <w:szCs w:val="23"/>
      <w:u w:val="single"/>
      <w:shd w:val="clear" w:color="auto" w:fill="FFFFFF"/>
      <w:lang w:val="en-US"/>
    </w:rPr>
  </w:style>
  <w:style w:type="character" w:customStyle="1" w:styleId="2459">
    <w:name w:val="Основной текст (30) + 5"/>
    <w:uiPriority w:val="99"/>
    <w:rPr>
      <w:rFonts w:ascii="Times New Roman" w:hAnsi="Times New Roman" w:cs="Times New Roman"/>
      <w:sz w:val="11"/>
      <w:szCs w:val="11"/>
      <w:shd w:val="clear" w:color="auto" w:fill="FFFFFF"/>
      <w:lang w:val="en-US"/>
    </w:rPr>
  </w:style>
  <w:style w:type="character" w:customStyle="1" w:styleId="2460">
    <w:name w:val="Основной текст (30) + 111"/>
    <w:uiPriority w:val="99"/>
    <w:rPr>
      <w:rFonts w:ascii="Times New Roman" w:hAnsi="Times New Roman" w:cs="Times New Roman"/>
      <w:i/>
      <w:iCs/>
      <w:sz w:val="23"/>
      <w:szCs w:val="23"/>
      <w:shd w:val="clear" w:color="auto" w:fill="FFFFFF"/>
      <w:lang w:val="en-US"/>
    </w:rPr>
  </w:style>
  <w:style w:type="character" w:customStyle="1" w:styleId="2461">
    <w:name w:val="Основной текст + Интервал 1 pt7"/>
    <w:uiPriority w:val="99"/>
    <w:rPr>
      <w:rFonts w:ascii="Times New Roman" w:hAnsi="Times New Roman" w:cs="Times New Roman"/>
      <w:spacing w:val="20"/>
      <w:sz w:val="23"/>
      <w:szCs w:val="23"/>
      <w:shd w:val="clear" w:color="auto" w:fill="FFFFFF"/>
      <w:lang w:val="en-US" w:eastAsia="en-US"/>
    </w:rPr>
  </w:style>
  <w:style w:type="character" w:customStyle="1" w:styleId="2462">
    <w:name w:val="Основной текст (31)_"/>
    <w:uiPriority w:val="99"/>
    <w:rPr>
      <w:rFonts w:ascii="Sylfaen" w:hAnsi="Sylfaen" w:cs="Sylfaen"/>
      <w:sz w:val="11"/>
      <w:szCs w:val="11"/>
      <w:shd w:val="clear" w:color="auto" w:fill="FFFFFF"/>
      <w:lang w:val="en-US"/>
    </w:rPr>
  </w:style>
  <w:style w:type="character" w:customStyle="1" w:styleId="2463">
    <w:name w:val="Основной текст + Курсив13"/>
    <w:uiPriority w:val="99"/>
    <w:rPr>
      <w:rFonts w:ascii="Times New Roman" w:hAnsi="Times New Roman" w:cs="Times New Roman"/>
      <w:i/>
      <w:iCs/>
      <w:sz w:val="23"/>
      <w:szCs w:val="23"/>
      <w:shd w:val="clear" w:color="auto" w:fill="FFFFFF"/>
    </w:rPr>
  </w:style>
  <w:style w:type="character" w:customStyle="1" w:styleId="2464">
    <w:name w:val="Заголовок №2 + Интервал 1 pt"/>
    <w:uiPriority w:val="99"/>
    <w:rPr>
      <w:rFonts w:ascii="Times New Roman" w:hAnsi="Times New Roman" w:cs="Times New Roman"/>
      <w:spacing w:val="20"/>
      <w:sz w:val="16"/>
      <w:szCs w:val="16"/>
      <w:shd w:val="clear" w:color="auto" w:fill="FFFFFF"/>
    </w:rPr>
  </w:style>
  <w:style w:type="character" w:customStyle="1" w:styleId="2465">
    <w:name w:val="Заголовок №2 + Интервал 2 pt"/>
    <w:uiPriority w:val="99"/>
    <w:rPr>
      <w:rFonts w:ascii="Times New Roman" w:hAnsi="Times New Roman" w:cs="Times New Roman"/>
      <w:spacing w:val="50"/>
      <w:sz w:val="16"/>
      <w:szCs w:val="16"/>
      <w:shd w:val="clear" w:color="auto" w:fill="FFFFFF"/>
    </w:rPr>
  </w:style>
  <w:style w:type="character" w:customStyle="1" w:styleId="2466">
    <w:name w:val="Заголовок №2 + 11"/>
    <w:uiPriority w:val="99"/>
    <w:rPr>
      <w:rFonts w:ascii="Times New Roman" w:hAnsi="Times New Roman" w:cs="Times New Roman"/>
      <w:sz w:val="23"/>
      <w:szCs w:val="23"/>
      <w:shd w:val="clear" w:color="auto" w:fill="FFFFFF"/>
    </w:rPr>
  </w:style>
  <w:style w:type="character" w:customStyle="1" w:styleId="2467">
    <w:name w:val="Основной текст + Курсив12"/>
    <w:uiPriority w:val="99"/>
    <w:rPr>
      <w:rFonts w:ascii="Times New Roman" w:hAnsi="Times New Roman" w:cs="Times New Roman"/>
      <w:i/>
      <w:iCs/>
      <w:spacing w:val="40"/>
      <w:sz w:val="23"/>
      <w:szCs w:val="23"/>
      <w:shd w:val="clear" w:color="auto" w:fill="FFFFFF"/>
    </w:rPr>
  </w:style>
  <w:style w:type="character" w:customStyle="1" w:styleId="2468">
    <w:name w:val="Основной текст + Arial1"/>
    <w:uiPriority w:val="99"/>
    <w:rPr>
      <w:rFonts w:ascii="Arial" w:hAnsi="Arial" w:cs="Arial"/>
      <w:sz w:val="12"/>
      <w:szCs w:val="12"/>
      <w:shd w:val="clear" w:color="auto" w:fill="FFFFFF"/>
    </w:rPr>
  </w:style>
  <w:style w:type="character" w:customStyle="1" w:styleId="2469">
    <w:name w:val="Основной текст + Курсив11"/>
    <w:uiPriority w:val="99"/>
    <w:rPr>
      <w:rFonts w:ascii="Times New Roman" w:hAnsi="Times New Roman" w:cs="Times New Roman"/>
      <w:i/>
      <w:iCs/>
      <w:sz w:val="23"/>
      <w:szCs w:val="23"/>
      <w:shd w:val="clear" w:color="auto" w:fill="FFFFFF"/>
    </w:rPr>
  </w:style>
  <w:style w:type="character" w:customStyle="1" w:styleId="2470">
    <w:name w:val="Основной текст (32)_"/>
    <w:link w:val="2471"/>
    <w:uiPriority w:val="99"/>
    <w:rPr>
      <w:i/>
      <w:iCs/>
      <w:sz w:val="23"/>
      <w:szCs w:val="23"/>
      <w:shd w:val="clear" w:color="auto" w:fill="FFFFFF"/>
    </w:rPr>
  </w:style>
  <w:style w:type="paragraph" w:customStyle="1" w:styleId="2471">
    <w:name w:val="Основной текст (32)1"/>
    <w:basedOn w:val="1"/>
    <w:link w:val="2470"/>
    <w:qFormat/>
    <w:uiPriority w:val="99"/>
    <w:pPr>
      <w:shd w:val="clear" w:color="auto" w:fill="FFFFFF"/>
      <w:spacing w:before="180" w:after="0" w:line="490" w:lineRule="exact"/>
      <w:ind w:firstLine="0"/>
    </w:pPr>
    <w:rPr>
      <w:rFonts w:asciiTheme="minorHAnsi" w:hAnsiTheme="minorHAnsi" w:eastAsiaTheme="minorHAnsi" w:cstheme="minorBidi"/>
      <w:i/>
      <w:iCs/>
      <w:sz w:val="23"/>
      <w:szCs w:val="23"/>
      <w:lang w:eastAsia="en-US"/>
    </w:rPr>
  </w:style>
  <w:style w:type="character" w:customStyle="1" w:styleId="2472">
    <w:name w:val="Основной текст (32) + Интервал 2 pt"/>
    <w:uiPriority w:val="99"/>
    <w:rPr>
      <w:rFonts w:ascii="Times New Roman" w:hAnsi="Times New Roman" w:cs="Times New Roman"/>
      <w:spacing w:val="40"/>
      <w:sz w:val="23"/>
      <w:szCs w:val="23"/>
      <w:shd w:val="clear" w:color="auto" w:fill="FFFFFF"/>
    </w:rPr>
  </w:style>
  <w:style w:type="character" w:customStyle="1" w:styleId="2473">
    <w:name w:val="Основной текст (32) + Не курсив"/>
    <w:uiPriority w:val="99"/>
    <w:rPr>
      <w:rFonts w:ascii="Times New Roman" w:hAnsi="Times New Roman" w:cs="Times New Roman"/>
      <w:i/>
      <w:iCs/>
      <w:sz w:val="23"/>
      <w:szCs w:val="23"/>
      <w:shd w:val="clear" w:color="auto" w:fill="FFFFFF"/>
    </w:rPr>
  </w:style>
  <w:style w:type="character" w:customStyle="1" w:styleId="2474">
    <w:name w:val="Основной текст (26) + Не курсив"/>
    <w:uiPriority w:val="99"/>
    <w:rPr>
      <w:rFonts w:ascii="Times New Roman" w:hAnsi="Times New Roman" w:cs="Times New Roman"/>
      <w:i/>
      <w:iCs/>
      <w:sz w:val="23"/>
      <w:szCs w:val="23"/>
      <w:shd w:val="clear" w:color="auto" w:fill="FFFFFF"/>
    </w:rPr>
  </w:style>
  <w:style w:type="character" w:customStyle="1" w:styleId="2475">
    <w:name w:val="Основной текст (26) + Arial"/>
    <w:uiPriority w:val="99"/>
    <w:rPr>
      <w:rFonts w:ascii="Arial" w:hAnsi="Arial" w:cs="Arial"/>
      <w:i/>
      <w:iCs/>
      <w:sz w:val="12"/>
      <w:szCs w:val="12"/>
      <w:shd w:val="clear" w:color="auto" w:fill="FFFFFF"/>
    </w:rPr>
  </w:style>
  <w:style w:type="character" w:customStyle="1" w:styleId="2476">
    <w:name w:val="Основной текст (32) + Интервал 2 pt1"/>
    <w:uiPriority w:val="99"/>
    <w:rPr>
      <w:rFonts w:ascii="Times New Roman" w:hAnsi="Times New Roman" w:cs="Times New Roman"/>
      <w:spacing w:val="40"/>
      <w:sz w:val="23"/>
      <w:szCs w:val="23"/>
      <w:shd w:val="clear" w:color="auto" w:fill="FFFFFF"/>
    </w:rPr>
  </w:style>
  <w:style w:type="character" w:customStyle="1" w:styleId="2477">
    <w:name w:val="Основной текст (15) + 24"/>
    <w:uiPriority w:val="99"/>
    <w:rPr>
      <w:rFonts w:ascii="Times New Roman" w:hAnsi="Times New Roman" w:cs="Times New Roman"/>
      <w:sz w:val="49"/>
      <w:szCs w:val="49"/>
      <w:shd w:val="clear" w:color="auto" w:fill="FFFFFF"/>
    </w:rPr>
  </w:style>
  <w:style w:type="character" w:customStyle="1" w:styleId="2478">
    <w:name w:val="Основной текст (15) + 11"/>
    <w:uiPriority w:val="99"/>
    <w:rPr>
      <w:rFonts w:ascii="Times New Roman" w:hAnsi="Times New Roman" w:cs="Times New Roman"/>
      <w:i/>
      <w:iCs/>
      <w:sz w:val="23"/>
      <w:szCs w:val="23"/>
      <w:shd w:val="clear" w:color="auto" w:fill="FFFFFF"/>
    </w:rPr>
  </w:style>
  <w:style w:type="character" w:customStyle="1" w:styleId="2479">
    <w:name w:val="Основной текст + Курсив10"/>
    <w:uiPriority w:val="99"/>
    <w:rPr>
      <w:rFonts w:ascii="Times New Roman" w:hAnsi="Times New Roman" w:cs="Times New Roman"/>
      <w:i/>
      <w:iCs/>
      <w:sz w:val="23"/>
      <w:szCs w:val="23"/>
      <w:shd w:val="clear" w:color="auto" w:fill="FFFFFF"/>
      <w:lang w:val="en-US" w:eastAsia="en-US"/>
    </w:rPr>
  </w:style>
  <w:style w:type="character" w:customStyle="1" w:styleId="2480">
    <w:name w:val="Основной текст (32) + Не курсив1"/>
    <w:uiPriority w:val="99"/>
    <w:rPr>
      <w:rFonts w:ascii="Times New Roman" w:hAnsi="Times New Roman" w:cs="Times New Roman"/>
      <w:i/>
      <w:iCs/>
      <w:sz w:val="23"/>
      <w:szCs w:val="23"/>
      <w:shd w:val="clear" w:color="auto" w:fill="FFFFFF"/>
      <w:lang w:val="en-US" w:eastAsia="en-US"/>
    </w:rPr>
  </w:style>
  <w:style w:type="character" w:customStyle="1" w:styleId="2481">
    <w:name w:val="Основной текст + Курсив9"/>
    <w:uiPriority w:val="99"/>
    <w:rPr>
      <w:rFonts w:ascii="Times New Roman" w:hAnsi="Times New Roman" w:cs="Times New Roman"/>
      <w:i/>
      <w:iCs/>
      <w:sz w:val="23"/>
      <w:szCs w:val="23"/>
      <w:shd w:val="clear" w:color="auto" w:fill="FFFFFF"/>
      <w:lang w:val="en-US" w:eastAsia="en-US"/>
    </w:rPr>
  </w:style>
  <w:style w:type="character" w:customStyle="1" w:styleId="2482">
    <w:name w:val="Основной текст + 12 pt"/>
    <w:uiPriority w:val="99"/>
    <w:rPr>
      <w:rFonts w:ascii="Times New Roman" w:hAnsi="Times New Roman" w:cs="Times New Roman"/>
      <w:i/>
      <w:iCs/>
      <w:sz w:val="24"/>
      <w:szCs w:val="24"/>
      <w:shd w:val="clear" w:color="auto" w:fill="FFFFFF"/>
    </w:rPr>
  </w:style>
  <w:style w:type="character" w:customStyle="1" w:styleId="2483">
    <w:name w:val="Основной текст + Интервал 1 pt6"/>
    <w:uiPriority w:val="99"/>
    <w:rPr>
      <w:rFonts w:ascii="Times New Roman" w:hAnsi="Times New Roman" w:cs="Times New Roman"/>
      <w:spacing w:val="20"/>
      <w:sz w:val="23"/>
      <w:szCs w:val="23"/>
      <w:shd w:val="clear" w:color="auto" w:fill="FFFFFF"/>
    </w:rPr>
  </w:style>
  <w:style w:type="character" w:customStyle="1" w:styleId="2484">
    <w:name w:val="Основной текст + Курсив8"/>
    <w:uiPriority w:val="99"/>
    <w:rPr>
      <w:rFonts w:ascii="Times New Roman" w:hAnsi="Times New Roman" w:cs="Times New Roman"/>
      <w:i/>
      <w:iCs/>
      <w:spacing w:val="-20"/>
      <w:sz w:val="23"/>
      <w:szCs w:val="23"/>
      <w:shd w:val="clear" w:color="auto" w:fill="FFFFFF"/>
      <w:lang w:val="en-US" w:eastAsia="en-US"/>
    </w:rPr>
  </w:style>
  <w:style w:type="character" w:customStyle="1" w:styleId="2485">
    <w:name w:val="Основной текст (26) + 8"/>
    <w:uiPriority w:val="99"/>
    <w:rPr>
      <w:rFonts w:ascii="Times New Roman" w:hAnsi="Times New Roman" w:cs="Times New Roman"/>
      <w:i/>
      <w:iCs/>
      <w:sz w:val="17"/>
      <w:szCs w:val="17"/>
      <w:shd w:val="clear" w:color="auto" w:fill="FFFFFF"/>
    </w:rPr>
  </w:style>
  <w:style w:type="character" w:customStyle="1" w:styleId="2486">
    <w:name w:val="Основной текст (26) + Не курсив3"/>
    <w:uiPriority w:val="99"/>
    <w:rPr>
      <w:rFonts w:ascii="Times New Roman" w:hAnsi="Times New Roman" w:cs="Times New Roman"/>
      <w:i/>
      <w:iCs/>
      <w:sz w:val="23"/>
      <w:szCs w:val="23"/>
      <w:shd w:val="clear" w:color="auto" w:fill="FFFFFF"/>
    </w:rPr>
  </w:style>
  <w:style w:type="character" w:customStyle="1" w:styleId="2487">
    <w:name w:val="Основной текст (34)_"/>
    <w:link w:val="2488"/>
    <w:uiPriority w:val="99"/>
    <w:rPr>
      <w:i/>
      <w:iCs/>
      <w:sz w:val="15"/>
      <w:szCs w:val="15"/>
      <w:shd w:val="clear" w:color="auto" w:fill="FFFFFF"/>
    </w:rPr>
  </w:style>
  <w:style w:type="paragraph" w:customStyle="1" w:styleId="2488">
    <w:name w:val="Основной текст (34)"/>
    <w:basedOn w:val="1"/>
    <w:link w:val="2487"/>
    <w:qFormat/>
    <w:uiPriority w:val="99"/>
    <w:pPr>
      <w:shd w:val="clear" w:color="auto" w:fill="FFFFFF"/>
      <w:spacing w:before="60" w:after="0" w:line="240" w:lineRule="atLeast"/>
      <w:ind w:firstLine="0"/>
    </w:pPr>
    <w:rPr>
      <w:rFonts w:asciiTheme="minorHAnsi" w:hAnsiTheme="minorHAnsi" w:eastAsiaTheme="minorHAnsi" w:cstheme="minorBidi"/>
      <w:i/>
      <w:iCs/>
      <w:sz w:val="15"/>
      <w:szCs w:val="15"/>
      <w:lang w:eastAsia="en-US"/>
    </w:rPr>
  </w:style>
  <w:style w:type="character" w:customStyle="1" w:styleId="2489">
    <w:name w:val="Основной текст (35)_"/>
    <w:uiPriority w:val="99"/>
    <w:rPr>
      <w:sz w:val="12"/>
      <w:szCs w:val="12"/>
      <w:shd w:val="clear" w:color="auto" w:fill="FFFFFF"/>
      <w:lang w:val="en-US"/>
    </w:rPr>
  </w:style>
  <w:style w:type="character" w:customStyle="1" w:styleId="2490">
    <w:name w:val="Основной текст (35) + Курсив"/>
    <w:uiPriority w:val="99"/>
    <w:rPr>
      <w:rFonts w:ascii="Times New Roman" w:hAnsi="Times New Roman" w:cs="Times New Roman"/>
      <w:i/>
      <w:iCs/>
      <w:sz w:val="12"/>
      <w:szCs w:val="12"/>
      <w:shd w:val="clear" w:color="auto" w:fill="FFFFFF"/>
      <w:lang w:val="en-US"/>
    </w:rPr>
  </w:style>
  <w:style w:type="character" w:customStyle="1" w:styleId="2491">
    <w:name w:val="Основной текст + 16 pt"/>
    <w:uiPriority w:val="99"/>
    <w:rPr>
      <w:rFonts w:ascii="Times New Roman" w:hAnsi="Times New Roman" w:cs="Times New Roman"/>
      <w:i/>
      <w:iCs/>
      <w:sz w:val="32"/>
      <w:szCs w:val="32"/>
      <w:shd w:val="clear" w:color="auto" w:fill="FFFFFF"/>
    </w:rPr>
  </w:style>
  <w:style w:type="character" w:customStyle="1" w:styleId="2492">
    <w:name w:val="Основной текст + Курсив7"/>
    <w:uiPriority w:val="99"/>
    <w:rPr>
      <w:rFonts w:ascii="Times New Roman" w:hAnsi="Times New Roman" w:cs="Times New Roman"/>
      <w:i/>
      <w:iCs/>
      <w:sz w:val="23"/>
      <w:szCs w:val="23"/>
      <w:shd w:val="clear" w:color="auto" w:fill="FFFFFF"/>
    </w:rPr>
  </w:style>
  <w:style w:type="character" w:customStyle="1" w:styleId="2493">
    <w:name w:val="Основной текст + 16 pt1"/>
    <w:uiPriority w:val="99"/>
    <w:rPr>
      <w:rFonts w:ascii="Times New Roman" w:hAnsi="Times New Roman" w:cs="Times New Roman"/>
      <w:i/>
      <w:iCs/>
      <w:sz w:val="32"/>
      <w:szCs w:val="32"/>
      <w:shd w:val="clear" w:color="auto" w:fill="FFFFFF"/>
    </w:rPr>
  </w:style>
  <w:style w:type="character" w:customStyle="1" w:styleId="2494">
    <w:name w:val="Подпись к таблице (3)4"/>
    <w:uiPriority w:val="99"/>
    <w:rPr>
      <w:rFonts w:ascii="Times New Roman" w:hAnsi="Times New Roman" w:cs="Times New Roman"/>
      <w:sz w:val="23"/>
      <w:szCs w:val="23"/>
      <w:u w:val="single"/>
      <w:shd w:val="clear" w:color="auto" w:fill="FFFFFF"/>
    </w:rPr>
  </w:style>
  <w:style w:type="character" w:customStyle="1" w:styleId="2495">
    <w:name w:val="Заголовок №1 + 8 pt"/>
    <w:uiPriority w:val="99"/>
    <w:rPr>
      <w:rFonts w:ascii="Times New Roman" w:hAnsi="Times New Roman" w:cs="Times New Roman"/>
      <w:smallCaps/>
      <w:sz w:val="16"/>
      <w:szCs w:val="16"/>
      <w:shd w:val="clear" w:color="auto" w:fill="FFFFFF"/>
      <w:lang w:val="en-US"/>
    </w:rPr>
  </w:style>
  <w:style w:type="character" w:customStyle="1" w:styleId="2496">
    <w:name w:val="Заголовок №1 + Курсив"/>
    <w:uiPriority w:val="99"/>
    <w:rPr>
      <w:rFonts w:ascii="Times New Roman" w:hAnsi="Times New Roman" w:cs="Times New Roman"/>
      <w:i/>
      <w:iCs/>
      <w:sz w:val="23"/>
      <w:szCs w:val="23"/>
      <w:shd w:val="clear" w:color="auto" w:fill="FFFFFF"/>
      <w:lang w:val="en-US"/>
    </w:rPr>
  </w:style>
  <w:style w:type="character" w:customStyle="1" w:styleId="2497">
    <w:name w:val="Основной текст + Курсив6"/>
    <w:uiPriority w:val="99"/>
    <w:rPr>
      <w:rFonts w:ascii="Times New Roman" w:hAnsi="Times New Roman" w:cs="Times New Roman"/>
      <w:i/>
      <w:iCs/>
      <w:sz w:val="23"/>
      <w:szCs w:val="23"/>
      <w:shd w:val="clear" w:color="auto" w:fill="FFFFFF"/>
    </w:rPr>
  </w:style>
  <w:style w:type="character" w:customStyle="1" w:styleId="2498">
    <w:name w:val="Основной текст + 8"/>
    <w:uiPriority w:val="99"/>
    <w:rPr>
      <w:rFonts w:ascii="Times New Roman" w:hAnsi="Times New Roman" w:cs="Times New Roman"/>
      <w:i/>
      <w:iCs/>
      <w:sz w:val="17"/>
      <w:szCs w:val="17"/>
      <w:shd w:val="clear" w:color="auto" w:fill="FFFFFF"/>
    </w:rPr>
  </w:style>
  <w:style w:type="character" w:customStyle="1" w:styleId="2499">
    <w:name w:val="Основной текст + Интервал 1 pt5"/>
    <w:uiPriority w:val="99"/>
    <w:rPr>
      <w:rFonts w:ascii="Times New Roman" w:hAnsi="Times New Roman" w:cs="Times New Roman"/>
      <w:spacing w:val="20"/>
      <w:sz w:val="23"/>
      <w:szCs w:val="23"/>
      <w:shd w:val="clear" w:color="auto" w:fill="FFFFFF"/>
      <w:lang w:val="en-US" w:eastAsia="en-US"/>
    </w:rPr>
  </w:style>
  <w:style w:type="character" w:customStyle="1" w:styleId="2500">
    <w:name w:val="Основной текст (33) + 11"/>
    <w:uiPriority w:val="99"/>
    <w:rPr>
      <w:rFonts w:ascii="Times New Roman" w:hAnsi="Times New Roman" w:cs="Times New Roman"/>
      <w:i/>
      <w:iCs/>
      <w:sz w:val="23"/>
      <w:szCs w:val="23"/>
      <w:shd w:val="clear" w:color="auto" w:fill="FFFFFF"/>
      <w:lang w:val="en-US"/>
    </w:rPr>
  </w:style>
  <w:style w:type="character" w:customStyle="1" w:styleId="2501">
    <w:name w:val="Основной текст + Курсив5"/>
    <w:uiPriority w:val="99"/>
    <w:rPr>
      <w:rFonts w:ascii="Times New Roman" w:hAnsi="Times New Roman" w:cs="Times New Roman"/>
      <w:i/>
      <w:iCs/>
      <w:sz w:val="23"/>
      <w:szCs w:val="23"/>
      <w:shd w:val="clear" w:color="auto" w:fill="FFFFFF"/>
      <w:lang w:val="en-US" w:eastAsia="en-US"/>
    </w:rPr>
  </w:style>
  <w:style w:type="character" w:customStyle="1" w:styleId="2502">
    <w:name w:val="Основной текст + 12 pt1"/>
    <w:uiPriority w:val="99"/>
    <w:rPr>
      <w:rFonts w:ascii="Times New Roman" w:hAnsi="Times New Roman" w:cs="Times New Roman"/>
      <w:i/>
      <w:iCs/>
      <w:sz w:val="24"/>
      <w:szCs w:val="24"/>
      <w:shd w:val="clear" w:color="auto" w:fill="FFFFFF"/>
    </w:rPr>
  </w:style>
  <w:style w:type="character" w:customStyle="1" w:styleId="2503">
    <w:name w:val="Основной текст + Интервал 2 pt"/>
    <w:uiPriority w:val="99"/>
    <w:rPr>
      <w:rFonts w:ascii="Times New Roman" w:hAnsi="Times New Roman" w:cs="Times New Roman"/>
      <w:spacing w:val="50"/>
      <w:sz w:val="23"/>
      <w:szCs w:val="23"/>
      <w:shd w:val="clear" w:color="auto" w:fill="FFFFFF"/>
      <w:lang w:val="en-US" w:eastAsia="en-US"/>
    </w:rPr>
  </w:style>
  <w:style w:type="character" w:customStyle="1" w:styleId="2504">
    <w:name w:val="Основной текст + 6 pt1"/>
    <w:uiPriority w:val="99"/>
    <w:rPr>
      <w:rFonts w:ascii="Times New Roman" w:hAnsi="Times New Roman" w:cs="Times New Roman"/>
      <w:sz w:val="12"/>
      <w:szCs w:val="12"/>
      <w:shd w:val="clear" w:color="auto" w:fill="FFFFFF"/>
    </w:rPr>
  </w:style>
  <w:style w:type="character" w:customStyle="1" w:styleId="2505">
    <w:name w:val="Основной текст (26) + Интервал 2 pt"/>
    <w:uiPriority w:val="99"/>
    <w:rPr>
      <w:rFonts w:ascii="Times New Roman" w:hAnsi="Times New Roman" w:cs="Times New Roman"/>
      <w:spacing w:val="50"/>
      <w:sz w:val="23"/>
      <w:szCs w:val="23"/>
      <w:shd w:val="clear" w:color="auto" w:fill="FFFFFF"/>
    </w:rPr>
  </w:style>
  <w:style w:type="character" w:customStyle="1" w:styleId="2506">
    <w:name w:val="Основной текст (26) + 6 pt"/>
    <w:uiPriority w:val="99"/>
    <w:rPr>
      <w:rFonts w:ascii="Times New Roman" w:hAnsi="Times New Roman" w:cs="Times New Roman"/>
      <w:sz w:val="12"/>
      <w:szCs w:val="12"/>
      <w:shd w:val="clear" w:color="auto" w:fill="FFFFFF"/>
      <w:lang w:val="en-US" w:eastAsia="en-US"/>
    </w:rPr>
  </w:style>
  <w:style w:type="character" w:customStyle="1" w:styleId="2507">
    <w:name w:val="Основной текст (26) + Не курсив2"/>
    <w:uiPriority w:val="99"/>
    <w:rPr>
      <w:rFonts w:ascii="Times New Roman" w:hAnsi="Times New Roman" w:cs="Times New Roman"/>
      <w:i/>
      <w:iCs/>
      <w:sz w:val="23"/>
      <w:szCs w:val="23"/>
      <w:shd w:val="clear" w:color="auto" w:fill="FFFFFF"/>
    </w:rPr>
  </w:style>
  <w:style w:type="character" w:customStyle="1" w:styleId="2508">
    <w:name w:val="Основной текст (37)_"/>
    <w:uiPriority w:val="99"/>
    <w:rPr>
      <w:i/>
      <w:iCs/>
      <w:sz w:val="16"/>
      <w:szCs w:val="16"/>
      <w:shd w:val="clear" w:color="auto" w:fill="FFFFFF"/>
    </w:rPr>
  </w:style>
  <w:style w:type="character" w:customStyle="1" w:styleId="2509">
    <w:name w:val="Основной текст (38)_"/>
    <w:uiPriority w:val="99"/>
    <w:rPr>
      <w:rFonts w:ascii="Sylfaen" w:hAnsi="Sylfaen" w:cs="Sylfaen"/>
      <w:sz w:val="11"/>
      <w:szCs w:val="11"/>
      <w:shd w:val="clear" w:color="auto" w:fill="FFFFFF"/>
    </w:rPr>
  </w:style>
  <w:style w:type="character" w:customStyle="1" w:styleId="2510">
    <w:name w:val="Основной текст (38) + Times New Roman"/>
    <w:uiPriority w:val="99"/>
    <w:rPr>
      <w:rFonts w:ascii="Times New Roman" w:hAnsi="Times New Roman" w:cs="Times New Roman"/>
      <w:i/>
      <w:iCs/>
      <w:sz w:val="16"/>
      <w:szCs w:val="16"/>
      <w:shd w:val="clear" w:color="auto" w:fill="FFFFFF"/>
    </w:rPr>
  </w:style>
  <w:style w:type="character" w:customStyle="1" w:styleId="2511">
    <w:name w:val="Основной текст + 7"/>
    <w:uiPriority w:val="99"/>
    <w:rPr>
      <w:rFonts w:ascii="Times New Roman" w:hAnsi="Times New Roman" w:cs="Times New Roman"/>
      <w:i/>
      <w:iCs/>
      <w:sz w:val="15"/>
      <w:szCs w:val="15"/>
      <w:shd w:val="clear" w:color="auto" w:fill="FFFFFF"/>
      <w:lang w:val="en-US" w:eastAsia="en-US"/>
    </w:rPr>
  </w:style>
  <w:style w:type="character" w:customStyle="1" w:styleId="2512">
    <w:name w:val="Основной текст (39)_"/>
    <w:uiPriority w:val="99"/>
    <w:rPr>
      <w:i/>
      <w:iCs/>
      <w:sz w:val="15"/>
      <w:szCs w:val="15"/>
      <w:shd w:val="clear" w:color="auto" w:fill="FFFFFF"/>
      <w:lang w:val="en-US"/>
    </w:rPr>
  </w:style>
  <w:style w:type="character" w:customStyle="1" w:styleId="2513">
    <w:name w:val="Основной текст (39) + 11"/>
    <w:uiPriority w:val="99"/>
    <w:rPr>
      <w:rFonts w:ascii="Times New Roman" w:hAnsi="Times New Roman" w:cs="Times New Roman"/>
      <w:i/>
      <w:iCs/>
      <w:sz w:val="23"/>
      <w:szCs w:val="23"/>
      <w:shd w:val="clear" w:color="auto" w:fill="FFFFFF"/>
      <w:lang w:val="en-US"/>
    </w:rPr>
  </w:style>
  <w:style w:type="character" w:customStyle="1" w:styleId="2514">
    <w:name w:val="Основной текст + Курсив4"/>
    <w:uiPriority w:val="99"/>
    <w:rPr>
      <w:rFonts w:ascii="Times New Roman" w:hAnsi="Times New Roman" w:cs="Times New Roman"/>
      <w:i/>
      <w:iCs/>
      <w:sz w:val="23"/>
      <w:szCs w:val="23"/>
      <w:shd w:val="clear" w:color="auto" w:fill="FFFFFF"/>
    </w:rPr>
  </w:style>
  <w:style w:type="character" w:customStyle="1" w:styleId="2515">
    <w:name w:val="Основной текст (40)_"/>
    <w:uiPriority w:val="99"/>
    <w:rPr>
      <w:i/>
      <w:iCs/>
      <w:sz w:val="17"/>
      <w:szCs w:val="17"/>
      <w:shd w:val="clear" w:color="auto" w:fill="FFFFFF"/>
    </w:rPr>
  </w:style>
  <w:style w:type="character" w:customStyle="1" w:styleId="2516">
    <w:name w:val="Основной текст (40) + 12 pt"/>
    <w:uiPriority w:val="99"/>
    <w:rPr>
      <w:rFonts w:ascii="Times New Roman" w:hAnsi="Times New Roman" w:cs="Times New Roman"/>
      <w:sz w:val="24"/>
      <w:szCs w:val="24"/>
      <w:shd w:val="clear" w:color="auto" w:fill="FFFFFF"/>
    </w:rPr>
  </w:style>
  <w:style w:type="character" w:customStyle="1" w:styleId="2517">
    <w:name w:val="Основной текст (40) + 23 pt"/>
    <w:uiPriority w:val="99"/>
    <w:rPr>
      <w:rFonts w:ascii="Times New Roman" w:hAnsi="Times New Roman" w:cs="Times New Roman"/>
      <w:i/>
      <w:iCs/>
      <w:spacing w:val="20"/>
      <w:sz w:val="46"/>
      <w:szCs w:val="46"/>
      <w:shd w:val="clear" w:color="auto" w:fill="FFFFFF"/>
    </w:rPr>
  </w:style>
  <w:style w:type="character" w:customStyle="1" w:styleId="2518">
    <w:name w:val="Основной текст (15) + 111"/>
    <w:uiPriority w:val="99"/>
    <w:rPr>
      <w:rFonts w:ascii="Times New Roman" w:hAnsi="Times New Roman" w:cs="Times New Roman"/>
      <w:sz w:val="23"/>
      <w:szCs w:val="23"/>
      <w:shd w:val="clear" w:color="auto" w:fill="FFFFFF"/>
    </w:rPr>
  </w:style>
  <w:style w:type="character" w:customStyle="1" w:styleId="2519">
    <w:name w:val="Основной текст (15) + Arial"/>
    <w:uiPriority w:val="99"/>
    <w:rPr>
      <w:rFonts w:ascii="Arial" w:hAnsi="Arial" w:cs="Arial"/>
      <w:i/>
      <w:iCs/>
      <w:spacing w:val="20"/>
      <w:sz w:val="27"/>
      <w:szCs w:val="27"/>
      <w:shd w:val="clear" w:color="auto" w:fill="FFFFFF"/>
    </w:rPr>
  </w:style>
  <w:style w:type="character" w:customStyle="1" w:styleId="2520">
    <w:name w:val="Основной текст (35) + Курсив1"/>
    <w:uiPriority w:val="99"/>
    <w:rPr>
      <w:rFonts w:ascii="Times New Roman" w:hAnsi="Times New Roman" w:cs="Times New Roman"/>
      <w:i/>
      <w:iCs/>
      <w:sz w:val="12"/>
      <w:szCs w:val="12"/>
      <w:u w:val="single"/>
      <w:shd w:val="clear" w:color="auto" w:fill="FFFFFF"/>
      <w:lang w:val="en-US"/>
    </w:rPr>
  </w:style>
  <w:style w:type="character" w:customStyle="1" w:styleId="2521">
    <w:name w:val="Основной текст (15) + 22 pt"/>
    <w:uiPriority w:val="99"/>
    <w:rPr>
      <w:rFonts w:ascii="Times New Roman" w:hAnsi="Times New Roman" w:cs="Times New Roman"/>
      <w:sz w:val="44"/>
      <w:szCs w:val="44"/>
      <w:shd w:val="clear" w:color="auto" w:fill="FFFFFF"/>
    </w:rPr>
  </w:style>
  <w:style w:type="character" w:customStyle="1" w:styleId="2522">
    <w:name w:val="Основной текст (15) + Не курсив"/>
    <w:uiPriority w:val="99"/>
    <w:rPr>
      <w:rFonts w:ascii="Times New Roman" w:hAnsi="Times New Roman" w:cs="Times New Roman"/>
      <w:i/>
      <w:iCs/>
      <w:sz w:val="12"/>
      <w:szCs w:val="12"/>
      <w:shd w:val="clear" w:color="auto" w:fill="FFFFFF"/>
      <w:lang w:val="en-US" w:eastAsia="en-US"/>
    </w:rPr>
  </w:style>
  <w:style w:type="character" w:customStyle="1" w:styleId="2523">
    <w:name w:val="Основной текст (26) + 6 pt1"/>
    <w:uiPriority w:val="99"/>
    <w:rPr>
      <w:rFonts w:ascii="Times New Roman" w:hAnsi="Times New Roman" w:cs="Times New Roman"/>
      <w:sz w:val="12"/>
      <w:szCs w:val="12"/>
      <w:shd w:val="clear" w:color="auto" w:fill="FFFFFF"/>
      <w:lang w:val="en-US" w:eastAsia="en-US"/>
    </w:rPr>
  </w:style>
  <w:style w:type="character" w:customStyle="1" w:styleId="2524">
    <w:name w:val="Основной текст (26) + Не курсив1"/>
    <w:uiPriority w:val="99"/>
    <w:rPr>
      <w:rFonts w:ascii="Times New Roman" w:hAnsi="Times New Roman" w:cs="Times New Roman"/>
      <w:i/>
      <w:iCs/>
      <w:sz w:val="23"/>
      <w:szCs w:val="23"/>
      <w:shd w:val="clear" w:color="auto" w:fill="FFFFFF"/>
    </w:rPr>
  </w:style>
  <w:style w:type="character" w:customStyle="1" w:styleId="2525">
    <w:name w:val="Основной текст + Курсив3"/>
    <w:uiPriority w:val="99"/>
    <w:rPr>
      <w:rFonts w:ascii="Times New Roman" w:hAnsi="Times New Roman" w:cs="Times New Roman"/>
      <w:i/>
      <w:iCs/>
      <w:sz w:val="23"/>
      <w:szCs w:val="23"/>
      <w:shd w:val="clear" w:color="auto" w:fill="FFFFFF"/>
      <w:lang w:val="en-US" w:eastAsia="en-US"/>
    </w:rPr>
  </w:style>
  <w:style w:type="character" w:customStyle="1" w:styleId="2526">
    <w:name w:val="Основной текст + Курсив2"/>
    <w:uiPriority w:val="99"/>
    <w:rPr>
      <w:rFonts w:ascii="Times New Roman" w:hAnsi="Times New Roman" w:cs="Times New Roman"/>
      <w:i/>
      <w:iCs/>
      <w:sz w:val="23"/>
      <w:szCs w:val="23"/>
      <w:shd w:val="clear" w:color="auto" w:fill="FFFFFF"/>
      <w:lang w:val="en-US" w:eastAsia="en-US"/>
    </w:rPr>
  </w:style>
  <w:style w:type="character" w:customStyle="1" w:styleId="2527">
    <w:name w:val="Основной текст + Курсив1"/>
    <w:uiPriority w:val="99"/>
    <w:rPr>
      <w:rFonts w:ascii="Times New Roman" w:hAnsi="Times New Roman" w:cs="Times New Roman"/>
      <w:i/>
      <w:iCs/>
      <w:sz w:val="23"/>
      <w:szCs w:val="23"/>
      <w:shd w:val="clear" w:color="auto" w:fill="FFFFFF"/>
      <w:lang w:val="en-US" w:eastAsia="en-US"/>
    </w:rPr>
  </w:style>
  <w:style w:type="character" w:customStyle="1" w:styleId="2528">
    <w:name w:val="Основной текст (46)3"/>
    <w:uiPriority w:val="99"/>
    <w:rPr>
      <w:rFonts w:ascii="Times New Roman" w:hAnsi="Times New Roman" w:cs="Times New Roman"/>
      <w:sz w:val="14"/>
      <w:szCs w:val="14"/>
      <w:shd w:val="clear" w:color="auto" w:fill="FFFFFF"/>
    </w:rPr>
  </w:style>
  <w:style w:type="character" w:customStyle="1" w:styleId="2529">
    <w:name w:val="Основной текст (46)2"/>
    <w:uiPriority w:val="99"/>
    <w:rPr>
      <w:rFonts w:ascii="Times New Roman" w:hAnsi="Times New Roman" w:cs="Times New Roman"/>
      <w:sz w:val="14"/>
      <w:szCs w:val="14"/>
      <w:shd w:val="clear" w:color="auto" w:fill="FFFFFF"/>
    </w:rPr>
  </w:style>
  <w:style w:type="character" w:customStyle="1" w:styleId="2530">
    <w:name w:val="Основной текст + Интервал 1 pt4"/>
    <w:uiPriority w:val="99"/>
    <w:rPr>
      <w:rFonts w:ascii="Times New Roman" w:hAnsi="Times New Roman" w:cs="Times New Roman"/>
      <w:spacing w:val="20"/>
      <w:sz w:val="23"/>
      <w:szCs w:val="23"/>
      <w:u w:val="single"/>
      <w:shd w:val="clear" w:color="auto" w:fill="FFFFFF"/>
    </w:rPr>
  </w:style>
  <w:style w:type="character" w:customStyle="1" w:styleId="2531">
    <w:name w:val="Основной текст + Интервал 1 pt3"/>
    <w:uiPriority w:val="99"/>
    <w:rPr>
      <w:rFonts w:ascii="Times New Roman" w:hAnsi="Times New Roman" w:cs="Times New Roman"/>
      <w:spacing w:val="20"/>
      <w:sz w:val="23"/>
      <w:szCs w:val="23"/>
      <w:u w:val="single"/>
      <w:shd w:val="clear" w:color="auto" w:fill="FFFFFF"/>
    </w:rPr>
  </w:style>
  <w:style w:type="character" w:customStyle="1" w:styleId="2532">
    <w:name w:val="Основной текст + Интервал 1 pt2"/>
    <w:uiPriority w:val="99"/>
    <w:rPr>
      <w:rFonts w:ascii="Times New Roman" w:hAnsi="Times New Roman" w:cs="Times New Roman"/>
      <w:spacing w:val="20"/>
      <w:sz w:val="23"/>
      <w:szCs w:val="23"/>
      <w:u w:val="single"/>
      <w:shd w:val="clear" w:color="auto" w:fill="FFFFFF"/>
    </w:rPr>
  </w:style>
  <w:style w:type="character" w:customStyle="1" w:styleId="2533">
    <w:name w:val="Основной текст + 9 pt"/>
    <w:uiPriority w:val="99"/>
    <w:rPr>
      <w:rFonts w:ascii="Times New Roman" w:hAnsi="Times New Roman" w:cs="Times New Roman"/>
      <w:b/>
      <w:bCs/>
      <w:i/>
      <w:iCs/>
      <w:sz w:val="18"/>
      <w:szCs w:val="18"/>
      <w:u w:val="single"/>
      <w:shd w:val="clear" w:color="auto" w:fill="FFFFFF"/>
    </w:rPr>
  </w:style>
  <w:style w:type="character" w:customStyle="1" w:styleId="2534">
    <w:name w:val="Основной текст + 9 pt1"/>
    <w:uiPriority w:val="99"/>
    <w:rPr>
      <w:rFonts w:ascii="Times New Roman" w:hAnsi="Times New Roman" w:cs="Times New Roman"/>
      <w:b/>
      <w:bCs/>
      <w:i/>
      <w:iCs/>
      <w:sz w:val="18"/>
      <w:szCs w:val="18"/>
      <w:u w:val="single"/>
      <w:shd w:val="clear" w:color="auto" w:fill="FFFFFF"/>
    </w:rPr>
  </w:style>
  <w:style w:type="character" w:customStyle="1" w:styleId="2535">
    <w:name w:val="Основной текст + Интервал 1 pt1"/>
    <w:uiPriority w:val="99"/>
    <w:rPr>
      <w:rFonts w:ascii="Times New Roman" w:hAnsi="Times New Roman" w:cs="Times New Roman"/>
      <w:spacing w:val="20"/>
      <w:sz w:val="23"/>
      <w:szCs w:val="23"/>
      <w:u w:val="single"/>
      <w:shd w:val="clear" w:color="auto" w:fill="FFFFFF"/>
    </w:rPr>
  </w:style>
  <w:style w:type="character" w:customStyle="1" w:styleId="2536">
    <w:name w:val="Подпись к таблице (5)2"/>
    <w:uiPriority w:val="99"/>
    <w:rPr>
      <w:rFonts w:ascii="Times New Roman" w:hAnsi="Times New Roman" w:cs="Times New Roman"/>
      <w:sz w:val="16"/>
      <w:szCs w:val="16"/>
      <w:shd w:val="clear" w:color="auto" w:fill="FFFFFF"/>
    </w:rPr>
  </w:style>
  <w:style w:type="character" w:customStyle="1" w:styleId="2537">
    <w:name w:val="Подпись к таблице (6)4"/>
    <w:uiPriority w:val="99"/>
    <w:rPr>
      <w:rFonts w:ascii="Times New Roman" w:hAnsi="Times New Roman" w:cs="Times New Roman"/>
      <w:sz w:val="14"/>
      <w:szCs w:val="14"/>
      <w:u w:val="single"/>
      <w:shd w:val="clear" w:color="auto" w:fill="FFFFFF"/>
    </w:rPr>
  </w:style>
  <w:style w:type="character" w:customStyle="1" w:styleId="2538">
    <w:name w:val="Подпись к таблице (6)3"/>
    <w:uiPriority w:val="99"/>
    <w:rPr>
      <w:rFonts w:ascii="Times New Roman" w:hAnsi="Times New Roman" w:cs="Times New Roman"/>
      <w:sz w:val="14"/>
      <w:szCs w:val="14"/>
      <w:u w:val="single"/>
      <w:shd w:val="clear" w:color="auto" w:fill="FFFFFF"/>
    </w:rPr>
  </w:style>
  <w:style w:type="character" w:customStyle="1" w:styleId="2539">
    <w:name w:val="Подпись к таблице (6)2"/>
    <w:uiPriority w:val="99"/>
    <w:rPr>
      <w:rFonts w:ascii="Times New Roman" w:hAnsi="Times New Roman" w:cs="Times New Roman"/>
      <w:sz w:val="14"/>
      <w:szCs w:val="14"/>
      <w:u w:val="single"/>
      <w:shd w:val="clear" w:color="auto" w:fill="FFFFFF"/>
    </w:rPr>
  </w:style>
  <w:style w:type="character" w:customStyle="1" w:styleId="2540">
    <w:name w:val="Подпись к таблице (3)3"/>
    <w:uiPriority w:val="99"/>
    <w:rPr>
      <w:rFonts w:ascii="Times New Roman" w:hAnsi="Times New Roman" w:cs="Times New Roman"/>
      <w:sz w:val="23"/>
      <w:szCs w:val="23"/>
      <w:u w:val="single"/>
      <w:shd w:val="clear" w:color="auto" w:fill="FFFFFF"/>
    </w:rPr>
  </w:style>
  <w:style w:type="character" w:customStyle="1" w:styleId="2541">
    <w:name w:val="Подпись к таблице (3)2"/>
    <w:uiPriority w:val="99"/>
    <w:rPr>
      <w:rFonts w:ascii="Times New Roman" w:hAnsi="Times New Roman" w:cs="Times New Roman"/>
      <w:sz w:val="23"/>
      <w:szCs w:val="23"/>
      <w:u w:val="single"/>
      <w:shd w:val="clear" w:color="auto" w:fill="FFFFFF"/>
    </w:rPr>
  </w:style>
  <w:style w:type="paragraph" w:customStyle="1" w:styleId="2542">
    <w:name w:val="Подпись к таблице1"/>
    <w:basedOn w:val="1"/>
    <w:qFormat/>
    <w:uiPriority w:val="99"/>
    <w:pPr>
      <w:shd w:val="clear" w:color="auto" w:fill="FFFFFF"/>
      <w:spacing w:after="0" w:line="240" w:lineRule="atLeast"/>
      <w:ind w:firstLine="0"/>
    </w:pPr>
    <w:rPr>
      <w:rFonts w:eastAsia="Calibri"/>
      <w:b/>
      <w:bCs/>
      <w:sz w:val="19"/>
      <w:szCs w:val="19"/>
    </w:rPr>
  </w:style>
  <w:style w:type="paragraph" w:customStyle="1" w:styleId="2543">
    <w:name w:val="Подпись к таблице (5)1"/>
    <w:basedOn w:val="1"/>
    <w:qFormat/>
    <w:uiPriority w:val="99"/>
    <w:pPr>
      <w:shd w:val="clear" w:color="auto" w:fill="FFFFFF"/>
      <w:spacing w:after="0" w:line="240" w:lineRule="atLeast"/>
      <w:ind w:firstLine="0"/>
    </w:pPr>
    <w:rPr>
      <w:sz w:val="16"/>
      <w:szCs w:val="16"/>
    </w:rPr>
  </w:style>
  <w:style w:type="paragraph" w:customStyle="1" w:styleId="2544">
    <w:name w:val="Подпись к таблице (6)1"/>
    <w:basedOn w:val="1"/>
    <w:qFormat/>
    <w:uiPriority w:val="99"/>
    <w:pPr>
      <w:shd w:val="clear" w:color="auto" w:fill="FFFFFF"/>
      <w:spacing w:after="0" w:line="240" w:lineRule="atLeast"/>
      <w:ind w:firstLine="0"/>
    </w:pPr>
    <w:rPr>
      <w:sz w:val="14"/>
      <w:szCs w:val="14"/>
    </w:rPr>
  </w:style>
  <w:style w:type="paragraph" w:customStyle="1" w:styleId="2545">
    <w:name w:val="Текст документа"/>
    <w:basedOn w:val="60"/>
    <w:link w:val="2546"/>
    <w:qFormat/>
    <w:uiPriority w:val="0"/>
    <w:pPr>
      <w:tabs>
        <w:tab w:val="left" w:pos="0"/>
        <w:tab w:val="right" w:leader="dot" w:pos="10206"/>
        <w:tab w:val="clear" w:pos="1120"/>
      </w:tabs>
      <w:ind w:firstLine="567"/>
    </w:pPr>
    <w:rPr>
      <w:rFonts w:ascii="Times New Roman" w:hAnsi="Times New Roman" w:cs="Arial"/>
      <w:b w:val="0"/>
      <w:iCs/>
      <w:caps w:val="0"/>
      <w:lang w:eastAsia="en-US"/>
    </w:rPr>
  </w:style>
  <w:style w:type="character" w:customStyle="1" w:styleId="2546">
    <w:name w:val="Текст документа Знак"/>
    <w:basedOn w:val="11"/>
    <w:link w:val="2545"/>
    <w:uiPriority w:val="0"/>
    <w:rPr>
      <w:rFonts w:ascii="Times New Roman" w:hAnsi="Times New Roman" w:eastAsia="Times New Roman" w:cs="Arial"/>
      <w:bCs/>
      <w:iCs/>
      <w:sz w:val="24"/>
      <w:szCs w:val="24"/>
    </w:rPr>
  </w:style>
  <w:style w:type="character" w:customStyle="1" w:styleId="2547">
    <w:name w:val="Font Style83"/>
    <w:uiPriority w:val="99"/>
    <w:rPr>
      <w:rFonts w:ascii="Times New Roman" w:hAnsi="Times New Roman" w:cs="Times New Roman"/>
      <w:sz w:val="22"/>
      <w:szCs w:val="22"/>
    </w:rPr>
  </w:style>
  <w:style w:type="paragraph" w:customStyle="1" w:styleId="2548">
    <w:name w:val="Style8"/>
    <w:basedOn w:val="1"/>
    <w:qFormat/>
    <w:uiPriority w:val="0"/>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2549">
    <w:name w:val="Сетка таблицы412"/>
    <w:basedOn w:val="12"/>
    <w:uiPriority w:val="9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0">
    <w:name w:val="Сетка таблицы511"/>
    <w:basedOn w:val="12"/>
    <w:qFormat/>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1">
    <w:name w:val="Сетка таблицы6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2">
    <w:name w:val="Сетка таблицы1117"/>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53">
    <w:name w:val="Сетка таблицы7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4">
    <w:name w:val="Сетка таблицы87"/>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5">
    <w:name w:val="Сетка таблицы916"/>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6">
    <w:name w:val="Сетка таблицы10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7">
    <w:name w:val="Сетка таблицы1211"/>
    <w:basedOn w:val="12"/>
    <w:uiPriority w:val="9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8">
    <w:name w:val="Сетка таблицы13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9">
    <w:name w:val="Светлая заливка - Акцент 52"/>
    <w:basedOn w:val="12"/>
    <w:uiPriority w:val="99"/>
    <w:pPr>
      <w:spacing w:after="0" w:line="240" w:lineRule="auto"/>
    </w:pPr>
    <w:rPr>
      <w:rFonts w:ascii="Calibri" w:hAnsi="Calibri" w:eastAsia="Times New Roman" w:cs="Times New Roman"/>
      <w:color w:val="31849B"/>
      <w:sz w:val="20"/>
      <w:szCs w:val="20"/>
      <w:lang w:eastAsia="ru-RU"/>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la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2EAF1"/>
      </w:tcPr>
    </w:tblStylePr>
    <w:tblStylePr w:type="band1Horz">
      <w:rPr>
        <w:rFonts w:cs="Times New Roman"/>
      </w:rPr>
      <w:tcPr>
        <w:tcBorders>
          <w:left w:val="nil"/>
          <w:right w:val="nil"/>
          <w:insideH w:val="nil"/>
          <w:insideV w:val="nil"/>
        </w:tcBorders>
        <w:shd w:val="clear" w:color="auto" w:fill="D2EAF1"/>
      </w:tcPr>
    </w:tblStylePr>
  </w:style>
  <w:style w:type="table" w:customStyle="1" w:styleId="2560">
    <w:name w:val="Сетка таблицы14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61">
    <w:name w:val="Сетка таблицы15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62">
    <w:name w:val="Светлая заливка - Акцент 511"/>
    <w:basedOn w:val="12"/>
    <w:uiPriority w:val="99"/>
    <w:pPr>
      <w:spacing w:after="0" w:line="240" w:lineRule="auto"/>
    </w:pPr>
    <w:rPr>
      <w:rFonts w:ascii="Calibri" w:hAnsi="Calibri" w:eastAsia="Times New Roman" w:cs="Times New Roman"/>
      <w:color w:val="31849B"/>
      <w:sz w:val="20"/>
      <w:szCs w:val="20"/>
      <w:lang w:eastAsia="ru-RU"/>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lastRow">
      <w:pPr>
        <w:spacing w:before="0" w:after="0"/>
      </w:pPr>
      <w:rPr>
        <w:rFonts w:cs="Times New Roman"/>
        <w:b/>
        <w:bCs/>
      </w:rPr>
      <w:tcPr>
        <w:tcBorders>
          <w:top w:val="single" w:color="4BACC6" w:sz="8" w:space="0"/>
          <w:left w:val="nil"/>
          <w:bottom w:val="single" w:color="4BACC6"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2EAF1"/>
      </w:tcPr>
    </w:tblStylePr>
    <w:tblStylePr w:type="band1Horz">
      <w:rPr>
        <w:rFonts w:cs="Times New Roman"/>
      </w:rPr>
      <w:tcPr>
        <w:tcBorders>
          <w:left w:val="nil"/>
          <w:right w:val="nil"/>
          <w:insideH w:val="nil"/>
          <w:insideV w:val="nil"/>
        </w:tcBorders>
        <w:shd w:val="clear" w:color="auto" w:fill="D2EAF1"/>
      </w:tcPr>
    </w:tblStylePr>
  </w:style>
  <w:style w:type="table" w:customStyle="1" w:styleId="2563">
    <w:name w:val="Сетка таблицы24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64">
    <w:name w:val="Сетка таблицы34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65">
    <w:name w:val="Сетка таблицы42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6">
    <w:name w:val="Сетка таблицы52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7">
    <w:name w:val="Сетка таблицы62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8">
    <w:name w:val="Сетка таблицы1121"/>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69">
    <w:name w:val="Сетка таблицы72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0">
    <w:name w:val="Сетка таблицы8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1">
    <w:name w:val="Сетка таблицы917"/>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2">
    <w:name w:val="Сетка таблицы122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3">
    <w:name w:val="Сетка таблицы73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4">
    <w:name w:val="Сетка таблицы74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5">
    <w:name w:val="Сетка таблицы162"/>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76">
    <w:name w:val="Сетка таблицы17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77">
    <w:name w:val="Сетка таблицы251"/>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78">
    <w:name w:val="Сетка таблицы35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79">
    <w:name w:val="Сетка таблицы43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0">
    <w:name w:val="Сетка таблицы53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1">
    <w:name w:val="Сетка таблицы63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2">
    <w:name w:val="Сетка таблицы1131"/>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83">
    <w:name w:val="Сетка таблицы75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4">
    <w:name w:val="Сетка таблицы123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5">
    <w:name w:val="Сетка таблицы18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86">
    <w:name w:val="Сетка таблицы19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87">
    <w:name w:val="Сетка таблицы26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88">
    <w:name w:val="Сетка таблицы36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89">
    <w:name w:val="Сетка таблицы44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0">
    <w:name w:val="Сетка таблицы54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1">
    <w:name w:val="Сетка таблицы64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2">
    <w:name w:val="Сетка таблицы1141"/>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93">
    <w:name w:val="Сетка таблицы76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4">
    <w:name w:val="Сетка таблицы124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5">
    <w:name w:val="Сетка таблицы77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6">
    <w:name w:val="Сетка таблицы78"/>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7">
    <w:name w:val="Сетка таблицы79"/>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8">
    <w:name w:val="Сетка таблицы710"/>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9">
    <w:name w:val="Сетка таблицы20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00">
    <w:name w:val="Основной текст + Полужирный;Не курсив"/>
    <w:basedOn w:val="208"/>
    <w:uiPriority w:val="0"/>
    <w:rPr>
      <w:rFonts w:ascii="Arial" w:hAnsi="Arial" w:eastAsia="Times New Roman" w:cs="Arial"/>
      <w:b/>
      <w:bCs/>
      <w:i/>
      <w:iCs/>
      <w:color w:val="000000"/>
      <w:spacing w:val="0"/>
      <w:w w:val="100"/>
      <w:position w:val="0"/>
      <w:sz w:val="23"/>
      <w:szCs w:val="23"/>
      <w:shd w:val="clear" w:color="auto" w:fill="FFFFFF"/>
      <w:lang w:val="ru-RU"/>
    </w:rPr>
  </w:style>
  <w:style w:type="table" w:customStyle="1" w:styleId="2601">
    <w:name w:val="Сетка таблицы27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2">
    <w:name w:val="Сетка таблицы37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03">
    <w:name w:val="Средняя заливка 1 - Акцент 51"/>
    <w:basedOn w:val="12"/>
    <w:uiPriority w:val="63"/>
    <w:pPr>
      <w:spacing w:after="0" w:line="240" w:lineRule="auto"/>
    </w:pPr>
    <w:rPr>
      <w:rFonts w:ascii="Calibri" w:hAnsi="Calibri" w:eastAsia="Calibri" w:cs="Times New Roman"/>
    </w:rPr>
    <w:tblPr>
      <w:tblBorders>
        <w:top w:val="single" w:color="84B3DF" w:sz="8" w:space="0"/>
        <w:left w:val="single" w:color="84B3DF" w:sz="8" w:space="0"/>
        <w:bottom w:val="single" w:color="84B3DF" w:sz="8" w:space="0"/>
        <w:right w:val="single" w:color="84B3DF" w:sz="8" w:space="0"/>
        <w:insideH w:val="single" w:color="84B3DF"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cPr>
        <w:shd w:val="clear" w:color="auto" w:fill="D6E6F4"/>
      </w:tcPr>
    </w:tblStylePr>
    <w:tblStylePr w:type="band1Horz">
      <w:tcPr>
        <w:tcBorders>
          <w:insideH w:val="nil"/>
          <w:insideV w:val="nil"/>
        </w:tcBorders>
        <w:shd w:val="clear" w:color="auto" w:fill="D6E6F4"/>
      </w:tcPr>
    </w:tblStylePr>
    <w:tblStylePr w:type="band2Horz">
      <w:tcPr>
        <w:tcBorders>
          <w:insideH w:val="nil"/>
          <w:insideV w:val="nil"/>
        </w:tcBorders>
      </w:tcPr>
    </w:tblStylePr>
  </w:style>
  <w:style w:type="table" w:customStyle="1" w:styleId="2604">
    <w:name w:val="Сетка таблицы28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605">
    <w:name w:val="табл"/>
    <w:basedOn w:val="156"/>
    <w:link w:val="2606"/>
    <w:qFormat/>
    <w:uiPriority w:val="1"/>
    <w:pPr>
      <w:ind w:firstLine="0"/>
      <w:contextualSpacing/>
    </w:pPr>
    <w:rPr>
      <w:rFonts w:eastAsia="Calibri"/>
      <w:b w:val="0"/>
      <w:sz w:val="20"/>
    </w:rPr>
  </w:style>
  <w:style w:type="character" w:customStyle="1" w:styleId="2606">
    <w:name w:val="табл Знак"/>
    <w:basedOn w:val="11"/>
    <w:link w:val="2605"/>
    <w:uiPriority w:val="1"/>
    <w:rPr>
      <w:rFonts w:ascii="Times New Roman" w:hAnsi="Times New Roman" w:eastAsia="Calibri" w:cs="Times New Roman"/>
      <w:sz w:val="20"/>
      <w:lang w:eastAsia="ru-RU"/>
    </w:rPr>
  </w:style>
  <w:style w:type="table" w:customStyle="1" w:styleId="2607">
    <w:name w:val="Средняя заливка 1 - Акцент 52"/>
    <w:basedOn w:val="12"/>
    <w:uiPriority w:val="63"/>
    <w:pPr>
      <w:spacing w:after="0" w:line="240" w:lineRule="auto"/>
    </w:pPr>
    <w:rPr>
      <w:rFonts w:ascii="Times New Roman" w:hAnsi="Times New Roman" w:eastAsia="Times New Roman" w:cs="Times New Roman"/>
      <w:sz w:val="20"/>
      <w:szCs w:val="20"/>
      <w:lang w:eastAsia="ru-RU"/>
    </w:r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paragraph" w:customStyle="1" w:styleId="2608">
    <w:name w:val="otekstj"/>
    <w:basedOn w:val="1"/>
    <w:qFormat/>
    <w:uiPriority w:val="99"/>
    <w:pPr>
      <w:spacing w:before="100" w:beforeAutospacing="1" w:after="100" w:afterAutospacing="1" w:line="240" w:lineRule="auto"/>
      <w:ind w:firstLine="0"/>
    </w:pPr>
    <w:rPr>
      <w:sz w:val="24"/>
      <w:szCs w:val="24"/>
    </w:rPr>
  </w:style>
  <w:style w:type="table" w:customStyle="1" w:styleId="2609">
    <w:name w:val="Сетка таблицы291"/>
    <w:basedOn w:val="12"/>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10">
    <w:name w:val="Сетка таблицы1101"/>
    <w:basedOn w:val="12"/>
    <w:uiPriority w:val="0"/>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11">
    <w:name w:val="Сетка таблицы381"/>
    <w:basedOn w:val="12"/>
    <w:uiPriority w:val="3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12">
    <w:name w:val="Средняя заливка 1 - Акцент 521"/>
    <w:basedOn w:val="12"/>
    <w:uiPriority w:val="63"/>
    <w:pPr>
      <w:spacing w:after="0" w:line="240" w:lineRule="auto"/>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2613">
    <w:name w:val="Сетка таблицы30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4">
    <w:name w:val="Сетка таблицы391"/>
    <w:basedOn w:val="12"/>
    <w:uiPriority w:val="3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15">
    <w:name w:val="Средняя заливка 1 - Акцент 53"/>
    <w:basedOn w:val="12"/>
    <w:uiPriority w:val="63"/>
    <w:pPr>
      <w:spacing w:after="0" w:line="240" w:lineRule="auto"/>
    </w:pPr>
    <w:rPr>
      <w:rFonts w:ascii="Calibri" w:hAnsi="Calibri" w:eastAsia="Calibri" w:cs="Times New Roman"/>
    </w:rPr>
    <w:tblPr>
      <w:tblBorders>
        <w:top w:val="single" w:color="84B3DF" w:sz="8" w:space="0"/>
        <w:left w:val="single" w:color="84B3DF" w:sz="8" w:space="0"/>
        <w:bottom w:val="single" w:color="84B3DF" w:sz="8" w:space="0"/>
        <w:right w:val="single" w:color="84B3DF" w:sz="8" w:space="0"/>
        <w:insideH w:val="single" w:color="84B3DF"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cPr>
        <w:shd w:val="clear" w:color="auto" w:fill="D6E6F4"/>
      </w:tcPr>
    </w:tblStylePr>
    <w:tblStylePr w:type="band1Horz">
      <w:tcPr>
        <w:tcBorders>
          <w:insideH w:val="nil"/>
          <w:insideV w:val="nil"/>
        </w:tcBorders>
        <w:shd w:val="clear" w:color="auto" w:fill="D6E6F4"/>
      </w:tcPr>
    </w:tblStylePr>
    <w:tblStylePr w:type="band2Horz">
      <w:tcPr>
        <w:tcBorders>
          <w:insideH w:val="nil"/>
          <w:insideV w:val="nil"/>
        </w:tcBorders>
      </w:tcPr>
    </w:tblStylePr>
  </w:style>
  <w:style w:type="paragraph" w:customStyle="1" w:styleId="2616">
    <w:name w:val="msonormalcxspfirst_mailru_css_attribute_postfix"/>
    <w:basedOn w:val="1"/>
    <w:qFormat/>
    <w:uiPriority w:val="0"/>
    <w:pPr>
      <w:spacing w:before="100" w:beforeAutospacing="1" w:after="100" w:afterAutospacing="1" w:line="240" w:lineRule="auto"/>
      <w:ind w:firstLine="0"/>
    </w:pPr>
    <w:rPr>
      <w:sz w:val="24"/>
      <w:szCs w:val="24"/>
    </w:rPr>
  </w:style>
  <w:style w:type="paragraph" w:customStyle="1" w:styleId="2617">
    <w:name w:val="msonormalcxspmiddle_mailru_css_attribute_postfix"/>
    <w:basedOn w:val="1"/>
    <w:qFormat/>
    <w:uiPriority w:val="0"/>
    <w:pPr>
      <w:spacing w:before="100" w:beforeAutospacing="1" w:after="100" w:afterAutospacing="1" w:line="240" w:lineRule="auto"/>
      <w:ind w:firstLine="0"/>
    </w:pPr>
    <w:rPr>
      <w:sz w:val="24"/>
      <w:szCs w:val="24"/>
    </w:rPr>
  </w:style>
  <w:style w:type="table" w:customStyle="1" w:styleId="2618">
    <w:name w:val="Сетка таблицы401"/>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619">
    <w:name w:val="Medium Shading 1 Accent 5"/>
    <w:basedOn w:val="12"/>
    <w:semiHidden/>
    <w:unhideWhenUsed/>
    <w:uiPriority w:val="63"/>
    <w:pPr>
      <w:spacing w:after="0" w:line="240" w:lineRule="auto"/>
    </w:pPr>
    <w:tblPr>
      <w:tbl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single" w:color="84B4DF"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shd w:val="clear" w:color="auto" w:fill="5B9BD5" w:themeFill="accent5"/>
      </w:tcPr>
    </w:tblStylePr>
    <w:tblStylePr w:type="lastRow">
      <w:pPr>
        <w:spacing w:before="0" w:after="0" w:line="240" w:lineRule="auto"/>
      </w:pPr>
      <w:rPr>
        <w:b/>
        <w:bCs/>
      </w:rPr>
      <w:tcPr>
        <w:tcBorders>
          <w:top w:val="double" w:color="84B4DF" w:themeColor="accent5" w:themeTint="BF" w:sz="6"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6E6F4" w:themeFill="accent5" w:themeFillTint="3F"/>
      </w:tcPr>
    </w:tblStylePr>
    <w:tblStylePr w:type="band1Horz">
      <w:tcPr>
        <w:tcBorders>
          <w:insideH w:val="nil"/>
          <w:insideV w:val="nil"/>
        </w:tcBorders>
        <w:shd w:val="clear" w:color="auto" w:fill="D6E6F4" w:themeFill="accent5" w:themeFillTint="3F"/>
      </w:tcPr>
    </w:tblStylePr>
    <w:tblStylePr w:type="band2Horz">
      <w:tcPr>
        <w:tcBorders>
          <w:insideH w:val="nil"/>
          <w:insideV w:val="nil"/>
        </w:tcBorders>
      </w:tcPr>
    </w:tblStylePr>
  </w:style>
  <w:style w:type="table" w:customStyle="1" w:styleId="2620">
    <w:name w:val="Table Grid Report14"/>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21">
    <w:name w:val="Table caption_"/>
    <w:uiPriority w:val="0"/>
    <w:rPr>
      <w:rFonts w:ascii="Times New Roman" w:hAnsi="Times New Roman" w:eastAsia="Times New Roman" w:cs="Times New Roman"/>
      <w:spacing w:val="0"/>
      <w:sz w:val="22"/>
      <w:szCs w:val="22"/>
    </w:rPr>
  </w:style>
  <w:style w:type="character" w:customStyle="1" w:styleId="2622">
    <w:name w:val="Table caption"/>
    <w:uiPriority w:val="0"/>
    <w:rPr>
      <w:rFonts w:ascii="Times New Roman" w:hAnsi="Times New Roman" w:eastAsia="Times New Roman" w:cs="Times New Roman"/>
      <w:spacing w:val="0"/>
      <w:sz w:val="22"/>
      <w:szCs w:val="22"/>
    </w:rPr>
  </w:style>
  <w:style w:type="character" w:customStyle="1" w:styleId="2623">
    <w:name w:val="Table caption + Bold"/>
    <w:uiPriority w:val="0"/>
    <w:rPr>
      <w:rFonts w:ascii="Times New Roman" w:hAnsi="Times New Roman" w:eastAsia="Times New Roman" w:cs="Times New Roman"/>
      <w:b/>
      <w:bCs/>
      <w:spacing w:val="0"/>
      <w:sz w:val="22"/>
      <w:szCs w:val="22"/>
    </w:rPr>
  </w:style>
  <w:style w:type="paragraph" w:customStyle="1" w:styleId="2624">
    <w:name w:val="Выделение внутри заголовка"/>
    <w:basedOn w:val="1"/>
    <w:next w:val="1"/>
    <w:qFormat/>
    <w:uiPriority w:val="0"/>
    <w:pPr>
      <w:spacing w:before="240" w:after="120" w:line="240" w:lineRule="auto"/>
      <w:ind w:firstLine="0"/>
      <w:jc w:val="both"/>
    </w:pPr>
    <w:rPr>
      <w:rFonts w:eastAsia="Calibri"/>
      <w:b/>
      <w:sz w:val="26"/>
      <w:szCs w:val="24"/>
      <w:lang w:eastAsia="en-US"/>
    </w:rPr>
  </w:style>
  <w:style w:type="paragraph" w:customStyle="1" w:styleId="2625">
    <w:name w:val="Оглавление 31"/>
    <w:basedOn w:val="1"/>
    <w:next w:val="1"/>
    <w:autoRedefine/>
    <w:unhideWhenUsed/>
    <w:qFormat/>
    <w:uiPriority w:val="39"/>
    <w:pPr>
      <w:spacing w:after="100" w:line="276" w:lineRule="auto"/>
      <w:ind w:left="440" w:firstLine="0"/>
    </w:pPr>
    <w:rPr>
      <w:rFonts w:ascii="Calibri" w:hAnsi="Calibri"/>
      <w:sz w:val="22"/>
      <w:szCs w:val="24"/>
    </w:rPr>
  </w:style>
  <w:style w:type="paragraph" w:customStyle="1" w:styleId="2626">
    <w:name w:val="Знак Знак Знак Знак Знак Знак Знак Знак1"/>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2627">
    <w:name w:val="Знак Знак Знак Знак Знак Знак Знак Знак1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2628">
    <w:name w:val="Обычный + по центру"/>
    <w:basedOn w:val="1"/>
    <w:qFormat/>
    <w:uiPriority w:val="0"/>
    <w:pPr>
      <w:spacing w:after="0" w:line="240" w:lineRule="auto"/>
      <w:ind w:firstLine="0"/>
      <w:jc w:val="center"/>
    </w:pPr>
    <w:rPr>
      <w:sz w:val="24"/>
      <w:szCs w:val="24"/>
    </w:rPr>
  </w:style>
  <w:style w:type="character" w:customStyle="1" w:styleId="2629">
    <w:name w:val="rvts31451"/>
    <w:uiPriority w:val="0"/>
  </w:style>
  <w:style w:type="paragraph" w:customStyle="1" w:styleId="2630">
    <w:name w:val="heading"/>
    <w:basedOn w:val="1"/>
    <w:qFormat/>
    <w:uiPriority w:val="0"/>
    <w:pPr>
      <w:spacing w:before="100" w:beforeAutospacing="1" w:after="100" w:afterAutospacing="1" w:line="240" w:lineRule="auto"/>
      <w:ind w:firstLine="0"/>
    </w:pPr>
    <w:rPr>
      <w:rFonts w:ascii="Verdana" w:hAnsi="Verdana"/>
      <w:b/>
      <w:bCs/>
      <w:color w:val="5385C4"/>
      <w:sz w:val="21"/>
      <w:szCs w:val="21"/>
    </w:rPr>
  </w:style>
  <w:style w:type="paragraph" w:customStyle="1" w:styleId="2631">
    <w:name w:val="dh1"/>
    <w:basedOn w:val="1"/>
    <w:qFormat/>
    <w:uiPriority w:val="0"/>
    <w:pPr>
      <w:spacing w:before="100" w:beforeAutospacing="1" w:after="100" w:afterAutospacing="1" w:line="240" w:lineRule="auto"/>
      <w:ind w:firstLine="0"/>
    </w:pPr>
    <w:rPr>
      <w:rFonts w:ascii="Verdana" w:hAnsi="Verdana"/>
      <w:b/>
      <w:bCs/>
      <w:color w:val="25416B"/>
      <w:sz w:val="18"/>
      <w:szCs w:val="18"/>
    </w:rPr>
  </w:style>
  <w:style w:type="paragraph" w:customStyle="1" w:styleId="2632">
    <w:name w:val="style12"/>
    <w:basedOn w:val="1"/>
    <w:qFormat/>
    <w:uiPriority w:val="0"/>
    <w:pPr>
      <w:spacing w:before="100" w:beforeAutospacing="1" w:after="100" w:afterAutospacing="1" w:line="240" w:lineRule="auto"/>
      <w:ind w:firstLine="0"/>
    </w:pPr>
    <w:rPr>
      <w:sz w:val="24"/>
      <w:szCs w:val="24"/>
    </w:rPr>
  </w:style>
  <w:style w:type="character" w:customStyle="1" w:styleId="2633">
    <w:name w:val="kontakt1"/>
    <w:uiPriority w:val="0"/>
    <w:rPr>
      <w:rFonts w:hint="default" w:ascii="Verdana" w:hAnsi="Verdana"/>
      <w:color w:val="25416B"/>
      <w:sz w:val="17"/>
      <w:szCs w:val="17"/>
      <w:u w:val="none"/>
    </w:rPr>
  </w:style>
  <w:style w:type="paragraph" w:customStyle="1" w:styleId="2634">
    <w:name w:val="Знак Знак Знак Знак Знак Знак Знак Знак Знак Знак Знак Знак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character" w:customStyle="1" w:styleId="2635">
    <w:name w:val="ft"/>
    <w:uiPriority w:val="0"/>
  </w:style>
  <w:style w:type="character" w:customStyle="1" w:styleId="2636">
    <w:name w:val="Без интервала Знак Знак"/>
    <w:uiPriority w:val="0"/>
    <w:rPr>
      <w:rFonts w:ascii="Calibri" w:hAnsi="Calibri" w:eastAsia="Times New Roman" w:cs="Times New Roman"/>
      <w:lang w:eastAsia="en-US"/>
    </w:rPr>
  </w:style>
  <w:style w:type="paragraph" w:customStyle="1" w:styleId="2637">
    <w:name w:val="font1"/>
    <w:basedOn w:val="1"/>
    <w:qFormat/>
    <w:uiPriority w:val="0"/>
    <w:pPr>
      <w:spacing w:before="100" w:beforeAutospacing="1" w:after="100" w:afterAutospacing="1" w:line="240" w:lineRule="auto"/>
      <w:ind w:firstLine="0"/>
    </w:pPr>
    <w:rPr>
      <w:rFonts w:ascii="Arial" w:hAnsi="Arial" w:cs="Arial"/>
      <w:sz w:val="20"/>
      <w:szCs w:val="20"/>
    </w:rPr>
  </w:style>
  <w:style w:type="paragraph" w:customStyle="1" w:styleId="2638">
    <w:name w:val="Основной текст 23"/>
    <w:basedOn w:val="1"/>
    <w:qFormat/>
    <w:uiPriority w:val="0"/>
    <w:pPr>
      <w:overflowPunct w:val="0"/>
      <w:autoSpaceDE w:val="0"/>
      <w:autoSpaceDN w:val="0"/>
      <w:adjustRightInd w:val="0"/>
      <w:spacing w:after="0" w:line="240" w:lineRule="auto"/>
      <w:ind w:firstLine="720"/>
      <w:jc w:val="both"/>
      <w:textAlignment w:val="baseline"/>
    </w:pPr>
    <w:rPr>
      <w:sz w:val="24"/>
      <w:szCs w:val="20"/>
    </w:rPr>
  </w:style>
  <w:style w:type="paragraph" w:customStyle="1" w:styleId="2639">
    <w:name w:val="Список маркированный 1"/>
    <w:basedOn w:val="1"/>
    <w:link w:val="2640"/>
    <w:qFormat/>
    <w:uiPriority w:val="0"/>
    <w:pPr>
      <w:numPr>
        <w:ilvl w:val="0"/>
        <w:numId w:val="25"/>
      </w:numPr>
      <w:suppressAutoHyphens/>
      <w:spacing w:after="0" w:line="240" w:lineRule="auto"/>
      <w:jc w:val="both"/>
    </w:pPr>
    <w:rPr>
      <w:sz w:val="24"/>
      <w:szCs w:val="24"/>
    </w:rPr>
  </w:style>
  <w:style w:type="character" w:customStyle="1" w:styleId="2640">
    <w:name w:val="Список маркированный 1 Знак"/>
    <w:link w:val="2639"/>
    <w:uiPriority w:val="0"/>
    <w:rPr>
      <w:rFonts w:ascii="Times New Roman" w:hAnsi="Times New Roman" w:eastAsia="Times New Roman" w:cs="Times New Roman"/>
      <w:sz w:val="24"/>
      <w:szCs w:val="24"/>
      <w:lang w:eastAsia="ru-RU"/>
    </w:rPr>
  </w:style>
  <w:style w:type="paragraph" w:customStyle="1" w:styleId="2641">
    <w:name w:val="Знак Знак Знак Знак Знак Знак"/>
    <w:basedOn w:val="1"/>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2642">
    <w:name w:val="Обычный + По правому краю"/>
    <w:basedOn w:val="1"/>
    <w:qFormat/>
    <w:uiPriority w:val="0"/>
    <w:pPr>
      <w:tabs>
        <w:tab w:val="left" w:pos="1920"/>
        <w:tab w:val="left" w:pos="12264"/>
      </w:tabs>
      <w:spacing w:after="0" w:line="240" w:lineRule="auto"/>
      <w:ind w:firstLine="0"/>
      <w:jc w:val="right"/>
    </w:pPr>
    <w:rPr>
      <w:sz w:val="24"/>
      <w:szCs w:val="24"/>
    </w:rPr>
  </w:style>
  <w:style w:type="paragraph" w:customStyle="1" w:styleId="2643">
    <w:name w:val="Знак Знак Знак Знак Знак Знак Знак Знак1 Знак Знак Знак Знак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paragraph" w:customStyle="1" w:styleId="2644">
    <w:name w:val="Знак Знак Знак Знак Знак Знак Знак Знак Знак"/>
    <w:basedOn w:val="1"/>
    <w:qFormat/>
    <w:uiPriority w:val="0"/>
    <w:pPr>
      <w:spacing w:before="100" w:beforeAutospacing="1" w:after="100" w:afterAutospacing="1" w:line="240" w:lineRule="auto"/>
      <w:ind w:firstLine="0"/>
    </w:pPr>
    <w:rPr>
      <w:rFonts w:ascii="Tahoma" w:hAnsi="Tahoma"/>
      <w:sz w:val="20"/>
      <w:szCs w:val="20"/>
      <w:lang w:val="en-US" w:eastAsia="en-US"/>
    </w:rPr>
  </w:style>
  <w:style w:type="character" w:customStyle="1" w:styleId="2645">
    <w:name w:val="Список маркированный 1 Знак Знак"/>
    <w:uiPriority w:val="0"/>
    <w:rPr>
      <w:sz w:val="24"/>
      <w:szCs w:val="24"/>
    </w:rPr>
  </w:style>
  <w:style w:type="character" w:customStyle="1" w:styleId="2646">
    <w:name w:val="Упомянуть2"/>
    <w:semiHidden/>
    <w:unhideWhenUsed/>
    <w:uiPriority w:val="99"/>
    <w:rPr>
      <w:color w:val="2B579A"/>
      <w:shd w:val="clear" w:color="auto" w:fill="E6E6E6"/>
    </w:rPr>
  </w:style>
  <w:style w:type="table" w:customStyle="1" w:styleId="2647">
    <w:name w:val="Table Grid Report15"/>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8">
    <w:name w:val="Table Grid Report16"/>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9">
    <w:name w:val="Table Grid Report17"/>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0">
    <w:name w:val="Table Grid Report18"/>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1">
    <w:name w:val="Table Grid Report19"/>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2">
    <w:name w:val="Table Grid Report2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3">
    <w:name w:val="Table Grid Report2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4">
    <w:name w:val="Table Grid Report2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5">
    <w:name w:val="Table Grid Report23"/>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6">
    <w:name w:val="Table Grid Report24"/>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7">
    <w:name w:val="Table Grid Report25"/>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8">
    <w:name w:val="Table Grid Report101"/>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9">
    <w:name w:val="Table Grid Report26"/>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0">
    <w:name w:val="Table Grid Report27"/>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1">
    <w:name w:val="Table Grid Report28"/>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2">
    <w:name w:val="Table Grid Report29"/>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3">
    <w:name w:val="Table Grid Report3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4">
    <w:name w:val="Table Grid Report3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5">
    <w:name w:val="Сетка таблицы120"/>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6">
    <w:name w:val="Сетка таблицы1118"/>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7">
    <w:name w:val="Сетка таблицы1119"/>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8">
    <w:name w:val="Table Grid Report11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9">
    <w:name w:val="Сетка таблицы1181"/>
    <w:basedOn w:val="12"/>
    <w:uiPriority w:val="0"/>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70">
    <w:name w:val="Table Grid Report10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1">
    <w:name w:val="Table Grid Report111"/>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2">
    <w:name w:val="Table Grid Report12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3">
    <w:name w:val="Table Grid Report3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4">
    <w:name w:val="Сетка таблицы1120"/>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5">
    <w:name w:val="Table Grid Report33"/>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6">
    <w:name w:val="Сетка таблицы128"/>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7">
    <w:name w:val="Сетка таблицы11110"/>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8">
    <w:name w:val="Сетка таблицы129"/>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9">
    <w:name w:val="Сетка таблицы218"/>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0">
    <w:name w:val="Table Grid Report11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1">
    <w:name w:val="Сетка таблицы1182"/>
    <w:basedOn w:val="12"/>
    <w:uiPriority w:val="0"/>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82">
    <w:name w:val="Table Grid Report103"/>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3">
    <w:name w:val="Table Grid Report113"/>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4">
    <w:name w:val="Table Grid Report12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5">
    <w:name w:val="Сетка таблицы37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6">
    <w:name w:val="Сетка таблицы382"/>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7">
    <w:name w:val="Table Grid Report34"/>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8">
    <w:name w:val="Table Grid Report35"/>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9">
    <w:name w:val="Table Grid Report36"/>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0">
    <w:name w:val="Table Grid Report37"/>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1">
    <w:name w:val="Table Grid Report38"/>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2">
    <w:name w:val="Table Grid Report104"/>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3">
    <w:name w:val="Table Grid Report114"/>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4">
    <w:name w:val="Сетка таблицы1122"/>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5">
    <w:name w:val="Сетка таблицы1123"/>
    <w:basedOn w:val="12"/>
    <w:qFormat/>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6">
    <w:name w:val="Table Grid Report39"/>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7">
    <w:name w:val="Сетка таблицы130"/>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8">
    <w:name w:val="Сетка таблицы1124"/>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9">
    <w:name w:val="Сетка таблицы1111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0">
    <w:name w:val="Сетка таблицы1210"/>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1">
    <w:name w:val="Сетка таблицы219"/>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2">
    <w:name w:val="Table Grid Report115"/>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3">
    <w:name w:val="Сетка таблицы1183"/>
    <w:basedOn w:val="12"/>
    <w:uiPriority w:val="0"/>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04">
    <w:name w:val="Table Grid Report105"/>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5">
    <w:name w:val="Table Grid Report116"/>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6">
    <w:name w:val="Table Grid Report123"/>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7">
    <w:name w:val="Сетка таблицы373"/>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8">
    <w:name w:val="Сетка таблицы383"/>
    <w:basedOn w:val="12"/>
    <w:uiPriority w:val="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9">
    <w:name w:val="Table Grid Report4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0">
    <w:name w:val="Сетка таблицы1125"/>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1">
    <w:name w:val="Сетка таблицы11112"/>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2">
    <w:name w:val="Сетка таблицы2110"/>
    <w:basedOn w:val="12"/>
    <w:uiPriority w:val="5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3">
    <w:name w:val="Table Grid Report117"/>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4">
    <w:name w:val="Сетка таблицы1184"/>
    <w:basedOn w:val="12"/>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15">
    <w:name w:val="Table Grid Report106"/>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6">
    <w:name w:val="Table Grid Report118"/>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7">
    <w:name w:val="Table Grid Report124"/>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8">
    <w:name w:val="Сетка таблицы374"/>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9">
    <w:name w:val="Сетка таблицы384"/>
    <w:basedOn w:val="12"/>
    <w:uiPriority w:val="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0">
    <w:name w:val="Сетка таблицы1126"/>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1">
    <w:name w:val="Table Grid Report4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2">
    <w:name w:val="Table Grid Report4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3">
    <w:name w:val="Изысканная таблица9"/>
    <w:basedOn w:val="12"/>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724">
    <w:name w:val="Сетка таблицы13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5">
    <w:name w:val="Сетка таблицы312"/>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6">
    <w:name w:val="Сетка таблицы1127"/>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7">
    <w:name w:val="Сетка таблицы11113"/>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8">
    <w:name w:val="Столбцы таблицы 18"/>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729">
    <w:name w:val="Столбцы таблицы 58"/>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730">
    <w:name w:val="Таблица-список 28"/>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731">
    <w:name w:val="Таблица-список 78"/>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732">
    <w:name w:val="Таблица-список 88"/>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733">
    <w:name w:val="Объемная таблица 38"/>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734">
    <w:name w:val="Современная таблица8"/>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735">
    <w:name w:val="Изысканная таблица17"/>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736">
    <w:name w:val="Изящная таблица 18"/>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737">
    <w:name w:val="Веб-таблица 38"/>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738">
    <w:name w:val="Стиль таблицы17"/>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9">
    <w:name w:val="Стиль таблицы27"/>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740">
    <w:name w:val="Стандартная таблица9"/>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741">
    <w:name w:val="Стиль таблицы37"/>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742">
    <w:name w:val="Сетка таблицы светлая10"/>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743">
    <w:name w:val="Сетка таблицы1212"/>
    <w:basedOn w:val="12"/>
    <w:uiPriority w:val="5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4">
    <w:name w:val="Сетка таблицы2111"/>
    <w:basedOn w:val="12"/>
    <w:uiPriority w:val="5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5">
    <w:name w:val="Table Normal79"/>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46">
    <w:name w:val="Table Normal12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47">
    <w:name w:val="Table Normal2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48">
    <w:name w:val="Table Normal3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49">
    <w:name w:val="Table Normal4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0">
    <w:name w:val="Table Normal5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1">
    <w:name w:val="Table Normal6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2">
    <w:name w:val="Table Normal710"/>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3">
    <w:name w:val="Table Normal87"/>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4">
    <w:name w:val="Table Normal97"/>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5">
    <w:name w:val="Table Normal10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6">
    <w:name w:val="Table Normal11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7">
    <w:name w:val="Table Normal12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8">
    <w:name w:val="Table Normal13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59">
    <w:name w:val="Table Normal14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60">
    <w:name w:val="Table Normal15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61">
    <w:name w:val="Table Normal16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62">
    <w:name w:val="Table Normal17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63">
    <w:name w:val="Table Normal18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64">
    <w:name w:val="Table Normal197"/>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65">
    <w:name w:val="Table Grid Report119"/>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6">
    <w:name w:val="Изысканная таблица21"/>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767">
    <w:name w:val="Сетка таблицы133"/>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8">
    <w:name w:val="Сетка таблицы313"/>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9">
    <w:name w:val="Сетка таблицы1128"/>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0">
    <w:name w:val="Сетка таблицы11114"/>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1">
    <w:name w:val="Столбцы таблицы 11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772">
    <w:name w:val="Столбцы таблицы 511"/>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773">
    <w:name w:val="Таблица-список 21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774">
    <w:name w:val="Таблица-список 71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775">
    <w:name w:val="Таблица-список 81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776">
    <w:name w:val="Объемная таблица 31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777">
    <w:name w:val="Современная таблица1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778">
    <w:name w:val="Изысканная таблица111"/>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779">
    <w:name w:val="Изящная таблица 11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780">
    <w:name w:val="Веб-таблица 31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781">
    <w:name w:val="Стиль таблицы111"/>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2">
    <w:name w:val="Стиль таблицы21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783">
    <w:name w:val="Стандартная таблица1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784">
    <w:name w:val="Стиль таблицы31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785">
    <w:name w:val="Сетка таблицы светлая11"/>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786">
    <w:name w:val="Сетка таблицы1213"/>
    <w:basedOn w:val="12"/>
    <w:uiPriority w:val="9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7">
    <w:name w:val="Сетка таблицы2112"/>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8">
    <w:name w:val="Table Normal2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89">
    <w:name w:val="Table Normal11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0">
    <w:name w:val="Table Normal212"/>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1">
    <w:name w:val="Table Normal3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2">
    <w:name w:val="Table Normal4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3">
    <w:name w:val="Table Normal5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4">
    <w:name w:val="Table Normal6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5">
    <w:name w:val="Table Normal71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6">
    <w:name w:val="Table Normal81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7">
    <w:name w:val="Table Normal91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8">
    <w:name w:val="Table Normal10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799">
    <w:name w:val="Table Normal11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0">
    <w:name w:val="Table Normal12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1">
    <w:name w:val="Table Normal13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2">
    <w:name w:val="Table Normal14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3">
    <w:name w:val="Table Normal15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4">
    <w:name w:val="Table Normal16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5">
    <w:name w:val="Table Normal17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6">
    <w:name w:val="Table Normal18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7">
    <w:name w:val="Table Normal19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08">
    <w:name w:val="Table Grid Report21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9">
    <w:name w:val="Изысканная таблица31"/>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810">
    <w:name w:val="Сетка таблицы1112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1">
    <w:name w:val="Столбцы таблицы 12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812">
    <w:name w:val="Столбцы таблицы 521"/>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813">
    <w:name w:val="Таблица-список 22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814">
    <w:name w:val="Таблица-список 72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815">
    <w:name w:val="Таблица-список 82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816">
    <w:name w:val="Объемная таблица 32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817">
    <w:name w:val="Современная таблица2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818">
    <w:name w:val="Изысканная таблица121"/>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819">
    <w:name w:val="Изящная таблица 12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820">
    <w:name w:val="Веб-таблица 32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821">
    <w:name w:val="Стиль таблицы121"/>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2">
    <w:name w:val="Стиль таблицы22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823">
    <w:name w:val="Стандартная таблица2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824">
    <w:name w:val="Стиль таблицы32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825">
    <w:name w:val="Сетка таблицы светлая21"/>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826">
    <w:name w:val="Сетка таблицы2121"/>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7">
    <w:name w:val="Table Normal2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28">
    <w:name w:val="Table Normal11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29">
    <w:name w:val="Table Normal2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0">
    <w:name w:val="Table Normal3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1">
    <w:name w:val="Table Normal4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2">
    <w:name w:val="Table Normal5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3">
    <w:name w:val="Table Normal6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4">
    <w:name w:val="Table Normal72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5">
    <w:name w:val="Table Normal82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6">
    <w:name w:val="Table Normal92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7">
    <w:name w:val="Table Normal10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8">
    <w:name w:val="Table Normal11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39">
    <w:name w:val="Table Normal12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0">
    <w:name w:val="Table Normal13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1">
    <w:name w:val="Table Normal14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2">
    <w:name w:val="Table Normal15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3">
    <w:name w:val="Table Normal16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4">
    <w:name w:val="Table Normal17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5">
    <w:name w:val="Table Normal18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6">
    <w:name w:val="Table Normal192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47">
    <w:name w:val="Сетка таблицы82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8">
    <w:name w:val="Сетка таблицы92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9">
    <w:name w:val="Table Grid Report31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0">
    <w:name w:val="Изысканная таблица41"/>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851">
    <w:name w:val="Сетка таблицы1113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2">
    <w:name w:val="Столбцы таблицы 13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853">
    <w:name w:val="Столбцы таблицы 531"/>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854">
    <w:name w:val="Таблица-список 23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855">
    <w:name w:val="Таблица-список 7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856">
    <w:name w:val="Таблица-список 8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857">
    <w:name w:val="Объемная таблица 33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858">
    <w:name w:val="Современная таблица3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859">
    <w:name w:val="Изысканная таблица131"/>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860">
    <w:name w:val="Изящная таблица 13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861">
    <w:name w:val="Веб-таблица 33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862">
    <w:name w:val="Стиль таблицы131"/>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3">
    <w:name w:val="Стиль таблицы23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864">
    <w:name w:val="Стандартная таблица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865">
    <w:name w:val="Стиль таблицы33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866">
    <w:name w:val="Сетка таблицы светлая31"/>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867">
    <w:name w:val="Сетка таблицы2131"/>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8">
    <w:name w:val="Table Normal2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69">
    <w:name w:val="Table Normal11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0">
    <w:name w:val="Table Normal2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1">
    <w:name w:val="Table Normal3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2">
    <w:name w:val="Table Normal4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3">
    <w:name w:val="Table Normal5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4">
    <w:name w:val="Table Normal6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5">
    <w:name w:val="Table Normal73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6">
    <w:name w:val="Table Normal83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7">
    <w:name w:val="Table Normal93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8">
    <w:name w:val="Table Normal10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79">
    <w:name w:val="Table Normal11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0">
    <w:name w:val="Table Normal12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1">
    <w:name w:val="Table Normal13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2">
    <w:name w:val="Table Normal14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3">
    <w:name w:val="Table Normal15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4">
    <w:name w:val="Table Normal16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5">
    <w:name w:val="Table Normal17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6">
    <w:name w:val="Table Normal18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7">
    <w:name w:val="Table Normal193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888">
    <w:name w:val="Сетка таблицы83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9">
    <w:name w:val="Сетка таблицы93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0">
    <w:name w:val="Table Grid Report43"/>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1">
    <w:name w:val="Изысканная таблица51"/>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892">
    <w:name w:val="Сетка таблицы1151"/>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3">
    <w:name w:val="Сетка таблицы1114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4">
    <w:name w:val="Столбцы таблицы 14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895">
    <w:name w:val="Столбцы таблицы 541"/>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896">
    <w:name w:val="Таблица-список 24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897">
    <w:name w:val="Таблица-список 74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898">
    <w:name w:val="Таблица-список 84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899">
    <w:name w:val="Объемная таблица 34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900">
    <w:name w:val="Современная таблица4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901">
    <w:name w:val="Изысканная таблица141"/>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902">
    <w:name w:val="Изящная таблица 14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903">
    <w:name w:val="Веб-таблица 34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904">
    <w:name w:val="Стиль таблицы141"/>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5">
    <w:name w:val="Стиль таблицы24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906">
    <w:name w:val="Стандартная таблица4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907">
    <w:name w:val="Стиль таблицы34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908">
    <w:name w:val="Сетка таблицы светлая41"/>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909">
    <w:name w:val="Сетка таблицы2141"/>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0">
    <w:name w:val="Table Normal2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1">
    <w:name w:val="Table Normal11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2">
    <w:name w:val="Table Normal27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3">
    <w:name w:val="Table Normal3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4">
    <w:name w:val="Table Normal4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5">
    <w:name w:val="Table Normal5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6">
    <w:name w:val="Table Normal6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7">
    <w:name w:val="Table Normal74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8">
    <w:name w:val="Table Normal84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19">
    <w:name w:val="Table Normal94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0">
    <w:name w:val="Table Normal10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1">
    <w:name w:val="Table Normal117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2">
    <w:name w:val="Table Normal12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3">
    <w:name w:val="Table Normal13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4">
    <w:name w:val="Table Normal14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5">
    <w:name w:val="Table Normal15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6">
    <w:name w:val="Table Normal16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7">
    <w:name w:val="Table Normal17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8">
    <w:name w:val="Table Normal18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29">
    <w:name w:val="Table Normal194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30">
    <w:name w:val="Сетка таблицы84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1">
    <w:name w:val="Сетка таблицы94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2">
    <w:name w:val="Table Grid Report5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3">
    <w:name w:val="Изысканная таблица61"/>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934">
    <w:name w:val="Сетка таблицы1161"/>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5">
    <w:name w:val="Сетка таблицы1115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6">
    <w:name w:val="Столбцы таблицы 15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937">
    <w:name w:val="Столбцы таблицы 551"/>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938">
    <w:name w:val="Таблица-список 25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939">
    <w:name w:val="Таблица-список 75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940">
    <w:name w:val="Таблица-список 85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941">
    <w:name w:val="Объемная таблица 35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942">
    <w:name w:val="Современная таблица5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943">
    <w:name w:val="Изысканная таблица151"/>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944">
    <w:name w:val="Изящная таблица 15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945">
    <w:name w:val="Веб-таблица 35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946">
    <w:name w:val="Стиль таблицы151"/>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7">
    <w:name w:val="Сетка таблицы551"/>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8">
    <w:name w:val="Стиль таблицы25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949">
    <w:name w:val="Стандартная таблица5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950">
    <w:name w:val="Стиль таблицы35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951">
    <w:name w:val="Сетка таблицы светлая51"/>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952">
    <w:name w:val="Сетка таблицы451"/>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3">
    <w:name w:val="Сетка таблицы65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4">
    <w:name w:val="Сетка таблицы1251"/>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5">
    <w:name w:val="Сетка таблицы2151"/>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6">
    <w:name w:val="Table Normal28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57">
    <w:name w:val="Table Normal118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58">
    <w:name w:val="Table Normal29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59">
    <w:name w:val="Table Normal3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0">
    <w:name w:val="Table Normal4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1">
    <w:name w:val="Table Normal5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2">
    <w:name w:val="Table Normal6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3">
    <w:name w:val="Table Normal75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4">
    <w:name w:val="Table Normal85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5">
    <w:name w:val="Table Normal95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6">
    <w:name w:val="Table Normal10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7">
    <w:name w:val="Table Normal119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8">
    <w:name w:val="Table Normal12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69">
    <w:name w:val="Table Normal13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0">
    <w:name w:val="Table Normal14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1">
    <w:name w:val="Table Normal15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2">
    <w:name w:val="Table Normal16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3">
    <w:name w:val="Table Normal17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4">
    <w:name w:val="Table Normal18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5">
    <w:name w:val="Table Normal195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976">
    <w:name w:val="Сетка таблицы85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77">
    <w:name w:val="Сетка таблицы95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78">
    <w:name w:val="Table Grid Report6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79">
    <w:name w:val="Изысканная таблица71"/>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980">
    <w:name w:val="Сетка таблицы1171"/>
    <w:basedOn w:val="12"/>
    <w:uiPriority w:val="59"/>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81">
    <w:name w:val="Сетка таблицы1116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82">
    <w:name w:val="Столбцы таблицы 16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983">
    <w:name w:val="Столбцы таблицы 561"/>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984">
    <w:name w:val="Таблица-список 26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985">
    <w:name w:val="Таблица-список 76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986">
    <w:name w:val="Таблица-список 86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2987">
    <w:name w:val="Объемная таблица 36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988">
    <w:name w:val="Современная таблица6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989">
    <w:name w:val="Изысканная таблица161"/>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990">
    <w:name w:val="Изящная таблица 16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991">
    <w:name w:val="Веб-таблица 36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2992">
    <w:name w:val="Стиль таблицы161"/>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3">
    <w:name w:val="Сетка таблицы56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4">
    <w:name w:val="Стиль таблицы26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995">
    <w:name w:val="Стандартная таблица6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2996">
    <w:name w:val="Стиль таблицы36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2997">
    <w:name w:val="Сетка таблицы светлая61"/>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998">
    <w:name w:val="Сетка таблицы461"/>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9">
    <w:name w:val="Сетка таблицы66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0">
    <w:name w:val="Сетка таблицы1261"/>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1">
    <w:name w:val="Сетка таблицы2161"/>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2">
    <w:name w:val="Table Normal3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3">
    <w:name w:val="Table Normal12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4">
    <w:name w:val="Table Normal21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5">
    <w:name w:val="Table Normal3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6">
    <w:name w:val="Table Normal4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7">
    <w:name w:val="Table Normal5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8">
    <w:name w:val="Table Normal6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09">
    <w:name w:val="Table Normal76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0">
    <w:name w:val="Table Normal86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1">
    <w:name w:val="Table Normal961"/>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2">
    <w:name w:val="Table Normal10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3">
    <w:name w:val="Table Normal1110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4">
    <w:name w:val="Table Normal12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5">
    <w:name w:val="Table Normal13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6">
    <w:name w:val="Table Normal14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7">
    <w:name w:val="Table Normal15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8">
    <w:name w:val="Table Normal16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19">
    <w:name w:val="Table Normal17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20">
    <w:name w:val="Table Normal18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21">
    <w:name w:val="Table Normal196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022">
    <w:name w:val="Сетка таблицы86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3">
    <w:name w:val="Сетка таблицы96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4">
    <w:name w:val="Веб-таблица 12"/>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025">
    <w:name w:val="Веб-таблица 21"/>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026">
    <w:name w:val="Веб-таблица 371"/>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027">
    <w:name w:val="Изысканная таблица81"/>
    <w:basedOn w:val="12"/>
    <w:semiHidden/>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028">
    <w:name w:val="Изящная таблица 171"/>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029">
    <w:name w:val="Изящная таблица 21"/>
    <w:basedOn w:val="12"/>
    <w:uiPriority w:val="0"/>
    <w:pPr>
      <w:spacing w:after="0" w:line="240" w:lineRule="auto"/>
    </w:pPr>
    <w:rPr>
      <w:rFonts w:ascii="Times New Roman" w:hAnsi="Times New Roman" w:eastAsia="Times New Roman" w:cs="Times New Roman"/>
      <w:sz w:val="20"/>
      <w:szCs w:val="20"/>
      <w:lang w:eastAsia="ru-RU"/>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030">
    <w:name w:val="Классическая таблица 1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3031">
    <w:name w:val="Классическая таблица 2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3032">
    <w:name w:val="Классическая таблица 31"/>
    <w:basedOn w:val="12"/>
    <w:uiPriority w:val="0"/>
    <w:pPr>
      <w:spacing w:after="0" w:line="240" w:lineRule="auto"/>
    </w:pPr>
    <w:rPr>
      <w:rFonts w:ascii="Times New Roman" w:hAnsi="Times New Roman" w:eastAsia="Times New Roman" w:cs="Times New Roman"/>
      <w:color w:val="000080"/>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3033">
    <w:name w:val="Классическая таблица 4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3034">
    <w:name w:val="Объемная таблица 1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3035">
    <w:name w:val="Объемная таблица 2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036">
    <w:name w:val="Объемная таблица 371"/>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037">
    <w:name w:val="Простая таблица 1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038">
    <w:name w:val="Простая таблица 2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3039">
    <w:name w:val="Простая таблица 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3040">
    <w:name w:val="Сетка таблицы 12"/>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3041">
    <w:name w:val="Сетка таблицы 21"/>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3042">
    <w:name w:val="Сетка таблицы 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style>
  <w:style w:type="table" w:customStyle="1" w:styleId="3043">
    <w:name w:val="Сетка таблицы 41"/>
    <w:basedOn w:val="12"/>
    <w:uiPriority w:val="0"/>
    <w:pPr>
      <w:spacing w:after="0" w:line="240" w:lineRule="auto"/>
    </w:pPr>
    <w:rPr>
      <w:rFonts w:ascii="Times New Roman" w:hAnsi="Times New Roman" w:eastAsia="Times New Roman" w:cs="Times New Roman"/>
      <w:sz w:val="20"/>
      <w:szCs w:val="20"/>
      <w:lang w:eastAsia="ru-RU"/>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3044">
    <w:name w:val="Сетка таблицы 5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045">
    <w:name w:val="Сетка таблицы 6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3046">
    <w:name w:val="Сетка таблицы 7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047">
    <w:name w:val="Сетка таблицы 8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3048">
    <w:name w:val="Современная таблица71"/>
    <w:basedOn w:val="12"/>
    <w:semiHidden/>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049">
    <w:name w:val="Стандартная таблица71"/>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3050">
    <w:name w:val="Столбцы таблицы 171"/>
    <w:basedOn w:val="12"/>
    <w:semiHidden/>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051">
    <w:name w:val="Столбцы таблицы 21"/>
    <w:basedOn w:val="12"/>
    <w:uiPriority w:val="0"/>
    <w:pPr>
      <w:spacing w:after="0" w:line="240" w:lineRule="auto"/>
    </w:pPr>
    <w:rPr>
      <w:rFonts w:ascii="Times New Roman" w:hAnsi="Times New Roman" w:eastAsia="Times New Roman" w:cs="Times New Roman"/>
      <w:b/>
      <w:bCs/>
      <w:sz w:val="20"/>
      <w:szCs w:val="20"/>
      <w:lang w:eastAsia="ru-RU"/>
    </w:rPr>
    <w:tblPr>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052">
    <w:name w:val="Столбцы таблицы 31"/>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3053">
    <w:name w:val="Столбцы таблицы 41"/>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054">
    <w:name w:val="Столбцы таблицы 571"/>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055">
    <w:name w:val="Таблица-список 11"/>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056">
    <w:name w:val="Таблица-список 271"/>
    <w:basedOn w:val="12"/>
    <w:semiHidden/>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057">
    <w:name w:val="Таблица-список 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3058">
    <w:name w:val="Таблица-список 4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3059">
    <w:name w:val="Таблица-список 5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3060">
    <w:name w:val="Таблица-список 6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style>
  <w:style w:type="table" w:customStyle="1" w:styleId="3061">
    <w:name w:val="Таблица-список 771"/>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062">
    <w:name w:val="Таблица-список 871"/>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063">
    <w:name w:val="Тема таблицы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64">
    <w:name w:val="Цветная таблица 11"/>
    <w:basedOn w:val="12"/>
    <w:uiPriority w:val="0"/>
    <w:pPr>
      <w:spacing w:after="0" w:line="240" w:lineRule="auto"/>
    </w:pPr>
    <w:rPr>
      <w:rFonts w:ascii="Times New Roman" w:hAnsi="Times New Roman" w:eastAsia="Times New Roman" w:cs="Times New Roman"/>
      <w:color w:val="FFFFFF"/>
      <w:sz w:val="20"/>
      <w:szCs w:val="20"/>
      <w:lang w:eastAsia="ru-RU"/>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3065">
    <w:name w:val="Цветная таблица 21"/>
    <w:basedOn w:val="12"/>
    <w:uiPriority w:val="0"/>
    <w:pPr>
      <w:spacing w:after="0" w:line="240" w:lineRule="auto"/>
    </w:pPr>
    <w:rPr>
      <w:rFonts w:ascii="Times New Roman" w:hAnsi="Times New Roman" w:eastAsia="Times New Roman" w:cs="Times New Roman"/>
      <w:sz w:val="20"/>
      <w:szCs w:val="20"/>
      <w:lang w:eastAsia="ru-RU"/>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3066">
    <w:name w:val="Цветная таблица 31"/>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3067">
    <w:name w:val="Сетка таблицы1185"/>
    <w:basedOn w:val="12"/>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068">
    <w:name w:val="Table Normal371"/>
    <w:semiHidden/>
    <w:unhideWhenUsed/>
    <w:qFormat/>
    <w:uiPriority w:val="2"/>
    <w:pPr>
      <w:widowControl w:val="0"/>
      <w:spacing w:after="0" w:line="240" w:lineRule="auto"/>
    </w:pPr>
    <w:rPr>
      <w:lang w:val="en-US"/>
    </w:rPr>
    <w:tblPr>
      <w:tblCellMar>
        <w:top w:w="0" w:type="dxa"/>
        <w:left w:w="0" w:type="dxa"/>
        <w:bottom w:w="0" w:type="dxa"/>
        <w:right w:w="0" w:type="dxa"/>
      </w:tblCellMar>
    </w:tblPr>
  </w:style>
  <w:style w:type="table" w:customStyle="1" w:styleId="3069">
    <w:name w:val="Table Grid Report7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0">
    <w:name w:val="Table Grid Report8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1">
    <w:name w:val="Table Grid Report93"/>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2">
    <w:name w:val="Сетка таблицы97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3">
    <w:name w:val="Table Grid Report71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4">
    <w:name w:val="Table Grid Report91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5">
    <w:name w:val="Table Grid Report92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6">
    <w:name w:val="Сетка таблицы98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7">
    <w:name w:val="Table Grid Report107"/>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8">
    <w:name w:val="Table Grid Report1110"/>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9">
    <w:name w:val="Сетка таблицы161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0">
    <w:name w:val="Сетка таблицы99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1">
    <w:name w:val="Сетка таблицы910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2">
    <w:name w:val="Table Grid Report125"/>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3">
    <w:name w:val="Сетка таблицы911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4">
    <w:name w:val="Сетка таблицы912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5">
    <w:name w:val="Table Grid Report131"/>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6">
    <w:name w:val="Сетка таблицы913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7">
    <w:name w:val="Сетка таблицы914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8">
    <w:name w:val="Table Normal381"/>
    <w:semiHidden/>
    <w:unhideWhenUsed/>
    <w:qFormat/>
    <w:uiPriority w:val="2"/>
    <w:pPr>
      <w:widowControl w:val="0"/>
      <w:spacing w:after="0" w:line="240" w:lineRule="auto"/>
    </w:pPr>
    <w:rPr>
      <w:lang w:val="en-US"/>
    </w:rPr>
    <w:tblPr>
      <w:tblCellMar>
        <w:top w:w="0" w:type="dxa"/>
        <w:left w:w="0" w:type="dxa"/>
        <w:bottom w:w="0" w:type="dxa"/>
        <w:right w:w="0" w:type="dxa"/>
      </w:tblCellMar>
    </w:tblPr>
  </w:style>
  <w:style w:type="table" w:customStyle="1" w:styleId="3089">
    <w:name w:val="Сетка таблицы9151"/>
    <w:basedOn w:val="12"/>
    <w:uiPriority w:val="59"/>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0">
    <w:name w:val="Сетка таблицы471"/>
    <w:basedOn w:val="12"/>
    <w:uiPriority w:val="39"/>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1">
    <w:name w:val="Таблица-сетка 1 светлая11"/>
    <w:basedOn w:val="12"/>
    <w:uiPriority w:val="46"/>
    <w:pPr>
      <w:widowControl w:val="0"/>
      <w:spacing w:after="0" w:line="240" w:lineRule="auto"/>
    </w:pPr>
    <w:rPr>
      <w:rFonts w:ascii="Courier New" w:hAnsi="Courier New" w:eastAsia="Courier New" w:cs="Courier New"/>
      <w:sz w:val="24"/>
      <w:szCs w:val="24"/>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092">
    <w:name w:val="Таблица-сетка 1 светлая21"/>
    <w:basedOn w:val="12"/>
    <w:uiPriority w:val="46"/>
    <w:pPr>
      <w:spacing w:after="0" w:line="240" w:lineRule="auto"/>
    </w:pPr>
    <w:rPr>
      <w:rFonts w:ascii="Calibri" w:hAnsi="Calibri" w:eastAsia="Times New Roman" w:cs="Times New Roman"/>
      <w:sz w:val="20"/>
      <w:szCs w:val="20"/>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093">
    <w:name w:val="Сетка таблицы светлая71"/>
    <w:basedOn w:val="12"/>
    <w:uiPriority w:val="40"/>
    <w:pPr>
      <w:widowControl w:val="0"/>
      <w:spacing w:after="0" w:line="240" w:lineRule="auto"/>
    </w:pPr>
    <w:rPr>
      <w:rFonts w:ascii="Courier New" w:hAnsi="Courier New" w:eastAsia="Courier New" w:cs="Courier New"/>
      <w:sz w:val="24"/>
      <w:szCs w:val="24"/>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094">
    <w:name w:val="Таблица-сетка 1 светлая5"/>
    <w:basedOn w:val="12"/>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095">
    <w:name w:val="Сетка таблицы481"/>
    <w:basedOn w:val="12"/>
    <w:uiPriority w:val="39"/>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6">
    <w:name w:val="Таблица-сетка 1 светлая31"/>
    <w:basedOn w:val="12"/>
    <w:uiPriority w:val="46"/>
    <w:pPr>
      <w:spacing w:after="0" w:line="240" w:lineRule="auto"/>
    </w:pPr>
    <w:rPr>
      <w:rFonts w:ascii="Calibri" w:hAnsi="Calibri" w:eastAsia="Times New Roman" w:cs="Times New Roman"/>
      <w:sz w:val="20"/>
      <w:szCs w:val="20"/>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097">
    <w:name w:val="Сетка таблицы светлая81"/>
    <w:basedOn w:val="12"/>
    <w:uiPriority w:val="40"/>
    <w:pPr>
      <w:widowControl w:val="0"/>
      <w:spacing w:after="0" w:line="240" w:lineRule="auto"/>
    </w:pPr>
    <w:rPr>
      <w:rFonts w:ascii="Courier New" w:hAnsi="Courier New" w:eastAsia="Courier New" w:cs="Courier New"/>
      <w:sz w:val="24"/>
      <w:szCs w:val="24"/>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098">
    <w:name w:val="Сетка таблицы491"/>
    <w:basedOn w:val="12"/>
    <w:uiPriority w:val="39"/>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9">
    <w:name w:val="Таблица-сетка 1 светлая41"/>
    <w:basedOn w:val="12"/>
    <w:uiPriority w:val="46"/>
    <w:pPr>
      <w:spacing w:after="0" w:line="240" w:lineRule="auto"/>
    </w:pPr>
    <w:rPr>
      <w:rFonts w:ascii="Calibri" w:hAnsi="Calibri" w:eastAsia="Times New Roman" w:cs="Times New Roman"/>
      <w:sz w:val="20"/>
      <w:szCs w:val="20"/>
      <w:lang w:eastAsia="ru-RU"/>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100">
    <w:name w:val="Сетка таблицы светлая91"/>
    <w:basedOn w:val="12"/>
    <w:uiPriority w:val="40"/>
    <w:pPr>
      <w:widowControl w:val="0"/>
      <w:spacing w:after="0" w:line="240" w:lineRule="auto"/>
    </w:pPr>
    <w:rPr>
      <w:rFonts w:ascii="Courier New" w:hAnsi="Courier New" w:eastAsia="Courier New" w:cs="Courier New"/>
      <w:sz w:val="24"/>
      <w:szCs w:val="24"/>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101">
    <w:name w:val="Table Normal39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02">
    <w:name w:val="Table Normal40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03">
    <w:name w:val="Table Normal47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04">
    <w:name w:val="Table Normal48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05">
    <w:name w:val="Table Normal49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06">
    <w:name w:val="Сетка таблицы50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7">
    <w:name w:val="Сетка таблицы375"/>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8">
    <w:name w:val="Table Normal50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09">
    <w:name w:val="Table Normal57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0">
    <w:name w:val="Table Normal58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1">
    <w:name w:val="Table Normal59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2">
    <w:name w:val="Table Normal60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3">
    <w:name w:val="Table Normal67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4">
    <w:name w:val="Table Normal68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5">
    <w:name w:val="Table Normal69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6">
    <w:name w:val="Table Normal70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17">
    <w:name w:val="Сетка таблицы385"/>
    <w:basedOn w:val="12"/>
    <w:uiPriority w:val="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8">
    <w:name w:val="Сетка таблицы410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9">
    <w:name w:val="Стандартная таблица81"/>
    <w:basedOn w:val="12"/>
    <w:uiPriority w:val="0"/>
    <w:pPr>
      <w:spacing w:after="0" w:line="240" w:lineRule="auto"/>
      <w:ind w:firstLine="567"/>
      <w:jc w:val="both"/>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3120">
    <w:name w:val="Сетка таблицы 111"/>
    <w:basedOn w:val="12"/>
    <w:semiHidden/>
    <w:unhideWhenUsed/>
    <w:uiPriority w:val="0"/>
    <w:pPr>
      <w:spacing w:after="0" w:line="24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3121">
    <w:name w:val="Веб-таблица 111"/>
    <w:basedOn w:val="12"/>
    <w:semiHidden/>
    <w:unhideWhenUsed/>
    <w:uiPriority w:val="0"/>
    <w:pPr>
      <w:spacing w:after="0" w:line="240"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122">
    <w:name w:val="Table Normal77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123">
    <w:name w:val="Table Normal78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3124">
    <w:name w:val="Неразрешенное упоминание21"/>
    <w:basedOn w:val="11"/>
    <w:semiHidden/>
    <w:unhideWhenUsed/>
    <w:uiPriority w:val="99"/>
    <w:rPr>
      <w:color w:val="605E5C"/>
      <w:shd w:val="clear" w:color="auto" w:fill="E1DFDD"/>
    </w:rPr>
  </w:style>
  <w:style w:type="table" w:customStyle="1" w:styleId="3125">
    <w:name w:val="Сетка таблицы2171"/>
    <w:basedOn w:val="12"/>
    <w:uiPriority w:val="3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26">
    <w:name w:val="Сетка таблицы311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27">
    <w:name w:val="Сетка таблицы1191"/>
    <w:basedOn w:val="12"/>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28">
    <w:name w:val="Сетка таблицы2101"/>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29">
    <w:name w:val="Сетка таблицы310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0">
    <w:name w:val="Сетка таблицы4111"/>
    <w:basedOn w:val="12"/>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1">
    <w:name w:val="Сетка таблицы221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2">
    <w:name w:val="Сетка таблицы321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3">
    <w:name w:val="Сетка таблицы1110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4">
    <w:name w:val="Сетка таблицы67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5">
    <w:name w:val="Сетка таблицы127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6">
    <w:name w:val="Сетка таблицы23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7">
    <w:name w:val="Сетка таблицы33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38">
    <w:name w:val="Сетка таблицы4121"/>
    <w:basedOn w:val="12"/>
    <w:uiPriority w:val="9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9">
    <w:name w:val="Сетка таблицы51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0">
    <w:name w:val="Сетка таблицы61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1">
    <w:name w:val="Сетка таблицы1117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42">
    <w:name w:val="Сетка таблицы71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3">
    <w:name w:val="Сетка таблицы87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4">
    <w:name w:val="Сетка таблицы916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5">
    <w:name w:val="Сетка таблицы10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6">
    <w:name w:val="Сетка таблицы121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7">
    <w:name w:val="Сетка таблицы13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8">
    <w:name w:val="Сетка таблицы14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49">
    <w:name w:val="Сетка таблицы15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50">
    <w:name w:val="Сетка таблицы24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51">
    <w:name w:val="Сетка таблицы34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52">
    <w:name w:val="Сетка таблицы42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3">
    <w:name w:val="Сетка таблицы52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4">
    <w:name w:val="Сетка таблицы62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5">
    <w:name w:val="Сетка таблицы112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56">
    <w:name w:val="Сетка таблицы72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7">
    <w:name w:val="Сетка таблицы8111"/>
    <w:basedOn w:val="12"/>
    <w:uiPriority w:val="5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8">
    <w:name w:val="Сетка таблицы917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9">
    <w:name w:val="Сетка таблицы122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0">
    <w:name w:val="Сетка таблицы73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1">
    <w:name w:val="Сетка таблицы74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2">
    <w:name w:val="Сетка таблицы162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63">
    <w:name w:val="Сетка таблицы17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64">
    <w:name w:val="Сетка таблицы2511"/>
    <w:basedOn w:val="12"/>
    <w:uiPriority w:val="0"/>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65">
    <w:name w:val="Сетка таблицы35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66">
    <w:name w:val="Сетка таблицы43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7">
    <w:name w:val="Сетка таблицы53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8">
    <w:name w:val="Сетка таблицы63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9">
    <w:name w:val="Сетка таблицы113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70">
    <w:name w:val="Сетка таблицы75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1">
    <w:name w:val="Сетка таблицы123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2">
    <w:name w:val="Сетка таблицы18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73">
    <w:name w:val="Сетка таблицы19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74">
    <w:name w:val="Сетка таблицы26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75">
    <w:name w:val="Сетка таблицы36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76">
    <w:name w:val="Сетка таблицы44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7">
    <w:name w:val="Сетка таблицы54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8">
    <w:name w:val="Сетка таблицы64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9">
    <w:name w:val="Сетка таблицы114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80">
    <w:name w:val="Сетка таблицы76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1">
    <w:name w:val="Сетка таблицы124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2">
    <w:name w:val="Сетка таблицы7711"/>
    <w:basedOn w:val="12"/>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3">
    <w:name w:val="Сетка таблицы201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4">
    <w:name w:val="Сетка таблицы271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5">
    <w:name w:val="Сетка таблицы371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86">
    <w:name w:val="Сетка таблицы281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7">
    <w:name w:val="Сетка таблицы2911"/>
    <w:basedOn w:val="12"/>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88">
    <w:name w:val="Сетка таблицы11011"/>
    <w:basedOn w:val="12"/>
    <w:uiPriority w:val="0"/>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89">
    <w:name w:val="Сетка таблицы3811"/>
    <w:basedOn w:val="12"/>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90">
    <w:name w:val="Сетка таблицы301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1">
    <w:name w:val="Сетка таблицы3911"/>
    <w:basedOn w:val="12"/>
    <w:uiPriority w:val="5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92">
    <w:name w:val="Сетка таблицы401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3">
    <w:name w:val="Сетка таблицы11012"/>
    <w:basedOn w:val="12"/>
    <w:uiPriority w:val="0"/>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94">
    <w:name w:val="Table Grid Report44"/>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5">
    <w:name w:val="Изысканная таблица10"/>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196">
    <w:name w:val="Сетка таблицы134"/>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7">
    <w:name w:val="Сетка таблицы220"/>
    <w:basedOn w:val="12"/>
    <w:uiPriority w:val="3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8">
    <w:name w:val="Сетка таблицы314"/>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9">
    <w:name w:val="Сетка таблицы1129"/>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00">
    <w:name w:val="Сетка таблицы11115"/>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01">
    <w:name w:val="Столбцы таблицы 19"/>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202">
    <w:name w:val="Столбцы таблицы 59"/>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203">
    <w:name w:val="Таблица-список 29"/>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204">
    <w:name w:val="Таблица-список 79"/>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205">
    <w:name w:val="Таблица-список 89"/>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206">
    <w:name w:val="Объемная таблица 39"/>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207">
    <w:name w:val="Современная таблица9"/>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208">
    <w:name w:val="Изысканная таблица18"/>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209">
    <w:name w:val="Изящная таблица 19"/>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210">
    <w:name w:val="Веб-таблица 39"/>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211">
    <w:name w:val="Стиль таблицы18"/>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2">
    <w:name w:val="Сетка таблицы58"/>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3">
    <w:name w:val="Стиль таблицы28"/>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214">
    <w:name w:val="Стандартная таблица10"/>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215">
    <w:name w:val="Стиль таблицы38"/>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216">
    <w:name w:val="Сетка таблицы светлая12"/>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217">
    <w:name w:val="Сетка таблицы413"/>
    <w:basedOn w:val="12"/>
    <w:uiPriority w:val="5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8">
    <w:name w:val="Сетка таблицы68"/>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9">
    <w:name w:val="Сетка таблицы1214"/>
    <w:basedOn w:val="12"/>
    <w:uiPriority w:val="9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0">
    <w:name w:val="Сетка таблицы2113"/>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1">
    <w:name w:val="Сетка таблицы71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2">
    <w:name w:val="Table Normal8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3">
    <w:name w:val="Table Normal129"/>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4">
    <w:name w:val="Table Normal2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5">
    <w:name w:val="Table Normal3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6">
    <w:name w:val="Table Normal4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7">
    <w:name w:val="Table Normal5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8">
    <w:name w:val="Table Normal6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29">
    <w:name w:val="Table Normal71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0">
    <w:name w:val="Table Normal88"/>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1">
    <w:name w:val="Table Normal98"/>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2">
    <w:name w:val="Table Normal10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3">
    <w:name w:val="Table Normal11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4">
    <w:name w:val="Table Normal1210"/>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5">
    <w:name w:val="Table Normal13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6">
    <w:name w:val="Table Normal14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7">
    <w:name w:val="Table Normal15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8">
    <w:name w:val="Table Normal16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39">
    <w:name w:val="Table Normal17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40">
    <w:name w:val="Table Normal18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41">
    <w:name w:val="Table Normal198"/>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42">
    <w:name w:val="Сетка таблицы88"/>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3">
    <w:name w:val="Сетка таблицы918"/>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4">
    <w:name w:val="Table Grid Report120"/>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5">
    <w:name w:val="Изысканная таблица22"/>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246">
    <w:name w:val="Сетка таблицы135"/>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7">
    <w:name w:val="Сетка таблицы22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8">
    <w:name w:val="Сетка таблицы315"/>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9">
    <w:name w:val="Сетка таблицы11210"/>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50">
    <w:name w:val="Сетка таблицы11116"/>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51">
    <w:name w:val="Столбцы таблицы 112"/>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252">
    <w:name w:val="Столбцы таблицы 512"/>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253">
    <w:name w:val="Таблица-список 212"/>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254">
    <w:name w:val="Таблица-список 712"/>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255">
    <w:name w:val="Таблица-список 81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256">
    <w:name w:val="Объемная таблица 31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257">
    <w:name w:val="Современная таблица12"/>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258">
    <w:name w:val="Изысканная таблица112"/>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259">
    <w:name w:val="Изящная таблица 11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260">
    <w:name w:val="Веб-таблица 312"/>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261">
    <w:name w:val="Стиль таблицы112"/>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2">
    <w:name w:val="Сетка таблицы51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3">
    <w:name w:val="Стиль таблицы21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264">
    <w:name w:val="Стандартная таблица1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265">
    <w:name w:val="Стиль таблицы31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266">
    <w:name w:val="Сетка таблицы светлая13"/>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267">
    <w:name w:val="Сетка таблицы414"/>
    <w:basedOn w:val="12"/>
    <w:uiPriority w:val="5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8">
    <w:name w:val="Сетка таблицы61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9">
    <w:name w:val="Сетка таблицы1215"/>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0">
    <w:name w:val="Сетка таблицы2114"/>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1">
    <w:name w:val="Сетка таблицы713"/>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2">
    <w:name w:val="Table Normal2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3">
    <w:name w:val="Table Normal11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4">
    <w:name w:val="Table Normal21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5">
    <w:name w:val="Table Normal3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6">
    <w:name w:val="Table Normal4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7">
    <w:name w:val="Table Normal5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8">
    <w:name w:val="Table Normal61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79">
    <w:name w:val="Table Normal713"/>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0">
    <w:name w:val="Table Normal81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1">
    <w:name w:val="Table Normal91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2">
    <w:name w:val="Table Normal10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3">
    <w:name w:val="Table Normal1114"/>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4">
    <w:name w:val="Table Normal12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5">
    <w:name w:val="Table Normal13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6">
    <w:name w:val="Table Normal14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7">
    <w:name w:val="Table Normal15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8">
    <w:name w:val="Table Normal16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89">
    <w:name w:val="Table Normal17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90">
    <w:name w:val="Table Normal18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91">
    <w:name w:val="Table Normal191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292">
    <w:name w:val="Сетка таблицы81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3">
    <w:name w:val="Сетка таблицы919"/>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4">
    <w:name w:val="Table Grid Report21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5">
    <w:name w:val="Изысканная таблица32"/>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296">
    <w:name w:val="Сетка таблицы14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7">
    <w:name w:val="Сетка таблицы23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8">
    <w:name w:val="Сетка таблицы322"/>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9">
    <w:name w:val="Сетка таблицы1132"/>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00">
    <w:name w:val="Сетка таблицы11122"/>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01">
    <w:name w:val="Столбцы таблицы 122"/>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302">
    <w:name w:val="Столбцы таблицы 522"/>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03">
    <w:name w:val="Таблица-список 222"/>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304">
    <w:name w:val="Таблица-список 722"/>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305">
    <w:name w:val="Таблица-список 82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306">
    <w:name w:val="Объемная таблица 32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307">
    <w:name w:val="Современная таблица22"/>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308">
    <w:name w:val="Изысканная таблица122"/>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309">
    <w:name w:val="Изящная таблица 12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310">
    <w:name w:val="Веб-таблица 322"/>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311">
    <w:name w:val="Стиль таблицы122"/>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2">
    <w:name w:val="Сетка таблицы522"/>
    <w:basedOn w:val="12"/>
    <w:uiPriority w:val="9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3">
    <w:name w:val="Стиль таблицы22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314">
    <w:name w:val="Стандартная таблица2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315">
    <w:name w:val="Стиль таблицы32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316">
    <w:name w:val="Сетка таблицы светлая22"/>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317">
    <w:name w:val="Сетка таблицы422"/>
    <w:basedOn w:val="12"/>
    <w:uiPriority w:val="5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8">
    <w:name w:val="Сетка таблицы622"/>
    <w:basedOn w:val="12"/>
    <w:uiPriority w:val="9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9">
    <w:name w:val="Сетка таблицы1222"/>
    <w:basedOn w:val="12"/>
    <w:uiPriority w:val="5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0">
    <w:name w:val="Сетка таблицы2122"/>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1">
    <w:name w:val="Сетка таблицы72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2">
    <w:name w:val="Table Normal2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3">
    <w:name w:val="Table Normal11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4">
    <w:name w:val="Table Normal2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5">
    <w:name w:val="Table Normal3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6">
    <w:name w:val="Table Normal4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7">
    <w:name w:val="Table Normal5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8">
    <w:name w:val="Table Normal6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29">
    <w:name w:val="Table Normal72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0">
    <w:name w:val="Table Normal82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1">
    <w:name w:val="Table Normal92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2">
    <w:name w:val="Table Normal10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3">
    <w:name w:val="Table Normal11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4">
    <w:name w:val="Table Normal12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5">
    <w:name w:val="Table Normal13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6">
    <w:name w:val="Table Normal14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7">
    <w:name w:val="Table Normal15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8">
    <w:name w:val="Table Normal16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39">
    <w:name w:val="Table Normal17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40">
    <w:name w:val="Table Normal18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41">
    <w:name w:val="Table Normal192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42">
    <w:name w:val="Сетка таблицы82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3">
    <w:name w:val="Сетка таблицы92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4">
    <w:name w:val="Table Grid Report31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5">
    <w:name w:val="Изысканная таблица42"/>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346">
    <w:name w:val="Сетка таблицы15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7">
    <w:name w:val="Сетка таблицы24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8">
    <w:name w:val="Сетка таблицы332"/>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9">
    <w:name w:val="Сетка таблицы1142"/>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0">
    <w:name w:val="Сетка таблицы11132"/>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1">
    <w:name w:val="Столбцы таблицы 132"/>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352">
    <w:name w:val="Столбцы таблицы 532"/>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53">
    <w:name w:val="Таблица-список 232"/>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354">
    <w:name w:val="Таблица-список 732"/>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355">
    <w:name w:val="Таблица-список 83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356">
    <w:name w:val="Объемная таблица 33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357">
    <w:name w:val="Современная таблица32"/>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358">
    <w:name w:val="Изысканная таблица132"/>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359">
    <w:name w:val="Изящная таблица 13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360">
    <w:name w:val="Веб-таблица 332"/>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361">
    <w:name w:val="Стиль таблицы132"/>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2">
    <w:name w:val="Сетка таблицы53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3">
    <w:name w:val="Стиль таблицы23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364">
    <w:name w:val="Стандартная таблица3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365">
    <w:name w:val="Стиль таблицы33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366">
    <w:name w:val="Сетка таблицы светлая32"/>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367">
    <w:name w:val="Сетка таблицы432"/>
    <w:basedOn w:val="12"/>
    <w:uiPriority w:val="5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8">
    <w:name w:val="Сетка таблицы63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9">
    <w:name w:val="Сетка таблицы1232"/>
    <w:basedOn w:val="12"/>
    <w:uiPriority w:val="5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0">
    <w:name w:val="Сетка таблицы2132"/>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1">
    <w:name w:val="Сетка таблицы73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2">
    <w:name w:val="Table Normal2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3">
    <w:name w:val="Table Normal11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4">
    <w:name w:val="Table Normal2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5">
    <w:name w:val="Table Normal3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6">
    <w:name w:val="Table Normal4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7">
    <w:name w:val="Table Normal5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8">
    <w:name w:val="Table Normal6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79">
    <w:name w:val="Table Normal73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0">
    <w:name w:val="Table Normal83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1">
    <w:name w:val="Table Normal93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2">
    <w:name w:val="Table Normal10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3">
    <w:name w:val="Table Normal11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4">
    <w:name w:val="Table Normal12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5">
    <w:name w:val="Table Normal13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6">
    <w:name w:val="Table Normal14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7">
    <w:name w:val="Table Normal15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8">
    <w:name w:val="Table Normal16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89">
    <w:name w:val="Table Normal17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90">
    <w:name w:val="Table Normal18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91">
    <w:name w:val="Table Normal193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392">
    <w:name w:val="Сетка таблицы83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3">
    <w:name w:val="Сетка таблицы93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4">
    <w:name w:val="Сетка таблицы10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5">
    <w:name w:val="Сетка таблицы163"/>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6">
    <w:name w:val="Сетка таблицы172"/>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7">
    <w:name w:val="Table Grid Report45"/>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8">
    <w:name w:val="Изысканная таблица52"/>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399">
    <w:name w:val="Сетка таблицы18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0">
    <w:name w:val="Сетка таблицы252"/>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1">
    <w:name w:val="Сетка таблицы342"/>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2">
    <w:name w:val="Сетка таблицы1152"/>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3">
    <w:name w:val="Сетка таблицы11142"/>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4">
    <w:name w:val="Столбцы таблицы 142"/>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405">
    <w:name w:val="Столбцы таблицы 542"/>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406">
    <w:name w:val="Таблица-список 242"/>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407">
    <w:name w:val="Таблица-список 742"/>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408">
    <w:name w:val="Таблица-список 84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409">
    <w:name w:val="Объемная таблица 34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410">
    <w:name w:val="Современная таблица42"/>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411">
    <w:name w:val="Изысканная таблица142"/>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412">
    <w:name w:val="Изящная таблица 14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413">
    <w:name w:val="Веб-таблица 342"/>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414">
    <w:name w:val="Стиль таблицы142"/>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5">
    <w:name w:val="Сетка таблицы54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6">
    <w:name w:val="Стиль таблицы24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417">
    <w:name w:val="Стандартная таблица4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418">
    <w:name w:val="Стиль таблицы34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419">
    <w:name w:val="Сетка таблицы светлая42"/>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420">
    <w:name w:val="Сетка таблицы442"/>
    <w:basedOn w:val="12"/>
    <w:uiPriority w:val="5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1">
    <w:name w:val="Сетка таблицы64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2">
    <w:name w:val="Сетка таблицы1242"/>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3">
    <w:name w:val="Сетка таблицы2142"/>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4">
    <w:name w:val="Сетка таблицы742"/>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5">
    <w:name w:val="Table Normal2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26">
    <w:name w:val="Table Normal11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27">
    <w:name w:val="Table Normal27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28">
    <w:name w:val="Table Normal3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29">
    <w:name w:val="Table Normal4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0">
    <w:name w:val="Table Normal5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1">
    <w:name w:val="Table Normal6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2">
    <w:name w:val="Table Normal74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3">
    <w:name w:val="Table Normal84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4">
    <w:name w:val="Table Normal94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5">
    <w:name w:val="Table Normal10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6">
    <w:name w:val="Table Normal117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7">
    <w:name w:val="Table Normal12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8">
    <w:name w:val="Table Normal13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39">
    <w:name w:val="Table Normal14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40">
    <w:name w:val="Table Normal15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41">
    <w:name w:val="Table Normal16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42">
    <w:name w:val="Table Normal17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43">
    <w:name w:val="Table Normal18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44">
    <w:name w:val="Table Normal194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45">
    <w:name w:val="Сетка таблицы84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6">
    <w:name w:val="Сетка таблицы94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7">
    <w:name w:val="Table Grid Report5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8">
    <w:name w:val="Изысканная таблица62"/>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449">
    <w:name w:val="Сетка таблицы19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0">
    <w:name w:val="Сетка таблицы26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1">
    <w:name w:val="Сетка таблицы352"/>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2">
    <w:name w:val="Сетка таблицы1162"/>
    <w:basedOn w:val="12"/>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3">
    <w:name w:val="Сетка таблицы11152"/>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4">
    <w:name w:val="Столбцы таблицы 152"/>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455">
    <w:name w:val="Столбцы таблицы 552"/>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456">
    <w:name w:val="Таблица-список 252"/>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457">
    <w:name w:val="Таблица-список 752"/>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458">
    <w:name w:val="Таблица-список 85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459">
    <w:name w:val="Объемная таблица 35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460">
    <w:name w:val="Современная таблица52"/>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461">
    <w:name w:val="Изысканная таблица152"/>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462">
    <w:name w:val="Изящная таблица 15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463">
    <w:name w:val="Веб-таблица 352"/>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464">
    <w:name w:val="Стиль таблицы152"/>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65">
    <w:name w:val="Сетка таблицы55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66">
    <w:name w:val="Стиль таблицы25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467">
    <w:name w:val="Стандартная таблица5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468">
    <w:name w:val="Стиль таблицы35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469">
    <w:name w:val="Сетка таблицы светлая52"/>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470">
    <w:name w:val="Сетка таблицы452"/>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1">
    <w:name w:val="Сетка таблицы65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2">
    <w:name w:val="Сетка таблицы1252"/>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3">
    <w:name w:val="Сетка таблицы2152"/>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4">
    <w:name w:val="Сетка таблицы752"/>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5">
    <w:name w:val="Table Normal28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76">
    <w:name w:val="Table Normal118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77">
    <w:name w:val="Table Normal29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78">
    <w:name w:val="Table Normal3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79">
    <w:name w:val="Table Normal4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0">
    <w:name w:val="Table Normal5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1">
    <w:name w:val="Table Normal6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2">
    <w:name w:val="Table Normal75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3">
    <w:name w:val="Table Normal85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4">
    <w:name w:val="Table Normal95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5">
    <w:name w:val="Table Normal10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6">
    <w:name w:val="Table Normal119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7">
    <w:name w:val="Table Normal12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8">
    <w:name w:val="Table Normal13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89">
    <w:name w:val="Table Normal14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90">
    <w:name w:val="Table Normal15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91">
    <w:name w:val="Table Normal16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92">
    <w:name w:val="Table Normal17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93">
    <w:name w:val="Table Normal18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94">
    <w:name w:val="Table Normal195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495">
    <w:name w:val="Сетка таблицы85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6">
    <w:name w:val="Сетка таблицы95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7">
    <w:name w:val="Table Grid Report6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8">
    <w:name w:val="Изысканная таблица72"/>
    <w:basedOn w:val="12"/>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499">
    <w:name w:val="Сетка таблицы1102"/>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0">
    <w:name w:val="Сетка таблицы27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1">
    <w:name w:val="Сетка таблицы362"/>
    <w:basedOn w:val="12"/>
    <w:uiPriority w:val="59"/>
    <w:pPr>
      <w:overflowPunct w:val="0"/>
      <w:autoSpaceDE w:val="0"/>
      <w:autoSpaceDN w:val="0"/>
      <w:adjustRightInd w:val="0"/>
      <w:spacing w:after="0" w:line="240" w:lineRule="auto"/>
    </w:pPr>
    <w:rPr>
      <w:rFonts w:ascii="Century" w:hAnsi="Century"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2">
    <w:name w:val="Сетка таблицы1172"/>
    <w:basedOn w:val="12"/>
    <w:uiPriority w:val="59"/>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3">
    <w:name w:val="Сетка таблицы11162"/>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4">
    <w:name w:val="Столбцы таблицы 162"/>
    <w:basedOn w:val="12"/>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505">
    <w:name w:val="Столбцы таблицы 562"/>
    <w:basedOn w:val="12"/>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506">
    <w:name w:val="Таблица-список 262"/>
    <w:basedOn w:val="12"/>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507">
    <w:name w:val="Таблица-список 762"/>
    <w:basedOn w:val="12"/>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508">
    <w:name w:val="Таблица-список 86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509">
    <w:name w:val="Объемная таблица 36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510">
    <w:name w:val="Современная таблица62"/>
    <w:basedOn w:val="12"/>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11">
    <w:name w:val="Изысканная таблица162"/>
    <w:basedOn w:val="12"/>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3512">
    <w:name w:val="Изящная таблица 16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513">
    <w:name w:val="Веб-таблица 362"/>
    <w:basedOn w:val="12"/>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3514">
    <w:name w:val="Стиль таблицы162"/>
    <w:basedOn w:val="110"/>
    <w:uiPriority w:val="0"/>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15">
    <w:name w:val="Сетка таблицы562"/>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16">
    <w:name w:val="Стиль таблицы26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517">
    <w:name w:val="Стандартная таблица6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tcPr>
        <w:tcBorders>
          <w:tl2br w:val="nil"/>
          <w:tr2bl w:val="nil"/>
        </w:tcBorders>
        <w:shd w:val="solid" w:color="000000" w:fill="FFFFFF"/>
      </w:tcPr>
    </w:tblStylePr>
  </w:style>
  <w:style w:type="table" w:customStyle="1" w:styleId="3518">
    <w:name w:val="Стиль таблицы362"/>
    <w:basedOn w:val="12"/>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style>
  <w:style w:type="table" w:customStyle="1" w:styleId="3519">
    <w:name w:val="Сетка таблицы светлая62"/>
    <w:basedOn w:val="12"/>
    <w:uiPriority w:val="40"/>
    <w:pPr>
      <w:spacing w:after="0" w:line="240" w:lineRule="auto"/>
    </w:pPr>
    <w:rPr>
      <w:rFonts w:ascii="Calibri" w:hAnsi="Calibri" w:eastAsia="Times New Roman" w:cs="Times New Roman"/>
      <w:sz w:val="20"/>
      <w:szCs w:val="20"/>
      <w:lang w:eastAsia="ru-RU"/>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3520">
    <w:name w:val="Сетка таблицы462"/>
    <w:basedOn w:val="12"/>
    <w:uiPriority w:val="39"/>
    <w:pPr>
      <w:widowControl w:val="0"/>
      <w:spacing w:after="0" w:line="240" w:lineRule="auto"/>
    </w:pPr>
    <w:rPr>
      <w:rFonts w:ascii="Courier New" w:hAnsi="Courier New" w:eastAsia="Courier New" w:cs="Courier New"/>
      <w:sz w:val="24"/>
      <w:szCs w:val="24"/>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1">
    <w:name w:val="Сетка таблицы66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2">
    <w:name w:val="Сетка таблицы1262"/>
    <w:basedOn w:val="12"/>
    <w:uiPriority w:val="39"/>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3">
    <w:name w:val="Сетка таблицы2162"/>
    <w:basedOn w:val="12"/>
    <w:uiPriority w:val="0"/>
    <w:pPr>
      <w:spacing w:after="0" w:line="240" w:lineRule="auto"/>
      <w:jc w:val="both"/>
    </w:pPr>
    <w:rPr>
      <w:rFonts w:ascii="Calibri" w:hAnsi="Calibri" w:eastAsia="Times New Roman" w:cs="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4">
    <w:name w:val="Сетка таблицы762"/>
    <w:basedOn w:val="12"/>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5">
    <w:name w:val="Table Normal3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26">
    <w:name w:val="Table Normal12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27">
    <w:name w:val="Table Normal21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28">
    <w:name w:val="Table Normal3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29">
    <w:name w:val="Table Normal4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0">
    <w:name w:val="Table Normal5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1">
    <w:name w:val="Table Normal6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2">
    <w:name w:val="Table Normal76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3">
    <w:name w:val="Table Normal86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4">
    <w:name w:val="Table Normal962"/>
    <w:semiHidden/>
    <w:unhideWhenUsed/>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5">
    <w:name w:val="Table Normal10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6">
    <w:name w:val="Table Normal1110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7">
    <w:name w:val="Table Normal12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8">
    <w:name w:val="Table Normal13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39">
    <w:name w:val="Table Normal14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40">
    <w:name w:val="Table Normal15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41">
    <w:name w:val="Table Normal16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42">
    <w:name w:val="Table Normal17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43">
    <w:name w:val="Table Normal18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44">
    <w:name w:val="Table Normal196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3545">
    <w:name w:val="Сетка таблицы86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6">
    <w:name w:val="Сетка таблицы96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7">
    <w:name w:val="Сетка таблицы20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8">
    <w:name w:val="Веб-таблица 13"/>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549">
    <w:name w:val="Веб-таблица 22"/>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550">
    <w:name w:val="Веб-таблица 372"/>
    <w:basedOn w:val="12"/>
    <w:semiHidden/>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551">
    <w:name w:val="Изысканная таблица82"/>
    <w:basedOn w:val="12"/>
    <w:semiHidden/>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3552">
    <w:name w:val="Изящная таблица 172"/>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553">
    <w:name w:val="Изящная таблица 22"/>
    <w:basedOn w:val="12"/>
    <w:semiHidden/>
    <w:uiPriority w:val="0"/>
    <w:pPr>
      <w:spacing w:after="0" w:line="240" w:lineRule="auto"/>
    </w:pPr>
    <w:rPr>
      <w:rFonts w:ascii="Times New Roman" w:hAnsi="Times New Roman" w:eastAsia="Times New Roman" w:cs="Times New Roman"/>
      <w:sz w:val="20"/>
      <w:szCs w:val="20"/>
      <w:lang w:eastAsia="ru-RU"/>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554">
    <w:name w:val="Классическая таблица 12"/>
    <w:basedOn w:val="12"/>
    <w:uiPriority w:val="99"/>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3555">
    <w:name w:val="Классическая таблица 22"/>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3556">
    <w:name w:val="Классическая таблица 32"/>
    <w:basedOn w:val="12"/>
    <w:semiHidden/>
    <w:uiPriority w:val="0"/>
    <w:pPr>
      <w:spacing w:after="0" w:line="240" w:lineRule="auto"/>
    </w:pPr>
    <w:rPr>
      <w:rFonts w:ascii="Times New Roman" w:hAnsi="Times New Roman" w:eastAsia="Times New Roman" w:cs="Times New Roman"/>
      <w:color w:val="000080"/>
      <w:sz w:val="20"/>
      <w:szCs w:val="20"/>
      <w:lang w:eastAsia="ru-RU"/>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3557">
    <w:name w:val="Классическая таблица 42"/>
    <w:basedOn w:val="12"/>
    <w:semiHidden/>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3558">
    <w:name w:val="Объемная таблица 12"/>
    <w:basedOn w:val="12"/>
    <w:semiHidden/>
    <w:uiPriority w:val="0"/>
    <w:pPr>
      <w:spacing w:after="0" w:line="240" w:lineRule="auto"/>
    </w:pPr>
    <w:rPr>
      <w:rFonts w:ascii="Times New Roman" w:hAnsi="Times New Roman" w:eastAsia="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character" w:customStyle="1" w:styleId="3559">
    <w:name w:val="Неразрешенное упоминание3"/>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media/image13.wmf"/><Relationship Id="rId23" Type="http://schemas.openxmlformats.org/officeDocument/2006/relationships/oleObject" Target="embeddings/oleObject3.bin"/><Relationship Id="rId22" Type="http://schemas.openxmlformats.org/officeDocument/2006/relationships/image" Target="media/image12.wmf"/><Relationship Id="rId21" Type="http://schemas.openxmlformats.org/officeDocument/2006/relationships/oleObject" Target="embeddings/oleObject2.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F497B-34A7-4362-ADE9-640ACB5E280C}">
  <ds:schemaRefs/>
</ds:datastoreItem>
</file>

<file path=docProps/app.xml><?xml version="1.0" encoding="utf-8"?>
<Properties xmlns="http://schemas.openxmlformats.org/officeDocument/2006/extended-properties" xmlns:vt="http://schemas.openxmlformats.org/officeDocument/2006/docPropsVTypes">
  <Template>Normal</Template>
  <Pages>174</Pages>
  <Words>59206</Words>
  <Characters>337477</Characters>
  <Lines>2812</Lines>
  <Paragraphs>791</Paragraphs>
  <TotalTime>17</TotalTime>
  <ScaleCrop>false</ScaleCrop>
  <LinksUpToDate>false</LinksUpToDate>
  <CharactersWithSpaces>395892</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2024-11-21T07:35:00Z</dcterms:created>
  <dc:creator>Александр Говорун</dc:creator>
  <cp:lastModifiedBy>Marchukovaap</cp:lastModifiedBy>
  <cp:lastPrinted>2021-07-29T15:36:00Z</cp:lastPrinted>
  <dcterms:modified xsi:type="dcterms:W3CDTF">2024-11-29T04:31:27Z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149D5998BC8A40A7A3936E016FCE74CF_12</vt:lpwstr>
  </property>
</Properties>
</file>