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625475" cy="883285"/>
            <wp:effectExtent l="0" t="0" r="3175" b="1206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СЕЛЬСКОЕ ПОСЕЛЕНИЕ ВЕРХНЕКАЗЫМСКИЙ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БЕЛОЯРСКИЙ РАЙОН</w:t>
      </w:r>
    </w:p>
    <w:p>
      <w:pPr>
        <w:pStyle w:val="3"/>
        <w:rPr>
          <w:b/>
          <w:bCs/>
        </w:rPr>
      </w:pPr>
      <w:r>
        <w:rPr>
          <w:b/>
          <w:bCs/>
        </w:rPr>
        <w:t>ХАНТЫ-МАНСИЙСКИЙ АВТОНОМНЫЙ ОКРУГ – ЮГРА</w:t>
      </w:r>
    </w:p>
    <w:p>
      <w:pPr>
        <w:tabs>
          <w:tab w:val="left" w:pos="7791"/>
        </w:tabs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tab/>
      </w:r>
      <w:r>
        <w:rPr>
          <w:rFonts w:hint="default" w:ascii="Times New Roman" w:hAnsi="Times New Roman" w:cs="Times New Roman"/>
        </w:rPr>
        <w:t xml:space="preserve">        </w:t>
      </w:r>
    </w:p>
    <w:p>
      <w:pPr>
        <w:spacing w:after="0" w:line="240" w:lineRule="auto"/>
        <w:rPr>
          <w:rFonts w:hint="default" w:ascii="Times New Roman" w:hAnsi="Times New Roman" w:cs="Times New Roman"/>
        </w:rPr>
      </w:pPr>
    </w:p>
    <w:p>
      <w:pPr>
        <w:pStyle w:val="2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</w:t>
      </w:r>
    </w:p>
    <w:p>
      <w:pPr>
        <w:pStyle w:val="2"/>
      </w:pPr>
      <w:r>
        <w:rPr>
          <w:sz w:val="28"/>
          <w:szCs w:val="28"/>
        </w:rPr>
        <w:t>ВЕРХНЕКАЗЫМСКИЙ</w:t>
      </w:r>
      <w:r>
        <w:t xml:space="preserve">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ind w:left="-220" w:leftChars="-100" w:right="-240" w:rightChars="-109" w:firstLine="0" w:firstLineChars="0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23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2023 года                                                                                     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№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86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firstLine="0" w:firstLineChars="0"/>
        <w:jc w:val="both"/>
        <w:textAlignment w:val="auto"/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360" w:firstLineChars="150"/>
        <w:jc w:val="center"/>
        <w:textAlignment w:val="auto"/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О мерах имущественной поддержки граждан, принимающих (принявших)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360" w:firstLineChars="150"/>
        <w:jc w:val="center"/>
        <w:textAlignment w:val="auto"/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участие в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специальной военной операции на территориях Украины, Донецкой Народной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Республики, Луганской Народной Республики, Запорожской,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360" w:firstLineChars="150"/>
        <w:jc w:val="center"/>
        <w:textAlignment w:val="auto"/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Херсонской областей</w:t>
      </w:r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660" w:leftChars="-300" w:right="-240" w:rightChars="-109" w:firstLine="733" w:firstLineChars="333"/>
        <w:jc w:val="center"/>
        <w:textAlignment w:val="auto"/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660" w:leftChars="-300" w:firstLine="733" w:firstLineChars="333"/>
        <w:jc w:val="center"/>
        <w:textAlignment w:val="auto"/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firstLine="806" w:firstLineChars="366"/>
        <w:jc w:val="center"/>
        <w:textAlignment w:val="auto"/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198" w:leftChars="-90" w:right="-240" w:rightChars="-109" w:firstLine="859" w:firstLineChars="358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 соответствии с распоряжением Правительства Российской Федерации от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15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октября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2022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года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№ 3046-р «О предоставлении отсрочки арендной платы по договорам аренды федерального имущества в связи с частичной мобилизацией»</w:t>
      </w:r>
      <w:r>
        <w:rPr>
          <w:rFonts w:ascii="Calibri" w:hAnsi="Calibri" w:eastAsia="SimSun" w:cs="Calibri"/>
          <w:color w:val="000000"/>
          <w:kern w:val="0"/>
          <w:sz w:val="22"/>
          <w:szCs w:val="22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пунктом 4 постановления Правительства Ханты-Мансийского автономного округа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Югры от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10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февраля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2023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года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№ 51-п «О едином перечне прав, льгот, социальных гарантий и компенсаций гражданам Российской Федерации, проживающим в Ханты-Мансийском автономном округе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Югре, принимающим участие в специальной военной операции, и членам их семей»</w:t>
      </w:r>
      <w:r>
        <w:rPr>
          <w:rFonts w:hint="default" w:ascii="Calibri" w:hAnsi="Calibri" w:eastAsia="SimSun" w:cs="Calibri"/>
          <w:color w:val="000000"/>
          <w:kern w:val="0"/>
          <w:sz w:val="22"/>
          <w:szCs w:val="22"/>
          <w:lang w:val="en-US" w:eastAsia="zh-CN" w:bidi="ar"/>
        </w:rPr>
        <w:t xml:space="preserve">: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878" w:firstLineChars="366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Предоставить гражданам, принимающим (принявшим)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 (за исключением лиц, в отношении которых в установленном законодательством Российской Федерации порядке компетентные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органы Российской Федерации проводят процессуальные действия, направленные на установление признаков состава преступления по статье 337 и (или) статье 338 Уголовного кодекса Российской Федерации, или в отношении которых имеются вступившие в законную силу решения суда по одной из указанных статей Уголовного кодекса Российской Федерации)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гражданин), гражданину, являющемуся индивидуальным предпринимателем, юридическому лицу, в котором гражданин является единственным учредителем (участником), единоличным исполнительным органом в одном лице, отсрочку внесения арендной платы по договорам аренды муниципального имущества (за исключением жилых помещений) и (или) земельных участков, находящихся в муниципальной собственности сельского поселения Верхнеказымский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договор аренды), начисленной за период прохождения военной службы или оказания ими добровольного содействия в выполнении задач, возложенных на Вооруженные Силы Российской Федерации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отсрочка, период отсрочки), арендаторами по которым являются указанные лица, на следующих условиях: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878" w:firstLineChars="366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отсутствие использования арендуемого по договору имущества в период отсрочки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878" w:firstLineChars="366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направление арендатором арендодателю уведомления о предоставлении отсрочки уплаты арендной платы с приложением копий документов, подтверждающих прохождение военной службы по частичной мобилизации в Вооруженных Силах Российской Федерации,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или копии уведомления о заключении контракта о прохождении военной службы в соответствии с пунктом 7 статьи 38 Федерального закона от 28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марта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1998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года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№ 53-ФЗ «О воинской обязанности и военной службе»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Федеральный закон № 53-ФЗ),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878" w:firstLineChars="366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задолженность по арендной плате по договору аренды, начисленная за период отсрочки,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878" w:firstLineChars="366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не допускается установление дополнительных платежей, подлежащих уплате гражданином в связи с предоставлением отсрочки;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878" w:firstLineChars="366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гражданином порядка и сроков внесения арендной платы (в том числе в случаях, если такие меры предусмотрены договором аренды);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878" w:firstLineChars="366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оплату коммунальных услуг, связанных с арендуемым имуществом по договору аренды, по которым арендатору предоставлена отсрочка, в период отсрочки осуществляет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арендодатель в соответствии с дополнительным соглашением к договору аренды.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878" w:firstLineChars="366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2. Представить лицам, указанным в пункте 1 настоящего постановления, возможность расторжения договоров аренды или одностороннего отказа от исполнения указанного договора без применения штрафных санкций, за исключением договоров аренды земельных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участков, на которых расположены объекты недвижимого имущества, не являющиеся муниципальной собственностью, на следующих условиях: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878" w:firstLineChars="366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арендатор направляет арендодателю уведомление о расторжении договора аренды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или одностороннем отказе от договора аренды, дате и времени возврата арендодателю имущества с приложением копий документов, подтверждающих прохождение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№ 53-ФЗ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878" w:firstLineChars="366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договор аренды подлежит расторжению или считается прекращенным со дня получения арендодателем уведомления о расторжении договора аренды или одностороннего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отказа от договора аренды;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878" w:firstLineChars="366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или односторонним отказом от договора аренды (в том числе в случаях, если такие меры предусмотрены договором аренды).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878" w:firstLineChars="366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3. Освободить граждан от начисления пени, штрафов, неустойки, иных санкций за просрочку платежей по договорам купли-продажи и (или) мены жилых помещений, находящихся в залоге сельского поселения Верхнеказымский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договор), на следующих условиях: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878" w:firstLineChars="366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гражданин направляет стороне по договору уведомление об освобождении от начисления пени, штрафов, неустойки, иных санкций за просрочку платежей по договору с приложением копий документов, подтверждающих прохождение военной службы по частичной мобилизации в Вооруженных Силах Российской Федерации, или копии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уведомления о заключении контракта о прохождении военной службы в соответствии с пунктом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7 статьи 38 Федерального закона № 53-ФЗ либо контракта о добровольном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878" w:firstLineChars="366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гражданин освобождается от начисления пени, штрафов, неустойки, иных санкций за просрочку платежей по договору на период прохождения им военной службы или оказания добровольного содействия в выполнении задач, возложенных на Вооруженные Силы Российской Федерации.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878" w:firstLineChars="366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4. Меры имущественной поддержки, установленные пунктами 2, 3 настоящего постановления, приостанавливаются с месяца, следующего за месяцем, в котором в администрацию сельского поселения Верхнеказымский поступили сведения о проведении в отношении гражданина в установленном законодательством Российской Федерации порядке компетентными органами Российской Федерации процессуальных действий, направленных на установление признаков состава преступления по статье 337 и (или) статье 338 Уголовного кодекса Российской Федерации, о чем его администрация сельского поселения Верхнеказымский уведомляет заказным письмом с уведомлением о вручении по адресу, содержащемуся в договоре аренды и (или) договоре купли-продажи, в течение 5 рабочих дней со дня поступления таких сведений.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878" w:firstLineChars="366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Меры имущественной поддержки, установленные пунктами 2, 3 настоящего постановления, возобновляются с месяца, в котором в администрация сельского поселения Верхнеказымский поступили сведения о: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878" w:firstLineChars="366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прекращении проведения в отношении гражданина процессуальных действий, указанных в абзаце первом настоящего пункта;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878" w:firstLineChars="366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вступлении в законную силу решения суда о прекращении уголовного дела или уголовного преследования по статье 337 и (или) статье 338 Уголовного кодекса Российской Федерации в отношении гражданина.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878" w:firstLineChars="366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Возобновление мер имущественной поддержки осуществляется за весь период приостановления, о чем его администрация сельского поселения Верхнеказымский уведомляет заказным письмом с уведомлением о вручении по адресу, содержащемуся в договоре аренды и (или) договоре купли-продажи, в течение 5 рабочих дней со дня поступления таких сведений.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878" w:firstLineChars="366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Меры имущественной поддержки, установленные пунктами 2, 3 настоящего постановления, прекращаются с месяца, в котором в администрацию сельского поселения Верхнеказымский поступили сведения о вступившем в законную силу решении суда по статье 337 и (или) статье 338 Уголовного кодекса Российской Федерации в отношении гражданина, о чем его администрация сельского поселения Верхнеказымский уведомляет заказным письмом с уведомлением о вручении по адресу, содержащемуся в договоре аренды и (или) договоре купли-продажи, в течение 5 рабочих дней со дня поступления таких сведений.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878" w:firstLineChars="366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 </w:t>
      </w:r>
      <w:r>
        <w:rPr>
          <w:rFonts w:ascii="Times New Roman" w:hAnsi="Times New Roman"/>
          <w:sz w:val="24"/>
          <w:szCs w:val="24"/>
        </w:rPr>
        <w:t>Опубликовать настоящее постановление в бюллетене «Официальный вестник сельского поселения Верхнеказымский»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878" w:firstLineChars="366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6. Настоящее постановление вступает в силу после его официального опубликования.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878" w:firstLineChars="366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7. Контроль за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Верхнеказымский. </w:t>
      </w:r>
    </w:p>
    <w:p>
      <w:pPr>
        <w:keepNext w:val="0"/>
        <w:keepLines w:val="0"/>
        <w:widowControl/>
        <w:suppressLineNumbers w:val="0"/>
        <w:ind w:right="-240" w:rightChars="-109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-220" w:leftChars="-100" w:right="-240" w:rightChars="-109" w:firstLine="0" w:firstLineChars="0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-220" w:leftChars="-100" w:right="-240" w:rightChars="-109" w:firstLine="0" w:firstLineChars="0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Глава сельского поселения Верхнеказымский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                                           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Г.Н.Бандысик</w:t>
      </w:r>
    </w:p>
    <w:sectPr>
      <w:pgSz w:w="11906" w:h="16838"/>
      <w:pgMar w:top="1000" w:right="1106" w:bottom="878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19F5B6"/>
    <w:multiLevelType w:val="singleLevel"/>
    <w:tmpl w:val="4919F5B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6274F"/>
    <w:rsid w:val="4F341B2F"/>
    <w:rsid w:val="64AC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9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3">
    <w:name w:val="heading 3"/>
    <w:basedOn w:val="1"/>
    <w:next w:val="1"/>
    <w:qFormat/>
    <w:uiPriority w:val="99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sz w:val="20"/>
      <w:szCs w:val="20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2023-05-22T07:19:00Z</dcterms:created>
  <dc:creator>1</dc:creator>
  <cp:lastModifiedBy>Marchukovaap</cp:lastModifiedBy>
  <cp:lastPrinted>2023-05-23T05:24:23Z</cp:lastPrinted>
  <dcterms:modified xsi:type="dcterms:W3CDTF">2023-05-23T05:38:52Z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46A02E6DF3E34C2FB599A87FCA980070</vt:lpwstr>
  </property>
</Properties>
</file>